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1721" w:rsidRPr="005F4299" w:rsidP="00AE172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Doložka vybraných vplyvov</w:t>
      </w:r>
    </w:p>
    <w:p w:rsidR="00AE1721" w:rsidRPr="005F4299" w:rsidP="00AE172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AE1721" w:rsidRPr="005F4299" w:rsidP="00AE172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B9600D" w:rsidRPr="005F4299" w:rsidP="00B9600D">
      <w:pPr>
        <w:bidi w:val="0"/>
        <w:jc w:val="both"/>
        <w:rPr>
          <w:rFonts w:ascii="Times New Roman" w:hAnsi="Times New Roman"/>
          <w:b/>
          <w:bCs/>
        </w:rPr>
      </w:pPr>
      <w:r w:rsidRPr="005F4299" w:rsidR="00AE1721">
        <w:rPr>
          <w:rFonts w:ascii="Times New Roman" w:hAnsi="Times New Roman"/>
          <w:b/>
          <w:bCs/>
        </w:rPr>
        <w:t xml:space="preserve">A.1. Názov materiálu: </w:t>
      </w:r>
      <w:r w:rsidRPr="005F4299" w:rsidR="00AE1721">
        <w:rPr>
          <w:rFonts w:ascii="Times New Roman" w:hAnsi="Times New Roman"/>
          <w:bCs/>
        </w:rPr>
        <w:t xml:space="preserve">Návrh zákona, ktorým sa mení a dopĺňa zákon č. 171/2005 Z. z. o hazardných hrách a o zmene a doplnení niektorých zákonov v znení neskorších predpisov </w:t>
      </w:r>
      <w:r w:rsidRPr="005F4299">
        <w:rPr>
          <w:rFonts w:ascii="Times New Roman" w:hAnsi="Times New Roman"/>
          <w:bCs/>
        </w:rPr>
        <w:t xml:space="preserve">a ktorým sa </w:t>
      </w:r>
      <w:r w:rsidRPr="005F4299" w:rsidR="00907069">
        <w:rPr>
          <w:rFonts w:ascii="Times New Roman" w:hAnsi="Times New Roman"/>
          <w:bCs/>
        </w:rPr>
        <w:t xml:space="preserve">dopĺňa </w:t>
      </w:r>
      <w:r w:rsidRPr="005F4299">
        <w:rPr>
          <w:rFonts w:ascii="Times New Roman" w:hAnsi="Times New Roman"/>
          <w:bCs/>
        </w:rPr>
        <w:t>zákon Národnej rady Slovenskej republiky č. 145/1995 Z. z. o správnych pop</w:t>
      </w:r>
      <w:r w:rsidRPr="005F4299" w:rsidR="00907973">
        <w:rPr>
          <w:rFonts w:ascii="Times New Roman" w:hAnsi="Times New Roman"/>
          <w:bCs/>
        </w:rPr>
        <w:t>latkoch</w:t>
      </w:r>
      <w:r w:rsidRPr="005F4299">
        <w:rPr>
          <w:rFonts w:ascii="Times New Roman" w:hAnsi="Times New Roman"/>
          <w:bCs/>
        </w:rPr>
        <w:t xml:space="preserve"> v znení neskorších predpisov</w:t>
      </w:r>
      <w:r w:rsidRPr="005F4299" w:rsidR="00186ADA">
        <w:rPr>
          <w:rFonts w:ascii="Times New Roman" w:hAnsi="Times New Roman"/>
          <w:bCs/>
        </w:rPr>
        <w:t>.</w:t>
      </w:r>
      <w:r w:rsidRPr="005F4299">
        <w:rPr>
          <w:rFonts w:ascii="Times New Roman" w:hAnsi="Times New Roman"/>
          <w:b/>
          <w:bCs/>
        </w:rPr>
        <w:t xml:space="preserve"> </w:t>
      </w:r>
    </w:p>
    <w:p w:rsidR="00A44AB2" w:rsidRPr="005F4299" w:rsidP="00AE172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AE1721" w:rsidRPr="005F4299" w:rsidP="00AE172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       Ter</w:t>
      </w:r>
      <w:r w:rsidRPr="005F4299" w:rsidR="004612D6">
        <w:rPr>
          <w:rFonts w:ascii="Times New Roman" w:hAnsi="Times New Roman"/>
          <w:b/>
          <w:bCs/>
        </w:rPr>
        <w:t xml:space="preserve">mín začatia a ukončenia PPK:  </w:t>
        <w:tab/>
      </w:r>
    </w:p>
    <w:p w:rsidR="00A44AB2" w:rsidRPr="005F4299" w:rsidP="00AE172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AE1721" w:rsidRPr="005F4299" w:rsidP="00AE1721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  <w:b/>
          <w:bCs/>
        </w:rPr>
      </w:pPr>
      <w:r w:rsidRPr="005F4299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Pozitívne</w:t>
            </w:r>
            <w:r w:rsidRPr="005F4299">
              <w:rPr>
                <w:rFonts w:ascii="Times New Roman" w:hAnsi="Times New Roman"/>
                <w:vertAlign w:val="superscript"/>
              </w:rPr>
              <w:t>*</w:t>
            </w:r>
            <w:r w:rsidRPr="005F42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Žiadne</w:t>
            </w:r>
            <w:r w:rsidRPr="005F429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Negatívne</w:t>
            </w:r>
            <w:r w:rsidRPr="005F429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4612D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  <w:r w:rsidRPr="005F4299" w:rsidR="004612D6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4612D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1B7EAC">
              <w:rPr>
                <w:rFonts w:ascii="Times New Roman" w:hAnsi="Times New Roman"/>
              </w:rPr>
              <w:t>X</w:t>
            </w: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 xml:space="preserve">3. Sociálne vplyvy </w:t>
            </w:r>
          </w:p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– vplyvy  na hospodárenie obyvateľstva,</w:t>
            </w:r>
          </w:p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-sociálnu exklúziu,</w:t>
            </w:r>
          </w:p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4612D6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4612D6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AF520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1721" w:rsidRPr="005F4299" w:rsidP="008F3D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</w:tbl>
    <w:p w:rsidR="00AE1721" w:rsidRPr="005F4299" w:rsidP="00AE172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AE1721" w:rsidRPr="005F4299" w:rsidP="00AE1721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  <w:b/>
          <w:bCs/>
        </w:rPr>
      </w:pPr>
      <w:r w:rsidRPr="005F4299">
        <w:rPr>
          <w:rFonts w:ascii="Times New Roman" w:hAnsi="Times New Roman"/>
          <w:b/>
          <w:bCs/>
        </w:rPr>
        <w:t>A.3. Poznámky</w:t>
      </w:r>
    </w:p>
    <w:p w:rsidR="001B7EAC" w:rsidRPr="005F4299" w:rsidP="001B7EA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5F4299" w:rsidR="00D07395">
        <w:rPr>
          <w:rFonts w:ascii="Times New Roman" w:hAnsi="Times New Roman"/>
        </w:rPr>
        <w:t xml:space="preserve">Návrh novely zákona </w:t>
      </w:r>
      <w:r w:rsidRPr="005F4299" w:rsidR="00AF5201">
        <w:rPr>
          <w:rFonts w:ascii="Times New Roman" w:hAnsi="Times New Roman"/>
        </w:rPr>
        <w:t>upravuje sadzby z odvodov niektorých druhov hazardných hier</w:t>
      </w:r>
      <w:r w:rsidRPr="005F4299" w:rsidR="00F94476">
        <w:rPr>
          <w:rFonts w:ascii="Times New Roman" w:hAnsi="Times New Roman"/>
        </w:rPr>
        <w:t>, upresňuje pôsobnosť obce v oblasti hazardných hier pri výkone samosprávy a zavádzajú sa ďalšie spresnenia, ktoré vyplývajú z aplikačnej praxe</w:t>
      </w:r>
      <w:r w:rsidRPr="005F4299" w:rsidR="00863097">
        <w:rPr>
          <w:rFonts w:ascii="Times New Roman" w:hAnsi="Times New Roman"/>
        </w:rPr>
        <w:t>.</w:t>
      </w:r>
      <w:r w:rsidRPr="005F4299">
        <w:rPr>
          <w:rFonts w:ascii="Times New Roman" w:hAnsi="Times New Roman"/>
          <w:color w:val="000000"/>
        </w:rPr>
        <w:t xml:space="preserve"> </w:t>
      </w:r>
      <w:r w:rsidRPr="005F4299" w:rsidR="00FD666B">
        <w:rPr>
          <w:rFonts w:ascii="Times New Roman" w:hAnsi="Times New Roman"/>
          <w:color w:val="000000"/>
        </w:rPr>
        <w:t xml:space="preserve">Tiež sa zavádza povinnosť, aby prevádzkovatelia niektorých druhov hazardných hier uvádzali na herných zariadeniach telefónne číslo na špeciálne zdravotnícke zariadenie v rámci prevencie a boja proti závislosti na hazardných hrách. </w:t>
      </w:r>
      <w:r w:rsidRPr="005F4299" w:rsidR="00F826D8">
        <w:rPr>
          <w:rFonts w:ascii="Times New Roman" w:hAnsi="Times New Roman"/>
          <w:color w:val="000000"/>
        </w:rPr>
        <w:t>Navrhovaný materiál predpokladá zvýšenie príjmov do štátneho rozpočtu v</w:t>
      </w:r>
      <w:r w:rsidRPr="005F4299" w:rsidR="00D03B8E">
        <w:rPr>
          <w:rFonts w:ascii="Times New Roman" w:hAnsi="Times New Roman"/>
          <w:color w:val="000000"/>
        </w:rPr>
        <w:t xml:space="preserve"> celkovej</w:t>
      </w:r>
      <w:r w:rsidRPr="005F4299" w:rsidR="00F826D8">
        <w:rPr>
          <w:rFonts w:ascii="Times New Roman" w:hAnsi="Times New Roman"/>
          <w:color w:val="000000"/>
        </w:rPr>
        <w:t xml:space="preserve"> výške 7,</w:t>
      </w:r>
      <w:r w:rsidRPr="005F4299" w:rsidR="00477F88">
        <w:rPr>
          <w:rFonts w:ascii="Times New Roman" w:hAnsi="Times New Roman"/>
          <w:color w:val="000000"/>
        </w:rPr>
        <w:t>5</w:t>
      </w:r>
      <w:r w:rsidRPr="005F4299" w:rsidR="00F826D8">
        <w:rPr>
          <w:rFonts w:ascii="Times New Roman" w:hAnsi="Times New Roman"/>
          <w:color w:val="000000"/>
        </w:rPr>
        <w:t xml:space="preserve"> mil. € </w:t>
      </w:r>
      <w:r w:rsidRPr="005F4299" w:rsidR="00D03B8E">
        <w:rPr>
          <w:rFonts w:ascii="Times New Roman" w:hAnsi="Times New Roman"/>
          <w:color w:val="000000"/>
        </w:rPr>
        <w:t>v rokoch 2013, 2014 a 2015 a zvýšenie príjmov do rozpočtu obcí vo výške 336 500 € od roku 201</w:t>
      </w:r>
      <w:r w:rsidR="001866A3">
        <w:rPr>
          <w:rFonts w:ascii="Times New Roman" w:hAnsi="Times New Roman"/>
          <w:color w:val="000000"/>
        </w:rPr>
        <w:t>3</w:t>
      </w:r>
      <w:r w:rsidRPr="005F4299" w:rsidR="00F826D8">
        <w:rPr>
          <w:rFonts w:ascii="Times New Roman" w:hAnsi="Times New Roman"/>
          <w:color w:val="000000"/>
        </w:rPr>
        <w:t xml:space="preserve">. </w:t>
      </w:r>
      <w:r w:rsidRPr="005F4299" w:rsidR="00F65FA9">
        <w:rPr>
          <w:rFonts w:ascii="Times New Roman" w:hAnsi="Times New Roman"/>
          <w:color w:val="000000"/>
        </w:rPr>
        <w:t>Suma</w:t>
      </w:r>
      <w:r w:rsidRPr="005F4299" w:rsidR="00863097">
        <w:rPr>
          <w:rFonts w:ascii="Times New Roman" w:hAnsi="Times New Roman"/>
          <w:color w:val="000000"/>
        </w:rPr>
        <w:t xml:space="preserve"> </w:t>
      </w:r>
      <w:r w:rsidRPr="005F4299" w:rsidR="00477F88">
        <w:rPr>
          <w:rFonts w:ascii="Times New Roman" w:hAnsi="Times New Roman"/>
          <w:color w:val="000000"/>
        </w:rPr>
        <w:t>7,9</w:t>
      </w:r>
      <w:r w:rsidRPr="005F4299" w:rsidR="00F826D8">
        <w:rPr>
          <w:rFonts w:ascii="Times New Roman" w:hAnsi="Times New Roman"/>
          <w:color w:val="000000"/>
        </w:rPr>
        <w:t xml:space="preserve"> mil. € </w:t>
      </w:r>
      <w:r w:rsidR="001866A3">
        <w:rPr>
          <w:rFonts w:ascii="Times New Roman" w:hAnsi="Times New Roman"/>
          <w:color w:val="000000"/>
        </w:rPr>
        <w:t xml:space="preserve">od roku 2013 </w:t>
      </w:r>
      <w:r w:rsidRPr="005F4299">
        <w:rPr>
          <w:rFonts w:ascii="Times New Roman" w:hAnsi="Times New Roman"/>
          <w:color w:val="000000"/>
        </w:rPr>
        <w:t xml:space="preserve">na druhej strane predstavuje zvýšenie zaťaženia vybraného okruhu právnických osôb – prevádzkovateľov v odvetví hazardných hier. </w:t>
      </w:r>
    </w:p>
    <w:p w:rsidR="00F65FA9" w:rsidRPr="005F4299" w:rsidP="001B7EA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4A5F04" w:rsidRPr="005F4299" w:rsidP="004A5F0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A.4. Alternatívne riešenia</w:t>
      </w:r>
    </w:p>
    <w:p w:rsidR="00E41C33" w:rsidRPr="005F4299" w:rsidP="004A5F0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4299" w:rsidR="004A5F04">
        <w:rPr>
          <w:rFonts w:ascii="Times New Roman" w:hAnsi="Times New Roman"/>
          <w:b/>
          <w:bCs/>
        </w:rPr>
        <w:t> </w:t>
      </w:r>
    </w:p>
    <w:p w:rsidR="00C66FAA" w:rsidRPr="005F4299" w:rsidP="004A5F0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5F04" w:rsidRPr="005F4299" w:rsidP="004A5F0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5F4299">
        <w:rPr>
          <w:rFonts w:ascii="Times New Roman" w:hAnsi="Times New Roman"/>
          <w:b/>
          <w:bCs/>
        </w:rPr>
        <w:t>A.5. Stanovisko gestorov</w:t>
      </w:r>
    </w:p>
    <w:p w:rsidR="00797332" w:rsidRPr="005F4299" w:rsidP="004A5F0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365667" w:rsidRPr="005F4299" w:rsidP="00365667">
      <w:pPr>
        <w:bidi w:val="0"/>
        <w:jc w:val="center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365667" w:rsidRPr="005F4299" w:rsidP="00365667">
      <w:pPr>
        <w:bidi w:val="0"/>
        <w:jc w:val="center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2.1. Zhrnutie vplyvov na rozpočet verejnej správy v návrhu</w:t>
      </w:r>
    </w:p>
    <w:p w:rsidR="00365667" w:rsidRPr="005F4299" w:rsidP="00365667">
      <w:pPr>
        <w:bidi w:val="0"/>
        <w:jc w:val="right"/>
        <w:rPr>
          <w:rFonts w:ascii="Times New Roman" w:hAnsi="Times New Roman"/>
        </w:rPr>
      </w:pPr>
      <w:r w:rsidRPr="005F4299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5F4299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5F4299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5F4299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862DC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862DC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862DC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862DC3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 w:rsidR="006D01CF">
              <w:rPr>
                <w:rFonts w:ascii="Times New Roman" w:hAnsi="Times New Roman"/>
                <w:b/>
                <w:bCs/>
              </w:rPr>
              <w:t>7 882 760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 w:rsidR="00C3014D">
              <w:rPr>
                <w:rFonts w:ascii="Times New Roman" w:hAnsi="Times New Roman"/>
                <w:b/>
                <w:bCs/>
              </w:rPr>
              <w:t>7 882 760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 w:rsidR="00C3014D">
              <w:rPr>
                <w:rFonts w:ascii="Times New Roman" w:hAnsi="Times New Roman"/>
                <w:b/>
                <w:bCs/>
              </w:rPr>
              <w:t>7 882 760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 w:rsidR="00C3014D">
              <w:rPr>
                <w:rFonts w:ascii="Times New Roman" w:hAnsi="Times New Roman"/>
                <w:b/>
                <w:bCs/>
              </w:rPr>
              <w:t>7 882 760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62DC3" w:rsidRPr="005F4299" w:rsidP="00654BB4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</w:rPr>
            </w:pPr>
            <w:r w:rsidRPr="005F4299" w:rsidR="00C3014D">
              <w:rPr>
                <w:rFonts w:ascii="Times New Roman" w:hAnsi="Times New Roman"/>
                <w:b/>
                <w:bCs/>
              </w:rPr>
              <w:t>7 546 260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654BB4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5F4299" w:rsidR="00C3014D">
              <w:rPr>
                <w:rFonts w:ascii="Times New Roman" w:hAnsi="Times New Roman"/>
                <w:b/>
                <w:bCs/>
              </w:rPr>
              <w:t>7 546 260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654BB4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5F4299" w:rsidR="00C3014D">
              <w:rPr>
                <w:rFonts w:ascii="Times New Roman" w:hAnsi="Times New Roman"/>
                <w:b/>
                <w:bCs/>
              </w:rPr>
              <w:t>7 546 260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654BB4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5F4299" w:rsidR="00C3014D">
              <w:rPr>
                <w:rFonts w:ascii="Times New Roman" w:hAnsi="Times New Roman"/>
                <w:b/>
                <w:bCs/>
              </w:rPr>
              <w:t>7 546 260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 w:rsidR="006D01CF">
              <w:rPr>
                <w:rFonts w:ascii="Times New Roman" w:hAnsi="Times New Roman"/>
                <w:b/>
                <w:bCs/>
                <w:iCs/>
              </w:rPr>
              <w:t>336 500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  <w:color w:val="FF0000"/>
              </w:rPr>
            </w:pPr>
            <w:r w:rsidRPr="005F4299" w:rsidR="00C3014D">
              <w:rPr>
                <w:rFonts w:ascii="Times New Roman" w:hAnsi="Times New Roman"/>
                <w:b/>
                <w:bCs/>
                <w:iCs/>
              </w:rPr>
              <w:t>336 500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 w:rsidR="00C3014D">
              <w:rPr>
                <w:rFonts w:ascii="Times New Roman" w:hAnsi="Times New Roman"/>
                <w:b/>
                <w:bCs/>
                <w:iCs/>
              </w:rPr>
              <w:t>336 500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 w:rsidR="00C3014D">
              <w:rPr>
                <w:rFonts w:ascii="Times New Roman" w:hAnsi="Times New Roman"/>
                <w:b/>
                <w:bCs/>
                <w:iCs/>
              </w:rPr>
              <w:t>336 500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 xml:space="preserve">  0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 w:rsidRPr="005F42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2.2. Financovanie návrhu</w:t>
      </w:r>
    </w:p>
    <w:p w:rsidR="00365667" w:rsidRPr="005F4299" w:rsidP="00365667">
      <w:pPr>
        <w:bidi w:val="0"/>
        <w:jc w:val="right"/>
        <w:rPr>
          <w:rFonts w:ascii="Times New Roman" w:hAnsi="Times New Roman"/>
        </w:rPr>
      </w:pPr>
      <w:r w:rsidRPr="005F4299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5F4299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862DC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862DC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365667" w:rsidRPr="005F4299" w:rsidP="00365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365667" w:rsidRPr="005F4299" w:rsidP="00365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365667" w:rsidRPr="005F4299" w:rsidP="00365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365667" w:rsidRPr="005F4299" w:rsidP="00365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365667" w:rsidRPr="005F4299" w:rsidP="00365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365667" w:rsidRPr="005F4299" w:rsidP="00365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365667" w:rsidRPr="005F4299" w:rsidP="00365667">
      <w:pPr>
        <w:bidi w:val="0"/>
        <w:rPr>
          <w:rFonts w:ascii="Times New Roman" w:hAnsi="Times New Roman"/>
          <w:b/>
          <w:bCs/>
        </w:rPr>
      </w:pP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2.3. Popis a charakteristika návrhu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2.3.1. Popis návrhu:</w:t>
      </w:r>
    </w:p>
    <w:p w:rsidR="00365667" w:rsidRPr="005F4299" w:rsidP="00365667">
      <w:pPr>
        <w:bidi w:val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 </w:t>
      </w:r>
    </w:p>
    <w:p w:rsidR="00365667" w:rsidRPr="005F4299" w:rsidP="00365667">
      <w:pPr>
        <w:bidi w:val="0"/>
        <w:ind w:firstLine="708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</w:rPr>
        <w:t>Akú problematiku návrhu rieši? Kto bude návrh implementovať? Kde sa budú služby poskytovať?</w:t>
      </w:r>
    </w:p>
    <w:p w:rsidR="00365667" w:rsidRPr="005F4299" w:rsidP="00F94476">
      <w:pPr>
        <w:bidi w:val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</w:rPr>
        <w:t>Návrh novely zákona rieši úpravu sadzieb odvodov niektorých druhov hazardných hier</w:t>
      </w:r>
      <w:r w:rsidRPr="005F4299" w:rsidR="00862DC3">
        <w:rPr>
          <w:rFonts w:ascii="Times New Roman" w:hAnsi="Times New Roman"/>
        </w:rPr>
        <w:t>,</w:t>
      </w:r>
      <w:r w:rsidRPr="005F4299" w:rsidR="00F94476">
        <w:rPr>
          <w:rFonts w:ascii="Times New Roman" w:hAnsi="Times New Roman"/>
        </w:rPr>
        <w:t xml:space="preserve"> upresňuje pôsobnosť obce v oblasti hazardných hier a zavedenie ďalších spresnení, ktoré vyplynuli z aplikačnej praxe.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2.3.2. Charakteristika návrhu podľa bodu  2.3.2. Metodiky :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  <w:bdr w:val="single" w:sz="4" w:space="0" w:color="000000" w:frame="1"/>
        </w:rPr>
        <w:t xml:space="preserve"> X </w:t>
      </w:r>
      <w:r w:rsidRPr="005F4299">
        <w:rPr>
          <w:rFonts w:ascii="Times New Roman" w:hAnsi="Times New Roman"/>
          <w:b/>
          <w:bCs/>
        </w:rPr>
        <w:t xml:space="preserve">  </w:t>
      </w:r>
      <w:r w:rsidRPr="005F4299">
        <w:rPr>
          <w:rFonts w:ascii="Times New Roman" w:hAnsi="Times New Roman"/>
        </w:rPr>
        <w:t>zmena sadzby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5F4299">
        <w:rPr>
          <w:rFonts w:ascii="Times New Roman" w:hAnsi="Times New Roman"/>
        </w:rPr>
        <w:t>  zmena v nároku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dr w:val="single" w:sz="4" w:space="0" w:color="000000" w:frame="1"/>
        </w:rPr>
        <w:t> </w:t>
      </w:r>
      <w:r w:rsidRPr="005F4299" w:rsidR="00E01746">
        <w:rPr>
          <w:rFonts w:ascii="Times New Roman" w:hAnsi="Times New Roman"/>
          <w:b/>
          <w:bCs/>
          <w:bdr w:val="single" w:sz="4" w:space="0" w:color="000000" w:frame="1"/>
        </w:rPr>
        <w:t>X</w:t>
      </w:r>
      <w:r w:rsidRPr="005F4299">
        <w:rPr>
          <w:rFonts w:ascii="Times New Roman" w:hAnsi="Times New Roman"/>
          <w:bdr w:val="single" w:sz="4" w:space="0" w:color="000000" w:frame="1"/>
        </w:rPr>
        <w:t xml:space="preserve"> </w:t>
      </w:r>
      <w:r w:rsidRPr="005F4299">
        <w:rPr>
          <w:rFonts w:ascii="Times New Roman" w:hAnsi="Times New Roman"/>
        </w:rPr>
        <w:t>  nová služba alebo nariadenie (alebo ich zrušenie)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5F4299">
        <w:rPr>
          <w:rFonts w:ascii="Times New Roman" w:hAnsi="Times New Roman"/>
        </w:rPr>
        <w:t>  kombinovaný návrh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5F4299">
        <w:rPr>
          <w:rFonts w:ascii="Times New Roman" w:hAnsi="Times New Roman"/>
        </w:rPr>
        <w:t xml:space="preserve">  iné 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  <w:b/>
          <w:bCs/>
        </w:rPr>
        <w:t>2.3.3. Predpoklady vývoja objemu aktivít:</w:t>
      </w:r>
    </w:p>
    <w:p w:rsidR="00365667" w:rsidRPr="005F4299" w:rsidP="003656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365667" w:rsidRPr="005F4299" w:rsidP="00365667">
      <w:pPr>
        <w:bidi w:val="0"/>
        <w:jc w:val="right"/>
        <w:rPr>
          <w:rFonts w:ascii="Times New Roman" w:hAnsi="Times New Roman"/>
        </w:rPr>
      </w:pPr>
      <w:r w:rsidRPr="005F4299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65667" w:rsidRPr="005F4299" w:rsidP="00862DC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862DC3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65667" w:rsidRPr="005F4299" w:rsidP="00295F3D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  <w:r w:rsidRPr="005F4299">
        <w:rPr>
          <w:rFonts w:ascii="Times New Roman" w:hAnsi="Times New Roman"/>
          <w:b/>
          <w:bCs/>
        </w:rPr>
        <w:t>2.3.4. Výpočty vplyvov na verejné financie</w:t>
      </w:r>
    </w:p>
    <w:p w:rsidR="00365667" w:rsidRPr="005F4299" w:rsidP="00365667">
      <w:pPr>
        <w:bidi w:val="0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bidi w:val="0"/>
        <w:ind w:firstLine="708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</w:rPr>
        <w:t>Pri určení prírastku príjmov z odvodov sa porovnávajú skutočnosti roku 201</w:t>
      </w:r>
      <w:r w:rsidRPr="005F4299" w:rsidR="009F0C56">
        <w:rPr>
          <w:rFonts w:ascii="Times New Roman" w:hAnsi="Times New Roman"/>
        </w:rPr>
        <w:t>2</w:t>
      </w:r>
      <w:r w:rsidRPr="005F4299">
        <w:rPr>
          <w:rFonts w:ascii="Times New Roman" w:hAnsi="Times New Roman"/>
        </w:rPr>
        <w:t xml:space="preserve"> s predpokladaným výsledkom po zavedení zmien v r. 201</w:t>
      </w:r>
      <w:r w:rsidRPr="005F4299" w:rsidR="009F0C56">
        <w:rPr>
          <w:rFonts w:ascii="Times New Roman" w:hAnsi="Times New Roman"/>
        </w:rPr>
        <w:t>3</w:t>
      </w:r>
      <w:r w:rsidRPr="005F4299">
        <w:rPr>
          <w:rFonts w:ascii="Times New Roman" w:hAnsi="Times New Roman"/>
        </w:rPr>
        <w:t xml:space="preserve"> a</w:t>
      </w:r>
      <w:r w:rsidRPr="005F4299" w:rsidR="009F0C56">
        <w:rPr>
          <w:rFonts w:ascii="Times New Roman" w:hAnsi="Times New Roman"/>
        </w:rPr>
        <w:t> v</w:t>
      </w:r>
      <w:r w:rsidRPr="005F4299" w:rsidR="00863097">
        <w:rPr>
          <w:rFonts w:ascii="Times New Roman" w:hAnsi="Times New Roman"/>
        </w:rPr>
        <w:t> </w:t>
      </w:r>
      <w:r w:rsidRPr="005F4299" w:rsidR="009F0C56">
        <w:rPr>
          <w:rFonts w:ascii="Times New Roman" w:hAnsi="Times New Roman"/>
        </w:rPr>
        <w:t>ďalších</w:t>
      </w:r>
      <w:r w:rsidRPr="005F4299" w:rsidR="00863097">
        <w:rPr>
          <w:rFonts w:ascii="Times New Roman" w:hAnsi="Times New Roman"/>
        </w:rPr>
        <w:t xml:space="preserve"> rokoch</w:t>
      </w:r>
      <w:r w:rsidRPr="005F4299">
        <w:rPr>
          <w:rFonts w:ascii="Times New Roman" w:hAnsi="Times New Roman"/>
        </w:rPr>
        <w:t xml:space="preserve">. </w:t>
      </w:r>
      <w:r w:rsidRPr="005F4299" w:rsidR="009B7D31">
        <w:rPr>
          <w:rFonts w:ascii="Times New Roman" w:hAnsi="Times New Roman"/>
        </w:rPr>
        <w:t>Pre v</w:t>
      </w:r>
      <w:r w:rsidRPr="005F4299">
        <w:rPr>
          <w:rFonts w:ascii="Times New Roman" w:hAnsi="Times New Roman"/>
        </w:rPr>
        <w:t>ýpočet zmeny odvodu sa vzhľadom na rôznorodosť základne a spôsobu výpočtu odvodov jednotlivých druhov hier predpokladal nasledovný vývoj vybraných druhov hazardných hier:</w:t>
      </w:r>
    </w:p>
    <w:p w:rsidR="00286A2F" w:rsidRPr="005F4299" w:rsidP="00365667">
      <w:pPr>
        <w:bidi w:val="0"/>
        <w:ind w:firstLine="708"/>
        <w:jc w:val="both"/>
        <w:rPr>
          <w:rFonts w:ascii="Times New Roman" w:hAnsi="Times New Roman"/>
        </w:rPr>
      </w:pPr>
      <w:r w:rsidRPr="005F4299" w:rsidR="00797332">
        <w:rPr>
          <w:rFonts w:ascii="Times New Roman" w:hAnsi="Times New Roman"/>
        </w:rPr>
        <w:t>K</w:t>
      </w:r>
      <w:r w:rsidRPr="005F4299" w:rsidR="00365667">
        <w:rPr>
          <w:rFonts w:ascii="Times New Roman" w:hAnsi="Times New Roman"/>
        </w:rPr>
        <w:t xml:space="preserve">urzové stávky  - základňa pre výpočet odvodov sú vklady, odvod sa určuje ako percento z vkladov. Predpokladá sa relatívne stabilný vývoj objemu vkladov. Pri </w:t>
      </w:r>
      <w:r w:rsidRPr="005F4299" w:rsidR="00365667">
        <w:rPr>
          <w:rFonts w:ascii="Times New Roman" w:hAnsi="Times New Roman"/>
          <w:u w:val="single"/>
        </w:rPr>
        <w:t>kurzových stávkach</w:t>
      </w:r>
      <w:r w:rsidRPr="005F4299" w:rsidR="00365667">
        <w:rPr>
          <w:rFonts w:ascii="Times New Roman" w:hAnsi="Times New Roman"/>
        </w:rPr>
        <w:t xml:space="preserve"> sa navrhuje zvýšenie sadzby odvodu z 5% na 5,5%, s predpokladaným ročným nárastom odvodov o cca 1,7 mil.</w:t>
      </w:r>
      <w:r w:rsidRPr="005F4299" w:rsidR="00863097">
        <w:rPr>
          <w:rFonts w:ascii="Times New Roman" w:hAnsi="Times New Roman"/>
        </w:rPr>
        <w:t xml:space="preserve"> €</w:t>
      </w:r>
      <w:r w:rsidRPr="005F4299" w:rsidR="00365667">
        <w:rPr>
          <w:rFonts w:ascii="Times New Roman" w:hAnsi="Times New Roman"/>
        </w:rPr>
        <w:t xml:space="preserve">. </w:t>
      </w:r>
    </w:p>
    <w:p w:rsidR="00365667" w:rsidRPr="005F4299" w:rsidP="00365667">
      <w:pPr>
        <w:bidi w:val="0"/>
        <w:ind w:firstLine="708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u w:val="single"/>
        </w:rPr>
        <w:t>Výherné prístroje</w:t>
      </w:r>
      <w:r w:rsidRPr="005F4299">
        <w:rPr>
          <w:rFonts w:ascii="Times New Roman" w:hAnsi="Times New Roman"/>
        </w:rPr>
        <w:t xml:space="preserve">  - predpokladá sa mierny úbytok počtu výherných prístrojov, pričom sadzba sa upravuje </w:t>
      </w:r>
      <w:r w:rsidRPr="005F4299" w:rsidR="00286A2F">
        <w:rPr>
          <w:rFonts w:ascii="Times New Roman" w:hAnsi="Times New Roman"/>
        </w:rPr>
        <w:t xml:space="preserve">z 1900 € </w:t>
      </w:r>
      <w:r w:rsidRPr="005F4299">
        <w:rPr>
          <w:rFonts w:ascii="Times New Roman" w:hAnsi="Times New Roman"/>
        </w:rPr>
        <w:t>na 2100 €/za jeden výherný prístroj. Predpokladá sa medziročný nárast príjmu o cca 2,89 mil. €</w:t>
      </w:r>
      <w:r w:rsidRPr="005F4299" w:rsidR="009B7D31">
        <w:rPr>
          <w:rFonts w:ascii="Times New Roman" w:hAnsi="Times New Roman"/>
        </w:rPr>
        <w:t xml:space="preserve"> v roku 2013</w:t>
      </w:r>
      <w:r w:rsidRPr="005F4299">
        <w:rPr>
          <w:rFonts w:ascii="Times New Roman" w:hAnsi="Times New Roman"/>
        </w:rPr>
        <w:t>.</w:t>
      </w:r>
    </w:p>
    <w:p w:rsidR="00365667" w:rsidRPr="005F4299" w:rsidP="00365667">
      <w:pPr>
        <w:bidi w:val="0"/>
        <w:ind w:firstLine="708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</w:rPr>
        <w:t xml:space="preserve">V prípade </w:t>
      </w:r>
      <w:r w:rsidRPr="005F4299">
        <w:rPr>
          <w:rFonts w:ascii="Times New Roman" w:hAnsi="Times New Roman"/>
          <w:u w:val="single"/>
        </w:rPr>
        <w:t xml:space="preserve">hazardných hier prevádzkovaných prostredníctvom technických zariadení obsluhovaných priamo hráčmi </w:t>
      </w:r>
      <w:r w:rsidRPr="005F4299">
        <w:rPr>
          <w:rFonts w:ascii="Times New Roman" w:hAnsi="Times New Roman"/>
        </w:rPr>
        <w:t xml:space="preserve">sa jedná o paušálny ročný odvod a navrhuje sa úprava sadzby odvodov do štátneho rozpočtu  z 3600 € na 3900 €, čo by malo zvýšiť ročný príjem </w:t>
      </w:r>
      <w:r w:rsidRPr="005F4299" w:rsidR="009B7D31">
        <w:rPr>
          <w:rFonts w:ascii="Times New Roman" w:hAnsi="Times New Roman"/>
        </w:rPr>
        <w:t xml:space="preserve">v roku 2013 </w:t>
      </w:r>
      <w:r w:rsidRPr="005F4299">
        <w:rPr>
          <w:rFonts w:ascii="Times New Roman" w:hAnsi="Times New Roman"/>
        </w:rPr>
        <w:t>cca o</w:t>
      </w:r>
      <w:r w:rsidRPr="005F4299" w:rsidR="009B7D31">
        <w:rPr>
          <w:rFonts w:ascii="Times New Roman" w:hAnsi="Times New Roman"/>
        </w:rPr>
        <w:t xml:space="preserve"> </w:t>
      </w:r>
      <w:r w:rsidRPr="005F4299">
        <w:rPr>
          <w:rFonts w:ascii="Times New Roman" w:hAnsi="Times New Roman"/>
        </w:rPr>
        <w:t>0,12 mil. €.</w:t>
      </w:r>
    </w:p>
    <w:p w:rsidR="00365667" w:rsidRPr="005F4299" w:rsidP="00365667">
      <w:pPr>
        <w:bidi w:val="0"/>
        <w:ind w:firstLine="708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u w:val="single"/>
        </w:rPr>
        <w:t>Videohry</w:t>
      </w:r>
      <w:r w:rsidRPr="005F4299">
        <w:rPr>
          <w:rFonts w:ascii="Times New Roman" w:hAnsi="Times New Roman"/>
        </w:rPr>
        <w:t xml:space="preserve">  -  základňa pre výpočet odvodu je počet koncových zariadení – terminálov. Pri predpoklade stabiln</w:t>
      </w:r>
      <w:r w:rsidRPr="005F4299" w:rsidR="009B7D31">
        <w:rPr>
          <w:rFonts w:ascii="Times New Roman" w:hAnsi="Times New Roman"/>
        </w:rPr>
        <w:t>ého počtu</w:t>
      </w:r>
      <w:r w:rsidRPr="005F4299">
        <w:rPr>
          <w:rFonts w:ascii="Times New Roman" w:hAnsi="Times New Roman"/>
        </w:rPr>
        <w:t xml:space="preserve"> terminálov a pri zvýšení sadzby </w:t>
      </w:r>
      <w:r w:rsidRPr="005F4299" w:rsidR="00286A2F">
        <w:rPr>
          <w:rFonts w:ascii="Times New Roman" w:hAnsi="Times New Roman"/>
        </w:rPr>
        <w:t xml:space="preserve">z 3900 € </w:t>
      </w:r>
      <w:r w:rsidRPr="005F4299">
        <w:rPr>
          <w:rFonts w:ascii="Times New Roman" w:hAnsi="Times New Roman"/>
        </w:rPr>
        <w:t xml:space="preserve">na 4200 €/ks predstavuje medziročný prírastok príjmu </w:t>
      </w:r>
      <w:r w:rsidRPr="005F4299" w:rsidR="009B7D31">
        <w:rPr>
          <w:rFonts w:ascii="Times New Roman" w:hAnsi="Times New Roman"/>
        </w:rPr>
        <w:t xml:space="preserve">úroveň </w:t>
      </w:r>
      <w:r w:rsidRPr="005F4299">
        <w:rPr>
          <w:rFonts w:ascii="Times New Roman" w:hAnsi="Times New Roman"/>
        </w:rPr>
        <w:t xml:space="preserve">cca 2,81 mil. €. </w:t>
      </w:r>
    </w:p>
    <w:p w:rsidR="00365667" w:rsidRPr="005F4299" w:rsidP="00365667">
      <w:pPr>
        <w:bidi w:val="0"/>
        <w:ind w:firstLine="708"/>
        <w:jc w:val="both"/>
        <w:rPr>
          <w:rFonts w:ascii="Times New Roman" w:hAnsi="Times New Roman"/>
        </w:rPr>
      </w:pPr>
    </w:p>
    <w:p w:rsidR="005016B6" w:rsidRPr="005F4299" w:rsidP="00446819">
      <w:pPr>
        <w:bidi w:val="0"/>
        <w:ind w:firstLine="708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</w:rPr>
        <w:t xml:space="preserve">V prípade </w:t>
      </w:r>
      <w:r w:rsidRPr="005F4299" w:rsidR="00FD666B">
        <w:rPr>
          <w:rFonts w:ascii="Times New Roman" w:hAnsi="Times New Roman"/>
        </w:rPr>
        <w:t xml:space="preserve">vydania </w:t>
      </w:r>
      <w:r w:rsidRPr="005F4299" w:rsidR="00FD666B">
        <w:rPr>
          <w:rFonts w:ascii="Times New Roman" w:hAnsi="Times New Roman" w:eastAsiaTheme="minorEastAsia"/>
        </w:rPr>
        <w:t>vyjadrenia obce k </w:t>
      </w:r>
      <w:r w:rsidRPr="005F4299" w:rsidR="00FD666B">
        <w:rPr>
          <w:rFonts w:ascii="Times New Roman" w:hAnsi="Times New Roman" w:eastAsiaTheme="minorEastAsia" w:hint="default"/>
        </w:rPr>
        <w:t>umiestneniu technický</w:t>
      </w:r>
      <w:r w:rsidRPr="005F4299" w:rsidR="00FD666B">
        <w:rPr>
          <w:rFonts w:ascii="Times New Roman" w:hAnsi="Times New Roman" w:eastAsiaTheme="minorEastAsia" w:hint="default"/>
        </w:rPr>
        <w:t>ch zariadení</w:t>
      </w:r>
      <w:r w:rsidRPr="005F4299" w:rsidR="00FD666B">
        <w:rPr>
          <w:rFonts w:ascii="Times New Roman" w:hAnsi="Times New Roman" w:eastAsiaTheme="minorEastAsia" w:hint="default"/>
        </w:rPr>
        <w:t xml:space="preserve"> alebo zariadení</w:t>
      </w:r>
      <w:r w:rsidRPr="005F4299" w:rsidR="00FD666B">
        <w:rPr>
          <w:rFonts w:ascii="Times New Roman" w:hAnsi="Times New Roman" w:eastAsiaTheme="minorEastAsia" w:hint="default"/>
        </w:rPr>
        <w:t xml:space="preserve"> použí</w:t>
      </w:r>
      <w:r w:rsidRPr="005F4299" w:rsidR="00FD666B">
        <w:rPr>
          <w:rFonts w:ascii="Times New Roman" w:hAnsi="Times New Roman" w:eastAsiaTheme="minorEastAsia" w:hint="default"/>
        </w:rPr>
        <w:t>vaný</w:t>
      </w:r>
      <w:r w:rsidRPr="005F4299" w:rsidR="00FD666B">
        <w:rPr>
          <w:rFonts w:ascii="Times New Roman" w:hAnsi="Times New Roman" w:eastAsiaTheme="minorEastAsia" w:hint="default"/>
        </w:rPr>
        <w:t>ch pri prevá</w:t>
      </w:r>
      <w:r w:rsidRPr="005F4299" w:rsidR="00FD666B">
        <w:rPr>
          <w:rFonts w:ascii="Times New Roman" w:hAnsi="Times New Roman" w:eastAsiaTheme="minorEastAsia" w:hint="default"/>
        </w:rPr>
        <w:t>dzkovaní</w:t>
      </w:r>
      <w:r w:rsidRPr="005F4299" w:rsidR="00FD666B">
        <w:rPr>
          <w:rFonts w:ascii="Times New Roman" w:hAnsi="Times New Roman" w:eastAsiaTheme="minorEastAsia" w:hint="default"/>
        </w:rPr>
        <w:t xml:space="preserve"> videohier</w:t>
      </w:r>
      <w:r w:rsidRPr="005F4299" w:rsidR="00C3014D">
        <w:rPr>
          <w:rFonts w:ascii="Times New Roman" w:hAnsi="Times New Roman" w:eastAsiaTheme="minorEastAsia"/>
        </w:rPr>
        <w:t xml:space="preserve"> sa navrhuje v </w:t>
      </w:r>
      <w:r w:rsidRPr="005F4299" w:rsidR="00C3014D">
        <w:rPr>
          <w:rFonts w:ascii="Times New Roman" w:hAnsi="Times New Roman" w:eastAsiaTheme="minorEastAsia" w:hint="default"/>
        </w:rPr>
        <w:t>rá</w:t>
      </w:r>
      <w:r w:rsidRPr="005F4299" w:rsidR="00C3014D">
        <w:rPr>
          <w:rFonts w:ascii="Times New Roman" w:hAnsi="Times New Roman" w:eastAsiaTheme="minorEastAsia" w:hint="default"/>
        </w:rPr>
        <w:t>mci zá</w:t>
      </w:r>
      <w:r w:rsidRPr="005F4299" w:rsidR="00C3014D">
        <w:rPr>
          <w:rFonts w:ascii="Times New Roman" w:hAnsi="Times New Roman" w:eastAsiaTheme="minorEastAsia" w:hint="default"/>
        </w:rPr>
        <w:t>kona o </w:t>
      </w:r>
      <w:r w:rsidRPr="005F4299" w:rsidR="00C3014D">
        <w:rPr>
          <w:rFonts w:ascii="Times New Roman" w:hAnsi="Times New Roman" w:eastAsiaTheme="minorEastAsia" w:hint="default"/>
        </w:rPr>
        <w:t>sprá</w:t>
      </w:r>
      <w:r w:rsidRPr="005F4299" w:rsidR="00C3014D">
        <w:rPr>
          <w:rFonts w:ascii="Times New Roman" w:hAnsi="Times New Roman" w:eastAsiaTheme="minorEastAsia" w:hint="default"/>
        </w:rPr>
        <w:t>vnych poplatkoch ustanovenie nové</w:t>
      </w:r>
      <w:r w:rsidRPr="005F4299" w:rsidR="00C3014D">
        <w:rPr>
          <w:rFonts w:ascii="Times New Roman" w:hAnsi="Times New Roman" w:eastAsiaTheme="minorEastAsia" w:hint="default"/>
        </w:rPr>
        <w:t xml:space="preserve">ho </w:t>
      </w:r>
      <w:r w:rsidRPr="005F4299" w:rsidR="00C3014D">
        <w:rPr>
          <w:rFonts w:ascii="Times New Roman" w:hAnsi="Times New Roman"/>
        </w:rPr>
        <w:t>správneho</w:t>
      </w:r>
      <w:r w:rsidRPr="005F4299" w:rsidR="00FD666B">
        <w:rPr>
          <w:rFonts w:ascii="Times New Roman" w:hAnsi="Times New Roman"/>
        </w:rPr>
        <w:t xml:space="preserve"> poplatk</w:t>
      </w:r>
      <w:r w:rsidRPr="005F4299" w:rsidR="00C3014D">
        <w:rPr>
          <w:rFonts w:ascii="Times New Roman" w:hAnsi="Times New Roman"/>
        </w:rPr>
        <w:t>u</w:t>
      </w:r>
      <w:r w:rsidRPr="005F4299" w:rsidR="00FD666B">
        <w:rPr>
          <w:rFonts w:ascii="Times New Roman" w:hAnsi="Times New Roman"/>
        </w:rPr>
        <w:t xml:space="preserve"> vo výške 100 €</w:t>
      </w:r>
      <w:r w:rsidRPr="005F4299" w:rsidR="00C3014D">
        <w:rPr>
          <w:rFonts w:ascii="Times New Roman" w:hAnsi="Times New Roman"/>
        </w:rPr>
        <w:t xml:space="preserve"> za vydanie vyjadrenia</w:t>
      </w:r>
      <w:r w:rsidRPr="005F4299" w:rsidR="00446819">
        <w:rPr>
          <w:rFonts w:ascii="Times New Roman" w:hAnsi="Times New Roman"/>
        </w:rPr>
        <w:t xml:space="preserve">, pričom sa predpokladá </w:t>
      </w:r>
      <w:r w:rsidRPr="005F4299" w:rsidR="00C3014D">
        <w:rPr>
          <w:rFonts w:ascii="Times New Roman" w:hAnsi="Times New Roman"/>
        </w:rPr>
        <w:t>od roku 201</w:t>
      </w:r>
      <w:r w:rsidR="006D01CF">
        <w:rPr>
          <w:rFonts w:ascii="Times New Roman" w:hAnsi="Times New Roman"/>
        </w:rPr>
        <w:t>3</w:t>
      </w:r>
      <w:r w:rsidRPr="005F4299" w:rsidR="00C3014D">
        <w:rPr>
          <w:rFonts w:ascii="Times New Roman" w:hAnsi="Times New Roman"/>
        </w:rPr>
        <w:t xml:space="preserve"> prírastok ročného príjmu do </w:t>
      </w:r>
      <w:r w:rsidRPr="005F4299">
        <w:rPr>
          <w:rFonts w:ascii="Times New Roman" w:hAnsi="Times New Roman"/>
        </w:rPr>
        <w:t>rozpočtu</w:t>
      </w:r>
      <w:r w:rsidRPr="005F4299" w:rsidR="00C3014D">
        <w:rPr>
          <w:rFonts w:ascii="Times New Roman" w:hAnsi="Times New Roman"/>
        </w:rPr>
        <w:t xml:space="preserve"> obcí</w:t>
      </w:r>
      <w:r w:rsidRPr="005F4299">
        <w:rPr>
          <w:rFonts w:ascii="Times New Roman" w:hAnsi="Times New Roman"/>
        </w:rPr>
        <w:t xml:space="preserve"> vo výške </w:t>
      </w:r>
      <w:r w:rsidRPr="005F4299" w:rsidR="00446819">
        <w:rPr>
          <w:rFonts w:ascii="Times New Roman" w:hAnsi="Times New Roman"/>
        </w:rPr>
        <w:t>cca</w:t>
      </w:r>
      <w:r w:rsidRPr="005F4299">
        <w:rPr>
          <w:rFonts w:ascii="Times New Roman" w:hAnsi="Times New Roman"/>
        </w:rPr>
        <w:t xml:space="preserve"> </w:t>
      </w:r>
      <w:r w:rsidRPr="005F4299" w:rsidR="00654BB4">
        <w:rPr>
          <w:rFonts w:ascii="Times New Roman" w:hAnsi="Times New Roman"/>
        </w:rPr>
        <w:t>3</w:t>
      </w:r>
      <w:r w:rsidRPr="005F4299" w:rsidR="00FD666B">
        <w:rPr>
          <w:rFonts w:ascii="Times New Roman" w:hAnsi="Times New Roman"/>
        </w:rPr>
        <w:t>36</w:t>
      </w:r>
      <w:r w:rsidRPr="005F4299">
        <w:rPr>
          <w:rFonts w:ascii="Times New Roman" w:hAnsi="Times New Roman"/>
        </w:rPr>
        <w:t> </w:t>
      </w:r>
      <w:r w:rsidRPr="005F4299" w:rsidR="00FD666B">
        <w:rPr>
          <w:rFonts w:ascii="Times New Roman" w:hAnsi="Times New Roman"/>
        </w:rPr>
        <w:t>5</w:t>
      </w:r>
      <w:r w:rsidRPr="005F4299">
        <w:rPr>
          <w:rFonts w:ascii="Times New Roman" w:hAnsi="Times New Roman"/>
        </w:rPr>
        <w:t>00 €.</w:t>
      </w:r>
      <w:r w:rsidRPr="005F4299" w:rsidR="00FD666B">
        <w:rPr>
          <w:rFonts w:ascii="Times New Roman" w:hAnsi="Times New Roman"/>
        </w:rPr>
        <w:t xml:space="preserve"> Pri </w:t>
      </w:r>
      <w:r w:rsidRPr="005F4299" w:rsidR="00C3014D">
        <w:rPr>
          <w:rFonts w:ascii="Times New Roman" w:hAnsi="Times New Roman"/>
        </w:rPr>
        <w:t>výpočte</w:t>
      </w:r>
      <w:r w:rsidRPr="005F4299" w:rsidR="00FD666B">
        <w:rPr>
          <w:rFonts w:ascii="Times New Roman" w:hAnsi="Times New Roman"/>
        </w:rPr>
        <w:t xml:space="preserve"> sa </w:t>
      </w:r>
      <w:r w:rsidRPr="005F4299" w:rsidR="00F826D8">
        <w:rPr>
          <w:rFonts w:ascii="Times New Roman" w:hAnsi="Times New Roman"/>
        </w:rPr>
        <w:t>porovnávala skutočnosť roku 2012 s výsledkom po zavedení zmien, ktorá bude prínosom do rozpočtu</w:t>
      </w:r>
      <w:r w:rsidRPr="005F4299" w:rsidR="00C3014D">
        <w:rPr>
          <w:rFonts w:ascii="Times New Roman" w:hAnsi="Times New Roman"/>
        </w:rPr>
        <w:t xml:space="preserve"> obcí</w:t>
      </w:r>
      <w:r w:rsidRPr="005F4299" w:rsidR="00F826D8">
        <w:rPr>
          <w:rFonts w:ascii="Times New Roman" w:hAnsi="Times New Roman"/>
        </w:rPr>
        <w:t xml:space="preserve"> až od roku 201</w:t>
      </w:r>
      <w:r w:rsidR="006D01CF">
        <w:rPr>
          <w:rFonts w:ascii="Times New Roman" w:hAnsi="Times New Roman"/>
        </w:rPr>
        <w:t>3</w:t>
      </w:r>
      <w:r w:rsidRPr="005F4299" w:rsidR="00F826D8">
        <w:rPr>
          <w:rFonts w:ascii="Times New Roman" w:hAnsi="Times New Roman"/>
        </w:rPr>
        <w:t>.</w:t>
      </w:r>
      <w:r w:rsidRPr="005F4299" w:rsidR="00FD666B">
        <w:rPr>
          <w:rFonts w:ascii="Times New Roman" w:hAnsi="Times New Roman"/>
        </w:rPr>
        <w:t xml:space="preserve"> </w:t>
      </w:r>
    </w:p>
    <w:p w:rsidR="00863097" w:rsidRPr="005F4299" w:rsidP="00446819">
      <w:pPr>
        <w:bidi w:val="0"/>
        <w:ind w:firstLine="708"/>
        <w:jc w:val="both"/>
        <w:rPr>
          <w:rFonts w:ascii="Times New Roman" w:hAnsi="Times New Roman"/>
        </w:rPr>
        <w:sectPr w:rsidSect="009D234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  <w:rtlGutter/>
        </w:sectPr>
      </w:pPr>
      <w:r w:rsidRPr="005F4299" w:rsidR="00446819">
        <w:rPr>
          <w:rFonts w:ascii="Times New Roman" w:hAnsi="Times New Roman"/>
        </w:rPr>
        <w:t xml:space="preserve"> </w:t>
      </w:r>
    </w:p>
    <w:p w:rsidR="00365667" w:rsidRPr="005F4299" w:rsidP="00365667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 w:rsidRPr="005F4299"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  <w:r w:rsidRPr="005F4299"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FE63F6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3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4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Daňové príjmy (100)</w:t>
            </w:r>
            <w:r w:rsidRPr="005F4299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</w:pPr>
            <w:r w:rsidRPr="005F4299">
              <w:rPr>
                <w:rFonts w:ascii="Times New Roman" w:hAnsi="Times New Roman"/>
                <w:b/>
                <w:bCs/>
              </w:rPr>
              <w:t>Nedaňové príjmy (200)</w:t>
            </w:r>
            <w:r w:rsidRPr="005F4299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 xml:space="preserve">1 </w:t>
            </w:r>
          </w:p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 xml:space="preserve">          292008           odvody z hazardných hier 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654BB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6D01CF">
              <w:rPr>
                <w:rFonts w:ascii="Times New Roman" w:hAnsi="Times New Roman"/>
                <w:b/>
                <w:bCs/>
              </w:rPr>
              <w:t>7 882 760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654BB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477F88">
              <w:rPr>
                <w:rFonts w:ascii="Times New Roman" w:hAnsi="Times New Roman"/>
                <w:b/>
                <w:bCs/>
              </w:rPr>
              <w:t>7 882 760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654BB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477F88">
              <w:rPr>
                <w:rFonts w:ascii="Times New Roman" w:hAnsi="Times New Roman"/>
                <w:b/>
                <w:bCs/>
              </w:rPr>
              <w:t>7 882 760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654BB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 w:rsidR="00477F88">
              <w:rPr>
                <w:rFonts w:ascii="Times New Roman" w:hAnsi="Times New Roman"/>
                <w:b/>
                <w:bCs/>
              </w:rPr>
              <w:t>7 882 760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Granty a transfery (300)</w:t>
            </w:r>
            <w:r w:rsidRPr="005F4299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365667" w:rsidRPr="005F4299" w:rsidP="003656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5F4299"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365667" w:rsidRPr="005F4299" w:rsidP="003656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365667" w:rsidRPr="005F4299" w:rsidP="003656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F4299"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 w:rsidRPr="005F429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 w:rsidRPr="005F429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 w:rsidRPr="005F429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 w:rsidRPr="005F429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 w:rsidRPr="005F429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F4299">
              <w:rPr>
                <w:rFonts w:ascii="Times New Roman" w:hAnsi="Times New Roman"/>
                <w:sz w:val="20"/>
                <w:szCs w:val="20"/>
              </w:rPr>
              <w:t>(600)</w:t>
            </w: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 w:rsidRPr="005F4299"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365667" w:rsidRPr="005F4299" w:rsidP="003656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365667" w:rsidRPr="005F4299" w:rsidP="003656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5F4299"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3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4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65667" w:rsidRPr="005F4299" w:rsidP="00295F3D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5F4299" w:rsidR="00FE63F6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365667" w:rsidRPr="005F4299" w:rsidP="00295F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65667" w:rsidRPr="005F4299" w:rsidP="00295F3D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365667" w:rsidRPr="005F4299" w:rsidP="003656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4299">
        <w:rPr>
          <w:rFonts w:ascii="Times New Roman" w:hAnsi="Times New Roman"/>
        </w:rPr>
        <w:t> </w:t>
      </w:r>
    </w:p>
    <w:p w:rsidR="00365667" w:rsidRPr="005F4299" w:rsidP="00365667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5F4299"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365667" w:rsidRPr="005F4299" w:rsidP="00365667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365667" w:rsidRPr="005F4299" w:rsidP="00365667">
      <w:pPr>
        <w:bidi w:val="0"/>
        <w:rPr>
          <w:rFonts w:ascii="Times New Roman" w:hAnsi="Times New Roman"/>
        </w:rPr>
      </w:pPr>
    </w:p>
    <w:p w:rsidR="00365667" w:rsidRPr="005F4299" w:rsidP="004A5F0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365667" w:rsidRPr="005F4299" w:rsidP="00365667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DA6512" w:rsidRPr="005F4299" w:rsidP="00365667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DA6512" w:rsidRPr="005F4299" w:rsidP="00365667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DA6512" w:rsidRPr="005F4299" w:rsidP="00DA6512">
      <w:pPr>
        <w:bidi w:val="0"/>
        <w:rPr>
          <w:rFonts w:ascii="Times New Roman" w:hAnsi="Times New Roman"/>
          <w:b/>
          <w:bCs/>
        </w:rPr>
        <w:sectPr w:rsidSect="009D234A">
          <w:pgSz w:w="15840" w:h="12240" w:orient="landscape" w:code="1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26"/>
        </w:sectPr>
      </w:pPr>
    </w:p>
    <w:tbl>
      <w:tblPr>
        <w:tblStyle w:val="TableNormal"/>
        <w:tblpPr w:leftFromText="141" w:rightFromText="141" w:horzAnchor="margin" w:tblpY="780"/>
        <w:tblW w:w="919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DA6512" w:rsidRPr="005F4299" w:rsidP="00DA651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F4299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</w:rPr>
              <w:t>3.1</w:t>
            </w:r>
            <w:r w:rsidRPr="005F4299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A6512" w:rsidRPr="005F4299" w:rsidP="00DA6512">
            <w:pPr>
              <w:bidi w:val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Prevádzkovatelia vybraných druhov hazardných hier, spolu cca 200 právnických osôb.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</w:rPr>
              <w:t>3.2</w:t>
            </w:r>
            <w:r w:rsidRPr="005F4299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77F88" w:rsidRPr="005F4299" w:rsidP="00477F88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Pr="005F4299">
              <w:rPr>
                <w:rFonts w:ascii="Times New Roman" w:hAnsi="Times New Roman"/>
                <w:lang w:val="pt-BR"/>
              </w:rPr>
              <w:t xml:space="preserve">Jedná sa o zvýšenie odvodov z existujúcich druhov hazardných hier (nedaňový príjem do ŠR), kde prínos do štátneho rozpočtu bude vo výške 7,5 mil. € </w:t>
            </w:r>
            <w:r w:rsidRPr="005F4299" w:rsidR="00C3014D">
              <w:rPr>
                <w:rFonts w:ascii="Times New Roman" w:hAnsi="Times New Roman"/>
                <w:lang w:val="pt-BR"/>
              </w:rPr>
              <w:t>ročne a od roku 201</w:t>
            </w:r>
            <w:r w:rsidR="006D01CF">
              <w:rPr>
                <w:rFonts w:ascii="Times New Roman" w:hAnsi="Times New Roman"/>
                <w:lang w:val="pt-BR"/>
              </w:rPr>
              <w:t>3</w:t>
            </w:r>
            <w:r w:rsidRPr="005F4299" w:rsidR="00C3014D">
              <w:rPr>
                <w:rFonts w:ascii="Times New Roman" w:hAnsi="Times New Roman"/>
                <w:lang w:val="pt-BR"/>
              </w:rPr>
              <w:t xml:space="preserve"> pribudne do rozpočtu obcí </w:t>
            </w:r>
            <w:r w:rsidRPr="005F4299">
              <w:rPr>
                <w:rFonts w:ascii="Times New Roman" w:hAnsi="Times New Roman"/>
                <w:lang w:val="pt-BR"/>
              </w:rPr>
              <w:t xml:space="preserve">suma </w:t>
            </w:r>
            <w:r w:rsidRPr="005F4299" w:rsidR="00C3014D">
              <w:rPr>
                <w:rFonts w:ascii="Times New Roman" w:hAnsi="Times New Roman"/>
                <w:lang w:val="pt-BR"/>
              </w:rPr>
              <w:t>vo výške 336 500</w:t>
            </w:r>
            <w:r w:rsidRPr="005F4299">
              <w:rPr>
                <w:rFonts w:ascii="Times New Roman" w:hAnsi="Times New Roman"/>
                <w:lang w:val="pt-BR"/>
              </w:rPr>
              <w:t xml:space="preserve"> € </w:t>
            </w:r>
            <w:r w:rsidRPr="005F4299" w:rsidR="00C3014D">
              <w:rPr>
                <w:rFonts w:ascii="Times New Roman" w:hAnsi="Times New Roman"/>
                <w:lang w:val="pt-BR"/>
              </w:rPr>
              <w:t xml:space="preserve">ročne </w:t>
            </w:r>
            <w:r w:rsidRPr="005F4299">
              <w:rPr>
                <w:rFonts w:ascii="Times New Roman" w:hAnsi="Times New Roman"/>
                <w:lang w:val="pt-BR"/>
              </w:rPr>
              <w:t xml:space="preserve">za zavedenie správneho poplatku za vydanie vyjadrenia obce. </w:t>
            </w:r>
          </w:p>
          <w:p w:rsidR="00186ADA" w:rsidRPr="005F4299" w:rsidP="00477F88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</w:rPr>
              <w:t>3.3</w:t>
            </w:r>
            <w:r w:rsidRPr="005F4299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DA6512" w:rsidRPr="005F4299" w:rsidP="00DA6512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86ADA" w:rsidRPr="005F4299" w:rsidP="00186ADA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5F4299" w:rsidR="00286A2F">
              <w:rPr>
                <w:rFonts w:ascii="Times New Roman" w:hAnsi="Times New Roman"/>
              </w:rPr>
              <w:t xml:space="preserve">Zavedením </w:t>
            </w:r>
            <w:r w:rsidRPr="005F4299" w:rsidR="00994F6A">
              <w:rPr>
                <w:rFonts w:ascii="Times New Roman" w:hAnsi="Times New Roman"/>
              </w:rPr>
              <w:t xml:space="preserve">povinnosti pre prevádzkovateľov hazardných hier </w:t>
            </w:r>
            <w:r w:rsidRPr="005F4299" w:rsidR="007F4E11">
              <w:rPr>
                <w:rFonts w:ascii="Times New Roman" w:hAnsi="Times New Roman"/>
              </w:rPr>
              <w:t xml:space="preserve">umiestniť </w:t>
            </w:r>
            <w:r w:rsidRPr="005F4299" w:rsidR="00994F6A">
              <w:rPr>
                <w:rFonts w:ascii="Times New Roman" w:hAnsi="Times New Roman"/>
              </w:rPr>
              <w:t xml:space="preserve">telefónne číslo na špeciálne zdravotnícke zariadenie na herných zariadeniach </w:t>
            </w:r>
            <w:r w:rsidRPr="005F4299" w:rsidR="00286A2F">
              <w:rPr>
                <w:rFonts w:ascii="Times New Roman" w:hAnsi="Times New Roman"/>
              </w:rPr>
              <w:t>sa predpokladá zvýšenie administratívnych nákladov v minimálnej výške</w:t>
            </w:r>
            <w:r w:rsidRPr="005F4299">
              <w:rPr>
                <w:rFonts w:ascii="Times New Roman" w:hAnsi="Times New Roman"/>
              </w:rPr>
              <w:t xml:space="preserve">. </w:t>
            </w:r>
          </w:p>
          <w:p w:rsidR="00DA6512" w:rsidRPr="005F4299" w:rsidP="00286A2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</w:rPr>
              <w:t>3.4</w:t>
            </w:r>
            <w:r w:rsidRPr="005F4299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DA6512" w:rsidRPr="005F4299" w:rsidP="00DA6512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A6512" w:rsidRPr="005F4299" w:rsidP="00DA6512">
            <w:pPr>
              <w:bidi w:val="0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> Zvýšenie nákladov na prevádzkovanie vybraných druhov hazardných hier.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  <w:b/>
              </w:rPr>
              <w:t>3.5</w:t>
            </w:r>
            <w:r w:rsidRPr="005F4299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DA6512" w:rsidRPr="005F4299" w:rsidP="00DA6512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A6512" w:rsidRPr="005F4299" w:rsidP="00C3014D">
            <w:pPr>
              <w:bidi w:val="0"/>
              <w:jc w:val="both"/>
              <w:rPr>
                <w:rFonts w:ascii="Times New Roman" w:hAnsi="Times New Roman"/>
              </w:rPr>
            </w:pPr>
            <w:r w:rsidRPr="005F4299">
              <w:rPr>
                <w:rFonts w:ascii="Times New Roman" w:hAnsi="Times New Roman"/>
              </w:rPr>
              <w:t xml:space="preserve"> Zvýši sa podiel finančných prostriedkov štátneho rozpočtu </w:t>
            </w:r>
            <w:r w:rsidRPr="005F4299" w:rsidR="00C3014D">
              <w:rPr>
                <w:rFonts w:ascii="Times New Roman" w:hAnsi="Times New Roman"/>
              </w:rPr>
              <w:t xml:space="preserve">a rozpočtu obcí </w:t>
            </w:r>
            <w:r w:rsidRPr="005F4299">
              <w:rPr>
                <w:rFonts w:ascii="Times New Roman" w:hAnsi="Times New Roman"/>
              </w:rPr>
              <w:t>určených na vykonávanie všeobecne prospešných služieb.</w:t>
            </w:r>
          </w:p>
        </w:tc>
      </w:tr>
    </w:tbl>
    <w:p w:rsidR="00DA6512" w:rsidP="00DA651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299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DA6512" w:rsidP="004A5F0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sectPr w:rsidSect="009D234A">
      <w:pgSz w:w="12240" w:h="15840" w:code="1"/>
      <w:pgMar w:top="1418" w:right="1418" w:bottom="1418" w:left="1418" w:header="709" w:footer="709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67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65667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4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365667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4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4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4A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4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B61"/>
    <w:multiLevelType w:val="hybridMultilevel"/>
    <w:tmpl w:val="D1149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265A06"/>
    <w:multiLevelType w:val="hybridMultilevel"/>
    <w:tmpl w:val="9F3E9B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EA45BC8"/>
    <w:multiLevelType w:val="hybridMultilevel"/>
    <w:tmpl w:val="67FE17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2E1304"/>
    <w:rsid w:val="00001877"/>
    <w:rsid w:val="000065A9"/>
    <w:rsid w:val="00007944"/>
    <w:rsid w:val="00012287"/>
    <w:rsid w:val="00015851"/>
    <w:rsid w:val="00021860"/>
    <w:rsid w:val="00031343"/>
    <w:rsid w:val="00032327"/>
    <w:rsid w:val="00037C3F"/>
    <w:rsid w:val="00041DE9"/>
    <w:rsid w:val="00042608"/>
    <w:rsid w:val="00044049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3B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60F"/>
    <w:rsid w:val="000D70C9"/>
    <w:rsid w:val="000D7A6C"/>
    <w:rsid w:val="000E00FA"/>
    <w:rsid w:val="000E4B19"/>
    <w:rsid w:val="000E56A7"/>
    <w:rsid w:val="000E6D63"/>
    <w:rsid w:val="000E7379"/>
    <w:rsid w:val="000F2103"/>
    <w:rsid w:val="000F2DE6"/>
    <w:rsid w:val="000F304F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401E"/>
    <w:rsid w:val="00124115"/>
    <w:rsid w:val="0013585D"/>
    <w:rsid w:val="00137343"/>
    <w:rsid w:val="001443A8"/>
    <w:rsid w:val="001447DA"/>
    <w:rsid w:val="0015103A"/>
    <w:rsid w:val="001514A3"/>
    <w:rsid w:val="00152AA7"/>
    <w:rsid w:val="00153FF2"/>
    <w:rsid w:val="00154671"/>
    <w:rsid w:val="00157008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6A3"/>
    <w:rsid w:val="00186ADA"/>
    <w:rsid w:val="00186DEA"/>
    <w:rsid w:val="001A1180"/>
    <w:rsid w:val="001A1BBF"/>
    <w:rsid w:val="001A284A"/>
    <w:rsid w:val="001A2E20"/>
    <w:rsid w:val="001B0F66"/>
    <w:rsid w:val="001B1812"/>
    <w:rsid w:val="001B57EC"/>
    <w:rsid w:val="001B7EA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2418"/>
    <w:rsid w:val="001F340C"/>
    <w:rsid w:val="001F3699"/>
    <w:rsid w:val="001F4BCE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72C2C"/>
    <w:rsid w:val="00282E6B"/>
    <w:rsid w:val="00284095"/>
    <w:rsid w:val="00284647"/>
    <w:rsid w:val="00284C1D"/>
    <w:rsid w:val="00286A2F"/>
    <w:rsid w:val="0029143A"/>
    <w:rsid w:val="00291528"/>
    <w:rsid w:val="002928E4"/>
    <w:rsid w:val="00295F3D"/>
    <w:rsid w:val="002961EA"/>
    <w:rsid w:val="00296B7F"/>
    <w:rsid w:val="002A643E"/>
    <w:rsid w:val="002A67FB"/>
    <w:rsid w:val="002A6BA2"/>
    <w:rsid w:val="002A7CB2"/>
    <w:rsid w:val="002B0F6B"/>
    <w:rsid w:val="002C0691"/>
    <w:rsid w:val="002C2145"/>
    <w:rsid w:val="002C2805"/>
    <w:rsid w:val="002C4F0B"/>
    <w:rsid w:val="002C55F1"/>
    <w:rsid w:val="002C6AC9"/>
    <w:rsid w:val="002D0473"/>
    <w:rsid w:val="002D39C5"/>
    <w:rsid w:val="002D646B"/>
    <w:rsid w:val="002E1304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BB5"/>
    <w:rsid w:val="00323C98"/>
    <w:rsid w:val="00324E31"/>
    <w:rsid w:val="0033054E"/>
    <w:rsid w:val="00330EB4"/>
    <w:rsid w:val="003311B1"/>
    <w:rsid w:val="003332D5"/>
    <w:rsid w:val="003338D6"/>
    <w:rsid w:val="003345E4"/>
    <w:rsid w:val="003349E2"/>
    <w:rsid w:val="00334D93"/>
    <w:rsid w:val="00335026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5667"/>
    <w:rsid w:val="00366C01"/>
    <w:rsid w:val="00366FF3"/>
    <w:rsid w:val="00376C16"/>
    <w:rsid w:val="003847BD"/>
    <w:rsid w:val="0038500A"/>
    <w:rsid w:val="00385E91"/>
    <w:rsid w:val="00387FBF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57E1"/>
    <w:rsid w:val="003B6772"/>
    <w:rsid w:val="003B7F8D"/>
    <w:rsid w:val="003C068A"/>
    <w:rsid w:val="003C5D7C"/>
    <w:rsid w:val="003D41E7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3EA"/>
    <w:rsid w:val="00402F4C"/>
    <w:rsid w:val="00404A9D"/>
    <w:rsid w:val="00411217"/>
    <w:rsid w:val="00412989"/>
    <w:rsid w:val="00412C4F"/>
    <w:rsid w:val="00413805"/>
    <w:rsid w:val="00414253"/>
    <w:rsid w:val="004161A1"/>
    <w:rsid w:val="00421962"/>
    <w:rsid w:val="00422ED4"/>
    <w:rsid w:val="00430749"/>
    <w:rsid w:val="00432A7E"/>
    <w:rsid w:val="0043509F"/>
    <w:rsid w:val="00436035"/>
    <w:rsid w:val="00437EE9"/>
    <w:rsid w:val="00444FBF"/>
    <w:rsid w:val="00445D2F"/>
    <w:rsid w:val="00446819"/>
    <w:rsid w:val="004541DB"/>
    <w:rsid w:val="004554B0"/>
    <w:rsid w:val="004570D2"/>
    <w:rsid w:val="00457459"/>
    <w:rsid w:val="00457498"/>
    <w:rsid w:val="00457CFF"/>
    <w:rsid w:val="004612D6"/>
    <w:rsid w:val="00465B09"/>
    <w:rsid w:val="00466AB0"/>
    <w:rsid w:val="00472137"/>
    <w:rsid w:val="00473CB5"/>
    <w:rsid w:val="00473F71"/>
    <w:rsid w:val="00477D01"/>
    <w:rsid w:val="00477F88"/>
    <w:rsid w:val="0048027D"/>
    <w:rsid w:val="0048265B"/>
    <w:rsid w:val="00482D15"/>
    <w:rsid w:val="0048466E"/>
    <w:rsid w:val="0048589A"/>
    <w:rsid w:val="00485E1C"/>
    <w:rsid w:val="00487490"/>
    <w:rsid w:val="00487C12"/>
    <w:rsid w:val="00492135"/>
    <w:rsid w:val="00495572"/>
    <w:rsid w:val="004A03E9"/>
    <w:rsid w:val="004A0BC1"/>
    <w:rsid w:val="004A3564"/>
    <w:rsid w:val="004A3CB2"/>
    <w:rsid w:val="004A416C"/>
    <w:rsid w:val="004A4217"/>
    <w:rsid w:val="004A5E82"/>
    <w:rsid w:val="004A5F04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A"/>
    <w:rsid w:val="004C789B"/>
    <w:rsid w:val="004D1916"/>
    <w:rsid w:val="004D5A7E"/>
    <w:rsid w:val="004E05FA"/>
    <w:rsid w:val="004F7808"/>
    <w:rsid w:val="005000B4"/>
    <w:rsid w:val="00500C00"/>
    <w:rsid w:val="00501139"/>
    <w:rsid w:val="005016B6"/>
    <w:rsid w:val="005061D4"/>
    <w:rsid w:val="0050640D"/>
    <w:rsid w:val="00506849"/>
    <w:rsid w:val="00511ED1"/>
    <w:rsid w:val="00512358"/>
    <w:rsid w:val="00514489"/>
    <w:rsid w:val="0051538F"/>
    <w:rsid w:val="00517950"/>
    <w:rsid w:val="00521E7E"/>
    <w:rsid w:val="00523E6E"/>
    <w:rsid w:val="00524565"/>
    <w:rsid w:val="0052486E"/>
    <w:rsid w:val="0052539E"/>
    <w:rsid w:val="005274C0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0AF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83729"/>
    <w:rsid w:val="005906C5"/>
    <w:rsid w:val="00590B43"/>
    <w:rsid w:val="00591017"/>
    <w:rsid w:val="005924B2"/>
    <w:rsid w:val="0059354D"/>
    <w:rsid w:val="00593640"/>
    <w:rsid w:val="00593E53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C81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3F59"/>
    <w:rsid w:val="005F4299"/>
    <w:rsid w:val="005F664A"/>
    <w:rsid w:val="006029A7"/>
    <w:rsid w:val="006031C2"/>
    <w:rsid w:val="00605C59"/>
    <w:rsid w:val="006220BB"/>
    <w:rsid w:val="006228E8"/>
    <w:rsid w:val="00623418"/>
    <w:rsid w:val="00625F21"/>
    <w:rsid w:val="00626827"/>
    <w:rsid w:val="006274AE"/>
    <w:rsid w:val="00627B86"/>
    <w:rsid w:val="006314A5"/>
    <w:rsid w:val="006330CB"/>
    <w:rsid w:val="006346F5"/>
    <w:rsid w:val="006411E7"/>
    <w:rsid w:val="00644B1D"/>
    <w:rsid w:val="006512E3"/>
    <w:rsid w:val="006516F7"/>
    <w:rsid w:val="00654BB4"/>
    <w:rsid w:val="00655182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121A"/>
    <w:rsid w:val="006C20D2"/>
    <w:rsid w:val="006C228B"/>
    <w:rsid w:val="006C37BB"/>
    <w:rsid w:val="006C401A"/>
    <w:rsid w:val="006C65B9"/>
    <w:rsid w:val="006C76F3"/>
    <w:rsid w:val="006C7AE6"/>
    <w:rsid w:val="006D01CF"/>
    <w:rsid w:val="006D035A"/>
    <w:rsid w:val="006D17D0"/>
    <w:rsid w:val="006D37B6"/>
    <w:rsid w:val="006D3E1F"/>
    <w:rsid w:val="006D4351"/>
    <w:rsid w:val="006D5474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4622D"/>
    <w:rsid w:val="00750999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4741"/>
    <w:rsid w:val="00775F98"/>
    <w:rsid w:val="0077671B"/>
    <w:rsid w:val="0077708A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97332"/>
    <w:rsid w:val="007A49F3"/>
    <w:rsid w:val="007A58AF"/>
    <w:rsid w:val="007A72E4"/>
    <w:rsid w:val="007B3B5F"/>
    <w:rsid w:val="007B4920"/>
    <w:rsid w:val="007B4A7D"/>
    <w:rsid w:val="007B5A35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4E11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2D85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69F1"/>
    <w:rsid w:val="0084740D"/>
    <w:rsid w:val="00850A55"/>
    <w:rsid w:val="00851B98"/>
    <w:rsid w:val="008557C5"/>
    <w:rsid w:val="00860C48"/>
    <w:rsid w:val="0086170F"/>
    <w:rsid w:val="00862DC3"/>
    <w:rsid w:val="00863097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702"/>
    <w:rsid w:val="008A1C3B"/>
    <w:rsid w:val="008A2055"/>
    <w:rsid w:val="008A25EE"/>
    <w:rsid w:val="008A6049"/>
    <w:rsid w:val="008A604E"/>
    <w:rsid w:val="008B1C37"/>
    <w:rsid w:val="008B4638"/>
    <w:rsid w:val="008B60A5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D7AD0"/>
    <w:rsid w:val="008E0A7F"/>
    <w:rsid w:val="008E65BD"/>
    <w:rsid w:val="008F0893"/>
    <w:rsid w:val="008F2B41"/>
    <w:rsid w:val="008F3D62"/>
    <w:rsid w:val="008F58DB"/>
    <w:rsid w:val="00906A48"/>
    <w:rsid w:val="00907069"/>
    <w:rsid w:val="0090789B"/>
    <w:rsid w:val="00907973"/>
    <w:rsid w:val="00911EC8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2E60"/>
    <w:rsid w:val="00934205"/>
    <w:rsid w:val="00934C9D"/>
    <w:rsid w:val="00936F4F"/>
    <w:rsid w:val="00937C91"/>
    <w:rsid w:val="00940A59"/>
    <w:rsid w:val="00940D0C"/>
    <w:rsid w:val="009415AB"/>
    <w:rsid w:val="00941F65"/>
    <w:rsid w:val="00943CA7"/>
    <w:rsid w:val="00943EB2"/>
    <w:rsid w:val="00944C45"/>
    <w:rsid w:val="00946F53"/>
    <w:rsid w:val="00951630"/>
    <w:rsid w:val="00952ACD"/>
    <w:rsid w:val="00960D31"/>
    <w:rsid w:val="00961731"/>
    <w:rsid w:val="0096184D"/>
    <w:rsid w:val="00962C1F"/>
    <w:rsid w:val="009654C6"/>
    <w:rsid w:val="00965970"/>
    <w:rsid w:val="0096653D"/>
    <w:rsid w:val="009668BE"/>
    <w:rsid w:val="00970054"/>
    <w:rsid w:val="00973374"/>
    <w:rsid w:val="00974869"/>
    <w:rsid w:val="00984DA0"/>
    <w:rsid w:val="0099012E"/>
    <w:rsid w:val="00990F4E"/>
    <w:rsid w:val="009910A6"/>
    <w:rsid w:val="0099179B"/>
    <w:rsid w:val="009940EE"/>
    <w:rsid w:val="00994EB9"/>
    <w:rsid w:val="00994EDA"/>
    <w:rsid w:val="00994F6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B7D31"/>
    <w:rsid w:val="009C0655"/>
    <w:rsid w:val="009C28D4"/>
    <w:rsid w:val="009C591A"/>
    <w:rsid w:val="009D0434"/>
    <w:rsid w:val="009D0E1B"/>
    <w:rsid w:val="009D234A"/>
    <w:rsid w:val="009D3275"/>
    <w:rsid w:val="009D53DB"/>
    <w:rsid w:val="009D6AE1"/>
    <w:rsid w:val="009E5A06"/>
    <w:rsid w:val="009E5E68"/>
    <w:rsid w:val="009E71D7"/>
    <w:rsid w:val="009F0C56"/>
    <w:rsid w:val="009F1786"/>
    <w:rsid w:val="009F7853"/>
    <w:rsid w:val="00A03951"/>
    <w:rsid w:val="00A06AE8"/>
    <w:rsid w:val="00A12688"/>
    <w:rsid w:val="00A127B2"/>
    <w:rsid w:val="00A14BBE"/>
    <w:rsid w:val="00A15E45"/>
    <w:rsid w:val="00A23FDB"/>
    <w:rsid w:val="00A24E99"/>
    <w:rsid w:val="00A259AB"/>
    <w:rsid w:val="00A25E3A"/>
    <w:rsid w:val="00A300E9"/>
    <w:rsid w:val="00A32A59"/>
    <w:rsid w:val="00A35E0D"/>
    <w:rsid w:val="00A40234"/>
    <w:rsid w:val="00A410B8"/>
    <w:rsid w:val="00A4397D"/>
    <w:rsid w:val="00A43B44"/>
    <w:rsid w:val="00A43C14"/>
    <w:rsid w:val="00A44AB2"/>
    <w:rsid w:val="00A4575A"/>
    <w:rsid w:val="00A47FC6"/>
    <w:rsid w:val="00A5149F"/>
    <w:rsid w:val="00A52335"/>
    <w:rsid w:val="00A53EA2"/>
    <w:rsid w:val="00A560B9"/>
    <w:rsid w:val="00A650CA"/>
    <w:rsid w:val="00A6621B"/>
    <w:rsid w:val="00A70D06"/>
    <w:rsid w:val="00A71048"/>
    <w:rsid w:val="00A71AD6"/>
    <w:rsid w:val="00A71FE6"/>
    <w:rsid w:val="00A72A8B"/>
    <w:rsid w:val="00A76DEF"/>
    <w:rsid w:val="00A7736D"/>
    <w:rsid w:val="00A77DE1"/>
    <w:rsid w:val="00A77F39"/>
    <w:rsid w:val="00A77FD6"/>
    <w:rsid w:val="00A86688"/>
    <w:rsid w:val="00A92694"/>
    <w:rsid w:val="00A93B39"/>
    <w:rsid w:val="00A93CEC"/>
    <w:rsid w:val="00A93DF0"/>
    <w:rsid w:val="00A961E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4030"/>
    <w:rsid w:val="00AD5977"/>
    <w:rsid w:val="00AD6A1C"/>
    <w:rsid w:val="00AD7255"/>
    <w:rsid w:val="00AE0EBD"/>
    <w:rsid w:val="00AE1721"/>
    <w:rsid w:val="00AE22EB"/>
    <w:rsid w:val="00AE276C"/>
    <w:rsid w:val="00AF11D8"/>
    <w:rsid w:val="00AF283B"/>
    <w:rsid w:val="00AF4E37"/>
    <w:rsid w:val="00AF5201"/>
    <w:rsid w:val="00AF5784"/>
    <w:rsid w:val="00AF7427"/>
    <w:rsid w:val="00AF7728"/>
    <w:rsid w:val="00B02B96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24B7"/>
    <w:rsid w:val="00B33194"/>
    <w:rsid w:val="00B344BF"/>
    <w:rsid w:val="00B34C8F"/>
    <w:rsid w:val="00B352BE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600D"/>
    <w:rsid w:val="00B97824"/>
    <w:rsid w:val="00BA333F"/>
    <w:rsid w:val="00BA3720"/>
    <w:rsid w:val="00BA380E"/>
    <w:rsid w:val="00BB1663"/>
    <w:rsid w:val="00BB2E4A"/>
    <w:rsid w:val="00BB7494"/>
    <w:rsid w:val="00BC073F"/>
    <w:rsid w:val="00BC681F"/>
    <w:rsid w:val="00BC6888"/>
    <w:rsid w:val="00BC6B75"/>
    <w:rsid w:val="00BD4F67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37DA"/>
    <w:rsid w:val="00C15928"/>
    <w:rsid w:val="00C16EE9"/>
    <w:rsid w:val="00C1730C"/>
    <w:rsid w:val="00C252AB"/>
    <w:rsid w:val="00C27626"/>
    <w:rsid w:val="00C3014D"/>
    <w:rsid w:val="00C31859"/>
    <w:rsid w:val="00C32040"/>
    <w:rsid w:val="00C33ECC"/>
    <w:rsid w:val="00C34F5A"/>
    <w:rsid w:val="00C35095"/>
    <w:rsid w:val="00C35601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66FAA"/>
    <w:rsid w:val="00C71476"/>
    <w:rsid w:val="00C71903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1097"/>
    <w:rsid w:val="00D0245F"/>
    <w:rsid w:val="00D02707"/>
    <w:rsid w:val="00D03B8E"/>
    <w:rsid w:val="00D03F32"/>
    <w:rsid w:val="00D04A1B"/>
    <w:rsid w:val="00D04DAD"/>
    <w:rsid w:val="00D05495"/>
    <w:rsid w:val="00D07395"/>
    <w:rsid w:val="00D11E95"/>
    <w:rsid w:val="00D14F2A"/>
    <w:rsid w:val="00D17749"/>
    <w:rsid w:val="00D27C91"/>
    <w:rsid w:val="00D27F78"/>
    <w:rsid w:val="00D30292"/>
    <w:rsid w:val="00D3362A"/>
    <w:rsid w:val="00D40AE4"/>
    <w:rsid w:val="00D42915"/>
    <w:rsid w:val="00D42989"/>
    <w:rsid w:val="00D47339"/>
    <w:rsid w:val="00D47C78"/>
    <w:rsid w:val="00D50BB5"/>
    <w:rsid w:val="00D526CC"/>
    <w:rsid w:val="00D540F7"/>
    <w:rsid w:val="00D54F98"/>
    <w:rsid w:val="00D56493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0128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12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27D"/>
    <w:rsid w:val="00DC5649"/>
    <w:rsid w:val="00DD0998"/>
    <w:rsid w:val="00DD0D34"/>
    <w:rsid w:val="00DD245D"/>
    <w:rsid w:val="00DD2661"/>
    <w:rsid w:val="00DD268C"/>
    <w:rsid w:val="00DE0436"/>
    <w:rsid w:val="00DE4572"/>
    <w:rsid w:val="00DE4DF0"/>
    <w:rsid w:val="00DE559A"/>
    <w:rsid w:val="00DE66E0"/>
    <w:rsid w:val="00DE74C4"/>
    <w:rsid w:val="00DF08A7"/>
    <w:rsid w:val="00DF176B"/>
    <w:rsid w:val="00DF3B08"/>
    <w:rsid w:val="00E01674"/>
    <w:rsid w:val="00E01746"/>
    <w:rsid w:val="00E01A38"/>
    <w:rsid w:val="00E04068"/>
    <w:rsid w:val="00E0622F"/>
    <w:rsid w:val="00E12A39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C21"/>
    <w:rsid w:val="00E40EB6"/>
    <w:rsid w:val="00E41C33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0E6C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24A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2F05"/>
    <w:rsid w:val="00F530E4"/>
    <w:rsid w:val="00F57467"/>
    <w:rsid w:val="00F65FA9"/>
    <w:rsid w:val="00F66819"/>
    <w:rsid w:val="00F704C6"/>
    <w:rsid w:val="00F75FF1"/>
    <w:rsid w:val="00F76A45"/>
    <w:rsid w:val="00F80786"/>
    <w:rsid w:val="00F81974"/>
    <w:rsid w:val="00F826D8"/>
    <w:rsid w:val="00F83322"/>
    <w:rsid w:val="00F8478F"/>
    <w:rsid w:val="00F86430"/>
    <w:rsid w:val="00F86AF9"/>
    <w:rsid w:val="00F94280"/>
    <w:rsid w:val="00F94476"/>
    <w:rsid w:val="00F94B75"/>
    <w:rsid w:val="00F95AEC"/>
    <w:rsid w:val="00F9755D"/>
    <w:rsid w:val="00FA0463"/>
    <w:rsid w:val="00FA1DD2"/>
    <w:rsid w:val="00FA43E4"/>
    <w:rsid w:val="00FA4DA9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D666B"/>
    <w:rsid w:val="00FE0D3F"/>
    <w:rsid w:val="00FE2869"/>
    <w:rsid w:val="00FE2D30"/>
    <w:rsid w:val="00FE47F1"/>
    <w:rsid w:val="00FE4F26"/>
    <w:rsid w:val="00FE5728"/>
    <w:rsid w:val="00FE591D"/>
    <w:rsid w:val="00FE63F6"/>
    <w:rsid w:val="00FE671D"/>
    <w:rsid w:val="00FE7D8E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2E1304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E1304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2E130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130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E130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2E1304"/>
    <w:pPr>
      <w:numPr>
        <w:numId w:val="1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2E1304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E1304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4161A1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C71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7</Pages>
  <Words>1600</Words>
  <Characters>9124</Characters>
  <Application>Microsoft Office Word</Application>
  <DocSecurity>0</DocSecurity>
  <Lines>0</Lines>
  <Paragraphs>0</Paragraphs>
  <ScaleCrop>false</ScaleCrop>
  <Company>UVSR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grosjarova</dc:creator>
  <cp:lastModifiedBy>pturinic</cp:lastModifiedBy>
  <cp:revision>6</cp:revision>
  <cp:lastPrinted>2012-09-03T16:02:00Z</cp:lastPrinted>
  <dcterms:created xsi:type="dcterms:W3CDTF">2012-09-03T16:03:00Z</dcterms:created>
  <dcterms:modified xsi:type="dcterms:W3CDTF">2012-09-28T09:04:00Z</dcterms:modified>
</cp:coreProperties>
</file>