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576C" w:rsidRPr="005361F7" w:rsidP="00B0576C">
      <w:pPr>
        <w:bidi w:val="0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1F7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B0576C" w:rsidRPr="005361F7" w:rsidP="00B0576C">
      <w:pPr>
        <w:pStyle w:val="ListParagraph"/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F7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B0576C" w:rsidRPr="005361F7" w:rsidP="00B0576C">
      <w:pPr>
        <w:pStyle w:val="NormalWeb"/>
        <w:bidi w:val="0"/>
        <w:spacing w:before="0" w:beforeAutospacing="0" w:after="12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361F7">
        <w:rPr>
          <w:rFonts w:ascii="Times New Roman" w:hAnsi="Times New Roman"/>
        </w:rPr>
        <w:t>Návrh zákona o obmedzení platieb v</w:t>
      </w:r>
      <w:r>
        <w:rPr>
          <w:rFonts w:ascii="Times New Roman" w:hAnsi="Times New Roman"/>
        </w:rPr>
        <w:t> </w:t>
      </w:r>
      <w:r w:rsidRPr="005361F7">
        <w:rPr>
          <w:rFonts w:ascii="Times New Roman" w:hAnsi="Times New Roman"/>
        </w:rPr>
        <w:t>hotovosti</w:t>
      </w:r>
      <w:r>
        <w:rPr>
          <w:rFonts w:ascii="Times New Roman" w:hAnsi="Times New Roman"/>
        </w:rPr>
        <w:t xml:space="preserve"> </w:t>
      </w:r>
      <w:r w:rsidRPr="005361F7">
        <w:rPr>
          <w:rFonts w:ascii="Times New Roman" w:hAnsi="Times New Roman"/>
        </w:rPr>
        <w:t xml:space="preserve">bol vypracovaný na základe bodu B.1 uznesenia vlády SR č. 235/2012, ktorým vláda SR schválila Akčný plán boja proti daňovým podvodom na roky 2012 – 2016, v ktorom sa vymedzil podrobný harmonogram postupných krokov na prijatie účinných opatrení proti daňovým podvodom a únikom, stanovila zodpovednosť za ich plnenie s cieľom zabezpečiť vytvorenie nevyhnutných podmienok pre kreovanie stabilného, transparentného a spravodlivého ekonomického prostredia. </w:t>
      </w:r>
    </w:p>
    <w:p w:rsidR="00B0576C" w:rsidRPr="005361F7" w:rsidP="00B0576C">
      <w:pPr>
        <w:bidi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</w:t>
      </w:r>
      <w:r w:rsidRPr="005361F7">
        <w:rPr>
          <w:rFonts w:ascii="Times New Roman" w:hAnsi="Times New Roman" w:cs="Times New Roman"/>
          <w:sz w:val="24"/>
          <w:szCs w:val="24"/>
        </w:rPr>
        <w:t xml:space="preserve"> rámci druhej etapy boja proti daňovým podvodom bolo ako jeden z prostriedkov na zabezpečenie vyššie uvedeného cieľa prijaté aj opatrenie pripraviť legislatívnu úpravu, na základe ktorej by sa zaviedla povinnosť bezhotovostnej platby v obchodnom styku nad určitý limit. </w:t>
      </w:r>
    </w:p>
    <w:p w:rsidR="00B0576C" w:rsidRPr="005361F7" w:rsidP="00B0576C">
      <w:pPr>
        <w:bidi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1F7">
        <w:rPr>
          <w:rFonts w:ascii="Times New Roman" w:hAnsi="Times New Roman" w:cs="Times New Roman"/>
          <w:sz w:val="24"/>
          <w:szCs w:val="24"/>
        </w:rPr>
        <w:t xml:space="preserve">V Slovenskej republike identifikujeme pomerne rozsiahly hotovostný platobný styk, ktorý je bežnou súčasťou každodenného života. V tejto súvislosti bolo identifikované, že aj legálne podnikajúce daňové subjekty čiastočne „optimalizujú“ svoju daňovú povinnosť vystavovaním fiktívnych faktúr. Opatrením obmedzenia platieb v hotovosti by sa zabránilo fiktívnemu vystavovaniu príjmových a výdavkových dokladov bez reálneho toku finančných prostriedkov, „kreatívnemu účtovníctvu“ na konci účtovného/zdaňovacieho obdobia podľa toho, aký základ dane daňový subjekt vykazuje. Daňový úrad by mal zároveň lepší prehľad o aktivitách podnikateľov a lepšie by vedel koncentrovať svoju pozornosť na podozrivé operácie. Najväčšie škody na očakávaných príjmoch štátneho rozpočtu spôsobujú umelo </w:t>
      </w:r>
      <w:r>
        <w:rPr>
          <w:rFonts w:ascii="Times New Roman" w:hAnsi="Times New Roman" w:cs="Times New Roman"/>
          <w:sz w:val="24"/>
          <w:szCs w:val="24"/>
        </w:rPr>
        <w:br/>
      </w:r>
      <w:r w:rsidRPr="005361F7">
        <w:rPr>
          <w:rFonts w:ascii="Times New Roman" w:hAnsi="Times New Roman" w:cs="Times New Roman"/>
          <w:sz w:val="24"/>
          <w:szCs w:val="24"/>
        </w:rPr>
        <w:t>a účelovo vytvárané reťazce obchodníkov, ktorí si medzi sebou vystavujú fiktívne faktúry bez reálneho plnenia, následne platby buď neprebehnú alebo sú príjmovými a výdavkovými pokladničnými dokladmi deklarované hotovostné platby rádovo v sumách niekoľko stotisíc eur (fikcia zaplatenia), pričom posledný článok reťazca uplatňuje vysoký nadmerný odpočet dane z pridanej hodnoty.</w:t>
      </w:r>
    </w:p>
    <w:p w:rsidR="00B0576C" w:rsidRPr="00FF5FB8" w:rsidP="00B0576C">
      <w:pPr>
        <w:pStyle w:val="Odsekzoznamu1"/>
        <w:bidi w:val="0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1F7">
        <w:rPr>
          <w:rFonts w:ascii="Times New Roman" w:hAnsi="Times New Roman" w:cs="Times New Roman"/>
          <w:sz w:val="24"/>
          <w:szCs w:val="24"/>
        </w:rPr>
        <w:t xml:space="preserve">V praxi sa množia prípady zneužívania mechanizmu dane pri neexistencii zdaniteľného plnenia, pri službách ide najčastejšie o sprostredkovanie, poradenské a právne služby, marketingové služby, pri ktorých je problematické zisťovať ich skutočné poskytnutie, </w:t>
      </w:r>
      <w:r>
        <w:rPr>
          <w:rFonts w:ascii="Times New Roman" w:hAnsi="Times New Roman" w:cs="Times New Roman"/>
          <w:sz w:val="24"/>
          <w:szCs w:val="24"/>
        </w:rPr>
        <w:t>pričom </w:t>
      </w:r>
      <w:r w:rsidRPr="005361F7">
        <w:rPr>
          <w:rFonts w:ascii="Times New Roman" w:hAnsi="Times New Roman" w:cs="Times New Roman"/>
          <w:sz w:val="24"/>
          <w:szCs w:val="24"/>
        </w:rPr>
        <w:t>často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1F7">
        <w:rPr>
          <w:rFonts w:ascii="Times New Roman" w:hAnsi="Times New Roman" w:cs="Times New Roman"/>
          <w:sz w:val="24"/>
          <w:szCs w:val="24"/>
        </w:rPr>
        <w:t>ide aj o fiktívny tovar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5361F7">
        <w:rPr>
          <w:rFonts w:ascii="Times New Roman" w:hAnsi="Times New Roman" w:cs="Times New Roman"/>
          <w:sz w:val="24"/>
          <w:szCs w:val="24"/>
        </w:rPr>
        <w:t xml:space="preserve">krem fiktívnych plnení veľakrát ide o prípady, kedy tovar fyzicky existuje, ale cena za tento tovar je vysoko nadhodnotená, resp. ten istý tovar sa fakturuje viackrát. Ako už bolo uvedené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61F7">
        <w:rPr>
          <w:rFonts w:ascii="Times New Roman" w:hAnsi="Times New Roman" w:cs="Times New Roman"/>
          <w:sz w:val="24"/>
          <w:szCs w:val="24"/>
        </w:rPr>
        <w:t xml:space="preserve"> nadväzne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1F7">
        <w:rPr>
          <w:rFonts w:ascii="Times New Roman" w:hAnsi="Times New Roman" w:cs="Times New Roman"/>
          <w:sz w:val="24"/>
          <w:szCs w:val="24"/>
        </w:rPr>
        <w:t>na fiktívne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61F7">
        <w:rPr>
          <w:rFonts w:ascii="Times New Roman" w:hAnsi="Times New Roman" w:cs="Times New Roman"/>
          <w:sz w:val="24"/>
          <w:szCs w:val="24"/>
        </w:rPr>
        <w:t xml:space="preserve"> resp. nadhodnotené plnenia sú vyhotovované daňové doklady a doklady o zaplatení dane v hotovosti a následkom je neoprávnené čerpanie nadmerných odpočtov dane zo štátneho rozpočtu. Prax ukazuje, že fiktívne faktúry za fiktívny alebo nadhodnotený tovar skrývajú aj platby za nelegálnu prácu najmä v stavebníctve, v reštauračných službách, ale aj  úplatky a provízie za nežiaduci lobing fakturované ako provízie za sprostredkovanie. Pri vykazovaní úhrad v hotovosti právne predpisy neumožňujú spochybniť existenciu týchto hotovostných peňazí.</w:t>
      </w:r>
      <w:r>
        <w:rPr>
          <w:rFonts w:ascii="Times New Roman" w:hAnsi="Times New Roman" w:cs="Times New Roman"/>
          <w:sz w:val="24"/>
          <w:szCs w:val="24"/>
        </w:rPr>
        <w:t xml:space="preserve"> Z dôvodu sprehľadnenia vzťahov medzi fyzickými osobami navzájom a medzi podnikateľmi a fyzickými osobami nepodnikateľmi sa do okruhu osôb, na ktoré sa bude tento zákon vzťahovať zahŕňajú jednak podnikatelia (právnické osoby a fyzické osoby) a zároveň aj fyzické osoby nepodnikatelia. Dôvodom je napríklad stransparentnenie príjmov plynúcich z prenájmu medzi fyzickými osobami alebo pri uľahčení dokazovania napr. na súde pri problémoch s uznaním pôžičiek medzi fyzickými osobami. Ďalej možno uviesť prípad, kedy</w:t>
      </w:r>
      <w:r w:rsidRPr="00FF5FB8">
        <w:rPr>
          <w:rFonts w:ascii="Times New Roman" w:hAnsi="Times New Roman" w:cs="Times New Roman"/>
          <w:sz w:val="24"/>
          <w:szCs w:val="24"/>
        </w:rPr>
        <w:t xml:space="preserve"> daňové subjekty nemajú dostatok finančných prostriedkov na účte v banke, ale neustále „dotujú“ v hoto</w:t>
      </w:r>
      <w:r>
        <w:rPr>
          <w:rFonts w:ascii="Times New Roman" w:hAnsi="Times New Roman" w:cs="Times New Roman"/>
          <w:sz w:val="24"/>
          <w:szCs w:val="24"/>
        </w:rPr>
        <w:t>vosti pokladňu vysokými vkladmi. A</w:t>
      </w:r>
      <w:r w:rsidRPr="00FF5FB8">
        <w:rPr>
          <w:rFonts w:ascii="Times New Roman" w:hAnsi="Times New Roman" w:cs="Times New Roman"/>
          <w:sz w:val="24"/>
          <w:szCs w:val="24"/>
        </w:rPr>
        <w:t>by mohli hotovostné platby zrealizovať; tieto vklady preukazujú v mnohých prípadoch zmluvami s tichými spoločníkmi, ktorými sú fyzické osoby z radov sociálne slabej vrstvy spoločnosti, u ktorých je vylúčené, aby disponovali sumami vo výške stoviek tisíc eur, ktorými sa ako tichí spoločníci majú podieľať na podnikaní daňového subjektu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76C" w:rsidRPr="005361F7" w:rsidP="00B0576C">
      <w:pPr>
        <w:bidi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1F7">
        <w:rPr>
          <w:rFonts w:ascii="Times New Roman" w:hAnsi="Times New Roman" w:cs="Times New Roman"/>
          <w:sz w:val="24"/>
          <w:szCs w:val="24"/>
        </w:rPr>
        <w:t xml:space="preserve">Na základe existujúcej legislatívy, poznatkov daňovej správy a poznatkov z niektorých členských štátov EÚ sa dá predpokladať, že zavedenie povinného bezhotovostného styku nad určitý limit je možné vnímať ako príspevok nielen k obmedzeniu podvodných konaní v daňovej oblasti, ale aj ako opatrenie na boj proti praniu špinavých peňazí, na boj proti korupcii a trestnej činnosti, či pri ochrane pred financovaním terorizmu. </w:t>
      </w:r>
    </w:p>
    <w:p w:rsidR="00B0576C" w:rsidRPr="005361F7" w:rsidP="00B0576C">
      <w:pPr>
        <w:bidi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1F7">
        <w:rPr>
          <w:rFonts w:ascii="Times New Roman" w:hAnsi="Times New Roman" w:cs="Times New Roman"/>
          <w:sz w:val="24"/>
          <w:szCs w:val="24"/>
        </w:rPr>
        <w:t>V nadväznosti na vyššie uvedené sa týmto zákonom navrhuje</w:t>
      </w:r>
    </w:p>
    <w:p w:rsidR="00B0576C" w:rsidRPr="003C102F" w:rsidP="00B0576C">
      <w:pPr>
        <w:pStyle w:val="ListParagraph"/>
        <w:numPr>
          <w:numId w:val="3"/>
        </w:numPr>
        <w:bidi w:val="0"/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102F">
        <w:rPr>
          <w:rFonts w:ascii="Times New Roman" w:hAnsi="Times New Roman" w:cs="Times New Roman"/>
          <w:sz w:val="24"/>
          <w:szCs w:val="24"/>
        </w:rPr>
        <w:t>zakázať platbu v hotovosti nad 5000 eur</w:t>
      </w:r>
      <w:r w:rsidRPr="003C102F" w:rsidR="003C102F">
        <w:rPr>
          <w:rFonts w:ascii="Times New Roman" w:hAnsi="Times New Roman" w:cs="Times New Roman"/>
          <w:sz w:val="24"/>
          <w:szCs w:val="24"/>
        </w:rPr>
        <w:t xml:space="preserve">, pričom tento limit je zvýšený až na 15 000 eur pri platbách medzi fyzickými osobami – nepodnikateľmi navzájom; </w:t>
      </w:r>
      <w:r w:rsidRPr="003C102F">
        <w:rPr>
          <w:rFonts w:ascii="Times New Roman" w:hAnsi="Times New Roman" w:cs="Times New Roman"/>
          <w:sz w:val="24"/>
          <w:szCs w:val="24"/>
        </w:rPr>
        <w:t xml:space="preserve">platbu, ktorá prevyšuje </w:t>
      </w:r>
      <w:r w:rsidR="003C102F">
        <w:rPr>
          <w:rFonts w:ascii="Times New Roman" w:hAnsi="Times New Roman" w:cs="Times New Roman"/>
          <w:sz w:val="24"/>
          <w:szCs w:val="24"/>
        </w:rPr>
        <w:t>príslušný limit</w:t>
      </w:r>
      <w:r w:rsidRPr="003C102F">
        <w:rPr>
          <w:rFonts w:ascii="Times New Roman" w:hAnsi="Times New Roman" w:cs="Times New Roman"/>
          <w:sz w:val="24"/>
          <w:szCs w:val="24"/>
        </w:rPr>
        <w:t xml:space="preserve"> bude povinnosť vykonať bezhotovostne, pričom sa tento zákaz vzťahuje na všetky fyzické a právnické osoby na území SR, bez ohľadu na právny dôvod takejto platby a limit sa vzťahuje na vecne súvisiace platby vyplývajúce z jedného právneho vzťahu,</w:t>
      </w:r>
    </w:p>
    <w:p w:rsidR="00B0576C" w:rsidRPr="002635D3" w:rsidP="00B0576C">
      <w:pPr>
        <w:pStyle w:val="ListParagraph"/>
        <w:numPr>
          <w:numId w:val="3"/>
        </w:numPr>
        <w:bidi w:val="0"/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35D3">
        <w:rPr>
          <w:rFonts w:ascii="Times New Roman" w:hAnsi="Times New Roman" w:cs="Times New Roman"/>
          <w:sz w:val="24"/>
          <w:szCs w:val="24"/>
        </w:rPr>
        <w:t>uplatňovať zákon aj mimo územia Slovenskej republiky na platby v hotovosti, ktoré súvisia s plnením uskutočneným na území Slovenskej republiky, pričom odovzdávajúci alebo príjemca majú v Slovenskej republike trvalý pobyt, prechodný pobyt, tolerovaný pobyt, sídlo, prevádzkareň alebo miesto podnikania.</w:t>
      </w:r>
    </w:p>
    <w:p w:rsidR="00B0576C" w:rsidRPr="005361F7" w:rsidP="00B0576C">
      <w:pPr>
        <w:pStyle w:val="ListParagraph"/>
        <w:numPr>
          <w:numId w:val="3"/>
        </w:numPr>
        <w:bidi w:val="0"/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61F7">
        <w:rPr>
          <w:rFonts w:ascii="Times New Roman" w:hAnsi="Times New Roman" w:cs="Times New Roman"/>
          <w:sz w:val="24"/>
          <w:szCs w:val="24"/>
        </w:rPr>
        <w:t xml:space="preserve">uplatniť výnimky zo zákona pre vymedzené platby, kedy je stranou platby štát alebo iný verejný orgán, t.j. dane, clá a iné platby podľa daňového poriadku a colného zákona a kedy je pre výnimku závažný dôvod, ako napríklad hotovostné platby v čase vojny, krízového stavu alebo núdzového stavu, platobné služby, poštový platobný styk, spracovanie alebo preprava hotovosti, zmenárenská činnosť,  </w:t>
      </w:r>
    </w:p>
    <w:p w:rsidR="00B0576C" w:rsidRPr="005361F7" w:rsidP="00B0576C">
      <w:pPr>
        <w:pStyle w:val="ListParagraph"/>
        <w:numPr>
          <w:numId w:val="3"/>
        </w:numPr>
        <w:bidi w:val="0"/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určiť </w:t>
      </w:r>
      <w:r w:rsidRPr="005361F7">
        <w:rPr>
          <w:rFonts w:ascii="Times New Roman" w:hAnsi="Times New Roman" w:cs="Times New Roman"/>
          <w:sz w:val="24"/>
          <w:szCs w:val="24"/>
        </w:rPr>
        <w:t>sankcie (priestupky a správne delikty) za porušenie tohto zákona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76C" w:rsidRPr="003B604C" w:rsidP="00B0576C">
      <w:pPr>
        <w:bidi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604C">
        <w:rPr>
          <w:rStyle w:val="PlaceholderText"/>
          <w:color w:val="000000"/>
          <w:sz w:val="24"/>
          <w:szCs w:val="24"/>
        </w:rPr>
        <w:tab/>
      </w:r>
      <w:r w:rsidRPr="003B604C">
        <w:rPr>
          <w:rFonts w:ascii="Times New Roman" w:hAnsi="Times New Roman" w:cs="Times New Roman"/>
          <w:sz w:val="24"/>
          <w:szCs w:val="24"/>
        </w:rPr>
        <w:t>Návrh zákona má negatívny vplyv na podnikateľské prostredie a hospodárenie obyvateľstva, nemá vplyvy na životné prostredie a na informatizáciu spoločnosti. Návrh zákona má pozitívny vplyv na rozpočet verejnej správy.</w:t>
      </w:r>
    </w:p>
    <w:p w:rsidR="00E671D4" w:rsidRPr="00B0576C" w:rsidP="00B0576C">
      <w:pPr>
        <w:bidi w:val="0"/>
        <w:jc w:val="both"/>
        <w:rPr>
          <w:rStyle w:val="PlaceholderText"/>
          <w:rFonts w:ascii="Arial Narrow" w:hAnsi="Arial Narrow" w:cstheme="minorBidi"/>
          <w:color w:val="auto"/>
          <w:szCs w:val="24"/>
        </w:rPr>
      </w:pPr>
      <w:r w:rsidRPr="00E671D4" w:rsidR="00B0576C">
        <w:rPr>
          <w:rFonts w:ascii="Times New Roman" w:hAnsi="Times New Roman" w:cs="Times New Roman"/>
          <w:sz w:val="24"/>
          <w:szCs w:val="24"/>
        </w:rPr>
        <w:tab/>
        <w:t>Návrh zákona je v súlade s Ústavou Slovenskej republiky, zákonmi a ostatnými všeobecne záväznými právnymi predpismi ako aj s medzinárodnými zmluvami, ktorými je Slovenská republika viazaná, ako aj právom Európskej únie.</w:t>
      </w:r>
    </w:p>
    <w:sectPr w:rsidSect="00D11BA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96F"/>
    <w:multiLevelType w:val="hybridMultilevel"/>
    <w:tmpl w:val="6B74DE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B44242"/>
    <w:multiLevelType w:val="hybridMultilevel"/>
    <w:tmpl w:val="E73EEFD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212A70BB"/>
    <w:multiLevelType w:val="hybridMultilevel"/>
    <w:tmpl w:val="12F6EE18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E56A3"/>
    <w:multiLevelType w:val="hybridMultilevel"/>
    <w:tmpl w:val="AA2618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73D314C"/>
    <w:multiLevelType w:val="hybridMultilevel"/>
    <w:tmpl w:val="B3F2F7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50EB3"/>
    <w:rsid w:val="000073E5"/>
    <w:rsid w:val="00015480"/>
    <w:rsid w:val="000209A1"/>
    <w:rsid w:val="00027E67"/>
    <w:rsid w:val="0003324E"/>
    <w:rsid w:val="00034F20"/>
    <w:rsid w:val="00037F05"/>
    <w:rsid w:val="00050EB3"/>
    <w:rsid w:val="00063604"/>
    <w:rsid w:val="000721AB"/>
    <w:rsid w:val="000772F7"/>
    <w:rsid w:val="00081628"/>
    <w:rsid w:val="00083FF6"/>
    <w:rsid w:val="00084263"/>
    <w:rsid w:val="00087278"/>
    <w:rsid w:val="00090406"/>
    <w:rsid w:val="000B44DB"/>
    <w:rsid w:val="000B75A0"/>
    <w:rsid w:val="000C3DDE"/>
    <w:rsid w:val="000D60B6"/>
    <w:rsid w:val="000E5498"/>
    <w:rsid w:val="000F2C71"/>
    <w:rsid w:val="00110E22"/>
    <w:rsid w:val="00114B39"/>
    <w:rsid w:val="001404F4"/>
    <w:rsid w:val="00143578"/>
    <w:rsid w:val="0016037A"/>
    <w:rsid w:val="0016670F"/>
    <w:rsid w:val="001A44CF"/>
    <w:rsid w:val="001A7677"/>
    <w:rsid w:val="001B0F98"/>
    <w:rsid w:val="001B34C0"/>
    <w:rsid w:val="001C046C"/>
    <w:rsid w:val="001C1EC9"/>
    <w:rsid w:val="001C2C7F"/>
    <w:rsid w:val="001E60BA"/>
    <w:rsid w:val="00215532"/>
    <w:rsid w:val="00230EE6"/>
    <w:rsid w:val="002379D9"/>
    <w:rsid w:val="002413EF"/>
    <w:rsid w:val="002438CB"/>
    <w:rsid w:val="002635D3"/>
    <w:rsid w:val="00270AB9"/>
    <w:rsid w:val="002718F0"/>
    <w:rsid w:val="00292102"/>
    <w:rsid w:val="002A63E9"/>
    <w:rsid w:val="002E2E60"/>
    <w:rsid w:val="002F18B6"/>
    <w:rsid w:val="00311678"/>
    <w:rsid w:val="00314FAF"/>
    <w:rsid w:val="003160AA"/>
    <w:rsid w:val="00344454"/>
    <w:rsid w:val="00372F73"/>
    <w:rsid w:val="00387057"/>
    <w:rsid w:val="003A2A04"/>
    <w:rsid w:val="003A6F3C"/>
    <w:rsid w:val="003A7CAF"/>
    <w:rsid w:val="003B604C"/>
    <w:rsid w:val="003C102F"/>
    <w:rsid w:val="003C1B65"/>
    <w:rsid w:val="003C249B"/>
    <w:rsid w:val="003E5B2F"/>
    <w:rsid w:val="003F1798"/>
    <w:rsid w:val="00402F3F"/>
    <w:rsid w:val="0042065F"/>
    <w:rsid w:val="00421F1F"/>
    <w:rsid w:val="00423FB6"/>
    <w:rsid w:val="00424C0F"/>
    <w:rsid w:val="00425263"/>
    <w:rsid w:val="0042684C"/>
    <w:rsid w:val="0045646F"/>
    <w:rsid w:val="00461B4B"/>
    <w:rsid w:val="00475D1E"/>
    <w:rsid w:val="00483DA3"/>
    <w:rsid w:val="00490C6E"/>
    <w:rsid w:val="00497D8E"/>
    <w:rsid w:val="004E24DE"/>
    <w:rsid w:val="004F2B1F"/>
    <w:rsid w:val="0050037E"/>
    <w:rsid w:val="00502758"/>
    <w:rsid w:val="00510E63"/>
    <w:rsid w:val="00512ED4"/>
    <w:rsid w:val="00513B57"/>
    <w:rsid w:val="00517CB2"/>
    <w:rsid w:val="005251BF"/>
    <w:rsid w:val="00530297"/>
    <w:rsid w:val="005361F7"/>
    <w:rsid w:val="00542902"/>
    <w:rsid w:val="005457E1"/>
    <w:rsid w:val="0055482A"/>
    <w:rsid w:val="00555740"/>
    <w:rsid w:val="00583D85"/>
    <w:rsid w:val="00584014"/>
    <w:rsid w:val="00593D53"/>
    <w:rsid w:val="005A5B04"/>
    <w:rsid w:val="005B7CB0"/>
    <w:rsid w:val="005D27E7"/>
    <w:rsid w:val="005E5E76"/>
    <w:rsid w:val="005F59D7"/>
    <w:rsid w:val="00601008"/>
    <w:rsid w:val="00602860"/>
    <w:rsid w:val="00604A55"/>
    <w:rsid w:val="0060555D"/>
    <w:rsid w:val="00606652"/>
    <w:rsid w:val="00610AE7"/>
    <w:rsid w:val="006229DD"/>
    <w:rsid w:val="00625474"/>
    <w:rsid w:val="00626B8F"/>
    <w:rsid w:val="00630CCC"/>
    <w:rsid w:val="00632B54"/>
    <w:rsid w:val="006649B4"/>
    <w:rsid w:val="00683121"/>
    <w:rsid w:val="00691A29"/>
    <w:rsid w:val="00692FBB"/>
    <w:rsid w:val="006938CF"/>
    <w:rsid w:val="006A4107"/>
    <w:rsid w:val="006A53E0"/>
    <w:rsid w:val="006B5628"/>
    <w:rsid w:val="006D7432"/>
    <w:rsid w:val="006E07C1"/>
    <w:rsid w:val="00701445"/>
    <w:rsid w:val="0070437F"/>
    <w:rsid w:val="007056FF"/>
    <w:rsid w:val="007179E8"/>
    <w:rsid w:val="00717DBB"/>
    <w:rsid w:val="00717E1D"/>
    <w:rsid w:val="0072114B"/>
    <w:rsid w:val="007277E5"/>
    <w:rsid w:val="00727BE6"/>
    <w:rsid w:val="00727DA1"/>
    <w:rsid w:val="00745FD4"/>
    <w:rsid w:val="00764D4B"/>
    <w:rsid w:val="00765705"/>
    <w:rsid w:val="00765F52"/>
    <w:rsid w:val="007A08CB"/>
    <w:rsid w:val="007B34F9"/>
    <w:rsid w:val="007D4AF1"/>
    <w:rsid w:val="007D7213"/>
    <w:rsid w:val="007E2CD9"/>
    <w:rsid w:val="007F09F2"/>
    <w:rsid w:val="007F2D70"/>
    <w:rsid w:val="007F4650"/>
    <w:rsid w:val="007F4CF6"/>
    <w:rsid w:val="00863D4F"/>
    <w:rsid w:val="00867A4A"/>
    <w:rsid w:val="00874FE1"/>
    <w:rsid w:val="00884C42"/>
    <w:rsid w:val="008B32D6"/>
    <w:rsid w:val="008C7AEB"/>
    <w:rsid w:val="008E7B37"/>
    <w:rsid w:val="0090348D"/>
    <w:rsid w:val="009040E8"/>
    <w:rsid w:val="00904325"/>
    <w:rsid w:val="009224F5"/>
    <w:rsid w:val="00922B8A"/>
    <w:rsid w:val="00923E4E"/>
    <w:rsid w:val="00925C33"/>
    <w:rsid w:val="0093265A"/>
    <w:rsid w:val="009332DC"/>
    <w:rsid w:val="009571A3"/>
    <w:rsid w:val="009634C2"/>
    <w:rsid w:val="0096581C"/>
    <w:rsid w:val="0098063C"/>
    <w:rsid w:val="00980BDA"/>
    <w:rsid w:val="009903AF"/>
    <w:rsid w:val="009941BC"/>
    <w:rsid w:val="009A7CA2"/>
    <w:rsid w:val="009C19D5"/>
    <w:rsid w:val="009C2AE4"/>
    <w:rsid w:val="009C5F45"/>
    <w:rsid w:val="00A005C1"/>
    <w:rsid w:val="00A11C61"/>
    <w:rsid w:val="00A21047"/>
    <w:rsid w:val="00A23DAF"/>
    <w:rsid w:val="00A25104"/>
    <w:rsid w:val="00A279C7"/>
    <w:rsid w:val="00A55F52"/>
    <w:rsid w:val="00A67EFC"/>
    <w:rsid w:val="00A7567A"/>
    <w:rsid w:val="00A8025E"/>
    <w:rsid w:val="00A96859"/>
    <w:rsid w:val="00AA4701"/>
    <w:rsid w:val="00AC447F"/>
    <w:rsid w:val="00AE0DC0"/>
    <w:rsid w:val="00AE49FE"/>
    <w:rsid w:val="00AF12CA"/>
    <w:rsid w:val="00AF7D69"/>
    <w:rsid w:val="00B01722"/>
    <w:rsid w:val="00B0576C"/>
    <w:rsid w:val="00B33CEB"/>
    <w:rsid w:val="00B503EE"/>
    <w:rsid w:val="00B64279"/>
    <w:rsid w:val="00B66BE3"/>
    <w:rsid w:val="00B77697"/>
    <w:rsid w:val="00B84629"/>
    <w:rsid w:val="00B951E2"/>
    <w:rsid w:val="00BA343A"/>
    <w:rsid w:val="00BA589F"/>
    <w:rsid w:val="00BD7160"/>
    <w:rsid w:val="00BF650D"/>
    <w:rsid w:val="00C15293"/>
    <w:rsid w:val="00C31D9B"/>
    <w:rsid w:val="00C66A7A"/>
    <w:rsid w:val="00C93008"/>
    <w:rsid w:val="00C953FB"/>
    <w:rsid w:val="00CB7890"/>
    <w:rsid w:val="00CC30BE"/>
    <w:rsid w:val="00CD342F"/>
    <w:rsid w:val="00CD346C"/>
    <w:rsid w:val="00CF277F"/>
    <w:rsid w:val="00D11BAA"/>
    <w:rsid w:val="00D14348"/>
    <w:rsid w:val="00D22070"/>
    <w:rsid w:val="00D3362A"/>
    <w:rsid w:val="00D36E9E"/>
    <w:rsid w:val="00DB36B9"/>
    <w:rsid w:val="00DB4F43"/>
    <w:rsid w:val="00DE02F0"/>
    <w:rsid w:val="00DE4DD4"/>
    <w:rsid w:val="00DF1B57"/>
    <w:rsid w:val="00DF1FE8"/>
    <w:rsid w:val="00DF7214"/>
    <w:rsid w:val="00E352FC"/>
    <w:rsid w:val="00E476B5"/>
    <w:rsid w:val="00E517B1"/>
    <w:rsid w:val="00E6600B"/>
    <w:rsid w:val="00E671D4"/>
    <w:rsid w:val="00E6755A"/>
    <w:rsid w:val="00E768DE"/>
    <w:rsid w:val="00E82DC3"/>
    <w:rsid w:val="00E86CC4"/>
    <w:rsid w:val="00E929F0"/>
    <w:rsid w:val="00EA4D15"/>
    <w:rsid w:val="00EB33DF"/>
    <w:rsid w:val="00EC0638"/>
    <w:rsid w:val="00F10F45"/>
    <w:rsid w:val="00F13465"/>
    <w:rsid w:val="00F20998"/>
    <w:rsid w:val="00F33B96"/>
    <w:rsid w:val="00F3548B"/>
    <w:rsid w:val="00F555E3"/>
    <w:rsid w:val="00F829B9"/>
    <w:rsid w:val="00F84092"/>
    <w:rsid w:val="00F84C67"/>
    <w:rsid w:val="00FA50B3"/>
    <w:rsid w:val="00FB05D8"/>
    <w:rsid w:val="00FB55AC"/>
    <w:rsid w:val="00FB7D02"/>
    <w:rsid w:val="00FC325C"/>
    <w:rsid w:val="00FC3852"/>
    <w:rsid w:val="00FD15B5"/>
    <w:rsid w:val="00FD2746"/>
    <w:rsid w:val="00FD474B"/>
    <w:rsid w:val="00FE00B5"/>
    <w:rsid w:val="00FE19AD"/>
    <w:rsid w:val="00FF5F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B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050EB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50EB3"/>
    <w:rPr>
      <w:rFonts w:cs="Times New Roman"/>
      <w:rtl w:val="0"/>
      <w:cs w:val="0"/>
    </w:rPr>
  </w:style>
  <w:style w:type="character" w:customStyle="1" w:styleId="hps">
    <w:name w:val="hps"/>
    <w:basedOn w:val="DefaultParagraphFont"/>
    <w:rsid w:val="00F84C67"/>
    <w:rPr>
      <w:rFonts w:cs="Times New Roman"/>
      <w:rtl w:val="0"/>
      <w:cs w:val="0"/>
    </w:rPr>
  </w:style>
  <w:style w:type="character" w:customStyle="1" w:styleId="atn">
    <w:name w:val="atn"/>
    <w:basedOn w:val="DefaultParagraphFont"/>
    <w:rsid w:val="00F84C6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610AE7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unhideWhenUsed/>
    <w:rsid w:val="006649B4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6649B4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6649B4"/>
    <w:rPr>
      <w:rFonts w:cs="Times New Roman"/>
      <w:vertAlign w:val="superscript"/>
      <w:rtl w:val="0"/>
      <w:cs w:val="0"/>
    </w:rPr>
  </w:style>
  <w:style w:type="paragraph" w:styleId="NormalWeb">
    <w:name w:val="Normal (Web)"/>
    <w:aliases w:val="webb"/>
    <w:basedOn w:val="Normal"/>
    <w:uiPriority w:val="99"/>
    <w:unhideWhenUsed/>
    <w:rsid w:val="009941B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9941BC"/>
    <w:rPr>
      <w:rFonts w:cs="Times New Roman"/>
      <w:b/>
      <w:b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542902"/>
    <w:rPr>
      <w:rFonts w:ascii="Times New Roman" w:hAnsi="Times New Roman" w:cs="Times New Roman"/>
      <w:color w:val="808080"/>
      <w:rtl w:val="0"/>
      <w:cs w:val="0"/>
    </w:rPr>
  </w:style>
  <w:style w:type="paragraph" w:customStyle="1" w:styleId="Odsekzoznamu1">
    <w:name w:val="Odsek zoznamu1"/>
    <w:basedOn w:val="Normal"/>
    <w:uiPriority w:val="99"/>
    <w:rsid w:val="005D27E7"/>
    <w:pPr>
      <w:ind w:left="720"/>
      <w:jc w:val="left"/>
    </w:pPr>
    <w:rPr>
      <w:rFonts w:ascii="Calibri" w:hAnsi="Calibri" w:cs="Calibri"/>
      <w:szCs w:val="22"/>
    </w:rPr>
  </w:style>
  <w:style w:type="paragraph" w:styleId="BodyText">
    <w:name w:val="Body Text"/>
    <w:basedOn w:val="Normal"/>
    <w:link w:val="ZkladntextChar"/>
    <w:uiPriority w:val="99"/>
    <w:rsid w:val="00583D85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83D8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583D85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583D8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583D85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83D8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583D85"/>
    <w:pPr>
      <w:spacing w:after="120" w:line="240" w:lineRule="auto"/>
      <w:ind w:left="283"/>
      <w:jc w:val="left"/>
    </w:pPr>
    <w:rPr>
      <w:rFonts w:ascii="Times New Roman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583D8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ruletitle1">
    <w:name w:val="ruletitle1"/>
    <w:basedOn w:val="DefaultParagraphFont"/>
    <w:rsid w:val="000B75A0"/>
    <w:rPr>
      <w:rFonts w:ascii="Tahoma" w:hAnsi="Tahoma" w:cs="Tahoma"/>
      <w:b/>
      <w:bCs/>
      <w:color w:val="4B4B4B"/>
      <w:sz w:val="22"/>
      <w:szCs w:val="22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874FE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874FE1"/>
    <w:rPr>
      <w:rFonts w:cstheme="minorBidi"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847</Words>
  <Characters>5270</Characters>
  <Application>Microsoft Office Word</Application>
  <DocSecurity>0</DocSecurity>
  <Lines>0</Lines>
  <Paragraphs>0</Paragraphs>
  <ScaleCrop>false</ScaleCrop>
  <Company>mfsr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Bartikova</dc:creator>
  <cp:lastModifiedBy>abartikova</cp:lastModifiedBy>
  <cp:revision>7</cp:revision>
  <cp:lastPrinted>2012-09-20T11:33:00Z</cp:lastPrinted>
  <dcterms:created xsi:type="dcterms:W3CDTF">2012-09-20T11:37:00Z</dcterms:created>
  <dcterms:modified xsi:type="dcterms:W3CDTF">2012-09-28T10:08:00Z</dcterms:modified>
</cp:coreProperties>
</file>