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</w:t>
      </w: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ka</w:t>
      </w:r>
    </w:p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vybraný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ch vplyvov</w:t>
      </w: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A.1. 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zov materiá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 xml:space="preserve">lu: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Návrh zákona o environmentálnom overovaní a registrácii organizácií v schéme Európskej únie pre environmentálne manažérstvo a audit a o zmene a doplnení niektorých zákonov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n zač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atia a 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ukonč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enia PPK: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-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30"/>
        <w:gridCol w:w="1200"/>
        <w:gridCol w:w="1200"/>
        <w:gridCol w:w="1200"/>
      </w:tblGrid>
      <w:tr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A.3. Pozná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mky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8"/>
          <w:szCs w:val="24"/>
        </w:rPr>
        <w:t>Vplyvy na rozpočet verejnej správy,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8"/>
          <w:szCs w:val="24"/>
        </w:rPr>
        <w:t>na zamestnanosť vo verejnej správe a financovanie návrhu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2.1. Zhrnutie vplyvov na rozpočet verejnej správy v návrhu</w:t>
      </w:r>
    </w:p>
    <w:p w:rsidR="00593F1E">
      <w:pPr>
        <w:spacing w:before="0" w:beforeAutospacing="0" w:after="0" w:afterAutospacing="0"/>
        <w:jc w:val="right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0"/>
          <w:szCs w:val="24"/>
        </w:rPr>
        <w:t xml:space="preserve">Tabuľka č. 1 </w:t>
      </w:r>
    </w:p>
    <w:tbl>
      <w:tblPr>
        <w:tblW w:w="9729" w:type="dxa"/>
        <w:tblCellMar>
          <w:left w:w="0" w:type="dxa"/>
          <w:right w:w="0" w:type="dxa"/>
        </w:tblCellMar>
      </w:tblPr>
      <w:tblGrid>
        <w:gridCol w:w="4444"/>
        <w:gridCol w:w="1321"/>
        <w:gridCol w:w="1321"/>
        <w:gridCol w:w="1321"/>
        <w:gridCol w:w="1321"/>
        <w:gridCol w:w="1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194"/>
        </w:trPr>
        <w:tc>
          <w:tcPr>
            <w:tcW w:w="4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OLE_LINK1"/>
            <w:bookmarkEnd w:id="0"/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Vplyvy na 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rozpočet verejnej správy</w:t>
            </w:r>
          </w:p>
        </w:tc>
        <w:tc>
          <w:tcPr>
            <w:tcW w:w="528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Vplyv na rozpočet verejnej správy 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(v eurách)</w:t>
            </w:r>
          </w:p>
        </w:tc>
      </w:tr>
      <w:tr>
        <w:tblPrEx>
          <w:tblW w:w="9729" w:type="dxa"/>
          <w:tblInd w:w="-60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Príjmy verejnej správy celkom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132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125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- 903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- 903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- 903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- 903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125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vplyv na územnú samosprávu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125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SAŽP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903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903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125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Výdavky verejnej správy celkom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v tom: MŽP SR/07604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125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vplyv na územnú samosprávu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z toho vplyv na ŠR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Financovanie zabezpečené v rozpočte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v tom: MŽP SR/07604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</w:tr>
      <w:tr>
        <w:tblPrEx>
          <w:tblW w:w="9729" w:type="dxa"/>
          <w:tblInd w:w="-70" w:type="dxa"/>
          <w:tblCellMar>
            <w:left w:w="0" w:type="dxa"/>
            <w:right w:w="0" w:type="dxa"/>
          </w:tblCellMar>
        </w:tblPrEx>
        <w:trPr>
          <w:gridAfter w:val="1"/>
          <w:trHeight w:hRule="auto" w:val="0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2.2. Financovanie návrhu</w:t>
      </w:r>
    </w:p>
    <w:p w:rsidR="00593F1E">
      <w:pPr>
        <w:spacing w:before="0" w:beforeAutospacing="0" w:after="0" w:afterAutospacing="0"/>
        <w:jc w:val="right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0"/>
          <w:szCs w:val="24"/>
        </w:rPr>
        <w:t>Tabuľka č. 2</w:t>
      </w:r>
    </w:p>
    <w:tbl>
      <w:tblPr>
        <w:tblW w:w="9790" w:type="dxa"/>
        <w:tblCellMar>
          <w:left w:w="0" w:type="dxa"/>
          <w:right w:w="0" w:type="dxa"/>
        </w:tblCellMar>
      </w:tblPr>
      <w:tblGrid>
        <w:gridCol w:w="4127"/>
        <w:gridCol w:w="1320"/>
        <w:gridCol w:w="1320"/>
        <w:gridCol w:w="1320"/>
        <w:gridCol w:w="1703"/>
      </w:tblGrid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Financovanie</w:t>
            </w:r>
          </w:p>
        </w:tc>
        <w:tc>
          <w:tcPr>
            <w:tcW w:w="548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Vplyv na rozpočet verejnej správy 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(v eurách)</w:t>
            </w:r>
          </w:p>
        </w:tc>
      </w:tr>
      <w:tr>
        <w:tblPrEx>
          <w:tblW w:w="9790" w:type="dxa"/>
          <w:tblInd w:w="-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2015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Celkový vplyv na rozpočet verejnej správy ( - príjmy, výdavky)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 z toho vplyv na ŠR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 financovanie zabezpečené v rozpočte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kapitoly MŽP SR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    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    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41 925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41 925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41 925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41 925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 ostatné zdroje financovania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79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Rozpočtovo nekrytý vplyv / úspora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- 903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- 903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- 903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- 903</w:t>
            </w:r>
          </w:p>
        </w:tc>
      </w:tr>
      <w:tr>
        <w:tblPrEx>
          <w:tblW w:w="9790" w:type="dxa"/>
          <w:tblInd w:w="-70" w:type="dxa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Návrh na riešenie úbytku príjmov alebo zvýšených výdavkov podľa § 33 ods. 1 zákona č. 523/2004 Z. z. o rozpočtových pravidlách verejnej správy:</w:t>
      </w:r>
    </w:p>
    <w:p w:rsidR="00593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Negatívny vplyv na rozpočet verejnej správy v dôsledku úbytku príjmu z registrácie vo výške 903 EUR bude kompenzovaný vyššími príjmami z prenájmu budov a z pokút. V prípade neplnenia rozpočtových príjmov bude kapitola viazať výdavky vo výške neplnenia príjmov.</w:t>
      </w:r>
    </w:p>
    <w:p w:rsidR="00593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2.3. Popis a charakteristika návrhu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2.3.1. Popis návrhu: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i/>
          <w:color w:val="000000"/>
          <w:sz w:val="24"/>
          <w:szCs w:val="24"/>
        </w:rPr>
        <w:t> Akú problematiku návrhu rieši? Kto bude návrh implementovať? Kde sa budú služby poskytovať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?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 Navrhovaným zákonom sa bude zabezpečovať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v podmienkach SR aplikácia nariadenia (ES) č. 1221/2009 o dobrovoľnej účasti organizácií v schéme EMAS tzv. nariadenie EMAS III.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Nariadenie EMAS III, ktoré je výsledkom revízie nariadenia (ES) č 761/2001-EMAS II je zamerané na čo najväčšiu podporu neustáleho zlepšovania výsledkov organizácií v oblasti životného prostredia, a to posilnením schémy EMAS - zvýšením jej efektívnosti a príťažlivosti pre organizácie (s cieľom uznať schému EMAS ako štandard pre riadenie životného prostredia, zvýšiť počet organizácií v schéme EMAS ) pričom osobitná pozornosť je venovaná potrebám malých organizácií, inštitucionálnej štruktúre a väzbám s inými politickými nástrojmi Spoločenstva.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Doteraz platný zákon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č. 491/2005 Z. z.,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 ktorý je aplikačným zákonom k nariadeniu EMAS II je nutné nahradiť zákonom, ktorý v rámci inštitucionálneho posilnenia štruktúry schémy EMAS ustanoví orgány presadzovania práva zabezpečujúce vynútiteľnosť a dodržiavanie požiadaviek nariadenia EMAS III ale aj pomoc a podporu organizáciám, ďalej zabezpečenie spolupráce so zainteresovanými stranami a propagáciu schémy EMAS.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To je spojené so zmenou výšky poplatkov za registráciu organizácií v EMAS, s úpravou pokút za správne delikty a  ako aj so zriadením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príslušného orgánu EMAS formou poverenia právnickej osoby výkonom priradených činností. Ministerstvo poverí Slovenskú agentúru životného prostredia - SAŽP a zabezpečí jeho personálne posilnenie pre riadny výkon povinností vyplývajúcich z tohto zákona a nariadenia EMAS III, vzťahujúce sa na organizácie v rámci celej SR, v niektorých prípadoch (združenej registrácie) i na organizácie v rámci EÚ.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V období celej účinnosti zákona č. 491/2005 Z. z. bolo spoplatnených iba 11 konaní príslušného orgánu v celkovej výške 6 318,5 €, čo predstavuje v priemere 903 €/rok príjem do ŠR.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Novým zákonom sa navrhuje, aby poplatky boli príjmom právnickej osoby poverenej ministerstvom výkonom registrácie - Slovenskej agentúry životného prostredia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 - príspevkovej organizácii v zriaďovateľskej pôsobnosti Ministerstva životného prostredia Slovenskej republiky, ktorej poplatky doplnia finančné prostriedky poskytované na jej činnosť z rozpočtu kapitoly MŽP SR realizované formou bežného transferu. Tým z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avedenie právnej úpravy sa neprejaví vo zvýšených výdavkoch MŽP SR 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V súčasnosti potenciál schémy EMAS nie je dostatočne využívaný organizáciami v SR (doteraz bolo zaregistrovaných 7 organizácií), nemožno predvídať presné zvýšenie počtu registrovaných organizácií v EMAS, ktoré je závisle na slobodnom - dobrovoľnom rozhodnutí organizácií, preto navrhovaný zákon z hľadiska vplyvu na rozpočet verejnej správy nie je možné kvantifikovať.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Predikcia rastu počtu registrovaných organizácií v EMAS ako aj kvantifikácia nákladov a vplyvov rôznych opatrení bude predmetom samostatného materiálu „Stratégia podpory a propagácie schémy EMAS“, vypracovanie ktorého v zmysle § 4 ods. 2 navrhovaného zákona zabezpečí MŽP SR; a po jeho posúdení bude predložený vláde SR. 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2.3.2. Charakteristika návrhu podľa bodu  2.3.2. Metodiky :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  <w:bdr w:val="single" w:sz="8" w:space="0" w:color="000000"/>
        </w:rPr>
        <w:t xml:space="preserve">    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 zmena sadzby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  <w:bdr w:val="single" w:sz="8" w:space="0" w:color="000000"/>
        </w:rPr>
        <w:t xml:space="preserve">    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 zmena v nároku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  <w:bdr w:val="single" w:sz="8" w:space="0" w:color="000000"/>
        </w:rPr>
        <w:t xml:space="preserve">    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 nová služba alebo nariadenie (alebo ich zrušenie)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  <w:bdr w:val="single" w:sz="8" w:space="0" w:color="000000"/>
        </w:rPr>
        <w:t xml:space="preserve">    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 kombinovaný návrh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  <w:bdr w:val="single" w:sz="8" w:space="0" w:color="000000"/>
        </w:rPr>
        <w:t xml:space="preserve">    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  iné 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 Úprava pokuty za správne delikty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V navrhovanom zákone základná sadzba pokuty za správne delikty sa zvyšuje o 3 403,04 EUR (z 16 596,96 EUR na 20 000,00 Eur). </w:t>
      </w:r>
    </w:p>
    <w:tbl>
      <w:tblPr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2921"/>
        <w:gridCol w:w="3283"/>
        <w:gridCol w:w="3126"/>
      </w:tblGrid>
      <w:tr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Zákon č.491/2005 Z. z.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§16</w:t>
            </w:r>
          </w:p>
        </w:tc>
        <w:tc>
          <w:tcPr>
            <w:tcW w:w="310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Návrh zákona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§6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286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Pokuta za neoprávnené používanie loga EMAS</w:t>
            </w:r>
          </w:p>
        </w:tc>
        <w:tc>
          <w:tcPr>
            <w:tcW w:w="32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do 50 0000 SK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do 16 596,96 EUR</w:t>
            </w:r>
          </w:p>
        </w:tc>
        <w:tc>
          <w:tcPr>
            <w:tcW w:w="31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Od 2000 do 20 000 Eur</w:t>
            </w:r>
          </w:p>
        </w:tc>
      </w:tr>
    </w:tbl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Výnosy z pokút sú príjmom Environmentálneho fondu.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Za obdobie účinnosti Zákon č. 491/2005 Z. z. (od 1.1.2006 ) nebola uložená sankcia za neoprávnené používanie loga EMAS.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Zmena výšky poplatkov 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V zmysle platného zákona výška poplatku za registráciu, predĺženie registrácie, zrušenie pozastavenia registrácie je stanovená položkami 171h až 171j sadzobníka zákon NR SR č.145/1995 Z. z. o správnych poplatkoch (príjem do ŠR).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V navrhovanom zákone poplatky stanovuje §2 ods. 4 až ods. 8 (príjem poplatkov-právnická osoba poverená ministerstvom).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Úpravy týkajúce sa výšky poplatku a diferenciácie podľa typu organizácie vyplývajú z ustanovení nariadenia EMAS III a usmernení k tomuto nariadeniu.</w:t>
      </w:r>
    </w:p>
    <w:p w:rsidR="00593F1E">
      <w:pPr>
        <w:spacing w:before="0" w:beforeAutospacing="0" w:after="0" w:afterAutospacing="0"/>
        <w:ind w:firstLine="708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Výška poplatkov za prvú registráciu organizácie v EMAS sa pre organizácie nad 250 zamestnancov znižuje o 40 %, pre organizácie s počtom zamestnancov 50-249 sa znižuje o 50 %. Pre organizácie do 49 zamestnancov sa ponecháva sadzba približne v pôvodnej úrovni s tým, že sa zavádza nová sadzba o 50 % nižšia pre organizácie s počtom zamestnancov do 9. Primerane k výške poplatku za prvú registráciu sú upravené poplatky za predĺženie registrácie a zrušenie registrácie</w:t>
      </w:r>
      <w:r>
        <w:rPr>
          <w:rStyle w:val="DefaultParagraphFont"/>
          <w:rFonts w:ascii="Times New Roman" w:hAnsi="Times New Roman"/>
          <w:b/>
          <w:color w:val="FF6600"/>
          <w:sz w:val="24"/>
          <w:szCs w:val="24"/>
        </w:rPr>
        <w:t>.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(údaje sú v €).</w:t>
      </w:r>
    </w:p>
    <w:p w:rsidR="00593F1E">
      <w:pPr>
        <w:spacing w:before="0" w:beforeAutospacing="0" w:after="0" w:afterAutospacing="0"/>
        <w:ind w:firstLine="708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tbl>
      <w:tblPr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1686"/>
        <w:gridCol w:w="2316"/>
        <w:gridCol w:w="1960"/>
        <w:gridCol w:w="1521"/>
        <w:gridCol w:w="1848"/>
      </w:tblGrid>
      <w:tr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607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Typ organizácie</w:t>
            </w:r>
          </w:p>
        </w:tc>
        <w:tc>
          <w:tcPr>
            <w:tcW w:w="2598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Registrácia prvýkrát</w:t>
            </w:r>
          </w:p>
        </w:tc>
        <w:tc>
          <w:tcPr>
            <w:tcW w:w="1620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Predĺženie registrácie</w:t>
            </w:r>
          </w:p>
        </w:tc>
        <w:tc>
          <w:tcPr>
            <w:tcW w:w="1632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Zrušenie pozastavenia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18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Malá organizácia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mikro podnik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do 9</w:t>
            </w:r>
          </w:p>
        </w:tc>
        <w:tc>
          <w:tcPr>
            <w:tcW w:w="259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Návrh zákona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33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11,00</w:t>
            </w:r>
          </w:p>
        </w:tc>
        <w:tc>
          <w:tcPr>
            <w:tcW w:w="163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16,00</w:t>
            </w:r>
          </w:p>
        </w:tc>
      </w:tr>
      <w:tr>
        <w:tblPrEx>
          <w:tblInd w:w="-98" w:type="dxa"/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Zákon č.491/2005 Z.z.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-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-</w:t>
            </w:r>
          </w:p>
        </w:tc>
        <w:tc>
          <w:tcPr>
            <w:tcW w:w="163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-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18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Malá organizácia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malý podnik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10-49</w:t>
            </w:r>
          </w:p>
        </w:tc>
        <w:tc>
          <w:tcPr>
            <w:tcW w:w="259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Návrh zákona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66,00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22,00</w:t>
            </w:r>
          </w:p>
        </w:tc>
        <w:tc>
          <w:tcPr>
            <w:tcW w:w="163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33,00</w:t>
            </w:r>
          </w:p>
        </w:tc>
      </w:tr>
      <w:tr>
        <w:tblPrEx>
          <w:tblInd w:w="-98" w:type="dxa"/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Zákon č.491/2005 Z.z.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(171h) 66,39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(171i )16,59</w:t>
            </w:r>
          </w:p>
        </w:tc>
        <w:tc>
          <w:tcPr>
            <w:tcW w:w="163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(171j )33,19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18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Malá organizácia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stredný podnik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50-249</w:t>
            </w:r>
          </w:p>
        </w:tc>
        <w:tc>
          <w:tcPr>
            <w:tcW w:w="259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Návrh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330,00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110,00</w:t>
            </w:r>
          </w:p>
        </w:tc>
        <w:tc>
          <w:tcPr>
            <w:tcW w:w="163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165,00</w:t>
            </w:r>
          </w:p>
        </w:tc>
      </w:tr>
      <w:tr>
        <w:tblPrEx>
          <w:tblInd w:w="-98" w:type="dxa"/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Zákon č.491/2005 Z.z.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(171h) 663,87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(171i )165,97</w:t>
            </w:r>
          </w:p>
        </w:tc>
        <w:tc>
          <w:tcPr>
            <w:tcW w:w="163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(171j )331,94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18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Ostatné organizácie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250 </w:t>
            </w:r>
          </w:p>
        </w:tc>
        <w:tc>
          <w:tcPr>
            <w:tcW w:w="259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Návrh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1000,00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333,00</w:t>
            </w:r>
          </w:p>
        </w:tc>
        <w:tc>
          <w:tcPr>
            <w:tcW w:w="163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500,00</w:t>
            </w:r>
          </w:p>
        </w:tc>
      </w:tr>
      <w:tr>
        <w:tblPrEx>
          <w:tblInd w:w="-98" w:type="dxa"/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Zákon č.491/2005 Z.z.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(171h )1659,5</w:t>
            </w:r>
          </w:p>
        </w:tc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(171i )497,91</w:t>
            </w:r>
          </w:p>
        </w:tc>
        <w:tc>
          <w:tcPr>
            <w:tcW w:w="163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(171j )829,84</w:t>
            </w:r>
          </w:p>
        </w:tc>
      </w:tr>
    </w:tbl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i/>
          <w:color w:val="000000"/>
          <w:sz w:val="24"/>
          <w:szCs w:val="24"/>
        </w:rPr>
        <w:t>Od poplatkov sú oslobodené malé organizácie miestnych a verejných orgánov.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i/>
          <w:color w:val="000000"/>
          <w:sz w:val="24"/>
          <w:szCs w:val="24"/>
        </w:rPr>
        <w:t xml:space="preserve">Právnická osoba poverená ministerstvom môže znížiť poplatok v prípade združenej registrácie až o jednu tretinu sadzby 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2.3.3. Predpoklady vývoja objemu aktivít: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ind w:firstLine="708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Jasne popíšte, v prípade potreby použite nižšie uvedenú tabuľku. Uveďte aj odhady základov daní a/alebo poplatkov, ak sa ich táto zmena týka.</w:t>
      </w:r>
    </w:p>
    <w:p w:rsidR="00593F1E">
      <w:pPr>
        <w:spacing w:before="0" w:beforeAutospacing="0" w:after="0" w:afterAutospacing="0"/>
        <w:jc w:val="right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 xml:space="preserve">Tabuľka č. 3 </w:t>
      </w:r>
    </w:p>
    <w:tbl>
      <w:tblPr>
        <w:tblCellMar>
          <w:left w:w="0" w:type="dxa"/>
          <w:right w:w="0" w:type="dxa"/>
        </w:tblCellMar>
      </w:tblPr>
      <w:tblGrid>
        <w:gridCol w:w="3986"/>
        <w:gridCol w:w="1324"/>
        <w:gridCol w:w="1350"/>
        <w:gridCol w:w="1350"/>
        <w:gridCol w:w="1350"/>
      </w:tblGrid>
      <w:tr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Objem aktivít</w:t>
            </w:r>
          </w:p>
        </w:tc>
        <w:tc>
          <w:tcPr>
            <w:tcW w:w="481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Odhadované objemy</w:t>
            </w:r>
          </w:p>
        </w:tc>
      </w:tr>
      <w:tr>
        <w:tblPrEx>
          <w:tblInd w:w="-9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2011r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2011 2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2011 3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Indikátor ABC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Indikátor KLM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Indikátor XYZ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Ind w:w="-108" w:type="dxa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Registrácia organizácií v schéme EMAS, predĺženie, ako aj pozastavenie platnosti registrácie a vymazanie organizácie z registra organizácií začlenených do schémy EMAS bude hlavnou aktivitou príslušného orgánu – ktorá bude spoplatnená v zmysle § 2 ods. 4 až ods. 8 navrhovaného zákona.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V období účinnosti zákona č. 491/2005 Z. z. o environmentálnom overovaní a registrácii organizácií v schéme EMAS (od 1.1.2006 do 31.8.2011) bolo spoplatnených 11 konaní príslušného orgánu v celkovej výške 6 318,5 €, čo predstavuje v priemere 903 €/rok príjem do ŠR.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V piatich prípadoch išlo o prvú registráciu</w:t>
      </w:r>
      <w:r>
        <w:rPr>
          <w:rStyle w:val="DefaultParagraphFont"/>
          <w:rFonts w:ascii="Times New Roman" w:hAnsi="Times New Roman"/>
          <w:b/>
          <w:color w:val="FF6600"/>
          <w:sz w:val="24"/>
          <w:szCs w:val="24"/>
        </w:rPr>
        <w:t xml:space="preserve">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organizácie (z toho veľkostná kategória 2 Malé, 3 Ostatné) a v šiestich prípadoch o predĺženie registrácie (z toho veľkostná kategória 3 Malé, 1 Stredná, 2 Ostatné).</w:t>
      </w:r>
    </w:p>
    <w:p w:rsidR="00593F1E">
      <w:pPr>
        <w:spacing w:before="100" w:beforeAutospacing="0" w:after="0" w:afterAutospacing="0"/>
        <w:ind w:right="74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Prehľad jednotlivých konaní príslušného orgánu spoplatnených podľa zákona č.491/2005 Z. z. uvádza tabuľka (údaje sú v €).</w:t>
      </w:r>
    </w:p>
    <w:tbl>
      <w:tblPr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67"/>
        <w:gridCol w:w="2404"/>
        <w:gridCol w:w="651"/>
        <w:gridCol w:w="651"/>
        <w:gridCol w:w="801"/>
        <w:gridCol w:w="801"/>
        <w:gridCol w:w="651"/>
        <w:gridCol w:w="701"/>
        <w:gridCol w:w="651"/>
        <w:gridCol w:w="651"/>
        <w:gridCol w:w="801"/>
      </w:tblGrid>
      <w:tr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P.č.</w:t>
            </w:r>
          </w:p>
        </w:tc>
        <w:tc>
          <w:tcPr>
            <w:tcW w:w="240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Organizácia registrovaná v EMAS</w:t>
            </w:r>
          </w:p>
        </w:tc>
        <w:tc>
          <w:tcPr>
            <w:tcW w:w="65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V.K.</w:t>
            </w:r>
          </w:p>
        </w:tc>
        <w:tc>
          <w:tcPr>
            <w:tcW w:w="65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2005</w:t>
            </w:r>
          </w:p>
        </w:tc>
        <w:tc>
          <w:tcPr>
            <w:tcW w:w="80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2006</w:t>
            </w:r>
          </w:p>
        </w:tc>
        <w:tc>
          <w:tcPr>
            <w:tcW w:w="80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2007</w:t>
            </w:r>
          </w:p>
        </w:tc>
        <w:tc>
          <w:tcPr>
            <w:tcW w:w="65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2008</w:t>
            </w:r>
          </w:p>
        </w:tc>
        <w:tc>
          <w:tcPr>
            <w:tcW w:w="70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2009</w:t>
            </w:r>
          </w:p>
        </w:tc>
        <w:tc>
          <w:tcPr>
            <w:tcW w:w="65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2010</w:t>
            </w:r>
          </w:p>
        </w:tc>
        <w:tc>
          <w:tcPr>
            <w:tcW w:w="65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2011</w:t>
            </w:r>
          </w:p>
        </w:tc>
        <w:tc>
          <w:tcPr>
            <w:tcW w:w="80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Σ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</w:p>
        </w:tc>
        <w:tc>
          <w:tcPr>
            <w:tcW w:w="2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Qeulle spol. s r.o.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Bratislava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(2001)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S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165,5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165,5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</w:t>
            </w:r>
          </w:p>
        </w:tc>
        <w:tc>
          <w:tcPr>
            <w:tcW w:w="2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Messer Slovnaft, s r.o.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Bratislava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(2004)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16,5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16,5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33,0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</w:t>
            </w:r>
          </w:p>
        </w:tc>
        <w:tc>
          <w:tcPr>
            <w:tcW w:w="2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Continentál Matador Rubber spol s r.o.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Púchov (2006)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O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R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1659,5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1659,5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</w:t>
            </w:r>
          </w:p>
        </w:tc>
        <w:tc>
          <w:tcPr>
            <w:tcW w:w="2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INA Kysuce, a.s.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Kysucké Nové Mesto(2007)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O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R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1659,5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497,5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2156,0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5</w:t>
            </w:r>
          </w:p>
        </w:tc>
        <w:tc>
          <w:tcPr>
            <w:tcW w:w="2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INA Skalica, spol s r.o.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Skalica(2007)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O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R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1659,5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497,5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2156,0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</w:t>
            </w:r>
          </w:p>
        </w:tc>
        <w:tc>
          <w:tcPr>
            <w:tcW w:w="2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SEWA, a.s.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Bratislava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(2008)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R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66,0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16,5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82,5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7</w:t>
            </w:r>
          </w:p>
        </w:tc>
        <w:tc>
          <w:tcPr>
            <w:tcW w:w="2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CENVIS, s.r.o.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Bratislava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(2010)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R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66,0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66,0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Spolu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-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1659,5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3501,0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66,0</w:t>
            </w:r>
          </w:p>
        </w:tc>
        <w:tc>
          <w:tcPr>
            <w:tcW w:w="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995,0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66,0</w:t>
            </w:r>
          </w:p>
        </w:tc>
        <w:tc>
          <w:tcPr>
            <w:tcW w:w="6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33,0</w:t>
            </w:r>
          </w:p>
        </w:tc>
        <w:tc>
          <w:tcPr>
            <w:tcW w:w="8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6318,5</w:t>
            </w:r>
          </w:p>
        </w:tc>
      </w:tr>
    </w:tbl>
    <w:p w:rsidR="00593F1E">
      <w:pPr>
        <w:spacing w:before="0" w:beforeAutospacing="0" w:after="280" w:afterAutospacing="1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Legenda: R –registrácia prvýkrát, P – predĺženie registrácie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 xml:space="preserve">Organizácie pod p. č. </w:t>
      </w: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1 a</w:t>
      </w: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 xml:space="preserve"> 2 boli zaregistrované v zmysle ešte zákona č.468/2002 Z. z. o systéme environmentálne orientovaného riadenia a auditu v znení zákona č. 587/2004 Z. z. Organizácie pod p. č. </w:t>
      </w: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1 a</w:t>
      </w: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 xml:space="preserve"> 3 boli vyškrtnuté z registra schémy EMAS</w:t>
      </w:r>
      <w:r>
        <w:rPr>
          <w:rStyle w:val="DefaultParagraphFont"/>
          <w:rFonts w:ascii="Times New Roman" w:hAnsi="Times New Roman"/>
          <w:b/>
          <w:color w:val="FF6600"/>
          <w:sz w:val="20"/>
          <w:szCs w:val="24"/>
        </w:rPr>
        <w:t>.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Pre obdobie účinnosti nového zákona v súčasnosti nie je možné predvídať presné zvýšenie počtu registrovaných organizácií v schéme EMAS postavenej na slobodnom - dobrovoľnom rozhodnutí organizácií. Novým zákonom sa navrhuje, aby poplatky boli príjmom právnickej osoby poverenej ministerstvom výkonom registrácie.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2.3.4. Výpočty vplyvov na verejné financie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ind w:firstLine="708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Uveďte najdôležitejšie výpočty, ktoré boli použité na 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  <w:u w:val="single"/>
        </w:rPr>
        <w:t>stanovenie vplyvov na príjmy a výdavky,</w:t>
      </w: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 ako aj predpoklady, z ktorých ste vychádzali. Predkladateľ by mal jasne odlíšiť podklady od kapitol a organizácií, aby bolo jasne vidieť základ použitý na výpočty.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 xml:space="preserve"> Tabuľka č. 4 </w:t>
      </w:r>
    </w:p>
    <w:tbl>
      <w:tblPr>
        <w:tblW w:w="10230" w:type="dxa"/>
        <w:tblCellMar>
          <w:left w:w="0" w:type="dxa"/>
          <w:right w:w="0" w:type="dxa"/>
        </w:tblCellMar>
      </w:tblPr>
      <w:tblGrid>
        <w:gridCol w:w="3444"/>
        <w:gridCol w:w="1149"/>
        <w:gridCol w:w="1149"/>
        <w:gridCol w:w="1149"/>
        <w:gridCol w:w="1149"/>
        <w:gridCol w:w="1"/>
        <w:gridCol w:w="2189"/>
        <w:gridCol w:w="1"/>
      </w:tblGrid>
      <w:tr>
        <w:tblPrEx>
          <w:tblW w:w="10230" w:type="dxa"/>
          <w:tblCellMar>
            <w:left w:w="0" w:type="dxa"/>
            <w:right w:w="0" w:type="dxa"/>
          </w:tblCellMar>
        </w:tblPrEx>
        <w:trPr>
          <w:gridAfter w:val="1"/>
          <w:trHeight w:val="240"/>
        </w:trPr>
        <w:tc>
          <w:tcPr>
            <w:tcW w:w="3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Príjmy (v eurách)</w:t>
            </w:r>
          </w:p>
        </w:tc>
        <w:tc>
          <w:tcPr>
            <w:tcW w:w="44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Vplyv na rozpočet verejnej správy</w:t>
            </w: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poznámka</w:t>
            </w:r>
          </w:p>
        </w:tc>
      </w:tr>
      <w:tr>
        <w:tblPrEx>
          <w:tblW w:w="10230" w:type="dxa"/>
          <w:tblInd w:w="-60" w:type="dxa"/>
          <w:tblCellMar>
            <w:left w:w="0" w:type="dxa"/>
            <w:right w:w="0" w:type="dxa"/>
          </w:tblCellMar>
        </w:tblPrEx>
        <w:trPr>
          <w:gridAfter w:val="1"/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0230" w:type="dxa"/>
          <w:tblCellMar>
            <w:left w:w="0" w:type="dxa"/>
            <w:right w:w="0" w:type="dxa"/>
          </w:tblCellMar>
        </w:tblPrEx>
        <w:trPr>
          <w:gridAfter w:val="1"/>
          <w:trHeight w:val="240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Daňové príjmy (100)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0230" w:type="dxa"/>
          <w:tblCellMar>
            <w:left w:w="0" w:type="dxa"/>
            <w:right w:w="0" w:type="dxa"/>
          </w:tblCellMar>
        </w:tblPrEx>
        <w:trPr>
          <w:gridAfter w:val="1"/>
          <w:trHeight w:val="240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Nedaňové príjmy (200)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0230" w:type="dxa"/>
          <w:tblCellMar>
            <w:left w:w="0" w:type="dxa"/>
            <w:right w:w="0" w:type="dxa"/>
          </w:tblCellMar>
        </w:tblPrEx>
        <w:trPr>
          <w:gridAfter w:val="1"/>
          <w:trHeight w:val="240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Granty a transfery (300)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0230" w:type="dxa"/>
          <w:tblCellMar>
            <w:left w:w="0" w:type="dxa"/>
            <w:right w:w="0" w:type="dxa"/>
          </w:tblCellMar>
        </w:tblPrEx>
        <w:trPr>
          <w:gridAfter w:val="1"/>
          <w:trHeight w:val="240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Príjmy z transakcií s finančnými aktívami a finančnými pasívami (400)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0230" w:type="dxa"/>
          <w:tblCellMar>
            <w:left w:w="0" w:type="dxa"/>
            <w:right w:w="0" w:type="dxa"/>
          </w:tblCellMar>
        </w:tblPrEx>
        <w:trPr>
          <w:gridAfter w:val="1"/>
          <w:trHeight w:val="240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Prijaté úvery, pôžičky a návratné finančné výpomoci (500)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0230" w:type="dxa"/>
          <w:tblCellMar>
            <w:left w:w="0" w:type="dxa"/>
            <w:right w:w="0" w:type="dxa"/>
          </w:tblCellMar>
        </w:tblPrEx>
        <w:trPr>
          <w:gridAfter w:val="1"/>
          <w:trHeight w:val="240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Dopad na príjmy verejnej správy celkom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1 –  príjmy rozpísať až do položiek platnej ekonomickej klasifikácie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ind w:right="-578"/>
        <w:jc w:val="right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 </w:t>
      </w: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 xml:space="preserve">Tabuľka č. 5 </w:t>
      </w:r>
    </w:p>
    <w:tbl>
      <w:tblPr>
        <w:tblCellMar>
          <w:left w:w="0" w:type="dxa"/>
          <w:right w:w="0" w:type="dxa"/>
        </w:tblCellMar>
      </w:tblPr>
      <w:tblGrid>
        <w:gridCol w:w="4056"/>
        <w:gridCol w:w="1188"/>
        <w:gridCol w:w="1011"/>
        <w:gridCol w:w="1011"/>
        <w:gridCol w:w="1013"/>
        <w:gridCol w:w="1"/>
        <w:gridCol w:w="1079"/>
        <w:gridCol w:w="1"/>
      </w:tblGrid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Výdavky (v eurách)</w:t>
            </w:r>
          </w:p>
        </w:tc>
        <w:tc>
          <w:tcPr>
            <w:tcW w:w="42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Vplyv na rozpočet verejnej správy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poznám</w:t>
            </w:r>
          </w:p>
        </w:tc>
      </w:tr>
      <w:tr>
        <w:tblPrEx>
          <w:tblInd w:w="-60" w:type="dxa"/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Bežné výdavky (600)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  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 41 925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Mzdy, platy, služobné príjmy a ostatné osobné vyrovnania (610)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Poistné a príspevok do poisťovní (620)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Tovary a služby (630)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Bežné transfery (640)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</w:rPr>
              <w:t>2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30"/>
                <w:szCs w:val="24"/>
                <w:vertAlign w:val="superscript"/>
              </w:rPr>
              <w:t xml:space="preserve">z toho 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30"/>
                <w:szCs w:val="24"/>
                <w:vertAlign w:val="superscript"/>
              </w:rPr>
              <w:t>SAŽP/07604 – 641 001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41 925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41 925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41 925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41 925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Splácanie úrokov a ostatné platby súvisiace s úvermi, pôžičkami a NFV (650)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Kapitálové výdavky (700)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Obstarávanie kapitálových aktív (710)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Kapitálové transfery (720)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Výdavky z transakcií s finančnými aktívami a finančnými pasívami (800)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Dopad na výdavky verejnej správy celkom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4414411925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  z toho výdavky na ŠR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 Bežné výdavky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(600)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41 925 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Mzdy, platy, služobné príjmy a ostatné osobné vyrovnania (610)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Kapitálové výdavky (700)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gridAfter w:val="1"/>
          <w:trHeight w:val="25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Výdavky z transakcií s finančnými aktívami a finančnými pasívami (800)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593F1E">
      <w:pPr>
        <w:spacing w:before="0" w:beforeAutospacing="0" w:after="0" w:afterAutospacing="0"/>
        <w:ind w:left="-900" w:firstLine="900"/>
        <w:jc w:val="both"/>
        <w:rPr>
          <w:rStyle w:val="DefaultParagraphFont"/>
          <w:rFonts w:ascii="Times New Roman" w:hAnsi="Times New Roman"/>
          <w:b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2 –  výdavky rozpísať až do položiek platnej ekonomickej klasifikácie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br w:type="page"/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8"/>
          <w:szCs w:val="24"/>
        </w:rPr>
        <w:t>Vplyvy na podnikateľské prostredie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tbl>
      <w:tblPr>
        <w:tblCellMar>
          <w:left w:w="0" w:type="dxa"/>
          <w:right w:w="0" w:type="dxa"/>
        </w:tblCellMar>
      </w:tblPr>
      <w:tblGrid>
        <w:gridCol w:w="1913"/>
        <w:gridCol w:w="7447"/>
      </w:tblGrid>
      <w:tr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9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4"/>
                <w:szCs w:val="24"/>
              </w:rPr>
              <w:t>Vplyvy na podnikateľské prostredie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3.1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. Ktoré podnikateľské subjekty budú predkladaným návrhom ovplyvnené a aký je ich počet?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Predkladaný návrh zákona zabezpečuje implementáciu nariadenia (ES) č 1221/2009 - EMAS III v podmienkach Slovenska.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Schéma EMAS III je určená pre podnikateľské subjekty (právnicke osoby, fyzické osoby) zo všetkých sektorov ako aj pre iné organizácie, inštitúcie (verejné alebo súkromné), ktoré majú vlastnú funkciu a správu; nachádzajúcesa v rámci EÚ i mimo nej.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Z organizácií na území Slovenska využilo možnosť registrácie v schéme EMAS II iba 7 organizácií.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3.2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. Aký je predpokladaný charakter a rozsah nákladov a prínosov?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Na ilustráciu rozsahu a štruktúry nákladov a prínosov organizácií v schéme EMAS použijeme údaje z reprezentačnej štúdie o nákladoch a prínosoch vypracovanej pre Európsku komisiu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Priemerné náklady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organizácií z členských štátov  EÚ v prvom roku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v schéme EMAS </w:t>
            </w:r>
          </w:p>
          <w:tbl>
            <w:tblPr>
              <w:tblCellMar>
                <w:left w:w="0" w:type="dxa"/>
                <w:right w:w="0" w:type="dxa"/>
              </w:tblCellMar>
            </w:tblPr>
            <w:tblGrid>
              <w:gridCol w:w="1846"/>
              <w:gridCol w:w="1016"/>
              <w:gridCol w:w="1137"/>
              <w:gridCol w:w="1277"/>
              <w:gridCol w:w="1370"/>
            </w:tblGrid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450"/>
              </w:trPr>
              <w:tc>
                <w:tcPr>
                  <w:tcW w:w="178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NÁKLADY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BBE0E3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Mikro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podnik</w:t>
                  </w:r>
                </w:p>
              </w:tc>
              <w:tc>
                <w:tcPr>
                  <w:tcW w:w="11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BBE0E3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Malý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podnik</w:t>
                  </w:r>
                </w:p>
              </w:tc>
              <w:tc>
                <w:tcPr>
                  <w:tcW w:w="1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BBE0E3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Stredný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podnik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BBE0E3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Veľký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podnik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1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EXTERNÉ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3700</w:t>
                  </w:r>
                </w:p>
              </w:tc>
              <w:tc>
                <w:tcPr>
                  <w:tcW w:w="11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6300</w:t>
                  </w:r>
                </w:p>
              </w:tc>
              <w:tc>
                <w:tcPr>
                  <w:tcW w:w="1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5900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7800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1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INTERNÉ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7100</w:t>
                  </w:r>
                </w:p>
              </w:tc>
              <w:tc>
                <w:tcPr>
                  <w:tcW w:w="11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14600</w:t>
                  </w:r>
                </w:p>
              </w:tc>
              <w:tc>
                <w:tcPr>
                  <w:tcW w:w="1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17100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35800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282"/>
              </w:trPr>
              <w:tc>
                <w:tcPr>
                  <w:tcW w:w="1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FIXNÉ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11700</w:t>
                  </w:r>
                </w:p>
              </w:tc>
              <w:tc>
                <w:tcPr>
                  <w:tcW w:w="11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17300</w:t>
                  </w:r>
                </w:p>
              </w:tc>
              <w:tc>
                <w:tcPr>
                  <w:tcW w:w="1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17000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23000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1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SPOLU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22 500</w:t>
                  </w:r>
                </w:p>
              </w:tc>
              <w:tc>
                <w:tcPr>
                  <w:tcW w:w="11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38 200</w:t>
                  </w:r>
                </w:p>
              </w:tc>
              <w:tc>
                <w:tcPr>
                  <w:tcW w:w="1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40 100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66 600</w:t>
                  </w:r>
                </w:p>
              </w:tc>
            </w:tr>
          </w:tbl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Náklady boli počítané podľa šandardného nákladového modelu SCM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Pre externé náklady cena externého konzultanta 251 / 500 až 750 €/deň.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Pre interné náklady cena interného experta 251 -500 €/deň a interného administratívneho pracovníka do 250€/deň ( na vývoj a udržiavanie systému, dokumentácia, školenia,)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Do fixných nákladov boli započítané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  <w:u w:val="single"/>
              </w:rPr>
              <w:t>poplatky za registráciu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, poplatky za overenie a validáciu , kapitálové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náklady IT systémov a fixné náklady na logo.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Podiel fixných nákladov na celkových nákladoch klesal od 52% pri mikro organizáciách, cca 45% pri malých organizáciách, 42% pri stredných organizáciách po 34% pri veľkých organizáciách. 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Uvedené zistenie boli i dôvodom na zníženie poplatkov za registráciu celkove i diferencovane v  návrhu zákona. 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Prínosy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boli vypočítané z úspor energie a zdrojov:</w:t>
            </w:r>
          </w:p>
          <w:tbl>
            <w:tblPr>
              <w:tblCellMar>
                <w:left w:w="0" w:type="dxa"/>
                <w:right w:w="0" w:type="dxa"/>
              </w:tblCellMar>
            </w:tblPr>
            <w:tblGrid>
              <w:gridCol w:w="1707"/>
              <w:gridCol w:w="1242"/>
              <w:gridCol w:w="1427"/>
              <w:gridCol w:w="1472"/>
              <w:gridCol w:w="1440"/>
            </w:tblGrid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390"/>
              </w:trPr>
              <w:tc>
                <w:tcPr>
                  <w:tcW w:w="1775" w:type="dxa"/>
                  <w:tcBorders>
                    <w:top w:val="single" w:sz="8" w:space="0" w:color="FFFFFF"/>
                    <w:left w:val="single" w:sz="8" w:space="0" w:color="FFFFFF"/>
                    <w:bottom w:val="single" w:sz="1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BBE0E3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Podnik</w:t>
                  </w:r>
                </w:p>
              </w:tc>
              <w:tc>
                <w:tcPr>
                  <w:tcW w:w="1312" w:type="dxa"/>
                  <w:tcBorders>
                    <w:top w:val="single" w:sz="8" w:space="0" w:color="FFFFFF"/>
                    <w:left w:val="single" w:sz="8" w:space="0" w:color="FFFFFF"/>
                    <w:bottom w:val="single" w:sz="1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BBE0E3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Mikro</w:t>
                  </w:r>
                </w:p>
              </w:tc>
              <w:tc>
                <w:tcPr>
                  <w:tcW w:w="1536" w:type="dxa"/>
                  <w:tcBorders>
                    <w:top w:val="single" w:sz="8" w:space="0" w:color="FFFFFF"/>
                    <w:left w:val="single" w:sz="8" w:space="0" w:color="FFFFFF"/>
                    <w:bottom w:val="single" w:sz="1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BBE0E3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Malý</w:t>
                  </w:r>
                </w:p>
              </w:tc>
              <w:tc>
                <w:tcPr>
                  <w:tcW w:w="1551" w:type="dxa"/>
                  <w:tcBorders>
                    <w:top w:val="single" w:sz="8" w:space="0" w:color="FFFFFF"/>
                    <w:left w:val="single" w:sz="8" w:space="0" w:color="FFFFFF"/>
                    <w:bottom w:val="single" w:sz="1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BBE0E3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Stredný</w:t>
                  </w:r>
                </w:p>
              </w:tc>
              <w:tc>
                <w:tcPr>
                  <w:tcW w:w="1536" w:type="dxa"/>
                  <w:tcBorders>
                    <w:top w:val="single" w:sz="8" w:space="0" w:color="FFFFFF"/>
                    <w:left w:val="single" w:sz="8" w:space="0" w:color="FFFFFF"/>
                    <w:bottom w:val="single" w:sz="1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BBE0E3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Veľký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1200"/>
              </w:trPr>
              <w:tc>
                <w:tcPr>
                  <w:tcW w:w="1775" w:type="dxa"/>
                  <w:tcBorders>
                    <w:top w:val="single" w:sz="1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Potenciálne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úspory 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zo zvýšenej efektívnosti</w:t>
                  </w:r>
                </w:p>
              </w:tc>
              <w:tc>
                <w:tcPr>
                  <w:tcW w:w="1312" w:type="dxa"/>
                  <w:tcBorders>
                    <w:top w:val="single" w:sz="1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3 000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až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10 000</w:t>
                  </w:r>
                </w:p>
              </w:tc>
              <w:tc>
                <w:tcPr>
                  <w:tcW w:w="1536" w:type="dxa"/>
                  <w:tcBorders>
                    <w:top w:val="single" w:sz="1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20 000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až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1551" w:type="dxa"/>
                  <w:tcBorders>
                    <w:top w:val="single" w:sz="1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až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536" w:type="dxa"/>
                  <w:tcBorders>
                    <w:top w:val="single" w:sz="1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až</w:t>
                  </w:r>
                </w:p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400 000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645"/>
              </w:trPr>
              <w:tc>
                <w:tcPr>
                  <w:tcW w:w="17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Náklady</w:t>
                  </w: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v prvom roku </w:t>
                  </w:r>
                </w:p>
              </w:tc>
              <w:tc>
                <w:tcPr>
                  <w:tcW w:w="131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22 500</w:t>
                  </w:r>
                </w:p>
              </w:tc>
              <w:tc>
                <w:tcPr>
                  <w:tcW w:w="15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38 000</w:t>
                  </w:r>
                </w:p>
              </w:tc>
              <w:tc>
                <w:tcPr>
                  <w:tcW w:w="15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15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F3F9FA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67 000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930"/>
              </w:trPr>
              <w:tc>
                <w:tcPr>
                  <w:tcW w:w="17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Náklady 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v ďalších rokoch </w:t>
                  </w:r>
                </w:p>
              </w:tc>
              <w:tc>
                <w:tcPr>
                  <w:tcW w:w="131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10 000</w:t>
                  </w:r>
                </w:p>
              </w:tc>
              <w:tc>
                <w:tcPr>
                  <w:tcW w:w="15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22 000</w:t>
                  </w:r>
                </w:p>
              </w:tc>
              <w:tc>
                <w:tcPr>
                  <w:tcW w:w="15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17 000</w:t>
                  </w:r>
                </w:p>
              </w:tc>
              <w:tc>
                <w:tcPr>
                  <w:tcW w:w="15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tl2br w:val="nil"/>
                    <w:tr2bl w:val="nil"/>
                  </w:tcBorders>
                  <w:shd w:val="solid" w:color="E7F3F4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jc w:val="center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39 000</w:t>
                  </w:r>
                </w:p>
              </w:tc>
            </w:tr>
          </w:tbl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3.3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. Aká je predpokladaná výška administratívnych nákladov, ktoré podniky vynaložia v súvislosti s implementáciou návrhu?</w:t>
            </w:r>
          </w:p>
          <w:p w:rsidR="00593F1E">
            <w:pPr>
              <w:spacing w:before="0" w:beforeAutospacing="0" w:after="0" w:afterAutospacing="0"/>
              <w:ind w:left="360" w:hanging="36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Poplatok za registráciu, za predĺženie registrácie a pozastavenie platnosti registrácie ustanovuje návrh zákona v §2ods.4 až ods.8.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Navrhovaným zákonom sa poplatky pre organizácie nad 250 zamestnancov znižuje o 40 %, pre organizácie s počtom zamestnancov 50-249 sa znižuje o 50 %. Pre organizácie do 49 zamestnancov sa ponecháva sadzba približne v pôvodnej úrovni s tým, že sa zavádza nová sadzba o 50 % nižšia pre organizácie s počtom zamestnancov do 9. Primerane k výške poplatku za prvú registráciu sú upravené poplatky za predĺženie registrácie a zrušenie pozastavenia registrácie</w:t>
            </w:r>
            <w:r>
              <w:rPr>
                <w:rStyle w:val="DefaultParagraphFont"/>
                <w:rFonts w:ascii="Times New Roman" w:hAnsi="Times New Roman"/>
                <w:color w:val="FF6600"/>
                <w:sz w:val="24"/>
                <w:szCs w:val="24"/>
              </w:rPr>
              <w:t>.</w:t>
            </w:r>
          </w:p>
          <w:tbl>
            <w:tblPr>
              <w:tblCellMar>
                <w:left w:w="0" w:type="dxa"/>
                <w:right w:w="0" w:type="dxa"/>
              </w:tblCellMar>
            </w:tblPr>
            <w:tblGrid>
              <w:gridCol w:w="1616"/>
              <w:gridCol w:w="1285"/>
              <w:gridCol w:w="1374"/>
              <w:gridCol w:w="1509"/>
              <w:gridCol w:w="1503"/>
            </w:tblGrid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496"/>
              </w:trPr>
              <w:tc>
                <w:tcPr>
                  <w:tcW w:w="1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BBE0E3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Malá org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Mikro podnik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do 9</w:t>
                  </w: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BBE0E3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Malá org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Malý podnik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10-49</w:t>
                  </w: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BBE0E3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Malá org.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Stredný podnik</w:t>
                  </w: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50-249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BBE0E3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Ostatné org.</w:t>
                  </w: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250</w:t>
                  </w:r>
                  <w:r>
                    <w:rPr>
                      <w:rStyle w:val="DefaultParagraphFont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496"/>
              </w:trPr>
              <w:tc>
                <w:tcPr>
                  <w:tcW w:w="159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E7F3F4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-za prvú registráciu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33,00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66,00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330,00</w:t>
                  </w: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1000,00</w:t>
                  </w: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374"/>
              </w:trPr>
              <w:tc>
                <w:tcPr>
                  <w:tcW w:w="159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-za predlženie registrácie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11,00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22,00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110,00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333,00</w:t>
                  </w: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</w:tblPrEx>
              <w:trPr>
                <w:trHeight w:val="374"/>
              </w:trPr>
              <w:tc>
                <w:tcPr>
                  <w:tcW w:w="159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0"/>
                      <w:szCs w:val="24"/>
                    </w:rPr>
                    <w:t>Zrušenie pozastavenia</w:t>
                  </w:r>
                </w:p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0"/>
                      <w:szCs w:val="24"/>
                    </w:rPr>
                    <w:t>registrácie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16,00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33,00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165,00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3F9FA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top"/>
                </w:tcPr>
                <w:p w:rsidR="00593F1E">
                  <w:pPr>
                    <w:spacing w:before="0" w:beforeAutospacing="0" w:after="0" w:afterAutospacing="0"/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DefaultParagraphFont"/>
                      <w:rFonts w:ascii="Times New Roman" w:hAnsi="Times New Roman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</w:tbl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Od poplatkov sú oslobodené malé organizácie miestnych a verejných orgánov.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Právnická osoba poverená ministerstvom môže znížiť poplatok v prípade združenej registrácie až o jednu tretinu sadzby 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K „administratívnym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nákladom“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je nutné pripočítať výšku nákladov za environmentálne overovanie každé tri roky (resp. každé štyri v prípade malých org.) a validovanie aktualizácii environmentálnych vyhlásení každý rok (resp. každý druhý rok v prípade malých org).  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3.4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. Aké sú dôsledky pripravovaného návrhu pre fungovanie podnikateľských subjektov na slovenskom trhu (ako sa zmenia operácie na trhu?)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Účasť organizácií v schéme EMAS je dobrovoľná, organizácie účasťou v schéme EMAS si zlepšia celkové výsledky k životnému prostrediu, môžu získať pridanú hodnotu v zmysle regulačnej kontroly, úspor nákladov a imidžu na verejnosti.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3.5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. Aké sú predpokladané spoločensko – ekonomické dôsledky pripravovaných regulácií?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Organizácie, ktoré čoraz častejšie čelia rastúcim očakávaniam spotrebiteľov a trhov, majú prospech zo znižovania environmentálneho vplyvu svojich činností. Excelentné výsledky v oblasti životného prostredia sa rýchlo stávajú obchodnou výhodou, aj keď sa kedysi na ňu pozeralo ako na externé náklady. Problémy v oblasti životného prostredia sú čoraz zložitejšie a početnejšie a vyžadujú nový typ riadenia. EMAS ponúka systematický prístup.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Registrácia v EMAS umožňuje, aby organizácie mohli zainteresovaným stranám, ako napr. zákazníci kompetentné orgány a občania, preukázať, že vyhodnocujú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riadia a obmedzujú environmentálny dopad svojích činností. Logo EMAS možno používať ako marketingový, alebo predajný nástroj na podporu organizácie s vynikajúcimi výsledkami v oblasti životného prostredia. </w:t>
            </w:r>
          </w:p>
        </w:tc>
      </w:tr>
    </w:tbl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8"/>
          <w:szCs w:val="24"/>
        </w:rPr>
        <w:t>Vplyvy na informatizáciu spoločnosti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3445"/>
        <w:gridCol w:w="5540"/>
      </w:tblGrid>
      <w:tr>
        <w:tblPrEx>
          <w:tblW w:w="90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Budovanie základných pilierov informatizácie</w:t>
            </w:r>
          </w:p>
        </w:tc>
        <w:tc>
          <w:tcPr>
            <w:tcW w:w="570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Obsah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6.1.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Rozširujú alebo inovujú  sa existujúce alebo vytvárajú sa či zavádzajú  sa nové elektronické služby?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(Popíšte ich funkciu a úroveň poskytovania.)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Návrh zákona priamo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ukladá povinnosť viesť a aktualizovať 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register organizácii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schémy EMAS 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uverejňovať ho na webovom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sídle SAŽP/MŽP SR a každý mesiac oznamovať zmeny Európskej komisii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Navrhovaným zákonom sa má vykonávať nariadenie EMAS III, ktoré vyžaduje</w:t>
            </w:r>
          </w:p>
          <w:p w:rsidR="00593F1E">
            <w:pPr>
              <w:spacing w:before="0" w:beforeAutospacing="0" w:after="0" w:afterAutospacing="0"/>
              <w:ind w:left="360" w:hanging="36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Symbol" w:hAnsi="Symbol" w:cs="Symbol"/>
                <w:color w:val="000000"/>
                <w:sz w:val="24"/>
                <w:szCs w:val="24"/>
              </w:rPr>
              <w:t>·</w:t>
            </w:r>
            <w:r>
              <w:rPr>
                <w:rStyle w:val="DefaultParagraphFont"/>
                <w:rFonts w:ascii="Times New Roman" w:hAnsi="Times New Roman"/>
                <w:color w:val="000000"/>
                <w:sz w:val="14"/>
                <w:szCs w:val="24"/>
              </w:rPr>
              <w:t xml:space="preserve">        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aby organizácie pravidelne vypracovávali a uverejňovali environmentálne vyhlásenia a správy o výsledkoch v oblasti životného prostredia, v ktorých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  <w:u w:val="single"/>
              </w:rPr>
              <w:t>poskytujú verejnosti a iným zainteresovaným stranám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informácie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 dodržiavaní príslušných právnych požiadaviek týkajúcich sa životného prostredia a o svojich výsledkoch v oblasti životného prostredia.</w:t>
            </w:r>
          </w:p>
          <w:p w:rsidR="00593F1E">
            <w:pPr>
              <w:spacing w:before="0" w:beforeAutospacing="0" w:after="0" w:afterAutospacing="0"/>
              <w:ind w:left="360" w:hanging="36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Symbol" w:hAnsi="Symbol" w:cs="Symbol"/>
                <w:color w:val="000000"/>
                <w:sz w:val="24"/>
                <w:szCs w:val="24"/>
              </w:rPr>
              <w:t>·</w:t>
            </w:r>
            <w:r>
              <w:rPr>
                <w:rStyle w:val="DefaultParagraphFont"/>
                <w:rFonts w:ascii="Times New Roman" w:hAnsi="Times New Roman"/>
                <w:color w:val="000000"/>
                <w:sz w:val="14"/>
                <w:szCs w:val="24"/>
              </w:rPr>
              <w:t xml:space="preserve">        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aby základom vypracovávania správ o pokroku, ktorý organizácie dosiahli vo svojich výsledkoch v oblasti životného prostredia,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boli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všeobecné ukazovatele výsledkov zamerané na kľúčové oblasti životného prostredia s cieľom zabezpečiť relevantnosť a porovnateľnosť informácií.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To by malo pomôcť organizáciám pri porovnaní ich výsledkov za rôzne vykazované obdobia.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Poskytovanie relevantných a porovnateľných informácií verejnosti o environmentálnom správaní sa organizácií priamo na webových sidlach organizácií resp. web sidle SAŽP/MŽPSR a Európskej komisie </w:t>
            </w: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vytvára novú elektronickú službu s úrovňou I, ktorá umožní všetkým vrstvám obyvateľstva získať objektívne vzájomne porovnateľné informácie potrebné na posúdenie vplyvu rôznych organizácií na životné prostredie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 </w:t>
            </w: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Informačná úroveň. </w:t>
            </w:r>
          </w:p>
        </w:tc>
      </w:tr>
      <w:tr>
        <w:tblPrEx>
          <w:tblW w:w="9015" w:type="dxa"/>
          <w:tblInd w:w="-60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6.2.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Vytvárajú sa podmienky pre sémantickú interoperabilitu?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(Popíšte spôsob jej zabezpečenia.)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Ind w:w="-60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Ľudia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6.3.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Zabezpečuje sa vzdelávanie v oblasti počítačovej gramotnosti a rozširovanie vedomostí o IKT?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spôsob, napr. projekty, školenia.)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Ind w:w="-60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6.4.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Zabezpečuje sa rozvoj elektronického vzdelávania?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typ a spôsob zabezpečenia vzdelávacích aktivít.)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nie </w:t>
            </w:r>
          </w:p>
        </w:tc>
      </w:tr>
      <w:tr>
        <w:tblPrEx>
          <w:tblW w:w="9015" w:type="dxa"/>
          <w:tblInd w:w="-60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6.5.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Zabezpečuje sa podporná a propagačná aktivita zameraná na zvyšovanie povedomia o informatizácii a IKT?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typ a spôsob zabezpečenia propagačných aktivít.)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nie </w:t>
            </w:r>
          </w:p>
        </w:tc>
      </w:tr>
      <w:tr>
        <w:tblPrEx>
          <w:tblW w:w="9015" w:type="dxa"/>
          <w:tblInd w:w="-60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6.6.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Zabezpečuje/zohľadňuje/zlepšuje sa prístup znevýhodnených osôb k službám informačnej spoločnosti?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 sprístupnenia digitálneho prostredia.)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-60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Infraštruktúra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6.7.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Rozširuje, inovuje, vytvára alebo zavádza sa nový informačný systém?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jeho funkciu.)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Ind w:w="-60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6.8.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Rozširuje sa prístupnosť k internetu?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 rozširovania prístupnosti.)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6.9.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Rozširuje sa prístupnosť k elektronickým službám?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 rozširovania prístupnosti.)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Ind w:w="-60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6.10.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Zabezpečuje sa technická interoperabilita?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 jej zabezpečenia.)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nie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6.11.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Zvyšuje sa bezpečnosť IT?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(</w:t>
            </w: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Uveďte spôsob zvýšenia bezpečnosti a ochrany IT.)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6.12.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Rozširuje sa technická infraštruktúra?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(</w:t>
            </w: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Uveďte stručný popis zavádzanej infraštruktúry.)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nie.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Riadenie procesu informatizácie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6.13.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Predpokladajú sa zmeny v riadení procesu informatizácie?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popis zmien.)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Financovanie procesu informatizácie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6.14.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Vyžaduje si proces informatizácie  finančné investície?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(Popíšte príslušnú úroveň financovania.)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Legislatívne prostredie procesu informatizácie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31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4"/>
                <w:szCs w:val="24"/>
              </w:rPr>
              <w:t>6.15.</w:t>
            </w: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 xml:space="preserve"> Predpokladá nelegislatívny materiál potrebu úpravy legislatívneho prostredia  procesu informatizácie?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(Stručne popíšte navrhované legislatívne zmeny.)</w:t>
            </w:r>
          </w:p>
        </w:tc>
        <w:tc>
          <w:tcPr>
            <w:tcW w:w="57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nie.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A.4. Alternatí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vne rieš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enia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Nie sú navrhované.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Symbol"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04AC"/>
    <w:rsid w:val="00593F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27</Words>
  <Characters>275</Characters>
  <Application>Microsoft Office Word</Application>
  <DocSecurity>0</DocSecurity>
  <Lines>0</Lines>
  <Paragraphs>0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Vladimir.Irman</cp:lastModifiedBy>
  <cp:revision>3</cp:revision>
  <dcterms:created xsi:type="dcterms:W3CDTF">2010-06-23T09:37:00Z</dcterms:created>
  <dcterms:modified xsi:type="dcterms:W3CDTF">2010-06-23T11:50:00Z</dcterms:modified>
</cp:coreProperties>
</file>