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2189" w:rsidRPr="00580ADF" w:rsidP="00DA2189">
      <w:pPr>
        <w:bidi w:val="0"/>
        <w:jc w:val="center"/>
        <w:rPr>
          <w:rFonts w:ascii="Times New Roman" w:hAnsi="Times New Roman"/>
          <w:b/>
          <w:bCs/>
          <w:caps/>
          <w:color w:val="000000"/>
          <w:spacing w:val="30"/>
        </w:rPr>
      </w:pPr>
      <w:r w:rsidRPr="00580ADF">
        <w:rPr>
          <w:rFonts w:ascii="Times New Roman" w:hAnsi="Times New Roman"/>
          <w:b/>
          <w:bCs/>
          <w:caps/>
          <w:color w:val="000000"/>
          <w:spacing w:val="30"/>
        </w:rPr>
        <w:t>Dôvodová správa</w:t>
      </w:r>
    </w:p>
    <w:p w:rsidR="00DA2189" w:rsidRPr="00580ADF" w:rsidP="00DA2189">
      <w:pPr>
        <w:bidi w:val="0"/>
        <w:jc w:val="both"/>
        <w:rPr>
          <w:rFonts w:ascii="Times New Roman" w:hAnsi="Times New Roman"/>
          <w:color w:val="000000"/>
        </w:rPr>
      </w:pPr>
    </w:p>
    <w:p w:rsidR="00DA2189" w:rsidRPr="00580ADF" w:rsidP="00DA2189">
      <w:pPr>
        <w:bidi w:val="0"/>
        <w:jc w:val="both"/>
        <w:rPr>
          <w:rFonts w:ascii="Times New Roman" w:hAnsi="Times New Roman"/>
          <w:color w:val="000000"/>
        </w:rPr>
      </w:pPr>
    </w:p>
    <w:p w:rsidR="00DA2189" w:rsidRPr="00580ADF" w:rsidP="00DA2189">
      <w:pPr>
        <w:bidi w:val="0"/>
        <w:jc w:val="both"/>
        <w:rPr>
          <w:rFonts w:ascii="Times New Roman" w:hAnsi="Times New Roman"/>
          <w:b/>
          <w:bCs/>
          <w:color w:val="000000"/>
        </w:rPr>
      </w:pPr>
      <w:r w:rsidRPr="00580ADF">
        <w:rPr>
          <w:rFonts w:ascii="Times New Roman" w:hAnsi="Times New Roman"/>
          <w:b/>
          <w:bCs/>
          <w:color w:val="000000"/>
        </w:rPr>
        <w:t>A. Všeobecná časť</w:t>
      </w:r>
    </w:p>
    <w:p w:rsidR="00DA2189" w:rsidRPr="00580ADF" w:rsidP="00DA2189">
      <w:pPr>
        <w:bidi w:val="0"/>
        <w:jc w:val="both"/>
        <w:rPr>
          <w:rFonts w:ascii="Times New Roman" w:hAnsi="Times New Roman"/>
          <w:b/>
          <w:bCs/>
          <w:color w:val="000000"/>
        </w:rPr>
      </w:pPr>
    </w:p>
    <w:p w:rsidR="003249C4" w:rsidRPr="00580ADF" w:rsidP="003249C4">
      <w:pPr>
        <w:bidi w:val="0"/>
        <w:ind w:firstLine="720"/>
        <w:jc w:val="both"/>
        <w:rPr>
          <w:rFonts w:ascii="Times New Roman" w:hAnsi="Times New Roman"/>
        </w:rPr>
      </w:pPr>
      <w:r w:rsidRPr="00580ADF" w:rsidR="00BE06B8">
        <w:rPr>
          <w:rFonts w:ascii="Times New Roman" w:hAnsi="Times New Roman"/>
        </w:rPr>
        <w:t xml:space="preserve">Návrh zákona o úhrade za služby verejnosti poskytované Rozhlasom a televíziou Slovenska a o zmene a doplnení niektorých zákonov </w:t>
      </w:r>
      <w:r w:rsidRPr="00580ADF">
        <w:rPr>
          <w:rFonts w:ascii="Times New Roman" w:hAnsi="Times New Roman"/>
        </w:rPr>
        <w:t>(ďalej len „návrh zákona“) sa predkladá na základe Plánu legislatívnych úloh vlády SR na 2. polrok 2012.</w:t>
      </w:r>
    </w:p>
    <w:p w:rsidR="004C4B65" w:rsidRPr="00580ADF" w:rsidP="004C4B65">
      <w:pPr>
        <w:bidi w:val="0"/>
        <w:ind w:firstLine="720"/>
        <w:jc w:val="both"/>
        <w:rPr>
          <w:rFonts w:ascii="Times New Roman" w:hAnsi="Times New Roman"/>
        </w:rPr>
      </w:pPr>
    </w:p>
    <w:p w:rsidR="006865C4" w:rsidRPr="00580ADF" w:rsidP="006865C4">
      <w:pPr>
        <w:bidi w:val="0"/>
        <w:ind w:firstLine="720"/>
        <w:jc w:val="both"/>
        <w:rPr>
          <w:rFonts w:ascii="Times New Roman" w:hAnsi="Times New Roman"/>
        </w:rPr>
      </w:pPr>
      <w:r w:rsidRPr="00580ADF" w:rsidR="000B2C9F">
        <w:rPr>
          <w:rFonts w:ascii="Times New Roman" w:hAnsi="Times New Roman"/>
        </w:rPr>
        <w:t>Zákonom č. 397/2011 Z. z.</w:t>
      </w:r>
      <w:r w:rsidRPr="00580ADF">
        <w:rPr>
          <w:rFonts w:ascii="Times New Roman" w:hAnsi="Times New Roman"/>
        </w:rPr>
        <w:t xml:space="preserve">, </w:t>
      </w:r>
      <w:r w:rsidRPr="00580ADF">
        <w:rPr>
          <w:rFonts w:ascii="Times New Roman" w:hAnsi="Times New Roman"/>
          <w:noProof/>
        </w:rPr>
        <w:t>ktorým sa mení a dopĺňa zákon č. 532/2010 Z. z. o Rozhlase a televízii Slovenska a o zmene a doplnení niektorých zákonov a ktorým sa menia niektoré zákony (ďalej len „zákon č. 397/2011 Z. z.“) sa</w:t>
      </w:r>
      <w:r w:rsidRPr="00580ADF" w:rsidR="000B2C9F">
        <w:rPr>
          <w:rFonts w:ascii="Times New Roman" w:hAnsi="Times New Roman"/>
        </w:rPr>
        <w:t xml:space="preserve"> </w:t>
      </w:r>
      <w:r w:rsidRPr="00580ADF">
        <w:rPr>
          <w:rFonts w:ascii="Times New Roman" w:hAnsi="Times New Roman"/>
        </w:rPr>
        <w:t>s</w:t>
      </w:r>
      <w:r w:rsidRPr="00580ADF" w:rsidR="00E5564D">
        <w:rPr>
          <w:rFonts w:ascii="Times New Roman" w:hAnsi="Times New Roman"/>
        </w:rPr>
        <w:t xml:space="preserve"> účinnosťou od 1. januára 2013 </w:t>
      </w:r>
      <w:r w:rsidRPr="00580ADF">
        <w:rPr>
          <w:rFonts w:ascii="Times New Roman" w:hAnsi="Times New Roman"/>
        </w:rPr>
        <w:t xml:space="preserve">zrušil </w:t>
      </w:r>
      <w:r w:rsidRPr="00580ADF" w:rsidR="00DB427B">
        <w:rPr>
          <w:rFonts w:ascii="Times New Roman" w:hAnsi="Times New Roman"/>
        </w:rPr>
        <w:t xml:space="preserve">článok I </w:t>
      </w:r>
      <w:r w:rsidRPr="00580ADF">
        <w:rPr>
          <w:rFonts w:ascii="Times New Roman" w:hAnsi="Times New Roman"/>
        </w:rPr>
        <w:t>zákon</w:t>
      </w:r>
      <w:r w:rsidRPr="00580ADF" w:rsidR="00DB427B">
        <w:rPr>
          <w:rFonts w:ascii="Times New Roman" w:hAnsi="Times New Roman"/>
        </w:rPr>
        <w:t>a</w:t>
      </w:r>
      <w:r w:rsidRPr="00580ADF">
        <w:rPr>
          <w:rFonts w:ascii="Times New Roman" w:hAnsi="Times New Roman"/>
        </w:rPr>
        <w:t xml:space="preserve"> č. </w:t>
      </w:r>
      <w:r w:rsidRPr="00580ADF">
        <w:rPr>
          <w:rFonts w:ascii="Times New Roman" w:hAnsi="Times New Roman"/>
          <w:noProof/>
        </w:rPr>
        <w:t>68/2008 Z. z. o</w:t>
      </w:r>
      <w:r w:rsidRPr="00580ADF">
        <w:rPr>
          <w:rFonts w:ascii="Times New Roman" w:hAnsi="Times New Roman"/>
        </w:rPr>
        <w:t xml:space="preserve"> úhrade za služby verejnosti poskytované Slovenskou televíziou a Slovenským rozhlasom a o zmene a doplnení niektorých zákonov v znení zákona </w:t>
        <w:br/>
        <w:t xml:space="preserve">č. 532/2010 Z. z. (ďalej len „zákon č. 68/2008 Z. z.“) s cieľom zmeniť súčasný systém financovania verejnoprávneho vysielateľa tak, že </w:t>
      </w:r>
      <w:r w:rsidRPr="00580ADF" w:rsidR="00E5564D">
        <w:rPr>
          <w:rFonts w:ascii="Times New Roman" w:hAnsi="Times New Roman"/>
        </w:rPr>
        <w:t xml:space="preserve">hlavným príjmom Rozhlasu a televízie Slovenska </w:t>
      </w:r>
      <w:r w:rsidRPr="00580ADF">
        <w:rPr>
          <w:rFonts w:ascii="Times New Roman" w:hAnsi="Times New Roman"/>
        </w:rPr>
        <w:t xml:space="preserve">mal byť </w:t>
      </w:r>
      <w:r w:rsidRPr="00580ADF" w:rsidR="00E5564D">
        <w:rPr>
          <w:rFonts w:ascii="Times New Roman" w:hAnsi="Times New Roman"/>
        </w:rPr>
        <w:t>p</w:t>
      </w:r>
      <w:r w:rsidRPr="00580ADF" w:rsidR="00D45B6C">
        <w:rPr>
          <w:rFonts w:ascii="Times New Roman" w:hAnsi="Times New Roman"/>
        </w:rPr>
        <w:t>ríspevok zo štátneho rozpočtu</w:t>
      </w:r>
      <w:r w:rsidRPr="00580ADF" w:rsidR="00E5564D">
        <w:rPr>
          <w:rFonts w:ascii="Times New Roman" w:hAnsi="Times New Roman"/>
        </w:rPr>
        <w:t xml:space="preserve"> poskytovaný každoročne podľa zákona o štátnom rozpočte na príslušný rozpočtový rok, na úhradu nákladov na zabezpečenie služby verejnosti v oblasti vysielania v sume rovnajúcej sa 0,142 % z hrubého domáceho produktu Slovenskej republiky za kalendárny rok predchádzajúci kalendárnemu roku, ktorý predchádza kalendárnemu roku, na ktorý sa príspevok poskytuje, najmenej však v sume 90 000 000 eur. </w:t>
      </w:r>
    </w:p>
    <w:p w:rsidR="006865C4" w:rsidRPr="00580ADF" w:rsidP="006865C4">
      <w:pPr>
        <w:bidi w:val="0"/>
        <w:ind w:firstLine="720"/>
        <w:jc w:val="both"/>
        <w:rPr>
          <w:rFonts w:ascii="Times New Roman" w:hAnsi="Times New Roman"/>
        </w:rPr>
      </w:pPr>
    </w:p>
    <w:p w:rsidR="00E43588" w:rsidRPr="00580ADF" w:rsidP="006865C4">
      <w:pPr>
        <w:bidi w:val="0"/>
        <w:ind w:firstLine="720"/>
        <w:jc w:val="both"/>
        <w:rPr>
          <w:rFonts w:ascii="Times New Roman" w:hAnsi="Times New Roman"/>
        </w:rPr>
      </w:pPr>
      <w:r w:rsidRPr="00580ADF" w:rsidR="006865C4">
        <w:rPr>
          <w:rFonts w:ascii="Times New Roman" w:hAnsi="Times New Roman"/>
        </w:rPr>
        <w:t>S cieľom stabilizovať fungovanie verejnoprávn</w:t>
      </w:r>
      <w:r w:rsidRPr="00580ADF" w:rsidR="00257D05">
        <w:rPr>
          <w:rFonts w:ascii="Times New Roman" w:hAnsi="Times New Roman"/>
        </w:rPr>
        <w:t xml:space="preserve">eho vysielania, </w:t>
      </w:r>
      <w:r w:rsidRPr="00580ADF" w:rsidR="006865C4">
        <w:rPr>
          <w:rFonts w:ascii="Times New Roman" w:hAnsi="Times New Roman"/>
        </w:rPr>
        <w:t xml:space="preserve">zabezpečiť jeho nezávislosť </w:t>
      </w:r>
      <w:r w:rsidRPr="00580ADF" w:rsidR="00257D05">
        <w:rPr>
          <w:rFonts w:ascii="Times New Roman" w:hAnsi="Times New Roman"/>
        </w:rPr>
        <w:t xml:space="preserve">a priamy vzťah medzi verejnosťou a Rozhlasom a televíziou Slovenska,  </w:t>
      </w:r>
      <w:r w:rsidRPr="00580ADF" w:rsidR="006865C4">
        <w:rPr>
          <w:rFonts w:ascii="Times New Roman" w:hAnsi="Times New Roman"/>
        </w:rPr>
        <w:t xml:space="preserve">sa navrhuje ponechať v platnosti súčasný systém financovania verejnoprávneho vysielateľa založený na </w:t>
      </w:r>
      <w:r w:rsidRPr="00580ADF" w:rsidR="00C90B92">
        <w:rPr>
          <w:rFonts w:ascii="Times New Roman" w:hAnsi="Times New Roman"/>
        </w:rPr>
        <w:t xml:space="preserve">úhrade </w:t>
      </w:r>
      <w:r w:rsidRPr="00580ADF" w:rsidR="006865C4">
        <w:rPr>
          <w:rFonts w:ascii="Times New Roman" w:hAnsi="Times New Roman"/>
        </w:rPr>
        <w:t>za služby verejnosti poskytované Rozhlasom a televíziou Slovenska v oblasti rozhlasového vysielania a televízneho vysielania (ďalej len „úhrad</w:t>
      </w:r>
      <w:r w:rsidRPr="00580ADF" w:rsidR="00C90B92">
        <w:rPr>
          <w:rFonts w:ascii="Times New Roman" w:hAnsi="Times New Roman"/>
        </w:rPr>
        <w:t>a</w:t>
      </w:r>
      <w:r w:rsidRPr="00580ADF" w:rsidR="006865C4">
        <w:rPr>
          <w:rFonts w:ascii="Times New Roman" w:hAnsi="Times New Roman"/>
        </w:rPr>
        <w:t>“) a príspevku zo štátneho rozpočtu podľa zákona o štátnom rozpočte na prís</w:t>
      </w:r>
      <w:r w:rsidRPr="00580ADF" w:rsidR="00D70D1D">
        <w:rPr>
          <w:rFonts w:ascii="Times New Roman" w:hAnsi="Times New Roman"/>
        </w:rPr>
        <w:t>lušný rozpočtový rok poskytovaného</w:t>
      </w:r>
      <w:r w:rsidRPr="00580ADF" w:rsidR="006865C4">
        <w:rPr>
          <w:rFonts w:ascii="Times New Roman" w:hAnsi="Times New Roman"/>
        </w:rPr>
        <w:t xml:space="preserve"> na základe zmluvy so štátom, ktorý je určený na uskutočnenie programov vo verejnom záujme, na uskutočnenie účelových investičných projektov alebo na úhradu výdavkov na zabezpečenie rozhla</w:t>
      </w:r>
      <w:r w:rsidRPr="00580ADF" w:rsidR="00D70D1D">
        <w:rPr>
          <w:rFonts w:ascii="Times New Roman" w:hAnsi="Times New Roman"/>
        </w:rPr>
        <w:t>sového vysielania do zahraničia</w:t>
      </w:r>
      <w:r w:rsidRPr="00580ADF" w:rsidR="006865C4">
        <w:rPr>
          <w:rFonts w:ascii="Times New Roman" w:hAnsi="Times New Roman"/>
        </w:rPr>
        <w:t xml:space="preserve">. </w:t>
      </w:r>
    </w:p>
    <w:p w:rsidR="00542C8C" w:rsidRPr="00580ADF" w:rsidP="00D70D1D">
      <w:pPr>
        <w:bidi w:val="0"/>
        <w:jc w:val="both"/>
        <w:rPr>
          <w:rFonts w:ascii="Times New Roman" w:hAnsi="Times New Roman"/>
        </w:rPr>
      </w:pPr>
    </w:p>
    <w:p w:rsidR="00257D05" w:rsidRPr="00580ADF" w:rsidP="006865C4">
      <w:pPr>
        <w:bidi w:val="0"/>
        <w:ind w:firstLine="720"/>
        <w:jc w:val="both"/>
        <w:rPr>
          <w:rFonts w:ascii="Times New Roman" w:hAnsi="Times New Roman"/>
        </w:rPr>
      </w:pPr>
      <w:r w:rsidRPr="00580ADF" w:rsidR="00DB4426">
        <w:rPr>
          <w:rFonts w:ascii="Times New Roman" w:hAnsi="Times New Roman"/>
        </w:rPr>
        <w:t xml:space="preserve">Vzhľadom k tomu, že </w:t>
      </w:r>
      <w:r w:rsidRPr="00580ADF" w:rsidR="00DB427B">
        <w:rPr>
          <w:rFonts w:ascii="Times New Roman" w:hAnsi="Times New Roman"/>
        </w:rPr>
        <w:t xml:space="preserve">článok I </w:t>
      </w:r>
      <w:r w:rsidRPr="00580ADF" w:rsidR="00DB4426">
        <w:rPr>
          <w:rFonts w:ascii="Times New Roman" w:hAnsi="Times New Roman"/>
        </w:rPr>
        <w:t>zákon</w:t>
      </w:r>
      <w:r w:rsidRPr="00580ADF" w:rsidR="00DB427B">
        <w:rPr>
          <w:rFonts w:ascii="Times New Roman" w:hAnsi="Times New Roman"/>
        </w:rPr>
        <w:t>a</w:t>
      </w:r>
      <w:r w:rsidRPr="00580ADF" w:rsidR="00DB4426">
        <w:rPr>
          <w:rFonts w:ascii="Times New Roman" w:hAnsi="Times New Roman"/>
        </w:rPr>
        <w:t xml:space="preserve"> č. 68/2008 Z. z.</w:t>
      </w:r>
      <w:r w:rsidRPr="00580ADF" w:rsidR="00DB427B">
        <w:rPr>
          <w:rFonts w:ascii="Times New Roman" w:hAnsi="Times New Roman"/>
        </w:rPr>
        <w:t xml:space="preserve">, ktorý upravuje platenie, vyberanie a vymáhanie úhrady </w:t>
      </w:r>
      <w:r w:rsidRPr="00580ADF" w:rsidR="00DB4426">
        <w:rPr>
          <w:rFonts w:ascii="Times New Roman" w:hAnsi="Times New Roman"/>
        </w:rPr>
        <w:t xml:space="preserve">je s účinnosťou od 1. januára 2013 zrušený, je potrebné nanovo </w:t>
      </w:r>
      <w:r w:rsidRPr="00580ADF" w:rsidR="00DB427B">
        <w:rPr>
          <w:rFonts w:ascii="Times New Roman" w:hAnsi="Times New Roman"/>
        </w:rPr>
        <w:t xml:space="preserve">legislatívne </w:t>
      </w:r>
      <w:r w:rsidRPr="00580ADF" w:rsidR="00DB4426">
        <w:rPr>
          <w:rFonts w:ascii="Times New Roman" w:hAnsi="Times New Roman"/>
        </w:rPr>
        <w:t>upraviť</w:t>
      </w:r>
      <w:r w:rsidRPr="00580ADF">
        <w:rPr>
          <w:rFonts w:ascii="Times New Roman" w:hAnsi="Times New Roman"/>
        </w:rPr>
        <w:t xml:space="preserve"> oblasť vyberania, platenia a vymáhania</w:t>
      </w:r>
      <w:r w:rsidRPr="00580ADF" w:rsidR="00DB4426">
        <w:rPr>
          <w:rFonts w:ascii="Times New Roman" w:hAnsi="Times New Roman"/>
        </w:rPr>
        <w:t xml:space="preserve"> úhrad</w:t>
      </w:r>
      <w:r w:rsidRPr="00580ADF" w:rsidR="00C90B92">
        <w:rPr>
          <w:rFonts w:ascii="Times New Roman" w:hAnsi="Times New Roman"/>
        </w:rPr>
        <w:t>y</w:t>
      </w:r>
      <w:r w:rsidRPr="00580ADF" w:rsidR="00DB4426">
        <w:rPr>
          <w:rFonts w:ascii="Times New Roman" w:hAnsi="Times New Roman"/>
        </w:rPr>
        <w:t xml:space="preserve">. Navrhovaná právna úprava vychádza zo systému vyberania, platenia a vymáhania úhrady upraveného zákonom </w:t>
      </w:r>
      <w:r w:rsidRPr="00580ADF">
        <w:rPr>
          <w:rFonts w:ascii="Times New Roman" w:hAnsi="Times New Roman"/>
        </w:rPr>
        <w:t>č. 68/2008 Z. z., no zároveň reaguje na problémy, ktoré vznikali pri</w:t>
      </w:r>
      <w:r w:rsidRPr="00580ADF" w:rsidR="003249C4">
        <w:rPr>
          <w:rFonts w:ascii="Times New Roman" w:hAnsi="Times New Roman"/>
        </w:rPr>
        <w:t xml:space="preserve"> aplikácii tohto zákona v praxi, s cieľom zefektívniť výber a vymáhanie úhrady</w:t>
      </w:r>
      <w:r w:rsidRPr="00580ADF" w:rsidR="00EC5767">
        <w:rPr>
          <w:rFonts w:ascii="Times New Roman" w:hAnsi="Times New Roman"/>
        </w:rPr>
        <w:t>.</w:t>
      </w:r>
    </w:p>
    <w:p w:rsidR="00257D05" w:rsidRPr="00580ADF" w:rsidP="006865C4">
      <w:pPr>
        <w:bidi w:val="0"/>
        <w:ind w:firstLine="720"/>
        <w:jc w:val="both"/>
        <w:rPr>
          <w:rFonts w:ascii="Times New Roman" w:hAnsi="Times New Roman"/>
        </w:rPr>
      </w:pPr>
    </w:p>
    <w:p w:rsidR="0071444A" w:rsidRPr="00580ADF" w:rsidP="006865C4">
      <w:pPr>
        <w:bidi w:val="0"/>
        <w:ind w:firstLine="720"/>
        <w:jc w:val="both"/>
        <w:rPr>
          <w:rFonts w:ascii="Times New Roman" w:hAnsi="Times New Roman"/>
        </w:rPr>
      </w:pPr>
      <w:r w:rsidRPr="00580ADF" w:rsidR="00257D05">
        <w:rPr>
          <w:rFonts w:ascii="Times New Roman" w:hAnsi="Times New Roman"/>
        </w:rPr>
        <w:t>Tak ako to z vyššie uvedeného vyplýva, predmetom úpravy predkladaného návrhu zákona je platenie, vyberanie a vymáhanie úhrady</w:t>
      </w:r>
      <w:r w:rsidRPr="00580ADF" w:rsidR="004C4B65">
        <w:rPr>
          <w:rFonts w:ascii="Times New Roman" w:hAnsi="Times New Roman"/>
        </w:rPr>
        <w:t>.</w:t>
      </w:r>
      <w:r w:rsidRPr="00580ADF">
        <w:rPr>
          <w:rFonts w:ascii="Times New Roman" w:hAnsi="Times New Roman"/>
        </w:rPr>
        <w:t xml:space="preserve"> Návrh zákona</w:t>
      </w:r>
      <w:r w:rsidRPr="00580ADF" w:rsidR="004C4B65">
        <w:rPr>
          <w:rFonts w:ascii="Times New Roman" w:hAnsi="Times New Roman"/>
        </w:rPr>
        <w:t xml:space="preserve"> obsahuje legálnu definíciu</w:t>
      </w:r>
      <w:r w:rsidRPr="00580ADF">
        <w:rPr>
          <w:rFonts w:ascii="Times New Roman" w:hAnsi="Times New Roman"/>
        </w:rPr>
        <w:t xml:space="preserve"> </w:t>
      </w:r>
      <w:r w:rsidRPr="00580ADF" w:rsidR="000B786F">
        <w:rPr>
          <w:rFonts w:ascii="Times New Roman" w:hAnsi="Times New Roman"/>
        </w:rPr>
        <w:t>pojmu platiteľ</w:t>
      </w:r>
      <w:r w:rsidRPr="00580ADF">
        <w:rPr>
          <w:rFonts w:ascii="Times New Roman" w:hAnsi="Times New Roman"/>
        </w:rPr>
        <w:t xml:space="preserve"> úhrady, </w:t>
      </w:r>
      <w:r w:rsidRPr="00580ADF" w:rsidR="004C4B65">
        <w:rPr>
          <w:rFonts w:ascii="Times New Roman" w:hAnsi="Times New Roman"/>
        </w:rPr>
        <w:t xml:space="preserve">stanovuje kto je </w:t>
      </w:r>
      <w:r w:rsidRPr="00580ADF">
        <w:rPr>
          <w:rFonts w:ascii="Times New Roman" w:hAnsi="Times New Roman"/>
        </w:rPr>
        <w:t>vyberate</w:t>
      </w:r>
      <w:r w:rsidRPr="00580ADF" w:rsidR="004C4B65">
        <w:rPr>
          <w:rFonts w:ascii="Times New Roman" w:hAnsi="Times New Roman"/>
        </w:rPr>
        <w:t>ľom</w:t>
      </w:r>
      <w:r w:rsidRPr="00580ADF">
        <w:rPr>
          <w:rFonts w:ascii="Times New Roman" w:hAnsi="Times New Roman"/>
        </w:rPr>
        <w:t xml:space="preserve"> a </w:t>
      </w:r>
      <w:r w:rsidRPr="00580ADF" w:rsidR="004C4B65">
        <w:rPr>
          <w:rFonts w:ascii="Times New Roman" w:hAnsi="Times New Roman"/>
        </w:rPr>
        <w:t>príjemcom</w:t>
      </w:r>
      <w:r w:rsidRPr="00580ADF">
        <w:rPr>
          <w:rFonts w:ascii="Times New Roman" w:hAnsi="Times New Roman"/>
        </w:rPr>
        <w:t xml:space="preserve"> úhrady, </w:t>
      </w:r>
      <w:r w:rsidRPr="00580ADF" w:rsidR="004C4B65">
        <w:rPr>
          <w:rFonts w:ascii="Times New Roman" w:hAnsi="Times New Roman"/>
        </w:rPr>
        <w:t xml:space="preserve">definuje </w:t>
      </w:r>
      <w:r w:rsidRPr="00580ADF">
        <w:rPr>
          <w:rFonts w:ascii="Times New Roman" w:hAnsi="Times New Roman"/>
        </w:rPr>
        <w:t xml:space="preserve">účel použitia úhrady, </w:t>
      </w:r>
      <w:r w:rsidRPr="00580ADF" w:rsidR="004C4B65">
        <w:rPr>
          <w:rFonts w:ascii="Times New Roman" w:hAnsi="Times New Roman"/>
        </w:rPr>
        <w:t xml:space="preserve">určuje </w:t>
      </w:r>
      <w:r w:rsidRPr="00580ADF">
        <w:rPr>
          <w:rFonts w:ascii="Times New Roman" w:hAnsi="Times New Roman"/>
        </w:rPr>
        <w:t>sadzbu úhrady a</w:t>
      </w:r>
      <w:r w:rsidRPr="00580ADF" w:rsidR="004C4B65">
        <w:rPr>
          <w:rFonts w:ascii="Times New Roman" w:hAnsi="Times New Roman"/>
        </w:rPr>
        <w:t> </w:t>
      </w:r>
      <w:r w:rsidRPr="00580ADF">
        <w:rPr>
          <w:rFonts w:ascii="Times New Roman" w:hAnsi="Times New Roman"/>
        </w:rPr>
        <w:t>taktiež</w:t>
      </w:r>
      <w:r w:rsidRPr="00580ADF" w:rsidR="004C4B65">
        <w:rPr>
          <w:rFonts w:ascii="Times New Roman" w:hAnsi="Times New Roman"/>
        </w:rPr>
        <w:t xml:space="preserve"> ustanovuje</w:t>
      </w:r>
      <w:r w:rsidRPr="00580ADF">
        <w:rPr>
          <w:rFonts w:ascii="Times New Roman" w:hAnsi="Times New Roman"/>
        </w:rPr>
        <w:t xml:space="preserve"> </w:t>
      </w:r>
      <w:r w:rsidRPr="00580ADF" w:rsidR="004C4B65">
        <w:rPr>
          <w:rFonts w:ascii="Times New Roman" w:hAnsi="Times New Roman"/>
        </w:rPr>
        <w:t>podmienky, za ktorých je platiteľ úhrady oslobodený od povinnosti platiť úhradu, alebo mu vzniká nárok na zníženú sadzbu úhrady na polovicu. Návrh zákona zároveň upravuje povinnosti vznikajúce jednotlivým subjektom v súvislosti s vedením evidencie platiteľov</w:t>
      </w:r>
      <w:r w:rsidRPr="00580ADF" w:rsidR="00F11C4F">
        <w:rPr>
          <w:rFonts w:ascii="Times New Roman" w:hAnsi="Times New Roman"/>
        </w:rPr>
        <w:t xml:space="preserve"> vyberat</w:t>
      </w:r>
      <w:r w:rsidRPr="00580ADF" w:rsidR="00F659C7">
        <w:rPr>
          <w:rFonts w:ascii="Times New Roman" w:hAnsi="Times New Roman"/>
        </w:rPr>
        <w:t>eľom úhrady</w:t>
      </w:r>
      <w:r w:rsidRPr="00580ADF" w:rsidR="004C4B65">
        <w:rPr>
          <w:rFonts w:ascii="Times New Roman" w:hAnsi="Times New Roman"/>
        </w:rPr>
        <w:t>.</w:t>
      </w:r>
    </w:p>
    <w:p w:rsidR="004C4B65" w:rsidRPr="00580ADF" w:rsidP="006865C4">
      <w:pPr>
        <w:bidi w:val="0"/>
        <w:ind w:firstLine="720"/>
        <w:jc w:val="both"/>
        <w:rPr>
          <w:rFonts w:ascii="Times New Roman" w:hAnsi="Times New Roman"/>
        </w:rPr>
      </w:pPr>
    </w:p>
    <w:p w:rsidR="0071444A" w:rsidRPr="00580ADF" w:rsidP="0071444A">
      <w:pPr>
        <w:bidi w:val="0"/>
        <w:ind w:firstLine="708"/>
        <w:jc w:val="both"/>
        <w:rPr>
          <w:rFonts w:ascii="Times New Roman" w:hAnsi="Times New Roman"/>
        </w:rPr>
      </w:pPr>
      <w:r w:rsidRPr="00580ADF">
        <w:rPr>
          <w:rFonts w:ascii="Times New Roman" w:hAnsi="Times New Roman"/>
        </w:rPr>
        <w:t>Povinnosť platiť úhradu má v zmysle návrhu zákon</w:t>
      </w:r>
      <w:r w:rsidRPr="00580ADF" w:rsidR="00EC5767">
        <w:rPr>
          <w:rFonts w:ascii="Times New Roman" w:hAnsi="Times New Roman"/>
        </w:rPr>
        <w:t>a</w:t>
      </w:r>
      <w:r w:rsidRPr="00580ADF">
        <w:rPr>
          <w:rFonts w:ascii="Times New Roman" w:hAnsi="Times New Roman"/>
        </w:rPr>
        <w:t xml:space="preserve"> fyzická osoba, ktorú eviduje dodávateľ elektriny v evidencii odberateľov elektriny</w:t>
      </w:r>
      <w:r w:rsidRPr="00580ADF" w:rsidR="00970C2F">
        <w:rPr>
          <w:rFonts w:ascii="Times New Roman" w:hAnsi="Times New Roman"/>
        </w:rPr>
        <w:t xml:space="preserve"> v domácnosti</w:t>
      </w:r>
      <w:r w:rsidRPr="00580ADF">
        <w:rPr>
          <w:rFonts w:ascii="Times New Roman" w:hAnsi="Times New Roman"/>
        </w:rPr>
        <w:t xml:space="preserve"> ako odberateľa elektriny</w:t>
      </w:r>
      <w:r w:rsidRPr="00580ADF" w:rsidR="00970C2F">
        <w:rPr>
          <w:rFonts w:ascii="Times New Roman" w:hAnsi="Times New Roman"/>
        </w:rPr>
        <w:t xml:space="preserve"> v domácnosti</w:t>
      </w:r>
      <w:r w:rsidRPr="00580ADF">
        <w:rPr>
          <w:rFonts w:ascii="Times New Roman" w:hAnsi="Times New Roman"/>
        </w:rPr>
        <w:t xml:space="preserve"> v odbernom mieste pre spotrebu v byte alebo v rodinnom dome.</w:t>
      </w:r>
      <w:r w:rsidRPr="00580ADF" w:rsidR="00CE049A">
        <w:rPr>
          <w:rFonts w:ascii="Times New Roman" w:hAnsi="Times New Roman"/>
        </w:rPr>
        <w:t xml:space="preserve"> Úhradu len za jedno odberné miesto platí platiteľ podľa predchádzajúcej vety, ak je dodávateľom elektriny evidovaný v evidencii odberateľov elektriny </w:t>
      </w:r>
      <w:r w:rsidRPr="00580ADF" w:rsidR="00970C2F">
        <w:rPr>
          <w:rFonts w:ascii="Times New Roman" w:hAnsi="Times New Roman"/>
        </w:rPr>
        <w:t xml:space="preserve">v domácnosti </w:t>
      </w:r>
      <w:r w:rsidRPr="00580ADF" w:rsidR="00CE049A">
        <w:rPr>
          <w:rFonts w:ascii="Times New Roman" w:hAnsi="Times New Roman"/>
        </w:rPr>
        <w:t xml:space="preserve">vo viacerých odberných miestach a vznik tejto skutočnosti oznámi </w:t>
      </w:r>
      <w:r w:rsidRPr="00580ADF" w:rsidR="00F659C7">
        <w:rPr>
          <w:rFonts w:ascii="Times New Roman" w:hAnsi="Times New Roman"/>
        </w:rPr>
        <w:t>a preukáže vyberateľovi úhrady.</w:t>
      </w:r>
      <w:r w:rsidRPr="00580ADF">
        <w:rPr>
          <w:rFonts w:ascii="Times New Roman" w:hAnsi="Times New Roman"/>
        </w:rPr>
        <w:t xml:space="preserve"> Platiteľom úhrady je v zmysle návrhu zákona aj zamestnávateľ, ktorý zamestnáva v pracovnom pomere alebo obdobnom pracovnom vzťahu aspoň troch zamestnancov. </w:t>
      </w:r>
    </w:p>
    <w:p w:rsidR="00CE049A" w:rsidRPr="00580ADF" w:rsidP="0071444A">
      <w:pPr>
        <w:bidi w:val="0"/>
        <w:ind w:firstLine="708"/>
        <w:jc w:val="both"/>
        <w:rPr>
          <w:rFonts w:ascii="Times New Roman" w:hAnsi="Times New Roman"/>
        </w:rPr>
      </w:pPr>
    </w:p>
    <w:p w:rsidR="004C4B65" w:rsidRPr="00580ADF" w:rsidP="00B0275A">
      <w:pPr>
        <w:bidi w:val="0"/>
        <w:ind w:firstLine="708"/>
        <w:jc w:val="both"/>
        <w:rPr>
          <w:rFonts w:ascii="Times New Roman" w:hAnsi="Times New Roman"/>
        </w:rPr>
      </w:pPr>
      <w:r w:rsidRPr="00580ADF" w:rsidR="00B0275A">
        <w:rPr>
          <w:rFonts w:ascii="Times New Roman" w:hAnsi="Times New Roman"/>
        </w:rPr>
        <w:t>Navrhuje sa, aby v</w:t>
      </w:r>
      <w:r w:rsidRPr="00580ADF" w:rsidR="00EC5767">
        <w:rPr>
          <w:rFonts w:ascii="Times New Roman" w:hAnsi="Times New Roman"/>
        </w:rPr>
        <w:t>yberateľ</w:t>
      </w:r>
      <w:r w:rsidRPr="00580ADF">
        <w:rPr>
          <w:rFonts w:ascii="Times New Roman" w:hAnsi="Times New Roman"/>
        </w:rPr>
        <w:t xml:space="preserve">om a zároveň príjemcom úhrady </w:t>
      </w:r>
      <w:r w:rsidRPr="00580ADF" w:rsidR="00F659C7">
        <w:rPr>
          <w:rFonts w:ascii="Times New Roman" w:hAnsi="Times New Roman"/>
        </w:rPr>
        <w:t>bol</w:t>
      </w:r>
      <w:r w:rsidRPr="00580ADF">
        <w:rPr>
          <w:rFonts w:ascii="Times New Roman" w:hAnsi="Times New Roman"/>
        </w:rPr>
        <w:t xml:space="preserve"> Rozhlas a televízia Slovenska</w:t>
      </w:r>
      <w:r w:rsidRPr="00580ADF" w:rsidR="00B0275A">
        <w:rPr>
          <w:rFonts w:ascii="Times New Roman" w:hAnsi="Times New Roman"/>
        </w:rPr>
        <w:t>, nakoľko</w:t>
      </w:r>
      <w:r w:rsidRPr="00580ADF">
        <w:rPr>
          <w:rFonts w:ascii="Times New Roman" w:hAnsi="Times New Roman"/>
        </w:rPr>
        <w:t xml:space="preserve"> </w:t>
      </w:r>
      <w:r w:rsidRPr="00580ADF" w:rsidR="00B0275A">
        <w:rPr>
          <w:rFonts w:ascii="Times New Roman" w:hAnsi="Times New Roman"/>
        </w:rPr>
        <w:t>existencia spoločnosti s ručením obmedzeným, ktorá je zriadená za účelom výberu úhrady pre tohto verejnoprávneho vysielateľa už nie je opodstatnená. Príjmy z úhrad</w:t>
      </w:r>
      <w:r w:rsidRPr="00580ADF" w:rsidR="00C90B92">
        <w:rPr>
          <w:rFonts w:ascii="Times New Roman" w:hAnsi="Times New Roman"/>
        </w:rPr>
        <w:t>y</w:t>
      </w:r>
      <w:r w:rsidRPr="00580ADF" w:rsidR="00B0275A">
        <w:rPr>
          <w:rFonts w:ascii="Times New Roman" w:hAnsi="Times New Roman"/>
        </w:rPr>
        <w:t xml:space="preserve"> a príjmy z pokút je verejnoprávny vysielateľ oprávnený použiť </w:t>
      </w:r>
      <w:r w:rsidRPr="00580ADF">
        <w:rPr>
          <w:rFonts w:ascii="Times New Roman" w:hAnsi="Times New Roman"/>
        </w:rPr>
        <w:t>výlučne na finančné zabezpečenie služieb verejnosti poskytovaných Rozhlasom a televíziou Slovenska v oblasti rozhlasového a televízneho vysielania</w:t>
      </w:r>
      <w:r w:rsidRPr="00580ADF" w:rsidR="00C90B92">
        <w:rPr>
          <w:rFonts w:ascii="Times New Roman" w:hAnsi="Times New Roman"/>
        </w:rPr>
        <w:t>.</w:t>
      </w:r>
      <w:r w:rsidRPr="00580ADF" w:rsidR="00970C2F">
        <w:rPr>
          <w:rFonts w:ascii="Times New Roman" w:hAnsi="Times New Roman"/>
        </w:rPr>
        <w:t> </w:t>
      </w:r>
      <w:r w:rsidRPr="00580ADF" w:rsidR="00C90B92">
        <w:rPr>
          <w:rFonts w:ascii="Times New Roman" w:hAnsi="Times New Roman"/>
        </w:rPr>
        <w:t>P</w:t>
      </w:r>
      <w:r w:rsidRPr="00580ADF" w:rsidR="00970C2F">
        <w:rPr>
          <w:rFonts w:ascii="Times New Roman" w:hAnsi="Times New Roman"/>
        </w:rPr>
        <w:t xml:space="preserve">ríjmy z úhrady </w:t>
      </w:r>
      <w:r w:rsidRPr="00580ADF" w:rsidR="00C90B92">
        <w:rPr>
          <w:rFonts w:ascii="Times New Roman" w:hAnsi="Times New Roman"/>
        </w:rPr>
        <w:t xml:space="preserve">je verejnoprávny vysielateľ oprávnený v zmysle návrhu zákona použiť </w:t>
      </w:r>
      <w:r w:rsidRPr="00580ADF" w:rsidR="00970C2F">
        <w:rPr>
          <w:rFonts w:ascii="Times New Roman" w:hAnsi="Times New Roman"/>
        </w:rPr>
        <w:t>aj na zabezpečenie výberu úhrady, kontroly platenia úhrady a na vymáhanie úhrady a pokút</w:t>
      </w:r>
      <w:r w:rsidRPr="00580ADF">
        <w:rPr>
          <w:rFonts w:ascii="Times New Roman" w:hAnsi="Times New Roman"/>
        </w:rPr>
        <w:t>.</w:t>
      </w:r>
    </w:p>
    <w:p w:rsidR="00CE049A" w:rsidRPr="00580ADF" w:rsidP="00B0275A">
      <w:pPr>
        <w:bidi w:val="0"/>
        <w:ind w:firstLine="708"/>
        <w:jc w:val="both"/>
        <w:rPr>
          <w:rFonts w:ascii="Times New Roman" w:hAnsi="Times New Roman"/>
        </w:rPr>
      </w:pPr>
    </w:p>
    <w:p w:rsidR="003722CC" w:rsidRPr="00580ADF" w:rsidP="00B0275A">
      <w:pPr>
        <w:bidi w:val="0"/>
        <w:ind w:firstLine="708"/>
        <w:jc w:val="both"/>
        <w:rPr>
          <w:rFonts w:ascii="Times New Roman" w:hAnsi="Times New Roman"/>
        </w:rPr>
      </w:pPr>
      <w:r w:rsidRPr="00580ADF" w:rsidR="00B31AAA">
        <w:rPr>
          <w:rFonts w:ascii="Times New Roman" w:hAnsi="Times New Roman"/>
        </w:rPr>
        <w:t xml:space="preserve">Sadzba úhrady platiteľov podľa § 3 ods. 1 písm. a) je návrhom zákona stanovená na </w:t>
      </w:r>
      <w:r w:rsidRPr="00580ADF" w:rsidR="00B53916">
        <w:rPr>
          <w:rFonts w:ascii="Times New Roman" w:hAnsi="Times New Roman"/>
        </w:rPr>
        <w:t>4,64</w:t>
      </w:r>
      <w:r w:rsidRPr="00580ADF" w:rsidR="00B31AAA">
        <w:rPr>
          <w:rFonts w:ascii="Times New Roman" w:hAnsi="Times New Roman"/>
        </w:rPr>
        <w:t xml:space="preserve"> eur</w:t>
      </w:r>
      <w:r w:rsidRPr="00580ADF" w:rsidR="00B53916">
        <w:rPr>
          <w:rFonts w:ascii="Times New Roman" w:hAnsi="Times New Roman"/>
        </w:rPr>
        <w:t>a</w:t>
      </w:r>
      <w:r w:rsidRPr="00580ADF" w:rsidR="00B31AAA">
        <w:rPr>
          <w:rFonts w:ascii="Times New Roman" w:hAnsi="Times New Roman"/>
        </w:rPr>
        <w:t>. Sadzba úhrady platiteľa, ktorý je zamestnávateľom sa odvíja od počtu jeho zamestnancov v pracovn</w:t>
      </w:r>
      <w:r w:rsidRPr="00580ADF" w:rsidR="00EC5767">
        <w:rPr>
          <w:rFonts w:ascii="Times New Roman" w:hAnsi="Times New Roman"/>
        </w:rPr>
        <w:t>om pomere alebo v obdobnom pracovnom vzťahu</w:t>
      </w:r>
      <w:r w:rsidRPr="00580ADF">
        <w:rPr>
          <w:rFonts w:ascii="Times New Roman" w:hAnsi="Times New Roman"/>
        </w:rPr>
        <w:t>, pričom navrhovaná právna úprava ustanovuje spôsob určenia sadzby úhrady v prípadoch keď dochádza k zníženiu alebo zvýšeniu počtu zamestnancov rozhodujúcemu pre určenie výšky úhrady</w:t>
      </w:r>
      <w:r w:rsidRPr="00580ADF" w:rsidR="00EC5767">
        <w:rPr>
          <w:rFonts w:ascii="Times New Roman" w:hAnsi="Times New Roman"/>
        </w:rPr>
        <w:t>.</w:t>
      </w:r>
    </w:p>
    <w:p w:rsidR="00B31AAA" w:rsidRPr="00580ADF" w:rsidP="00B0275A">
      <w:pPr>
        <w:bidi w:val="0"/>
        <w:ind w:firstLine="708"/>
        <w:jc w:val="both"/>
        <w:rPr>
          <w:rFonts w:ascii="Times New Roman" w:hAnsi="Times New Roman"/>
        </w:rPr>
      </w:pPr>
    </w:p>
    <w:p w:rsidR="00CE049A" w:rsidRPr="00580ADF" w:rsidP="00CE049A">
      <w:pPr>
        <w:bidi w:val="0"/>
        <w:ind w:firstLine="708"/>
        <w:jc w:val="both"/>
        <w:rPr>
          <w:rFonts w:ascii="Times New Roman" w:hAnsi="Times New Roman"/>
        </w:rPr>
      </w:pPr>
      <w:r w:rsidRPr="00580ADF">
        <w:rPr>
          <w:rFonts w:ascii="Times New Roman" w:hAnsi="Times New Roman"/>
        </w:rPr>
        <w:t>Návrh zákona ustanovuje podmienky za akých vzniká platiteľovi, ktorým je fyzická osoba, ktorá je evidovaná dodávateľom elektriny v evidencii odberateľov elektriny</w:t>
      </w:r>
      <w:r w:rsidRPr="00580ADF" w:rsidR="00970C2F">
        <w:rPr>
          <w:rFonts w:ascii="Times New Roman" w:hAnsi="Times New Roman"/>
        </w:rPr>
        <w:t xml:space="preserve"> v domácnosti</w:t>
      </w:r>
      <w:r w:rsidRPr="00580ADF">
        <w:rPr>
          <w:rFonts w:ascii="Times New Roman" w:hAnsi="Times New Roman"/>
        </w:rPr>
        <w:t xml:space="preserve"> ako odberateľ elektriny </w:t>
      </w:r>
      <w:r w:rsidRPr="00580ADF" w:rsidR="00970C2F">
        <w:rPr>
          <w:rFonts w:ascii="Times New Roman" w:hAnsi="Times New Roman"/>
        </w:rPr>
        <w:t xml:space="preserve">v domácnosti </w:t>
      </w:r>
      <w:r w:rsidRPr="00580ADF">
        <w:rPr>
          <w:rFonts w:ascii="Times New Roman" w:hAnsi="Times New Roman"/>
        </w:rPr>
        <w:t xml:space="preserve">v odbernom mieste, pre spotrebu v byte alebo v rodinnom dome, nárok na oslobodenie od povinnosti platiť úhradu. Od povinnosti platiť úhradu je oslobodený platiteľ, ktorý je </w:t>
      </w:r>
      <w:r w:rsidRPr="00580ADF" w:rsidR="00471122">
        <w:rPr>
          <w:rFonts w:ascii="Times New Roman" w:hAnsi="Times New Roman"/>
        </w:rPr>
        <w:t xml:space="preserve">fyzickou </w:t>
      </w:r>
      <w:r w:rsidRPr="00580ADF">
        <w:rPr>
          <w:rFonts w:ascii="Times New Roman" w:hAnsi="Times New Roman"/>
        </w:rPr>
        <w:t>osobou s ťažkým zdravotným postihnutím alebo žije v domácnosti s</w:t>
      </w:r>
      <w:r w:rsidRPr="00580ADF" w:rsidR="00970C2F">
        <w:rPr>
          <w:rFonts w:ascii="Times New Roman" w:hAnsi="Times New Roman"/>
        </w:rPr>
        <w:t> takouto osobou</w:t>
      </w:r>
      <w:r w:rsidRPr="00580ADF">
        <w:rPr>
          <w:rFonts w:ascii="Times New Roman" w:hAnsi="Times New Roman"/>
        </w:rPr>
        <w:t xml:space="preserve">, pričom táto osoba musí mať na adrese odberného miesta platiteľa trvalý pobyt. Zároveň návrh zákona stanovuje, že nárok na oslobodenie vzniká takémuto platiteľovi až po oznámení a preukázaní skutočností zakladajúcich oslobodenie od platenia úhrady vyberateľovi úhrady. Návrh zákona </w:t>
      </w:r>
      <w:r w:rsidRPr="00580ADF" w:rsidR="00F659C7">
        <w:rPr>
          <w:rFonts w:ascii="Times New Roman" w:hAnsi="Times New Roman"/>
        </w:rPr>
        <w:t xml:space="preserve">taktiež </w:t>
      </w:r>
      <w:r w:rsidRPr="00580ADF">
        <w:rPr>
          <w:rFonts w:ascii="Times New Roman" w:hAnsi="Times New Roman"/>
        </w:rPr>
        <w:t>taxatívne vymedzuje okruh subjektov, ktoré sú priamo na základe zákona oslobodené o</w:t>
      </w:r>
      <w:r w:rsidRPr="00580ADF" w:rsidR="00EC5767">
        <w:rPr>
          <w:rFonts w:ascii="Times New Roman" w:hAnsi="Times New Roman"/>
        </w:rPr>
        <w:t>d</w:t>
      </w:r>
      <w:r w:rsidRPr="00580ADF">
        <w:rPr>
          <w:rFonts w:ascii="Times New Roman" w:hAnsi="Times New Roman"/>
        </w:rPr>
        <w:t> povinnosti platiť úhradu.</w:t>
      </w:r>
    </w:p>
    <w:p w:rsidR="00B0275A" w:rsidRPr="00580ADF" w:rsidP="00B31AAA">
      <w:pPr>
        <w:widowControl w:val="0"/>
        <w:autoSpaceDE w:val="0"/>
        <w:autoSpaceDN w:val="0"/>
        <w:bidi w:val="0"/>
        <w:adjustRightInd w:val="0"/>
        <w:jc w:val="both"/>
        <w:rPr>
          <w:rFonts w:ascii="Times New Roman" w:hAnsi="Times New Roman"/>
        </w:rPr>
      </w:pPr>
    </w:p>
    <w:p w:rsidR="00CE049A" w:rsidRPr="00580ADF" w:rsidP="00B31AAA">
      <w:pPr>
        <w:bidi w:val="0"/>
        <w:ind w:firstLine="708"/>
        <w:jc w:val="both"/>
        <w:rPr>
          <w:rFonts w:ascii="Times New Roman" w:hAnsi="Times New Roman"/>
        </w:rPr>
      </w:pPr>
      <w:r w:rsidRPr="00580ADF">
        <w:rPr>
          <w:rFonts w:ascii="Times New Roman" w:hAnsi="Times New Roman"/>
        </w:rPr>
        <w:t xml:space="preserve">Nárok na zníženú sadzbu úhrady na polovicu vzniká platiteľovi § 3 písm. a), ktorý je poberateľom dôchodkových dávok podľa </w:t>
      </w:r>
      <w:r w:rsidRPr="00580ADF" w:rsidR="00B31AAA">
        <w:rPr>
          <w:rFonts w:ascii="Times New Roman" w:hAnsi="Times New Roman"/>
        </w:rPr>
        <w:t>zákon</w:t>
      </w:r>
      <w:r w:rsidRPr="00580ADF" w:rsidR="00EC5767">
        <w:rPr>
          <w:rFonts w:ascii="Times New Roman" w:hAnsi="Times New Roman"/>
        </w:rPr>
        <w:t>a</w:t>
      </w:r>
      <w:r w:rsidRPr="00580ADF" w:rsidR="00B31AAA">
        <w:rPr>
          <w:rFonts w:ascii="Times New Roman" w:hAnsi="Times New Roman"/>
        </w:rPr>
        <w:t xml:space="preserve"> č. 461/2003 Z. z.</w:t>
      </w:r>
      <w:r w:rsidRPr="00580ADF" w:rsidR="00B31AAA">
        <w:rPr>
          <w:rFonts w:ascii="Times New Roman" w:hAnsi="Times New Roman"/>
          <w:color w:val="FF0000"/>
        </w:rPr>
        <w:t xml:space="preserve"> </w:t>
      </w:r>
      <w:r w:rsidRPr="00580ADF" w:rsidR="00B31AAA">
        <w:rPr>
          <w:rFonts w:ascii="Times New Roman" w:hAnsi="Times New Roman"/>
        </w:rPr>
        <w:t>o sociálnom poistení v znení neskorších predpisov</w:t>
      </w:r>
      <w:r w:rsidRPr="00580ADF">
        <w:rPr>
          <w:rFonts w:ascii="Times New Roman" w:hAnsi="Times New Roman"/>
        </w:rPr>
        <w:t xml:space="preserve"> alebo je poberateľom rovnocenných dôchodkových dávok zo zahraničia, nemá pravidelný príjem zo zárobkovej činnosti, nežije v domácnosti s inou osobou s pravidelným príjmom zo zárobkovej činnosti a zároveň vznik tejto skutočnosti oznámi a preukáže vyberateľovi úhrady. </w:t>
      </w:r>
      <w:r w:rsidRPr="00580ADF" w:rsidR="00B31AAA">
        <w:rPr>
          <w:rFonts w:ascii="Times New Roman" w:hAnsi="Times New Roman"/>
        </w:rPr>
        <w:t xml:space="preserve"> </w:t>
      </w:r>
      <w:r w:rsidRPr="00580ADF">
        <w:rPr>
          <w:rFonts w:ascii="Times New Roman" w:hAnsi="Times New Roman"/>
        </w:rPr>
        <w:t xml:space="preserve">Zníženú sadzbu úhrady na polovicu platí aj platiteľ </w:t>
      </w:r>
      <w:r w:rsidRPr="00580ADF" w:rsidR="00EC5767">
        <w:rPr>
          <w:rFonts w:ascii="Times New Roman" w:hAnsi="Times New Roman"/>
        </w:rPr>
        <w:t xml:space="preserve">podľa </w:t>
      </w:r>
      <w:r w:rsidRPr="00580ADF">
        <w:rPr>
          <w:rFonts w:ascii="Times New Roman" w:hAnsi="Times New Roman"/>
        </w:rPr>
        <w:t>§ 3 písm. a), ktorý je poberateľom dávky v hmotnej núdzi alebo osobou spoločne posudzovanou s po</w:t>
      </w:r>
      <w:r w:rsidRPr="00580ADF" w:rsidR="00F659C7">
        <w:rPr>
          <w:rFonts w:ascii="Times New Roman" w:hAnsi="Times New Roman"/>
        </w:rPr>
        <w:t>berateľom dávky v hmotnej núdzi</w:t>
      </w:r>
      <w:r w:rsidRPr="00580ADF">
        <w:rPr>
          <w:rFonts w:ascii="Times New Roman" w:hAnsi="Times New Roman"/>
        </w:rPr>
        <w:t xml:space="preserve"> a vznik tejto skutočnosti oznámi a preukáže vyberateľovi úhrady. </w:t>
      </w:r>
    </w:p>
    <w:p w:rsidR="00B31AAA" w:rsidRPr="00580ADF" w:rsidP="00B31AAA">
      <w:pPr>
        <w:bidi w:val="0"/>
        <w:ind w:firstLine="708"/>
        <w:jc w:val="both"/>
        <w:rPr>
          <w:rFonts w:ascii="Times New Roman" w:hAnsi="Times New Roman"/>
        </w:rPr>
      </w:pPr>
    </w:p>
    <w:p w:rsidR="00F11C4F" w:rsidRPr="00580ADF" w:rsidP="00CE049A">
      <w:pPr>
        <w:bidi w:val="0"/>
        <w:ind w:firstLine="708"/>
        <w:jc w:val="both"/>
        <w:rPr>
          <w:rFonts w:ascii="Times New Roman" w:hAnsi="Times New Roman"/>
        </w:rPr>
      </w:pPr>
      <w:r w:rsidRPr="00580ADF" w:rsidR="00CE049A">
        <w:rPr>
          <w:rFonts w:ascii="Times New Roman" w:hAnsi="Times New Roman"/>
        </w:rPr>
        <w:t xml:space="preserve">Návrh zákona viaže </w:t>
      </w:r>
    </w:p>
    <w:p w:rsidR="00F11C4F" w:rsidRPr="00580ADF" w:rsidP="00F11C4F">
      <w:pPr>
        <w:numPr>
          <w:numId w:val="2"/>
        </w:numPr>
        <w:bidi w:val="0"/>
        <w:jc w:val="both"/>
        <w:rPr>
          <w:rFonts w:ascii="Times New Roman" w:hAnsi="Times New Roman"/>
        </w:rPr>
      </w:pPr>
      <w:r w:rsidRPr="00580ADF" w:rsidR="00CE049A">
        <w:rPr>
          <w:rFonts w:ascii="Times New Roman" w:hAnsi="Times New Roman"/>
        </w:rPr>
        <w:t xml:space="preserve">nárok na </w:t>
      </w:r>
      <w:r w:rsidRPr="00580ADF" w:rsidR="00B31AAA">
        <w:rPr>
          <w:rFonts w:ascii="Times New Roman" w:hAnsi="Times New Roman"/>
        </w:rPr>
        <w:t xml:space="preserve">oslobodenie </w:t>
      </w:r>
      <w:r w:rsidRPr="00580ADF" w:rsidR="00EC5767">
        <w:rPr>
          <w:rFonts w:ascii="Times New Roman" w:hAnsi="Times New Roman"/>
        </w:rPr>
        <w:t>od povinnosti platiť úhradu podľ</w:t>
      </w:r>
      <w:r w:rsidRPr="00580ADF" w:rsidR="00B31AAA">
        <w:rPr>
          <w:rFonts w:ascii="Times New Roman" w:hAnsi="Times New Roman"/>
        </w:rPr>
        <w:t xml:space="preserve">a § 5 ods. 1, </w:t>
      </w:r>
    </w:p>
    <w:p w:rsidR="00F11C4F" w:rsidRPr="00580ADF" w:rsidP="00F11C4F">
      <w:pPr>
        <w:numPr>
          <w:numId w:val="2"/>
        </w:numPr>
        <w:bidi w:val="0"/>
        <w:jc w:val="both"/>
        <w:rPr>
          <w:rFonts w:ascii="Times New Roman" w:hAnsi="Times New Roman"/>
        </w:rPr>
      </w:pPr>
      <w:r w:rsidRPr="00580ADF" w:rsidR="00B31AAA">
        <w:rPr>
          <w:rFonts w:ascii="Times New Roman" w:hAnsi="Times New Roman"/>
        </w:rPr>
        <w:t xml:space="preserve">nárok na </w:t>
      </w:r>
      <w:r w:rsidRPr="00580ADF" w:rsidR="00CE049A">
        <w:rPr>
          <w:rFonts w:ascii="Times New Roman" w:hAnsi="Times New Roman"/>
        </w:rPr>
        <w:t xml:space="preserve">platenie úhrady len za jedno odberné miesto, </w:t>
      </w:r>
    </w:p>
    <w:p w:rsidR="00F11C4F" w:rsidRPr="00580ADF" w:rsidP="00F11C4F">
      <w:pPr>
        <w:numPr>
          <w:numId w:val="2"/>
        </w:numPr>
        <w:bidi w:val="0"/>
        <w:jc w:val="both"/>
        <w:rPr>
          <w:rFonts w:ascii="Times New Roman" w:hAnsi="Times New Roman"/>
        </w:rPr>
      </w:pPr>
      <w:r w:rsidRPr="00580ADF" w:rsidR="00CE049A">
        <w:rPr>
          <w:rFonts w:ascii="Times New Roman" w:hAnsi="Times New Roman"/>
        </w:rPr>
        <w:t>nárok na zníženie sadzby úhrady na polovicu</w:t>
      </w:r>
      <w:r w:rsidRPr="00580ADF">
        <w:rPr>
          <w:rFonts w:ascii="Times New Roman" w:hAnsi="Times New Roman"/>
        </w:rPr>
        <w:t xml:space="preserve"> a </w:t>
      </w:r>
    </w:p>
    <w:p w:rsidR="00F11C4F" w:rsidRPr="00580ADF" w:rsidP="00F11C4F">
      <w:pPr>
        <w:numPr>
          <w:numId w:val="2"/>
        </w:numPr>
        <w:bidi w:val="0"/>
        <w:jc w:val="both"/>
        <w:rPr>
          <w:rFonts w:ascii="Times New Roman" w:hAnsi="Times New Roman"/>
        </w:rPr>
      </w:pPr>
      <w:r w:rsidRPr="00580ADF">
        <w:rPr>
          <w:rFonts w:ascii="Times New Roman" w:hAnsi="Times New Roman"/>
        </w:rPr>
        <w:t>nárok na platenie nižšej sadzby úhrady v prípade zníženia počtu zamestnancov rozhodujúceho pre určenie sadzby úhrady,</w:t>
      </w:r>
      <w:r w:rsidRPr="00580ADF" w:rsidR="00CE049A">
        <w:rPr>
          <w:rFonts w:ascii="Times New Roman" w:hAnsi="Times New Roman"/>
        </w:rPr>
        <w:t xml:space="preserve"> </w:t>
      </w:r>
    </w:p>
    <w:p w:rsidR="00B31AAA" w:rsidRPr="00580ADF" w:rsidP="00F11C4F">
      <w:pPr>
        <w:bidi w:val="0"/>
        <w:jc w:val="both"/>
        <w:rPr>
          <w:rFonts w:ascii="Times New Roman" w:hAnsi="Times New Roman"/>
        </w:rPr>
      </w:pPr>
      <w:r w:rsidRPr="00580ADF" w:rsidR="00CE049A">
        <w:rPr>
          <w:rFonts w:ascii="Times New Roman" w:hAnsi="Times New Roman"/>
        </w:rPr>
        <w:t xml:space="preserve">na kumulatívne splnenie návrhom zákona ustanovenej pasívnej a aktívnej podmienky. </w:t>
      </w:r>
      <w:r w:rsidRPr="00580ADF">
        <w:rPr>
          <w:rFonts w:ascii="Times New Roman" w:hAnsi="Times New Roman"/>
        </w:rPr>
        <w:t xml:space="preserve">To znamená, že uvedené nároky nevznikajú platiteľovi priamo zo zákona, ale pre ich vznik je nevyhnutné aj konanie platiteľa, ktoré spočíva v oznámení a preukázaní vzniku tohto nároku vyberateľovi úhrady. </w:t>
      </w:r>
    </w:p>
    <w:p w:rsidR="003722CC" w:rsidRPr="00580ADF" w:rsidP="00CE049A">
      <w:pPr>
        <w:bidi w:val="0"/>
        <w:ind w:firstLine="708"/>
        <w:jc w:val="both"/>
        <w:rPr>
          <w:rFonts w:ascii="Times New Roman" w:hAnsi="Times New Roman"/>
        </w:rPr>
      </w:pPr>
    </w:p>
    <w:p w:rsidR="003722CC" w:rsidRPr="00580ADF" w:rsidP="00CE049A">
      <w:pPr>
        <w:bidi w:val="0"/>
        <w:ind w:firstLine="708"/>
        <w:jc w:val="both"/>
        <w:rPr>
          <w:rFonts w:ascii="Times New Roman" w:hAnsi="Times New Roman"/>
        </w:rPr>
      </w:pPr>
      <w:r w:rsidRPr="00580ADF">
        <w:rPr>
          <w:rFonts w:ascii="Times New Roman" w:hAnsi="Times New Roman"/>
        </w:rPr>
        <w:t>Povinnosť platiť úhradu vzniká od prvého dňa kalendárneho mesiaca nasledujúceho po kalendárnom mesiaci, v ktorom sa osoba stala platiteľom, a zaniká posledný deň mesiaca, v ktorom osoba prestala byť platiteľom. Úhrada sa platí mesačne, pričom platiteľ je povinný ju zaplatiť do posledného dňa príslušného mesiaca. Navrhovaná právna úprava umožňuje zaplatiť úhradu aj jednorázovo za obdobie, ktoré si platiteľ zvolí, a to buď za štvrťrok, polrok alebo rok a vtedy má platiteľ povinnosť zaplatiť úhradu do posledného dňa prvého kalendárneho mesiaca obdobia, za ktoré sa úhrada platí. Kontrolu platenia úhrady vykonáva vyberateľ úhrady.</w:t>
      </w:r>
    </w:p>
    <w:p w:rsidR="003722CC" w:rsidRPr="00580ADF" w:rsidP="00CE049A">
      <w:pPr>
        <w:bidi w:val="0"/>
        <w:ind w:firstLine="708"/>
        <w:jc w:val="both"/>
        <w:rPr>
          <w:rFonts w:ascii="Times New Roman" w:hAnsi="Times New Roman"/>
        </w:rPr>
      </w:pPr>
    </w:p>
    <w:p w:rsidR="000A182C" w:rsidRPr="00580ADF" w:rsidP="000A182C">
      <w:pPr>
        <w:bidi w:val="0"/>
        <w:ind w:firstLine="708"/>
        <w:jc w:val="both"/>
        <w:rPr>
          <w:rFonts w:ascii="Times New Roman" w:hAnsi="Times New Roman"/>
        </w:rPr>
      </w:pPr>
      <w:r w:rsidRPr="00580ADF" w:rsidR="003722CC">
        <w:rPr>
          <w:rFonts w:ascii="Times New Roman" w:hAnsi="Times New Roman"/>
        </w:rPr>
        <w:t>Na účely výberu úhrad</w:t>
      </w:r>
      <w:r w:rsidRPr="00580ADF" w:rsidR="00CB1D98">
        <w:rPr>
          <w:rFonts w:ascii="Times New Roman" w:hAnsi="Times New Roman"/>
        </w:rPr>
        <w:t>y</w:t>
      </w:r>
      <w:r w:rsidRPr="00580ADF" w:rsidR="003722CC">
        <w:rPr>
          <w:rFonts w:ascii="Times New Roman" w:hAnsi="Times New Roman"/>
        </w:rPr>
        <w:t xml:space="preserve"> a kontroly platenia úhrad</w:t>
      </w:r>
      <w:r w:rsidRPr="00580ADF" w:rsidR="00CB1D98">
        <w:rPr>
          <w:rFonts w:ascii="Times New Roman" w:hAnsi="Times New Roman"/>
        </w:rPr>
        <w:t>y</w:t>
      </w:r>
      <w:r w:rsidRPr="00580ADF" w:rsidR="003722CC">
        <w:rPr>
          <w:rFonts w:ascii="Times New Roman" w:hAnsi="Times New Roman"/>
        </w:rPr>
        <w:t xml:space="preserve"> vedie vyberateľ úhrady evidenciu platiteľov, ktorá obsahuje návrhom zákona ustanovené údaje. </w:t>
      </w:r>
      <w:r w:rsidRPr="00580ADF">
        <w:rPr>
          <w:rFonts w:ascii="Times New Roman" w:hAnsi="Times New Roman"/>
        </w:rPr>
        <w:t>N</w:t>
      </w:r>
      <w:r w:rsidRPr="00580ADF" w:rsidR="003722CC">
        <w:rPr>
          <w:rFonts w:ascii="Times New Roman" w:hAnsi="Times New Roman"/>
        </w:rPr>
        <w:t>ávrh zákona ukladá dodávateľovi elektriny,</w:t>
      </w:r>
      <w:r w:rsidRPr="00580ADF" w:rsidR="00BA0B09">
        <w:rPr>
          <w:rFonts w:ascii="Times New Roman" w:hAnsi="Times New Roman"/>
        </w:rPr>
        <w:t xml:space="preserve"> prevádzkovateľovi distribučnej sústavy,</w:t>
      </w:r>
      <w:r w:rsidRPr="00580ADF" w:rsidR="003722CC">
        <w:rPr>
          <w:rFonts w:ascii="Times New Roman" w:hAnsi="Times New Roman"/>
        </w:rPr>
        <w:t xml:space="preserve"> Ústrediu práce, sociálnych vecí a rodiny, Sociálnej poisťovni a</w:t>
      </w:r>
      <w:r w:rsidRPr="00580ADF" w:rsidR="00970C2F">
        <w:rPr>
          <w:rFonts w:ascii="Times New Roman" w:hAnsi="Times New Roman"/>
        </w:rPr>
        <w:t> katastrálnym úradom</w:t>
      </w:r>
      <w:r w:rsidRPr="00580ADF">
        <w:rPr>
          <w:rFonts w:ascii="Times New Roman" w:hAnsi="Times New Roman"/>
        </w:rPr>
        <w:t xml:space="preserve"> povinnosť poskytovať vyberateľovi úhrady súčinnosť na účely kontroly evidencie platiteľov</w:t>
      </w:r>
      <w:r w:rsidRPr="00580ADF" w:rsidR="003722CC">
        <w:rPr>
          <w:rFonts w:ascii="Times New Roman" w:hAnsi="Times New Roman"/>
        </w:rPr>
        <w:t xml:space="preserve">. </w:t>
      </w:r>
      <w:r w:rsidRPr="00580ADF">
        <w:rPr>
          <w:rFonts w:ascii="Times New Roman" w:hAnsi="Times New Roman"/>
        </w:rPr>
        <w:t>V súlade s predkladaným znením návrhu zákona je platiteľ úhrady povinný písomne oznamovať vyberateľovi úhrady vznik, zmenu alebo zánik povinnosti platiť úhradu</w:t>
      </w:r>
      <w:r w:rsidRPr="00580ADF" w:rsidR="00805C31">
        <w:rPr>
          <w:rFonts w:ascii="Times New Roman" w:hAnsi="Times New Roman"/>
        </w:rPr>
        <w:t>,</w:t>
      </w:r>
      <w:r w:rsidRPr="00580ADF">
        <w:rPr>
          <w:rFonts w:ascii="Times New Roman" w:hAnsi="Times New Roman"/>
        </w:rPr>
        <w:t xml:space="preserve"> vznik alebo zánik oslobodenia od povinnosti platiť úhradu, vznik nároku platiť úhradu len za jedno odberné miesto a vznik, zmenu alebo zánik skutočnosti rozhodujúcej pre určenie zníženej sadzby úhrady, pričom tieto skutočnosti je povinný vyberateľovi úhrady aj preukázať. </w:t>
      </w:r>
    </w:p>
    <w:p w:rsidR="00805C31" w:rsidRPr="00580ADF" w:rsidP="000A182C">
      <w:pPr>
        <w:bidi w:val="0"/>
        <w:ind w:firstLine="708"/>
        <w:jc w:val="both"/>
        <w:rPr>
          <w:rFonts w:ascii="Times New Roman" w:hAnsi="Times New Roman"/>
        </w:rPr>
      </w:pPr>
    </w:p>
    <w:p w:rsidR="000A182C" w:rsidRPr="00580ADF" w:rsidP="00805C31">
      <w:pPr>
        <w:bidi w:val="0"/>
        <w:ind w:firstLine="708"/>
        <w:jc w:val="both"/>
        <w:rPr>
          <w:rFonts w:ascii="Times New Roman" w:hAnsi="Times New Roman"/>
        </w:rPr>
      </w:pPr>
      <w:r w:rsidRPr="00580ADF" w:rsidR="00805C31">
        <w:rPr>
          <w:rFonts w:ascii="Times New Roman" w:hAnsi="Times New Roman"/>
        </w:rPr>
        <w:t xml:space="preserve">Ako už bolo vyššie uvedené predmetom návrhu zákona je tiež úprava vymáhania </w:t>
      </w:r>
      <w:r w:rsidRPr="00580ADF" w:rsidR="00CB1D98">
        <w:rPr>
          <w:rFonts w:ascii="Times New Roman" w:hAnsi="Times New Roman"/>
        </w:rPr>
        <w:t xml:space="preserve">nezaplatenej </w:t>
      </w:r>
      <w:r w:rsidRPr="00580ADF" w:rsidR="00805C31">
        <w:rPr>
          <w:rFonts w:ascii="Times New Roman" w:hAnsi="Times New Roman"/>
        </w:rPr>
        <w:t>úhrad</w:t>
      </w:r>
      <w:r w:rsidRPr="00580ADF" w:rsidR="00CB1D98">
        <w:rPr>
          <w:rFonts w:ascii="Times New Roman" w:hAnsi="Times New Roman"/>
        </w:rPr>
        <w:t>y</w:t>
      </w:r>
      <w:r w:rsidRPr="00580ADF" w:rsidR="00805C31">
        <w:rPr>
          <w:rFonts w:ascii="Times New Roman" w:hAnsi="Times New Roman"/>
        </w:rPr>
        <w:t>, pričom vyberateľ úhrady je povinný uplatňovať si nárok na zaplatenie úhrady na súde.</w:t>
      </w:r>
    </w:p>
    <w:p w:rsidR="004F0B1D" w:rsidRPr="00580ADF" w:rsidP="00B3466B">
      <w:pPr>
        <w:bidi w:val="0"/>
        <w:jc w:val="both"/>
        <w:rPr>
          <w:rFonts w:ascii="Times New Roman" w:hAnsi="Times New Roman"/>
        </w:rPr>
      </w:pPr>
    </w:p>
    <w:p w:rsidR="005C5DAE" w:rsidRPr="00580ADF" w:rsidP="005C5DAE">
      <w:pPr>
        <w:bidi w:val="0"/>
        <w:ind w:firstLine="720"/>
        <w:jc w:val="both"/>
        <w:rPr>
          <w:rFonts w:ascii="Times New Roman" w:hAnsi="Times New Roman"/>
        </w:rPr>
      </w:pPr>
      <w:r w:rsidRPr="00580ADF">
        <w:rPr>
          <w:rFonts w:ascii="Times New Roman" w:hAnsi="Times New Roman"/>
        </w:rPr>
        <w:t xml:space="preserve">Prijatie navrhovaného zákona bude mať </w:t>
      </w:r>
      <w:r w:rsidRPr="00580ADF" w:rsidR="0024623F">
        <w:rPr>
          <w:rFonts w:ascii="Times New Roman" w:hAnsi="Times New Roman"/>
        </w:rPr>
        <w:t>pozitívny</w:t>
      </w:r>
      <w:r w:rsidRPr="00580ADF">
        <w:rPr>
          <w:rFonts w:ascii="Times New Roman" w:hAnsi="Times New Roman"/>
        </w:rPr>
        <w:t xml:space="preserve"> vplyv na rozpočet verejnej správy</w:t>
      </w:r>
      <w:r w:rsidRPr="00580ADF" w:rsidR="0024623F">
        <w:rPr>
          <w:rFonts w:ascii="Times New Roman" w:hAnsi="Times New Roman"/>
        </w:rPr>
        <w:t xml:space="preserve"> a</w:t>
      </w:r>
      <w:r w:rsidRPr="00580ADF">
        <w:rPr>
          <w:rFonts w:ascii="Times New Roman" w:hAnsi="Times New Roman"/>
        </w:rPr>
        <w:t xml:space="preserve"> nebude mať vplyv na rozpočty vyšších územných celkov, rozpočty obcí, </w:t>
        <w:br/>
        <w:t xml:space="preserve">na zamestnanosť, životné prostredie ani na informatizáciu spoločnosti a na podnikateľské prostredie. Prijatie navrhovaného zákona bude mať sociálne vplyvy.  </w:t>
      </w:r>
    </w:p>
    <w:p w:rsidR="00195112" w:rsidRPr="00580ADF" w:rsidP="00195112">
      <w:pPr>
        <w:bidi w:val="0"/>
        <w:ind w:firstLine="720"/>
        <w:jc w:val="both"/>
        <w:rPr>
          <w:rFonts w:ascii="Times New Roman" w:hAnsi="Times New Roman"/>
        </w:rPr>
      </w:pPr>
    </w:p>
    <w:p w:rsidR="004F0B1D" w:rsidRPr="00580ADF" w:rsidP="004F0B1D">
      <w:pPr>
        <w:bidi w:val="0"/>
        <w:ind w:firstLine="720"/>
        <w:jc w:val="both"/>
        <w:rPr>
          <w:rStyle w:val="PlaceholderText"/>
          <w:color w:val="000000"/>
        </w:rPr>
      </w:pPr>
      <w:r w:rsidRPr="00580ADF">
        <w:rPr>
          <w:rStyle w:val="PlaceholderText"/>
          <w:color w:val="000000"/>
        </w:rPr>
        <w:t>Návrh zákona je v súlade s Ústavou Slovenskej republiky, ústavnými zákonmi a ostatnými všeobecne záväznými právnymi predpismi, medzinárodnými zmluvami a inými medzinárodnými dokumentmi, ktorými je Slovenská republika viazaná, a s právom Európskej únie.</w:t>
      </w:r>
      <w:r w:rsidRPr="00580ADF" w:rsidR="00F72C61">
        <w:rPr>
          <w:rStyle w:val="PlaceholderText"/>
          <w:color w:val="000000"/>
        </w:rPr>
        <w:t xml:space="preserve"> </w:t>
      </w: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p w:rsidR="00580ADF" w:rsidRPr="00580ADF" w:rsidP="00580ADF">
      <w:pPr>
        <w:bidi w:val="0"/>
        <w:jc w:val="center"/>
        <w:rPr>
          <w:rFonts w:ascii="Times New Roman" w:hAnsi="Times New Roman"/>
        </w:rPr>
      </w:pPr>
      <w:r w:rsidRPr="00580ADF">
        <w:rPr>
          <w:rFonts w:ascii="Times New Roman" w:hAnsi="Times New Roman"/>
          <w:b/>
          <w:bCs/>
          <w:caps/>
          <w:color w:val="000000"/>
          <w:spacing w:val="30"/>
        </w:rPr>
        <w:t>Doložka</w:t>
      </w:r>
    </w:p>
    <w:p w:rsidR="00580ADF" w:rsidRPr="00580ADF" w:rsidP="00580ADF">
      <w:pPr>
        <w:bidi w:val="0"/>
        <w:jc w:val="center"/>
        <w:rPr>
          <w:rFonts w:ascii="Times New Roman" w:hAnsi="Times New Roman"/>
        </w:rPr>
      </w:pPr>
      <w:r w:rsidRPr="00580ADF">
        <w:rPr>
          <w:rFonts w:ascii="Times New Roman" w:hAnsi="Times New Roman"/>
          <w:b/>
          <w:bCs/>
          <w:color w:val="000000"/>
        </w:rPr>
        <w:t>vybraných vplyvov</w:t>
      </w:r>
    </w:p>
    <w:p w:rsidR="00580ADF" w:rsidRPr="00580ADF" w:rsidP="00580ADF">
      <w:pPr>
        <w:bidi w:val="0"/>
        <w:rPr>
          <w:rFonts w:ascii="Times New Roman" w:hAnsi="Times New Roman"/>
        </w:rPr>
      </w:pPr>
      <w:r w:rsidRPr="00580ADF">
        <w:rPr>
          <w:rFonts w:ascii="Times New Roman" w:hAnsi="Times New Roman"/>
          <w:color w:val="000000"/>
        </w:rPr>
        <w:t> </w:t>
      </w:r>
    </w:p>
    <w:p w:rsidR="00580ADF" w:rsidRPr="00580ADF" w:rsidP="00580ADF">
      <w:pPr>
        <w:bidi w:val="0"/>
        <w:rPr>
          <w:rFonts w:ascii="Times New Roman" w:hAnsi="Times New Roman"/>
        </w:rPr>
      </w:pPr>
      <w:r w:rsidRPr="00580ADF">
        <w:rPr>
          <w:rFonts w:ascii="Times New Roman" w:hAnsi="Times New Roman"/>
          <w:color w:val="000000"/>
        </w:rPr>
        <w:t> </w:t>
      </w:r>
    </w:p>
    <w:p w:rsidR="00580ADF" w:rsidRPr="00580ADF" w:rsidP="00580ADF">
      <w:pPr>
        <w:bidi w:val="0"/>
        <w:ind w:firstLine="360"/>
        <w:jc w:val="both"/>
        <w:rPr>
          <w:rFonts w:ascii="Times New Roman" w:hAnsi="Times New Roman"/>
        </w:rPr>
      </w:pPr>
      <w:r w:rsidRPr="00580ADF">
        <w:rPr>
          <w:rFonts w:ascii="Times New Roman" w:hAnsi="Times New Roman"/>
          <w:b/>
          <w:bCs/>
          <w:color w:val="000000"/>
        </w:rPr>
        <w:t xml:space="preserve">A.1. Názov materiálu: </w:t>
      </w:r>
      <w:r w:rsidRPr="00580ADF">
        <w:rPr>
          <w:rFonts w:ascii="Times New Roman" w:hAnsi="Times New Roman"/>
        </w:rPr>
        <w:t>Návrh zákona o úhrade za služby verejnosti poskytované Rozhlasom a televíziou Slovenska a o zmene a doplnení niektorých zákonov.</w:t>
      </w:r>
    </w:p>
    <w:p w:rsidR="00580ADF" w:rsidRPr="00580ADF" w:rsidP="00580ADF">
      <w:pPr>
        <w:bidi w:val="0"/>
        <w:ind w:firstLine="360"/>
        <w:jc w:val="both"/>
        <w:rPr>
          <w:rFonts w:ascii="Times New Roman" w:hAnsi="Times New Roman"/>
        </w:rPr>
      </w:pPr>
    </w:p>
    <w:p w:rsidR="00580ADF" w:rsidRPr="00580ADF" w:rsidP="00580ADF">
      <w:pPr>
        <w:bidi w:val="0"/>
        <w:jc w:val="both"/>
        <w:rPr>
          <w:rFonts w:ascii="Times New Roman" w:hAnsi="Times New Roman"/>
        </w:rPr>
      </w:pPr>
      <w:r w:rsidRPr="00580ADF">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 xml:space="preserve">– </w:t>
            </w:r>
            <w:r w:rsidRPr="00580ADF">
              <w:rPr>
                <w:rFonts w:ascii="Times New Roman" w:hAnsi="Times New Roman"/>
                <w:noProof/>
                <w:color w:val="000000"/>
              </w:rPr>
              <w:t>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rPr>
                <w:rFonts w:ascii="Times New Roman" w:hAnsi="Times New Roman"/>
              </w:rPr>
            </w:pPr>
            <w:r w:rsidRPr="00580ADF">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580ADF" w:rsidRPr="00580ADF" w:rsidP="00580ADF">
            <w:pPr>
              <w:bidi w:val="0"/>
              <w:spacing w:after="200" w:line="276" w:lineRule="auto"/>
              <w:jc w:val="center"/>
              <w:rPr>
                <w:rFonts w:ascii="Times New Roman" w:hAnsi="Times New Roman"/>
              </w:rPr>
            </w:pPr>
            <w:r w:rsidRPr="00580ADF">
              <w:rPr>
                <w:rFonts w:ascii="Times New Roman" w:hAnsi="Times New Roman"/>
                <w:color w:val="000000"/>
              </w:rPr>
              <w:t> </w:t>
            </w:r>
          </w:p>
        </w:tc>
      </w:tr>
    </w:tbl>
    <w:p w:rsidR="00580ADF" w:rsidRPr="00580ADF" w:rsidP="00580ADF">
      <w:pPr>
        <w:bidi w:val="0"/>
        <w:rPr>
          <w:rFonts w:ascii="Times New Roman" w:hAnsi="Times New Roman"/>
        </w:rPr>
      </w:pPr>
      <w:r w:rsidRPr="00580ADF">
        <w:rPr>
          <w:rFonts w:ascii="Times New Roman" w:hAnsi="Times New Roman"/>
          <w:color w:val="000000"/>
        </w:rPr>
        <w:t> </w:t>
      </w:r>
    </w:p>
    <w:p w:rsidR="00580ADF" w:rsidRPr="00580ADF" w:rsidP="00580ADF">
      <w:pPr>
        <w:bidi w:val="0"/>
        <w:jc w:val="both"/>
        <w:rPr>
          <w:rFonts w:ascii="Times New Roman" w:hAnsi="Times New Roman"/>
          <w:b/>
          <w:bCs/>
          <w:color w:val="000000"/>
        </w:rPr>
      </w:pPr>
    </w:p>
    <w:p w:rsidR="00580ADF" w:rsidRPr="00580ADF" w:rsidP="00580ADF">
      <w:pPr>
        <w:bidi w:val="0"/>
        <w:jc w:val="both"/>
        <w:rPr>
          <w:rFonts w:ascii="Times New Roman" w:hAnsi="Times New Roman"/>
          <w:b/>
          <w:bCs/>
          <w:color w:val="000000"/>
        </w:rPr>
      </w:pPr>
      <w:r w:rsidRPr="00580ADF">
        <w:rPr>
          <w:rFonts w:ascii="Times New Roman" w:hAnsi="Times New Roman"/>
          <w:b/>
          <w:bCs/>
          <w:color w:val="000000"/>
        </w:rPr>
        <w:t>A.3. Poznámky</w:t>
      </w:r>
    </w:p>
    <w:p w:rsidR="00580ADF" w:rsidRPr="00580ADF" w:rsidP="00580ADF">
      <w:pPr>
        <w:bidi w:val="0"/>
        <w:jc w:val="both"/>
        <w:rPr>
          <w:rFonts w:ascii="Times New Roman" w:hAnsi="Times New Roman"/>
          <w:b/>
          <w:bCs/>
          <w:color w:val="000000"/>
        </w:rPr>
      </w:pPr>
    </w:p>
    <w:p w:rsidR="00580ADF" w:rsidRPr="00580ADF" w:rsidP="00580ADF">
      <w:pPr>
        <w:bidi w:val="0"/>
        <w:jc w:val="both"/>
        <w:rPr>
          <w:rFonts w:ascii="Times New Roman" w:hAnsi="Times New Roman"/>
        </w:rPr>
      </w:pPr>
      <w:r w:rsidRPr="00580ADF">
        <w:rPr>
          <w:rFonts w:ascii="Times New Roman" w:hAnsi="Times New Roman"/>
        </w:rPr>
        <w:t xml:space="preserve">Navrhovaná právna úprava bude mať pozitívny vplyv na rozpočet verejnej správy. Nepredpokladá sa, že navrhovaná právna úprava bude mať vplyv  na podnikateľské prostredie, vplyv na životné prostredie a ani vplyv na informatizáciu spoločnosti. </w:t>
      </w:r>
    </w:p>
    <w:p w:rsidR="00580ADF" w:rsidRPr="00580ADF" w:rsidP="00580ADF">
      <w:pPr>
        <w:bidi w:val="0"/>
        <w:jc w:val="both"/>
        <w:rPr>
          <w:rFonts w:ascii="Times New Roman" w:hAnsi="Times New Roman"/>
        </w:rPr>
      </w:pPr>
      <w:r w:rsidRPr="00580ADF">
        <w:rPr>
          <w:rFonts w:ascii="Times New Roman" w:hAnsi="Times New Roman"/>
        </w:rPr>
        <w:t>Navrhovaná právna úprava nemá žiadny vplyv na zamestnanosť.</w:t>
      </w:r>
    </w:p>
    <w:p w:rsidR="00580ADF" w:rsidRPr="00580ADF" w:rsidP="00580ADF">
      <w:pPr>
        <w:bidi w:val="0"/>
        <w:jc w:val="both"/>
        <w:rPr>
          <w:rFonts w:ascii="Times New Roman" w:hAnsi="Times New Roman"/>
        </w:rPr>
      </w:pPr>
    </w:p>
    <w:p w:rsidR="00580ADF" w:rsidRPr="00580ADF" w:rsidP="00580ADF">
      <w:pPr>
        <w:bidi w:val="0"/>
        <w:jc w:val="both"/>
        <w:rPr>
          <w:rFonts w:ascii="Times New Roman" w:hAnsi="Times New Roman"/>
          <w:b/>
        </w:rPr>
      </w:pPr>
      <w:r w:rsidRPr="00580ADF">
        <w:rPr>
          <w:rFonts w:ascii="Times New Roman" w:hAnsi="Times New Roman"/>
        </w:rPr>
        <w:t xml:space="preserve">Navrhovaná právna úprava bude mať pozitívny vplyv na štátny rozpočet, ktorý vo východiskách na roky 2013 až 2015 počítal s transferom zo štátneho rozpočtu pre Rozhlas a televíziu Slovenska so sumou 98 116 275 eur v roku 2013, 101 307 097 eur v roku </w:t>
      </w:r>
      <w:smartTag w:uri="urn:schemas-microsoft-com:office:smarttags" w:element="metricconverter">
        <w:smartTagPr>
          <w:attr w:name="ProductID" w:val="2014 a"/>
        </w:smartTagPr>
        <w:r w:rsidRPr="00580ADF">
          <w:rPr>
            <w:rFonts w:ascii="Times New Roman" w:hAnsi="Times New Roman"/>
          </w:rPr>
          <w:t>2014 a</w:t>
        </w:r>
      </w:smartTag>
      <w:r w:rsidRPr="00580ADF">
        <w:rPr>
          <w:rFonts w:ascii="Times New Roman" w:hAnsi="Times New Roman"/>
        </w:rPr>
        <w:t xml:space="preserve"> 106 274 080 eur v roku 2015. Ako vyplýva z tejto doložky, </w:t>
      </w:r>
      <w:r w:rsidRPr="00580ADF">
        <w:rPr>
          <w:rFonts w:ascii="Times New Roman" w:hAnsi="Times New Roman"/>
          <w:b/>
        </w:rPr>
        <w:t xml:space="preserve">úspora na štátnom rozpočte je predpokladaná v sume 84 116 275 eur v roku 2013, 87 307 097 eur v roku </w:t>
      </w:r>
      <w:smartTag w:uri="urn:schemas-microsoft-com:office:smarttags" w:element="metricconverter">
        <w:smartTagPr>
          <w:attr w:name="ProductID" w:val="2014 a"/>
        </w:smartTagPr>
        <w:r w:rsidRPr="00580ADF">
          <w:rPr>
            <w:rFonts w:ascii="Times New Roman" w:hAnsi="Times New Roman"/>
            <w:b/>
          </w:rPr>
          <w:t>2014 a</w:t>
        </w:r>
      </w:smartTag>
      <w:r w:rsidRPr="00580ADF">
        <w:rPr>
          <w:rFonts w:ascii="Times New Roman" w:hAnsi="Times New Roman"/>
          <w:b/>
        </w:rPr>
        <w:t xml:space="preserve"> 92 274 080 eur v roku 2015. </w:t>
      </w:r>
    </w:p>
    <w:p w:rsidR="00580ADF" w:rsidRPr="00580ADF" w:rsidP="00580ADF">
      <w:pPr>
        <w:bidi w:val="0"/>
        <w:jc w:val="both"/>
        <w:rPr>
          <w:rFonts w:ascii="Times New Roman" w:hAnsi="Times New Roman"/>
          <w:b/>
          <w:bCs/>
        </w:rPr>
      </w:pPr>
    </w:p>
    <w:p w:rsidR="00580ADF" w:rsidRPr="00580ADF" w:rsidP="00580ADF">
      <w:pPr>
        <w:bidi w:val="0"/>
        <w:jc w:val="both"/>
        <w:rPr>
          <w:rFonts w:ascii="Times New Roman" w:hAnsi="Times New Roman"/>
        </w:rPr>
      </w:pPr>
      <w:r w:rsidRPr="00580ADF">
        <w:rPr>
          <w:rFonts w:ascii="Times New Roman" w:hAnsi="Times New Roman"/>
          <w:b/>
          <w:bCs/>
        </w:rPr>
        <w:t>A.4. Alternatívne riešenia</w:t>
      </w:r>
    </w:p>
    <w:p w:rsidR="00580ADF" w:rsidRPr="00580ADF" w:rsidP="00580ADF">
      <w:pPr>
        <w:bidi w:val="0"/>
        <w:jc w:val="both"/>
        <w:rPr>
          <w:rFonts w:ascii="Times New Roman" w:hAnsi="Times New Roman"/>
          <w:b/>
          <w:bCs/>
        </w:rPr>
      </w:pPr>
      <w:r w:rsidRPr="00580ADF">
        <w:rPr>
          <w:rFonts w:ascii="Times New Roman" w:hAnsi="Times New Roman"/>
          <w:b/>
          <w:bCs/>
        </w:rPr>
        <w:t> </w:t>
      </w:r>
    </w:p>
    <w:p w:rsidR="00580ADF" w:rsidRPr="00580ADF" w:rsidP="00580ADF">
      <w:pPr>
        <w:bidi w:val="0"/>
        <w:jc w:val="both"/>
        <w:rPr>
          <w:rFonts w:ascii="Times New Roman" w:hAnsi="Times New Roman"/>
        </w:rPr>
      </w:pPr>
    </w:p>
    <w:p w:rsidR="00580ADF" w:rsidRPr="00580ADF" w:rsidP="00580ADF">
      <w:pPr>
        <w:bidi w:val="0"/>
        <w:jc w:val="both"/>
        <w:rPr>
          <w:rFonts w:ascii="Times New Roman" w:hAnsi="Times New Roman"/>
        </w:rPr>
      </w:pPr>
      <w:r w:rsidRPr="00580ADF">
        <w:rPr>
          <w:rFonts w:ascii="Times New Roman" w:hAnsi="Times New Roman"/>
          <w:b/>
          <w:bCs/>
        </w:rPr>
        <w:t>A.5. Stanovisko gestorov</w:t>
      </w:r>
    </w:p>
    <w:p w:rsidR="00580ADF" w:rsidRPr="00580ADF" w:rsidP="00580ADF">
      <w:pPr>
        <w:bidi w:val="0"/>
        <w:rPr>
          <w:rFonts w:ascii="Times New Roman" w:hAnsi="Times New Roman"/>
        </w:rPr>
      </w:pPr>
    </w:p>
    <w:p w:rsidR="00580ADF" w:rsidRPr="00580ADF" w:rsidP="00580ADF">
      <w:pPr>
        <w:bidi w:val="0"/>
        <w:rPr>
          <w:rFonts w:ascii="Times New Roman" w:hAnsi="Times New Roman"/>
        </w:rPr>
      </w:pPr>
    </w:p>
    <w:p w:rsidR="00580ADF" w:rsidRPr="00580ADF" w:rsidP="004F0B1D">
      <w:pPr>
        <w:bidi w:val="0"/>
        <w:ind w:firstLine="720"/>
        <w:jc w:val="both"/>
        <w:rPr>
          <w:rStyle w:val="PlaceholderText"/>
        </w:rPr>
      </w:pPr>
    </w:p>
    <w:p w:rsidR="00580ADF" w:rsidRPr="00580ADF" w:rsidP="00580ADF">
      <w:pPr>
        <w:bidi w:val="0"/>
        <w:jc w:val="center"/>
        <w:rPr>
          <w:rFonts w:ascii="Times New Roman" w:hAnsi="Times New Roman"/>
          <w:b/>
          <w:bCs/>
        </w:rPr>
      </w:pPr>
      <w:r w:rsidRPr="00580ADF">
        <w:rPr>
          <w:rFonts w:ascii="Times New Roman" w:hAnsi="Times New Roman"/>
          <w:b/>
          <w:bCs/>
        </w:rPr>
        <w:t>Vplyvy na rozpočet verejnej správy,</w:t>
      </w:r>
    </w:p>
    <w:p w:rsidR="00580ADF" w:rsidRPr="00580ADF" w:rsidP="00580ADF">
      <w:pPr>
        <w:bidi w:val="0"/>
        <w:jc w:val="center"/>
        <w:rPr>
          <w:rFonts w:ascii="Times New Roman" w:hAnsi="Times New Roman"/>
          <w:b/>
          <w:bCs/>
        </w:rPr>
      </w:pPr>
      <w:r w:rsidRPr="00580ADF">
        <w:rPr>
          <w:rFonts w:ascii="Times New Roman" w:hAnsi="Times New Roman"/>
          <w:b/>
          <w:bCs/>
        </w:rPr>
        <w:t>na zamestnanosť vo verejnej správe a financovanie návrhu</w:t>
      </w:r>
    </w:p>
    <w:p w:rsidR="00580ADF" w:rsidRPr="00580ADF" w:rsidP="00580ADF">
      <w:pPr>
        <w:bidi w:val="0"/>
        <w:rPr>
          <w:rFonts w:ascii="Times New Roman" w:hAnsi="Times New Roman"/>
        </w:rPr>
      </w:pPr>
    </w:p>
    <w:p w:rsidR="00580ADF" w:rsidRPr="00580ADF" w:rsidP="00580ADF">
      <w:pPr>
        <w:bidi w:val="0"/>
        <w:rPr>
          <w:rFonts w:ascii="Times New Roman" w:hAnsi="Times New Roman"/>
          <w:b/>
        </w:rPr>
      </w:pPr>
      <w:r w:rsidRPr="00580ADF">
        <w:rPr>
          <w:rFonts w:ascii="Times New Roman" w:hAnsi="Times New Roman"/>
          <w:b/>
        </w:rPr>
        <w:t>2.1. Zhrnutie vplyvov na rozpočet verejnej správy v návrhu</w:t>
      </w:r>
    </w:p>
    <w:p w:rsidR="00580ADF" w:rsidRPr="00580ADF" w:rsidP="00580ADF">
      <w:pPr>
        <w:bidi w:val="0"/>
        <w:jc w:val="right"/>
        <w:rPr>
          <w:rFonts w:ascii="Times New Roman" w:hAnsi="Times New Roman"/>
        </w:rPr>
      </w:pPr>
      <w:r w:rsidRPr="00580ADF">
        <w:rPr>
          <w:rFonts w:ascii="Times New Roman" w:hAnsi="Times New Roman"/>
        </w:rPr>
        <w:t xml:space="preserve">Tabuľka č. 1 </w:t>
      </w:r>
    </w:p>
    <w:tbl>
      <w:tblPr>
        <w:tblStyle w:val="TableNormal"/>
        <w:tblW w:w="10255" w:type="dxa"/>
        <w:tblInd w:w="-587" w:type="dxa"/>
        <w:tblCellMar>
          <w:left w:w="70" w:type="dxa"/>
          <w:right w:w="70" w:type="dxa"/>
        </w:tblCellMar>
      </w:tblPr>
      <w:tblGrid>
        <w:gridCol w:w="5055"/>
        <w:gridCol w:w="720"/>
        <w:gridCol w:w="1520"/>
        <w:gridCol w:w="1480"/>
        <w:gridCol w:w="1480"/>
      </w:tblGrid>
      <w:tr>
        <w:tblPrEx>
          <w:tblW w:w="10255" w:type="dxa"/>
          <w:tblInd w:w="-587" w:type="dxa"/>
          <w:tblCellMar>
            <w:left w:w="70" w:type="dxa"/>
            <w:right w:w="70" w:type="dxa"/>
          </w:tblCellMar>
        </w:tblPrEx>
        <w:trPr>
          <w:trHeight w:val="240"/>
        </w:trPr>
        <w:tc>
          <w:tcPr>
            <w:tcW w:w="5055" w:type="dxa"/>
            <w:vMerge w:val="restart"/>
            <w:tcBorders>
              <w:top w:val="single" w:sz="4" w:space="0" w:color="auto"/>
              <w:left w:val="single" w:sz="4" w:space="0" w:color="auto"/>
              <w:bottom w:val="single" w:sz="4" w:space="0" w:color="000000"/>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bookmarkStart w:id="0" w:name="RANGE!A4"/>
            <w:bookmarkEnd w:id="0"/>
            <w:r w:rsidRPr="00580ADF">
              <w:rPr>
                <w:rFonts w:ascii="Times New Roman" w:hAnsi="Times New Roman"/>
                <w:b/>
                <w:bCs/>
                <w:color w:val="FFFFFF"/>
              </w:rPr>
              <w:t>Vplyvy na rozpočet verejnej správy</w:t>
            </w:r>
          </w:p>
        </w:tc>
        <w:tc>
          <w:tcPr>
            <w:tcW w:w="5200" w:type="dxa"/>
            <w:gridSpan w:val="4"/>
            <w:tcBorders>
              <w:top w:val="single" w:sz="4" w:space="0" w:color="auto"/>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 (v eurách)</w:t>
            </w:r>
          </w:p>
        </w:tc>
      </w:tr>
      <w:tr>
        <w:tblPrEx>
          <w:tblW w:w="10255" w:type="dxa"/>
          <w:tblInd w:w="-587" w:type="dxa"/>
          <w:tblCellMar>
            <w:left w:w="70" w:type="dxa"/>
            <w:right w:w="70" w:type="dxa"/>
          </w:tblCellMar>
        </w:tblPrEx>
        <w:trPr>
          <w:trHeight w:val="240"/>
        </w:trPr>
        <w:tc>
          <w:tcPr>
            <w:tcW w:w="5055" w:type="dxa"/>
            <w:vMerge/>
            <w:tcBorders>
              <w:top w:val="single" w:sz="4" w:space="0" w:color="auto"/>
              <w:left w:val="single" w:sz="4" w:space="0" w:color="auto"/>
              <w:bottom w:val="single" w:sz="4" w:space="0" w:color="000000"/>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72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2012</w:t>
            </w:r>
          </w:p>
        </w:tc>
        <w:tc>
          <w:tcPr>
            <w:tcW w:w="152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2013</w:t>
            </w:r>
          </w:p>
        </w:tc>
        <w:tc>
          <w:tcPr>
            <w:tcW w:w="148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2014</w:t>
            </w:r>
          </w:p>
        </w:tc>
        <w:tc>
          <w:tcPr>
            <w:tcW w:w="148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2015</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Príjmy verejnej správy celkom</w:t>
            </w:r>
          </w:p>
        </w:tc>
        <w:tc>
          <w:tcPr>
            <w:tcW w:w="720" w:type="dxa"/>
            <w:tcBorders>
              <w:top w:val="nil"/>
              <w:left w:val="nil"/>
              <w:bottom w:val="single" w:sz="4" w:space="0" w:color="auto"/>
              <w:right w:val="single" w:sz="4" w:space="0" w:color="auto"/>
            </w:tcBorders>
            <w:shd w:val="clear" w:color="auto" w:fill="C0C0C0"/>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520" w:type="dxa"/>
            <w:tcBorders>
              <w:top w:val="nil"/>
              <w:left w:val="nil"/>
              <w:bottom w:val="single" w:sz="4" w:space="0" w:color="auto"/>
              <w:right w:val="single" w:sz="4" w:space="0" w:color="auto"/>
            </w:tcBorders>
            <w:shd w:val="clear" w:color="auto" w:fill="C0C0C0"/>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-10 235 575</w:t>
            </w:r>
          </w:p>
        </w:tc>
        <w:tc>
          <w:tcPr>
            <w:tcW w:w="1480" w:type="dxa"/>
            <w:tcBorders>
              <w:top w:val="nil"/>
              <w:left w:val="nil"/>
              <w:bottom w:val="single" w:sz="4" w:space="0" w:color="auto"/>
              <w:right w:val="single" w:sz="4" w:space="0" w:color="auto"/>
            </w:tcBorders>
            <w:shd w:val="clear" w:color="auto" w:fill="C0C0C0"/>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-13 328 097</w:t>
            </w:r>
          </w:p>
        </w:tc>
        <w:tc>
          <w:tcPr>
            <w:tcW w:w="1480" w:type="dxa"/>
            <w:tcBorders>
              <w:top w:val="nil"/>
              <w:left w:val="nil"/>
              <w:bottom w:val="single" w:sz="4" w:space="0" w:color="auto"/>
              <w:right w:val="single" w:sz="4" w:space="0" w:color="auto"/>
            </w:tcBorders>
            <w:shd w:val="clear" w:color="auto" w:fill="C0C0C0"/>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-18 286 080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v tom: za každý subjekt verejnej správy zvlášť</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MKSR</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RTVS, z toho:</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-10 235 575</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-13 328 097</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-18 286 080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transfer zo ŠR 0,142% z HDP</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-98 116 275</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-101 307 097</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-106 274 080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dotácia zo ŠR zmluva</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úhrada za služby verejnosti</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73 880 700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73 979 000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73 988 000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 xml:space="preserve">z toho: </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vplyv na ŠR (MK SR)</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vplyv na územnú samosprávu</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 xml:space="preserve">Výdavky </w:t>
            </w:r>
          </w:p>
        </w:tc>
        <w:tc>
          <w:tcPr>
            <w:tcW w:w="72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52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-94 351 850</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-100 635 194</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-110 560 160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v tom: za každý subjekt verejnej správy zvlášť</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MKSR</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-84 116 275</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-87 307 097</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-92 274 080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ŠR (MK SR) - transfer zo ŠR 0,142% z HDP</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-98 116 275</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-101 307 097</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-106 274 080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ŠR (MK SR) - dotácia zo ŠR zmluva</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RTVS</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-10 235 575</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-13 328 097</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-18 286 080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transfer zo ŠR 0,142% z HDP</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-98 116 275</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-101 307 097</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-106 274 080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dotácia zo ŠR zmluva</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14 000 000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vplyv na OSVS(RTVS) - úhrada za služby verejnosti</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73 880 700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73 979 000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i/>
                <w:iCs/>
                <w:color w:val="000000"/>
              </w:rPr>
            </w:pPr>
            <w:r w:rsidRPr="00580ADF">
              <w:rPr>
                <w:rFonts w:ascii="Times New Roman" w:hAnsi="Times New Roman"/>
                <w:i/>
                <w:iCs/>
                <w:color w:val="000000"/>
              </w:rPr>
              <w:t>73 988 000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 xml:space="preserve">z toho: </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vplyv na ŠR</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-84 116 275</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-87 307 097</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-92 274 080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580ADF" w:rsidRPr="00580ADF" w:rsidP="00580ADF">
            <w:pPr>
              <w:bidi w:val="0"/>
              <w:spacing w:after="0" w:line="240" w:lineRule="auto"/>
              <w:rPr>
                <w:rFonts w:ascii="Times New Roman" w:hAnsi="Times New Roman"/>
                <w:b/>
                <w:bCs/>
                <w:i/>
                <w:iCs/>
                <w:color w:val="000000"/>
              </w:rPr>
            </w:pPr>
            <w:r w:rsidRPr="00580ADF">
              <w:rPr>
                <w:rFonts w:ascii="Times New Roman" w:hAnsi="Times New Roman"/>
                <w:b/>
                <w:bCs/>
                <w:i/>
                <w:iCs/>
                <w:color w:val="000000"/>
              </w:rPr>
              <w:t>vplyv na územnú samosprávu</w:t>
            </w:r>
          </w:p>
        </w:tc>
        <w:tc>
          <w:tcPr>
            <w:tcW w:w="7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52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c>
          <w:tcPr>
            <w:tcW w:w="1480" w:type="dxa"/>
            <w:tcBorders>
              <w:top w:val="nil"/>
              <w:left w:val="nil"/>
              <w:bottom w:val="single" w:sz="4" w:space="0" w:color="auto"/>
              <w:right w:val="single" w:sz="4" w:space="0" w:color="auto"/>
            </w:tcBorders>
            <w:noWrap/>
            <w:textDirection w:val="lrTb"/>
            <w:vAlign w:val="center"/>
          </w:tcPr>
          <w:p w:rsidR="00580ADF" w:rsidRPr="00580ADF" w:rsidP="00580ADF">
            <w:pPr>
              <w:bidi w:val="0"/>
              <w:spacing w:after="0" w:line="240" w:lineRule="auto"/>
              <w:jc w:val="right"/>
              <w:rPr>
                <w:rFonts w:ascii="Times New Roman" w:hAnsi="Times New Roman"/>
                <w:b/>
                <w:bCs/>
                <w:i/>
                <w:iCs/>
                <w:color w:val="000000"/>
              </w:rPr>
            </w:pPr>
            <w:r w:rsidRPr="00580ADF">
              <w:rPr>
                <w:rFonts w:ascii="Times New Roman" w:hAnsi="Times New Roman"/>
                <w:b/>
                <w:bCs/>
                <w:i/>
                <w:iCs/>
                <w:color w:val="000000"/>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Financovanie zabezpečené v rozpočte RVS</w:t>
            </w:r>
          </w:p>
        </w:tc>
        <w:tc>
          <w:tcPr>
            <w:tcW w:w="72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52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-84 116 275</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-87 307 097</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-92 274 080</w:t>
            </w:r>
          </w:p>
        </w:tc>
      </w:tr>
    </w:tbl>
    <w:p w:rsidR="00580ADF" w:rsidRPr="00580ADF" w:rsidP="00580ADF">
      <w:pPr>
        <w:bidi w:val="0"/>
        <w:rPr>
          <w:rFonts w:ascii="Times New Roman" w:hAnsi="Times New Roman"/>
        </w:rPr>
      </w:pPr>
    </w:p>
    <w:p w:rsidR="00580ADF" w:rsidRPr="00580ADF" w:rsidP="00580ADF">
      <w:pPr>
        <w:bidi w:val="0"/>
        <w:rPr>
          <w:rFonts w:ascii="Times New Roman" w:hAnsi="Times New Roman"/>
        </w:rPr>
      </w:pPr>
    </w:p>
    <w:p w:rsidR="00580ADF" w:rsidRPr="00580ADF" w:rsidP="00580ADF">
      <w:pPr>
        <w:bidi w:val="0"/>
        <w:rPr>
          <w:rFonts w:ascii="Times New Roman" w:hAnsi="Times New Roman"/>
          <w:b/>
          <w:bCs/>
        </w:rPr>
      </w:pPr>
      <w:r w:rsidRPr="00580ADF">
        <w:rPr>
          <w:rFonts w:ascii="Times New Roman" w:hAnsi="Times New Roman"/>
          <w:b/>
          <w:bCs/>
        </w:rPr>
        <w:t>2.2. Financovanie návrhu</w:t>
      </w:r>
    </w:p>
    <w:p w:rsidR="00580ADF" w:rsidRPr="00580ADF" w:rsidP="00580ADF">
      <w:pPr>
        <w:bidi w:val="0"/>
        <w:jc w:val="right"/>
        <w:rPr>
          <w:rFonts w:ascii="Times New Roman" w:hAnsi="Times New Roman"/>
        </w:rPr>
      </w:pPr>
      <w:r w:rsidRPr="00580ADF">
        <w:rPr>
          <w:rFonts w:ascii="Times New Roman" w:hAnsi="Times New Roman"/>
        </w:rPr>
        <w:t>Tabuľka č. 2</w:t>
      </w:r>
    </w:p>
    <w:tbl>
      <w:tblPr>
        <w:tblStyle w:val="TableNormal"/>
        <w:tblW w:w="10192" w:type="dxa"/>
        <w:tblInd w:w="-557" w:type="dxa"/>
        <w:tblCellMar>
          <w:left w:w="70" w:type="dxa"/>
          <w:right w:w="70" w:type="dxa"/>
        </w:tblCellMar>
      </w:tblPr>
      <w:tblGrid>
        <w:gridCol w:w="4752"/>
        <w:gridCol w:w="960"/>
        <w:gridCol w:w="1520"/>
        <w:gridCol w:w="1480"/>
        <w:gridCol w:w="1480"/>
      </w:tblGrid>
      <w:tr>
        <w:tblPrEx>
          <w:tblW w:w="10192" w:type="dxa"/>
          <w:tblInd w:w="-557" w:type="dxa"/>
          <w:tblCellMar>
            <w:left w:w="70" w:type="dxa"/>
            <w:right w:w="70" w:type="dxa"/>
          </w:tblCellMar>
        </w:tblPrEx>
        <w:trPr>
          <w:trHeight w:val="240"/>
        </w:trPr>
        <w:tc>
          <w:tcPr>
            <w:tcW w:w="4752" w:type="dxa"/>
            <w:tcBorders>
              <w:top w:val="nil"/>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Vplyvy na rozpočet verejnej správy</w:t>
            </w:r>
          </w:p>
        </w:tc>
        <w:tc>
          <w:tcPr>
            <w:tcW w:w="5440" w:type="dxa"/>
            <w:gridSpan w:val="4"/>
            <w:tcBorders>
              <w:top w:val="single" w:sz="4" w:space="0" w:color="auto"/>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 (v eurách)</w:t>
            </w:r>
          </w:p>
        </w:tc>
      </w:tr>
      <w:tr>
        <w:tblPrEx>
          <w:tblW w:w="10192" w:type="dxa"/>
          <w:tblInd w:w="-557" w:type="dxa"/>
          <w:tblCellMar>
            <w:left w:w="70" w:type="dxa"/>
            <w:right w:w="70" w:type="dxa"/>
          </w:tblCellMar>
        </w:tblPrEx>
        <w:trPr>
          <w:trHeight w:val="240"/>
        </w:trPr>
        <w:tc>
          <w:tcPr>
            <w:tcW w:w="4752" w:type="dxa"/>
            <w:tcBorders>
              <w:top w:val="nil"/>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 </w:t>
            </w:r>
          </w:p>
        </w:tc>
        <w:tc>
          <w:tcPr>
            <w:tcW w:w="96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2012</w:t>
            </w:r>
          </w:p>
        </w:tc>
        <w:tc>
          <w:tcPr>
            <w:tcW w:w="152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2013</w:t>
            </w:r>
          </w:p>
        </w:tc>
        <w:tc>
          <w:tcPr>
            <w:tcW w:w="148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2014</w:t>
            </w:r>
          </w:p>
        </w:tc>
        <w:tc>
          <w:tcPr>
            <w:tcW w:w="148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2015</w:t>
            </w:r>
          </w:p>
        </w:tc>
      </w:tr>
      <w:tr>
        <w:tblPrEx>
          <w:tblW w:w="10192" w:type="dxa"/>
          <w:tblInd w:w="-557" w:type="dxa"/>
          <w:tblCellMar>
            <w:left w:w="70" w:type="dxa"/>
            <w:right w:w="70" w:type="dxa"/>
          </w:tblCellMar>
        </w:tblPrEx>
        <w:trPr>
          <w:trHeight w:val="600"/>
        </w:trPr>
        <w:tc>
          <w:tcPr>
            <w:tcW w:w="4752" w:type="dxa"/>
            <w:tcBorders>
              <w:top w:val="single" w:sz="4" w:space="0" w:color="000000"/>
              <w:left w:val="single" w:sz="4" w:space="0" w:color="000000"/>
              <w:bottom w:val="single" w:sz="4" w:space="0" w:color="000000"/>
              <w:right w:val="nil"/>
            </w:tcBorders>
            <w:textDirection w:val="lrTb"/>
            <w:vAlign w:val="center"/>
          </w:tcPr>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 xml:space="preserve">Celkový vplyv na rozpočet verejnej správy </w:t>
            </w:r>
          </w:p>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 - príjmy, + výdavky)</w:t>
            </w:r>
          </w:p>
        </w:tc>
        <w:tc>
          <w:tcPr>
            <w:tcW w:w="96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52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-84 116 275</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-87 307 097</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-92 274 080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  z toho vplyv na ŠR</w:t>
            </w:r>
          </w:p>
        </w:tc>
        <w:tc>
          <w:tcPr>
            <w:tcW w:w="96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Cs/>
                <w:color w:val="000000"/>
              </w:rPr>
            </w:pPr>
            <w:r w:rsidRPr="00580ADF">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-84 116 275</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-87 307 097</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-92 274 080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  financovanie zabezpečené v rozpočte</w:t>
            </w:r>
          </w:p>
        </w:tc>
        <w:tc>
          <w:tcPr>
            <w:tcW w:w="96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Cs/>
                <w:color w:val="000000"/>
              </w:rPr>
            </w:pPr>
            <w:r w:rsidRPr="00580ADF">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-84 116 275</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-87 307 097</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-92 274 080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  ostatné zdroje financovania</w:t>
            </w:r>
          </w:p>
        </w:tc>
        <w:tc>
          <w:tcPr>
            <w:tcW w:w="96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Cs/>
                <w:color w:val="000000"/>
              </w:rPr>
            </w:pPr>
            <w:r w:rsidRPr="00580ADF">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0</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0</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color w:val="000000"/>
              </w:rPr>
            </w:pPr>
            <w:r w:rsidRPr="00580ADF">
              <w:rPr>
                <w:rFonts w:ascii="Times New Roman" w:hAnsi="Times New Roman"/>
                <w:color w:val="000000"/>
              </w:rPr>
              <w:t>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580ADF" w:rsidRPr="00580ADF" w:rsidP="00580ADF">
            <w:pPr>
              <w:bidi w:val="0"/>
              <w:spacing w:after="0" w:line="240" w:lineRule="auto"/>
              <w:rPr>
                <w:rFonts w:ascii="Times New Roman" w:hAnsi="Times New Roman"/>
                <w:b/>
                <w:bCs/>
                <w:color w:val="000000"/>
              </w:rPr>
            </w:pPr>
            <w:r w:rsidRPr="00580ADF">
              <w:rPr>
                <w:rFonts w:ascii="Times New Roman" w:hAnsi="Times New Roman"/>
                <w:b/>
                <w:bCs/>
                <w:color w:val="000000"/>
              </w:rPr>
              <w:t>Rozpočtovo nekrytý vplyv / úspora</w:t>
            </w:r>
          </w:p>
        </w:tc>
        <w:tc>
          <w:tcPr>
            <w:tcW w:w="96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52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c>
          <w:tcPr>
            <w:tcW w:w="148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right"/>
              <w:rPr>
                <w:rFonts w:ascii="Times New Roman" w:hAnsi="Times New Roman"/>
                <w:b/>
                <w:bCs/>
                <w:color w:val="000000"/>
              </w:rPr>
            </w:pPr>
            <w:r w:rsidRPr="00580ADF">
              <w:rPr>
                <w:rFonts w:ascii="Times New Roman" w:hAnsi="Times New Roman"/>
                <w:b/>
                <w:bCs/>
                <w:color w:val="000000"/>
              </w:rPr>
              <w:t>0</w:t>
            </w:r>
          </w:p>
        </w:tc>
      </w:tr>
    </w:tbl>
    <w:p w:rsidR="00580ADF" w:rsidRPr="00580ADF" w:rsidP="00580ADF">
      <w:pPr>
        <w:bidi w:val="0"/>
        <w:rPr>
          <w:rFonts w:ascii="Times New Roman" w:hAnsi="Times New Roman"/>
        </w:rPr>
      </w:pPr>
    </w:p>
    <w:p w:rsidR="00580ADF" w:rsidRPr="00580ADF" w:rsidP="00580ADF">
      <w:pPr>
        <w:bidi w:val="0"/>
        <w:jc w:val="both"/>
        <w:rPr>
          <w:rFonts w:ascii="Times New Roman" w:hAnsi="Times New Roman"/>
          <w:bCs/>
        </w:rPr>
      </w:pPr>
      <w:r w:rsidRPr="00580ADF">
        <w:rPr>
          <w:rFonts w:ascii="Times New Roman" w:hAnsi="Times New Roman"/>
          <w:bCs/>
        </w:rPr>
        <w:t>Poznámka: Negatívny dopad v RTVS z titulu zníženia príjmov o 10,2 mil. e</w:t>
      </w:r>
      <w:r w:rsidR="00026905">
        <w:rPr>
          <w:rFonts w:ascii="Times New Roman" w:hAnsi="Times New Roman"/>
          <w:bCs/>
        </w:rPr>
        <w:t>ur je v rovnakej miere kompenzov</w:t>
      </w:r>
      <w:r w:rsidRPr="00580ADF">
        <w:rPr>
          <w:rFonts w:ascii="Times New Roman" w:hAnsi="Times New Roman"/>
          <w:bCs/>
        </w:rPr>
        <w:t>aný znížením výdavkov subjektu, tak aby nedochádzalo k zmene jeho výsledného hospodárenia.</w:t>
      </w: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r w:rsidRPr="00580ADF">
        <w:rPr>
          <w:rFonts w:ascii="Times New Roman" w:hAnsi="Times New Roman"/>
          <w:b/>
          <w:bCs/>
        </w:rPr>
        <w:t>Návrh na riešenie úbytku príjmov alebo zvýšených výdavkov podľa § 33 ods. 1 zákona č. 523/2004 Z. z. o rozpočtových pravidlách verejnej správy:</w:t>
      </w:r>
    </w:p>
    <w:p w:rsidR="00580ADF" w:rsidRPr="00580ADF" w:rsidP="00580AD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580ADF" w:rsidRPr="00580ADF" w:rsidP="00580ADF">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580ADF" w:rsidRPr="00580ADF" w:rsidP="00580ADF">
      <w:pPr>
        <w:bidi w:val="0"/>
        <w:rPr>
          <w:rFonts w:ascii="Times New Roman" w:hAnsi="Times New Roman"/>
          <w:b/>
          <w:bCs/>
        </w:rPr>
      </w:pPr>
      <w:r w:rsidRPr="00580ADF">
        <w:rPr>
          <w:rFonts w:ascii="Times New Roman" w:hAnsi="Times New Roman"/>
          <w:b/>
          <w:bCs/>
        </w:rPr>
        <w:t>2.3. Popis a charakteristika návrhu</w:t>
      </w:r>
    </w:p>
    <w:p w:rsidR="00580ADF" w:rsidRPr="00580ADF" w:rsidP="00580ADF">
      <w:pPr>
        <w:bidi w:val="0"/>
        <w:rPr>
          <w:rFonts w:ascii="Times New Roman" w:hAnsi="Times New Roman"/>
        </w:rPr>
      </w:pPr>
    </w:p>
    <w:p w:rsidR="00580ADF" w:rsidRPr="00580ADF" w:rsidP="00580ADF">
      <w:pPr>
        <w:bidi w:val="0"/>
        <w:jc w:val="both"/>
        <w:rPr>
          <w:rFonts w:ascii="Times New Roman" w:hAnsi="Times New Roman"/>
          <w:b/>
          <w:bCs/>
        </w:rPr>
      </w:pPr>
      <w:r w:rsidRPr="00580ADF">
        <w:rPr>
          <w:rFonts w:ascii="Times New Roman" w:hAnsi="Times New Roman"/>
          <w:b/>
          <w:bCs/>
        </w:rPr>
        <w:t>2.3.1. Popis návrhu:</w:t>
      </w:r>
    </w:p>
    <w:p w:rsidR="00580ADF" w:rsidRPr="00580ADF" w:rsidP="00580ADF">
      <w:pPr>
        <w:bidi w:val="0"/>
        <w:rPr>
          <w:rFonts w:ascii="Times New Roman" w:hAnsi="Times New Roman"/>
        </w:rPr>
      </w:pPr>
    </w:p>
    <w:p w:rsidR="00580ADF" w:rsidRPr="00580ADF" w:rsidP="00580ADF">
      <w:pPr>
        <w:bidi w:val="0"/>
        <w:jc w:val="both"/>
        <w:rPr>
          <w:rFonts w:ascii="Times New Roman" w:hAnsi="Times New Roman"/>
        </w:rPr>
      </w:pPr>
      <w:r w:rsidRPr="00580ADF">
        <w:rPr>
          <w:rFonts w:ascii="Times New Roman" w:hAnsi="Times New Roman"/>
        </w:rPr>
        <w:t>Predmetom návrhu zákona o úhrade za služby verejnosti poskytované Rozhlasom a televíziou Slovenska a o zmene a doplnení niektorých zákonov je úprava platenia, vyberania a vymáhania úhrady za služby verejnosti poskytované Rozhlasom a televíziou Slovenska v oblasti rozhlasového vysielania a televízneho vysielania.</w:t>
      </w:r>
    </w:p>
    <w:p w:rsidR="00580ADF" w:rsidRPr="00580ADF" w:rsidP="00580ADF">
      <w:pPr>
        <w:bidi w:val="0"/>
        <w:jc w:val="both"/>
        <w:rPr>
          <w:rFonts w:ascii="Times New Roman" w:hAnsi="Times New Roman"/>
        </w:rPr>
      </w:pPr>
    </w:p>
    <w:p w:rsidR="00580ADF" w:rsidRPr="00580ADF" w:rsidP="00580ADF">
      <w:pPr>
        <w:bidi w:val="0"/>
        <w:jc w:val="both"/>
        <w:rPr>
          <w:rFonts w:ascii="Times New Roman" w:hAnsi="Times New Roman"/>
        </w:rPr>
      </w:pPr>
      <w:r w:rsidRPr="00580ADF">
        <w:rPr>
          <w:rFonts w:ascii="Times New Roman" w:hAnsi="Times New Roman"/>
        </w:rPr>
        <w:t>Podľa platnej právnej úpravy, ktorá by mala nadobudnúť účinnosť 1. januára 2013, by sa mal zmeniť súčasný systém financovania verejnoprávneho vysielateľa tak, že hlavným príjmom Rozhlasu a televízie Slovenska by mal byť príspevok zo štátneho rozpočtu poskytovaný každoročne podľa zákona o štátnom rozpočte na príslušný rozpočtový rok, na úhradu nákladov na zabezpečenie služby verejnosti v oblasti vysielania v sume rovnajúcej sa 0,142 % z hrubého domáceho produktu Slovenskej republiky za kalendárny rok predchádzajúci kalendárnemu roku, ktorý predchádza kalendárnemu roku, na ktorý sa príspevok poskytuje, najmenej však v sume 90 000 000 eur. Úhrada a príspevok zo štátneho rozpočtu poskytovaný na základe zmluvy so štátom by mali byť ako príjmy Rozhlasu a televízie Slovenska zrušené.</w:t>
      </w:r>
    </w:p>
    <w:p w:rsidR="00580ADF" w:rsidRPr="00580ADF" w:rsidP="00580ADF">
      <w:pPr>
        <w:bidi w:val="0"/>
        <w:jc w:val="both"/>
        <w:rPr>
          <w:rFonts w:ascii="Times New Roman" w:hAnsi="Times New Roman"/>
        </w:rPr>
      </w:pPr>
    </w:p>
    <w:p w:rsidR="00580ADF" w:rsidRPr="00580ADF" w:rsidP="00580ADF">
      <w:pPr>
        <w:bidi w:val="0"/>
        <w:jc w:val="both"/>
        <w:rPr>
          <w:rFonts w:ascii="Times New Roman" w:hAnsi="Times New Roman"/>
        </w:rPr>
      </w:pPr>
      <w:r w:rsidRPr="00580ADF">
        <w:rPr>
          <w:rFonts w:ascii="Times New Roman" w:hAnsi="Times New Roman"/>
        </w:rPr>
        <w:t>S cieľom stabilizovať fungovanie verejnoprávneho vysielania, zabezpečiť jeho nezávislosť a priamy vzťah medzi verejnosťou a Rozhlasom a televíziou Slovenska, sa navrhuje ponechať v platnosti súčasný systém financovania verejnoprávneho vysielateľa založený na úhradách za služby verejnosti poskytované Rozhlasom a televíziou Slovenska v oblasti rozhlasového vysielania a televízneho vysielania a príspevku zo štátneho rozpočtu podľa zákona o štátnom rozpočte na príslušný rozpočtový rok poskytovaného na základe zmluvy so štátom, ktorý je určený na uskutočnenie programov vo verejnom záujme, na uskutočnenie účelových investičných projektov alebo na úhradu výdavkov na zabezpečenie rozhlasového vysielania do zahraničia</w:t>
      </w:r>
    </w:p>
    <w:p w:rsidR="00580ADF" w:rsidRPr="00580ADF" w:rsidP="00580ADF">
      <w:pPr>
        <w:bidi w:val="0"/>
        <w:jc w:val="both"/>
        <w:rPr>
          <w:rFonts w:ascii="Times New Roman" w:hAnsi="Times New Roman"/>
        </w:rPr>
      </w:pPr>
    </w:p>
    <w:p w:rsidR="00580ADF" w:rsidRPr="00580ADF" w:rsidP="00580ADF">
      <w:pPr>
        <w:bidi w:val="0"/>
        <w:rPr>
          <w:rFonts w:ascii="Times New Roman" w:hAnsi="Times New Roman"/>
        </w:rPr>
      </w:pPr>
    </w:p>
    <w:p w:rsidR="00580ADF" w:rsidRPr="00580ADF" w:rsidP="00580ADF">
      <w:pPr>
        <w:bidi w:val="0"/>
        <w:rPr>
          <w:rFonts w:ascii="Times New Roman" w:hAnsi="Times New Roman"/>
          <w:b/>
          <w:bCs/>
        </w:rPr>
      </w:pPr>
      <w:r w:rsidRPr="00580ADF">
        <w:rPr>
          <w:rFonts w:ascii="Times New Roman" w:hAnsi="Times New Roman"/>
          <w:b/>
          <w:bCs/>
        </w:rPr>
        <w:t>2.3.2. Charakteristika návrhu podľa bodu  2.3.2. Metodiky :</w:t>
      </w:r>
    </w:p>
    <w:p w:rsidR="00580ADF" w:rsidRPr="00580ADF" w:rsidP="00580ADF">
      <w:pPr>
        <w:bidi w:val="0"/>
        <w:rPr>
          <w:rFonts w:ascii="Times New Roman" w:hAnsi="Times New Roman"/>
        </w:rPr>
      </w:pPr>
    </w:p>
    <w:p w:rsidR="00580ADF" w:rsidRPr="00580ADF" w:rsidP="00580ADF">
      <w:pPr>
        <w:pStyle w:val="BodyText"/>
        <w:bidi w:val="0"/>
        <w:rPr>
          <w:rFonts w:ascii="Times New Roman" w:hAnsi="Times New Roman"/>
          <w:b/>
          <w:sz w:val="24"/>
          <w:szCs w:val="24"/>
        </w:rPr>
      </w:pPr>
      <w:r w:rsidRPr="00580ADF">
        <w:rPr>
          <w:rFonts w:ascii="Times New Roman" w:hAnsi="Times New Roman"/>
          <w:sz w:val="24"/>
          <w:szCs w:val="24"/>
          <w:bdr w:val="single" w:sz="4" w:space="0" w:color="auto"/>
        </w:rPr>
        <w:t xml:space="preserve"> X </w:t>
      </w:r>
      <w:r w:rsidRPr="00580ADF">
        <w:rPr>
          <w:rFonts w:ascii="Times New Roman" w:hAnsi="Times New Roman"/>
          <w:sz w:val="24"/>
          <w:szCs w:val="24"/>
        </w:rPr>
        <w:t xml:space="preserve">  </w:t>
      </w:r>
      <w:r w:rsidRPr="00580ADF">
        <w:rPr>
          <w:rFonts w:ascii="Times New Roman" w:hAnsi="Times New Roman"/>
          <w:b/>
          <w:sz w:val="24"/>
          <w:szCs w:val="24"/>
        </w:rPr>
        <w:t>zmena sadzby</w:t>
      </w:r>
    </w:p>
    <w:p w:rsidR="00580ADF" w:rsidRPr="00580ADF" w:rsidP="00580ADF">
      <w:pPr>
        <w:pStyle w:val="BodyText"/>
        <w:bidi w:val="0"/>
        <w:rPr>
          <w:rFonts w:ascii="Times New Roman" w:hAnsi="Times New Roman"/>
          <w:b/>
          <w:sz w:val="24"/>
          <w:szCs w:val="24"/>
        </w:rPr>
      </w:pPr>
      <w:r w:rsidRPr="00580ADF">
        <w:rPr>
          <w:rFonts w:ascii="Times New Roman" w:hAnsi="Times New Roman"/>
          <w:b/>
          <w:sz w:val="24"/>
          <w:szCs w:val="24"/>
          <w:bdr w:val="single" w:sz="4" w:space="0" w:color="auto"/>
        </w:rPr>
        <w:t xml:space="preserve">     </w:t>
      </w:r>
      <w:r w:rsidRPr="00580ADF">
        <w:rPr>
          <w:rFonts w:ascii="Times New Roman" w:hAnsi="Times New Roman"/>
          <w:b/>
          <w:sz w:val="24"/>
          <w:szCs w:val="24"/>
        </w:rPr>
        <w:t xml:space="preserve">  zmena v nároku</w:t>
      </w:r>
    </w:p>
    <w:p w:rsidR="00580ADF" w:rsidRPr="00580ADF" w:rsidP="00580ADF">
      <w:pPr>
        <w:pStyle w:val="BodyText"/>
        <w:bidi w:val="0"/>
        <w:rPr>
          <w:rFonts w:ascii="Times New Roman" w:hAnsi="Times New Roman"/>
          <w:b/>
          <w:sz w:val="24"/>
          <w:szCs w:val="24"/>
        </w:rPr>
      </w:pPr>
      <w:r w:rsidRPr="00580ADF">
        <w:rPr>
          <w:rFonts w:ascii="Times New Roman" w:hAnsi="Times New Roman"/>
          <w:b/>
          <w:sz w:val="24"/>
          <w:szCs w:val="24"/>
          <w:bdr w:val="single" w:sz="4" w:space="0" w:color="auto"/>
        </w:rPr>
        <w:t xml:space="preserve">     </w:t>
      </w:r>
      <w:r w:rsidRPr="00580ADF">
        <w:rPr>
          <w:rFonts w:ascii="Times New Roman" w:hAnsi="Times New Roman"/>
          <w:b/>
          <w:sz w:val="24"/>
          <w:szCs w:val="24"/>
        </w:rPr>
        <w:t xml:space="preserve">  nová služba alebo nariadenie (alebo ich zrušenie)</w:t>
      </w:r>
    </w:p>
    <w:p w:rsidR="00580ADF" w:rsidRPr="00580ADF" w:rsidP="00580ADF">
      <w:pPr>
        <w:pStyle w:val="BodyText"/>
        <w:bidi w:val="0"/>
        <w:rPr>
          <w:rFonts w:ascii="Times New Roman" w:hAnsi="Times New Roman"/>
          <w:b/>
          <w:sz w:val="24"/>
          <w:szCs w:val="24"/>
        </w:rPr>
      </w:pPr>
      <w:r w:rsidRPr="00580ADF">
        <w:rPr>
          <w:rFonts w:ascii="Times New Roman" w:hAnsi="Times New Roman"/>
          <w:b/>
          <w:sz w:val="24"/>
          <w:szCs w:val="24"/>
          <w:bdr w:val="single" w:sz="4" w:space="0" w:color="auto"/>
        </w:rPr>
        <w:t xml:space="preserve">     </w:t>
      </w:r>
      <w:r w:rsidRPr="00580ADF">
        <w:rPr>
          <w:rFonts w:ascii="Times New Roman" w:hAnsi="Times New Roman"/>
          <w:b/>
          <w:sz w:val="24"/>
          <w:szCs w:val="24"/>
        </w:rPr>
        <w:t xml:space="preserve">  kombinovaný návrh</w:t>
      </w:r>
    </w:p>
    <w:p w:rsidR="00580ADF" w:rsidRPr="00580ADF" w:rsidP="00580ADF">
      <w:pPr>
        <w:pStyle w:val="BodyText"/>
        <w:bidi w:val="0"/>
        <w:rPr>
          <w:rFonts w:ascii="Times New Roman" w:hAnsi="Times New Roman"/>
          <w:b/>
          <w:sz w:val="24"/>
          <w:szCs w:val="24"/>
        </w:rPr>
      </w:pPr>
      <w:r w:rsidRPr="00580ADF">
        <w:rPr>
          <w:rFonts w:ascii="Times New Roman" w:hAnsi="Times New Roman"/>
          <w:b/>
          <w:sz w:val="24"/>
          <w:szCs w:val="24"/>
          <w:bdr w:val="single" w:sz="4" w:space="0" w:color="auto"/>
        </w:rPr>
        <w:t xml:space="preserve">     </w:t>
      </w:r>
      <w:r w:rsidRPr="00580ADF">
        <w:rPr>
          <w:rFonts w:ascii="Times New Roman" w:hAnsi="Times New Roman"/>
          <w:b/>
          <w:sz w:val="24"/>
          <w:szCs w:val="24"/>
        </w:rPr>
        <w:t xml:space="preserve">  iné </w:t>
      </w:r>
    </w:p>
    <w:p w:rsidR="00580ADF" w:rsidRPr="00580ADF" w:rsidP="00580ADF">
      <w:pPr>
        <w:bidi w:val="0"/>
        <w:rPr>
          <w:rFonts w:ascii="Times New Roman" w:hAnsi="Times New Roman"/>
        </w:rPr>
      </w:pPr>
    </w:p>
    <w:p w:rsidR="00580ADF" w:rsidRPr="00580ADF" w:rsidP="00580ADF">
      <w:pPr>
        <w:bidi w:val="0"/>
        <w:rPr>
          <w:rFonts w:ascii="Times New Roman" w:hAnsi="Times New Roman"/>
        </w:rPr>
      </w:pPr>
    </w:p>
    <w:p w:rsidR="00580ADF" w:rsidRPr="00580ADF" w:rsidP="00580ADF">
      <w:pPr>
        <w:bidi w:val="0"/>
        <w:rPr>
          <w:rFonts w:ascii="Times New Roman" w:hAnsi="Times New Roman"/>
        </w:rPr>
      </w:pPr>
      <w:r w:rsidRPr="00580ADF">
        <w:rPr>
          <w:rFonts w:ascii="Times New Roman" w:hAnsi="Times New Roman"/>
          <w:b/>
          <w:bCs/>
        </w:rPr>
        <w:t>2.3.3. Predpoklady vývoja objemu aktivít:</w:t>
      </w:r>
    </w:p>
    <w:p w:rsidR="00580ADF" w:rsidRPr="00580ADF" w:rsidP="00580ADF">
      <w:pPr>
        <w:bidi w:val="0"/>
        <w:rPr>
          <w:rFonts w:ascii="Times New Roman" w:hAnsi="Times New Roman"/>
        </w:rPr>
      </w:pPr>
    </w:p>
    <w:p w:rsidR="00580ADF" w:rsidRPr="00580ADF" w:rsidP="00580ADF">
      <w:pPr>
        <w:bidi w:val="0"/>
        <w:ind w:firstLine="708"/>
        <w:jc w:val="both"/>
        <w:rPr>
          <w:rFonts w:ascii="Times New Roman" w:hAnsi="Times New Roman"/>
        </w:rPr>
      </w:pPr>
      <w:r w:rsidRPr="00580ADF">
        <w:rPr>
          <w:rFonts w:ascii="Times New Roman" w:hAnsi="Times New Roman"/>
        </w:rPr>
        <w:t>Navrhovaná právna úprava predpokladá zvýšenie objemu aktivít Rozhlasu a televízie Slovenska v súvislosti s vyberaním a vymáhaním úhrady za služby verejnosti poskytované Rozhlasom a televíziou Slovenska v oblasti rozhlasového vysielania a televízneho vysielania.</w:t>
      </w:r>
    </w:p>
    <w:p w:rsidR="00580ADF" w:rsidRPr="00580ADF" w:rsidP="00580ADF">
      <w:pPr>
        <w:bidi w:val="0"/>
        <w:ind w:firstLine="708"/>
        <w:jc w:val="both"/>
        <w:rPr>
          <w:rFonts w:ascii="Times New Roman" w:hAnsi="Times New Roman"/>
        </w:rPr>
      </w:pPr>
    </w:p>
    <w:p w:rsidR="00580ADF" w:rsidRPr="00580ADF" w:rsidP="00580ADF">
      <w:pPr>
        <w:bidi w:val="0"/>
        <w:ind w:firstLine="708"/>
        <w:jc w:val="both"/>
        <w:rPr>
          <w:rFonts w:ascii="Times New Roman" w:hAnsi="Times New Roman"/>
        </w:rPr>
      </w:pPr>
      <w:r w:rsidRPr="00580ADF">
        <w:rPr>
          <w:rFonts w:ascii="Times New Roman" w:hAnsi="Times New Roman"/>
        </w:rPr>
        <w:t>Sadzba úhrady je v návrhu stanovená</w:t>
      </w:r>
    </w:p>
    <w:p w:rsidR="00580ADF" w:rsidRPr="00580ADF" w:rsidP="00580ADF">
      <w:pPr>
        <w:numPr>
          <w:numId w:val="3"/>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na 4,64 eur za každý aj začatý kalendárny mesiac pre platiteľa úhrady, ktorý je fyzickou osobou, ktorá je evidovaná dodávateľom elektriny v evidencii odberateľov elektriny v domácnosti ako odberateľ elektriny domácnosti v odbernom mieste, pre spotrebu v byte alebo v rodinnom dome a</w:t>
      </w:r>
    </w:p>
    <w:p w:rsidR="00580ADF" w:rsidRPr="00580ADF" w:rsidP="00580ADF">
      <w:pPr>
        <w:numPr>
          <w:numId w:val="3"/>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 xml:space="preserve">pre platiteľa úhrady, ktorý je zamestnávateľom, ktorý v pracovnom pomere alebo v obdobnom pracovnom vzťahu zamestnáva aspoň troch zamestnancov na 4,64 eur, ak zamestnáva od 3 do 9 zamestnancov, na 18,58 eur, ak zamestnáva od 10 do 49 zamestnancov, na 79,66 eur, ak zamestnáva od 50 do 249 zamestnancov, na 199,16 eur, ak zamestnáva od 250 do 999 zamestnancov, na 464,71 eur, ak zamestnáva </w:t>
      </w:r>
      <w:smartTag w:uri="urn:schemas-microsoft-com:office:smarttags" w:element="metricconverter">
        <w:smartTagPr>
          <w:attr w:name="ProductID" w:val="20f"/>
        </w:smartTagPr>
        <w:r w:rsidRPr="00580ADF">
          <w:rPr>
            <w:rFonts w:ascii="Times New Roman" w:hAnsi="Times New Roman"/>
          </w:rPr>
          <w:t>1 000 a</w:t>
        </w:r>
      </w:smartTag>
      <w:r w:rsidRPr="00580ADF">
        <w:rPr>
          <w:rFonts w:ascii="Times New Roman" w:hAnsi="Times New Roman"/>
        </w:rPr>
        <w:t xml:space="preserve"> viac zamestnancov, a to vždy za každý aj začatý kalendárny mesiac.</w:t>
      </w:r>
    </w:p>
    <w:p w:rsidR="00580ADF" w:rsidRPr="00580ADF" w:rsidP="00580ADF">
      <w:pPr>
        <w:bidi w:val="0"/>
        <w:jc w:val="both"/>
        <w:rPr>
          <w:rFonts w:ascii="Times New Roman" w:hAnsi="Times New Roman"/>
        </w:rPr>
      </w:pPr>
    </w:p>
    <w:p w:rsidR="00580ADF" w:rsidRPr="00580ADF" w:rsidP="00580ADF">
      <w:pPr>
        <w:bidi w:val="0"/>
        <w:ind w:firstLine="708"/>
        <w:jc w:val="both"/>
        <w:rPr>
          <w:rFonts w:ascii="Times New Roman" w:hAnsi="Times New Roman"/>
        </w:rPr>
      </w:pPr>
      <w:r w:rsidRPr="00580ADF">
        <w:rPr>
          <w:rFonts w:ascii="Times New Roman" w:hAnsi="Times New Roman"/>
        </w:rPr>
        <w:t>Predpokladané náklady na zabezpečenie vyberania a vymáhania úhrady za služby verejnosti poskytované Rozhlasom a televíziou Slovenska v oblasti rozhlasového vysielania a televízneho vysielania budú hradené z vybraných úhrad a predstavujú najmä</w:t>
      </w:r>
    </w:p>
    <w:p w:rsidR="00580ADF" w:rsidRPr="00580ADF" w:rsidP="00580ADF">
      <w:pPr>
        <w:numPr>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ostatné služby – z toho najmä náklady za služby Slovenskej pošty za výber úhrady prostredníctvom SIPO (až 85 % z celkových nákladov);</w:t>
      </w:r>
    </w:p>
    <w:p w:rsidR="00580ADF" w:rsidRPr="00580ADF" w:rsidP="00580ADF">
      <w:pPr>
        <w:numPr>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 xml:space="preserve">nákup potrebných aktuálnych údajových databáz </w:t>
      </w:r>
    </w:p>
    <w:p w:rsidR="00580ADF" w:rsidRPr="00580ADF" w:rsidP="00580ADF">
      <w:pPr>
        <w:numPr>
          <w:ilvl w:val="1"/>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zo Sociálnej poisťovne (cena za databázu sa dojednáva osobitne za každý kalendárny rok),</w:t>
      </w:r>
    </w:p>
    <w:p w:rsidR="00580ADF" w:rsidRPr="00580ADF" w:rsidP="00580ADF">
      <w:pPr>
        <w:numPr>
          <w:ilvl w:val="1"/>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obchodných spoločností, ktoré dodávajú elektriku do domácností,</w:t>
      </w:r>
    </w:p>
    <w:p w:rsidR="00580ADF" w:rsidRPr="00580ADF" w:rsidP="00580ADF">
      <w:pPr>
        <w:numPr>
          <w:ilvl w:val="1"/>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Ústredie práce, sociálnych vecí a rodiny SR;</w:t>
      </w:r>
    </w:p>
    <w:p w:rsidR="00580ADF" w:rsidRPr="00580ADF" w:rsidP="00580ADF">
      <w:pPr>
        <w:numPr>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podpora a servis k používanému softvéru na výber úhrady;</w:t>
      </w:r>
    </w:p>
    <w:p w:rsidR="00580ADF" w:rsidRPr="00580ADF" w:rsidP="00580ADF">
      <w:pPr>
        <w:numPr>
          <w:numId w:val="4"/>
        </w:numPr>
        <w:overflowPunct w:val="0"/>
        <w:autoSpaceDE w:val="0"/>
        <w:autoSpaceDN w:val="0"/>
        <w:bidi w:val="0"/>
        <w:adjustRightInd w:val="0"/>
        <w:jc w:val="both"/>
        <w:textAlignment w:val="baseline"/>
        <w:rPr>
          <w:rFonts w:ascii="Times New Roman" w:hAnsi="Times New Roman"/>
        </w:rPr>
      </w:pPr>
      <w:r w:rsidRPr="00580ADF">
        <w:rPr>
          <w:rFonts w:ascii="Times New Roman" w:hAnsi="Times New Roman"/>
        </w:rPr>
        <w:t>osobné náklady.</w:t>
      </w:r>
    </w:p>
    <w:p w:rsidR="00580ADF" w:rsidRPr="00580ADF" w:rsidP="00580ADF">
      <w:pPr>
        <w:bidi w:val="0"/>
        <w:jc w:val="both"/>
        <w:rPr>
          <w:rFonts w:ascii="Times New Roman" w:hAnsi="Times New Roman"/>
        </w:rPr>
      </w:pPr>
    </w:p>
    <w:p w:rsidR="00580ADF" w:rsidRPr="00580ADF" w:rsidP="00580ADF">
      <w:pPr>
        <w:bidi w:val="0"/>
        <w:jc w:val="both"/>
        <w:rPr>
          <w:rFonts w:ascii="Times New Roman" w:hAnsi="Times New Roman"/>
        </w:rPr>
      </w:pPr>
    </w:p>
    <w:p w:rsidR="00580ADF" w:rsidRPr="00580ADF" w:rsidP="00580ADF">
      <w:pPr>
        <w:bidi w:val="0"/>
        <w:jc w:val="right"/>
        <w:rPr>
          <w:rFonts w:ascii="Times New Roman" w:hAnsi="Times New Roman"/>
        </w:rPr>
      </w:pPr>
      <w:r w:rsidRPr="00580ADF">
        <w:rPr>
          <w:rFonts w:ascii="Times New Roman" w:hAnsi="Times New Roman"/>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Odhadované objemy</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+ 3</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color w:val="000000"/>
              </w:rPr>
            </w:pPr>
            <w:r w:rsidRPr="00580ADF">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right"/>
              <w:rPr>
                <w:rFonts w:ascii="Times New Roman" w:hAnsi="Times New Roman"/>
                <w:color w:val="000000"/>
              </w:rPr>
            </w:pPr>
          </w:p>
        </w:tc>
      </w:tr>
    </w:tbl>
    <w:p w:rsidR="00580ADF" w:rsidRPr="00580ADF" w:rsidP="00580ADF">
      <w:pPr>
        <w:bidi w:val="0"/>
        <w:rPr>
          <w:rFonts w:ascii="Times New Roman" w:hAnsi="Times New Roman"/>
        </w:rPr>
      </w:pPr>
    </w:p>
    <w:p w:rsidR="00580ADF" w:rsidRPr="00580ADF" w:rsidP="00580ADF">
      <w:pPr>
        <w:pStyle w:val="BodyText"/>
        <w:tabs>
          <w:tab w:val="num" w:pos="1080"/>
        </w:tabs>
        <w:bidi w:val="0"/>
        <w:jc w:val="both"/>
        <w:rPr>
          <w:rFonts w:ascii="Times New Roman" w:hAnsi="Times New Roman"/>
          <w:b/>
          <w:bCs/>
          <w:sz w:val="24"/>
          <w:szCs w:val="24"/>
        </w:rPr>
      </w:pPr>
    </w:p>
    <w:p w:rsidR="00580ADF" w:rsidRPr="00580ADF" w:rsidP="00580ADF">
      <w:pPr>
        <w:pStyle w:val="BodyText"/>
        <w:tabs>
          <w:tab w:val="num" w:pos="1080"/>
        </w:tabs>
        <w:bidi w:val="0"/>
        <w:jc w:val="both"/>
        <w:rPr>
          <w:rFonts w:ascii="Times New Roman" w:hAnsi="Times New Roman"/>
          <w:b/>
          <w:bCs/>
          <w:sz w:val="24"/>
          <w:szCs w:val="24"/>
        </w:rPr>
        <w:sectPr w:rsidSect="00580ADF">
          <w:headerReference w:type="default" r:id="rId4"/>
          <w:footerReference w:type="even" r:id="rId5"/>
          <w:footerReference w:type="default" r:id="rId6"/>
          <w:footerReference w:type="first" r:id="rId7"/>
          <w:pgSz w:w="11906" w:h="16838"/>
          <w:pgMar w:top="1417" w:right="1417" w:bottom="1417" w:left="1417" w:header="708" w:footer="708" w:gutter="0"/>
          <w:lnNumType w:distance="0"/>
          <w:pgNumType w:start="1"/>
          <w:cols w:space="708"/>
          <w:noEndnote w:val="0"/>
          <w:bidi w:val="0"/>
          <w:rtlGutter/>
          <w:docGrid w:linePitch="360"/>
        </w:sectPr>
      </w:pPr>
    </w:p>
    <w:p w:rsidR="00580ADF" w:rsidRPr="00580ADF" w:rsidP="00580ADF">
      <w:pPr>
        <w:bidi w:val="0"/>
        <w:rPr>
          <w:rFonts w:ascii="Times New Roman" w:hAnsi="Times New Roman"/>
          <w:b/>
          <w:bCs/>
        </w:rPr>
      </w:pPr>
      <w:r w:rsidRPr="00580ADF">
        <w:rPr>
          <w:rFonts w:ascii="Times New Roman" w:hAnsi="Times New Roman"/>
          <w:b/>
          <w:bCs/>
        </w:rPr>
        <w:t>2.3.4. Výpočty vplyvov na verejné financie</w:t>
      </w:r>
    </w:p>
    <w:p w:rsidR="00580ADF" w:rsidRPr="00580ADF" w:rsidP="00580ADF">
      <w:pPr>
        <w:bidi w:val="0"/>
        <w:rPr>
          <w:rFonts w:ascii="Times New Roman" w:hAnsi="Times New Roman"/>
        </w:rPr>
      </w:pPr>
    </w:p>
    <w:p w:rsidR="00580ADF" w:rsidRPr="00580ADF" w:rsidP="00580ADF">
      <w:pPr>
        <w:bidi w:val="0"/>
        <w:ind w:firstLine="708"/>
        <w:jc w:val="both"/>
        <w:rPr>
          <w:rFonts w:ascii="Times New Roman" w:hAnsi="Times New Roman"/>
        </w:rPr>
      </w:pPr>
      <w:r w:rsidRPr="00580ADF">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80ADF" w:rsidRPr="00580ADF" w:rsidP="00580ADF">
      <w:pPr>
        <w:pStyle w:val="BodyText"/>
        <w:tabs>
          <w:tab w:val="num" w:pos="1080"/>
        </w:tabs>
        <w:bidi w:val="0"/>
        <w:jc w:val="right"/>
        <w:rPr>
          <w:rFonts w:ascii="Times New Roman" w:hAnsi="Times New Roman"/>
          <w:b/>
          <w:bCs/>
          <w:sz w:val="24"/>
          <w:szCs w:val="24"/>
        </w:rPr>
      </w:pPr>
      <w:r w:rsidRPr="00580ADF">
        <w:rPr>
          <w:rFonts w:ascii="Times New Roman" w:hAnsi="Times New Roman"/>
          <w:b/>
          <w:bCs/>
          <w:sz w:val="24"/>
          <w:szCs w:val="24"/>
        </w:rPr>
        <w:t xml:space="preserve">Tabuľka č. 4 </w:t>
      </w:r>
    </w:p>
    <w:p w:rsidR="00580ADF" w:rsidRPr="00580ADF" w:rsidP="00580ADF">
      <w:pPr>
        <w:pStyle w:val="BodyText"/>
        <w:tabs>
          <w:tab w:val="num" w:pos="1080"/>
        </w:tabs>
        <w:bidi w:val="0"/>
        <w:spacing w:after="0"/>
        <w:jc w:val="both"/>
        <w:rPr>
          <w:rFonts w:ascii="Times New Roman" w:hAnsi="Times New Roman"/>
          <w:b/>
          <w:bCs/>
          <w:sz w:val="24"/>
          <w:szCs w:val="24"/>
        </w:rPr>
      </w:pPr>
      <w:r w:rsidRPr="00580ADF">
        <w:rPr>
          <w:rFonts w:ascii="Times New Roman" w:hAnsi="Times New Roman"/>
          <w:b/>
          <w:bCs/>
          <w:sz w:val="24"/>
          <w:szCs w:val="24"/>
        </w:rPr>
        <w:t>Rozhlas a televízia Slovenska</w:t>
      </w:r>
    </w:p>
    <w:tbl>
      <w:tblPr>
        <w:tblStyle w:val="TableNormal"/>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poznámka</w:t>
            </w:r>
          </w:p>
        </w:tc>
      </w:tr>
      <w:tr>
        <w:tblPrEx>
          <w:tblW w:w="13950" w:type="dxa"/>
          <w:tblCellMar>
            <w:left w:w="70" w:type="dxa"/>
            <w:right w:w="70" w:type="dxa"/>
          </w:tblCellMar>
        </w:tblPrEx>
        <w:trPr>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2015</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vertAlign w:val="superscript"/>
              </w:rPr>
            </w:pPr>
            <w:r w:rsidRPr="00580ADF">
              <w:rPr>
                <w:rFonts w:ascii="Times New Roman" w:hAnsi="Times New Roman"/>
                <w:b/>
                <w:bCs/>
              </w:rPr>
              <w:t>Daňové príjmy (100)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z toho iné dane za tovary a služby (139 001)</w:t>
            </w:r>
          </w:p>
          <w:p w:rsidR="00580ADF" w:rsidRPr="00580ADF" w:rsidP="00580ADF">
            <w:pPr>
              <w:bidi w:val="0"/>
              <w:spacing w:after="0" w:line="240" w:lineRule="auto"/>
              <w:rPr>
                <w:rFonts w:ascii="Times New Roman" w:hAnsi="Times New Roman"/>
                <w:b/>
                <w:bCs/>
              </w:rPr>
            </w:pPr>
            <w:r w:rsidRPr="00580ADF">
              <w:rPr>
                <w:rFonts w:ascii="Times New Roman" w:hAnsi="Times New Roman"/>
                <w:i/>
                <w:iCs/>
                <w:color w:val="000000"/>
              </w:rPr>
              <w:t>úhrada za služby verejnosti</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73 880 700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73 979 000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73 988 000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Nedaňové príjmy (200)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Granty a transfery (300)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z toho transfery v rámci verejnej správy</w:t>
            </w:r>
            <w:r w:rsidRPr="00580ADF">
              <w:rPr>
                <w:rFonts w:ascii="Times New Roman" w:hAnsi="Times New Roman"/>
              </w:rPr>
              <w:t xml:space="preserve"> </w:t>
            </w:r>
            <w:r w:rsidRPr="00580ADF">
              <w:rPr>
                <w:rFonts w:ascii="Times New Roman" w:hAnsi="Times New Roman"/>
                <w:b/>
                <w:bCs/>
              </w:rPr>
              <w:t xml:space="preserve">(322) </w:t>
            </w:r>
            <w:r w:rsidRPr="00580ADF">
              <w:rPr>
                <w:rFonts w:ascii="Times New Roman" w:hAnsi="Times New Roman"/>
                <w:i/>
                <w:iCs/>
                <w:color w:val="000000"/>
              </w:rPr>
              <w:t>- dotácia zo ŠR zmluva</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Cs/>
              </w:rPr>
            </w:pPr>
            <w:r w:rsidRPr="00580ADF">
              <w:rPr>
                <w:rFonts w:ascii="Times New Roman" w:hAnsi="Times New Roman"/>
                <w:bCs/>
              </w:rPr>
              <w:t>14 000 000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Cs/>
              </w:rPr>
            </w:pPr>
            <w:r w:rsidRPr="00580ADF">
              <w:rPr>
                <w:rFonts w:ascii="Times New Roman" w:hAnsi="Times New Roman"/>
                <w:bCs/>
              </w:rPr>
              <w:t>14 000 000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Cs/>
              </w:rPr>
            </w:pPr>
            <w:r w:rsidRPr="00580ADF">
              <w:rPr>
                <w:rFonts w:ascii="Times New Roman" w:hAnsi="Times New Roman"/>
                <w:bCs/>
              </w:rPr>
              <w:t>14 000 000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z toho transfery v rámci verejnej správy</w:t>
            </w:r>
            <w:r w:rsidRPr="00580ADF">
              <w:rPr>
                <w:rFonts w:ascii="Times New Roman" w:hAnsi="Times New Roman"/>
              </w:rPr>
              <w:t xml:space="preserve"> </w:t>
            </w:r>
            <w:r w:rsidRPr="00580ADF">
              <w:rPr>
                <w:rFonts w:ascii="Times New Roman" w:hAnsi="Times New Roman"/>
                <w:b/>
                <w:bCs/>
              </w:rPr>
              <w:t xml:space="preserve">(322) </w:t>
            </w:r>
            <w:r w:rsidRPr="00580ADF">
              <w:rPr>
                <w:rFonts w:ascii="Times New Roman" w:hAnsi="Times New Roman"/>
                <w:i/>
                <w:iCs/>
                <w:color w:val="000000"/>
              </w:rPr>
              <w:t>- transfer zo ŠR 0,142% z HDP</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-98 116 275</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-101 307 097</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-106 274 080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-10 235 575</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-13 328 097</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-18 286 080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580ADF" w:rsidRPr="00580ADF" w:rsidP="00580ADF">
            <w:pPr>
              <w:bidi w:val="0"/>
              <w:spacing w:after="0" w:line="240" w:lineRule="auto"/>
              <w:rPr>
                <w:rFonts w:ascii="Times New Roman" w:hAnsi="Times New Roman"/>
                <w:color w:val="FFFFFF"/>
              </w:rPr>
            </w:pPr>
            <w:r w:rsidRPr="00580ADF">
              <w:rPr>
                <w:rFonts w:ascii="Times New Roman" w:hAnsi="Times New Roman"/>
                <w:color w:val="FFFFFF"/>
              </w:rPr>
              <w:t> </w:t>
            </w:r>
          </w:p>
        </w:tc>
      </w:tr>
    </w:tbl>
    <w:p w:rsidR="00580ADF" w:rsidRPr="00580ADF" w:rsidP="00580ADF">
      <w:pPr>
        <w:pStyle w:val="BodyText"/>
        <w:tabs>
          <w:tab w:val="num" w:pos="1080"/>
        </w:tabs>
        <w:bidi w:val="0"/>
        <w:jc w:val="both"/>
        <w:rPr>
          <w:rFonts w:ascii="Times New Roman" w:hAnsi="Times New Roman"/>
          <w:b/>
          <w:bCs/>
          <w:sz w:val="24"/>
          <w:szCs w:val="24"/>
        </w:rPr>
      </w:pPr>
      <w:r w:rsidRPr="00580ADF">
        <w:rPr>
          <w:rFonts w:ascii="Times New Roman" w:hAnsi="Times New Roman"/>
          <w:b/>
          <w:bCs/>
          <w:sz w:val="24"/>
          <w:szCs w:val="24"/>
        </w:rPr>
        <w:t>1 –  príjmy rozpísať až do položiek platnej ekonomickej klasifikácie</w:t>
      </w:r>
    </w:p>
    <w:p w:rsidR="00580ADF" w:rsidRPr="00580ADF" w:rsidP="00580ADF">
      <w:pPr>
        <w:pStyle w:val="BodyText"/>
        <w:tabs>
          <w:tab w:val="num" w:pos="1080"/>
        </w:tabs>
        <w:bidi w:val="0"/>
        <w:spacing w:after="0"/>
        <w:jc w:val="both"/>
        <w:rPr>
          <w:rFonts w:ascii="Times New Roman" w:hAnsi="Times New Roman"/>
          <w:b/>
          <w:bCs/>
          <w:sz w:val="24"/>
          <w:szCs w:val="24"/>
        </w:rPr>
      </w:pPr>
      <w:r w:rsidRPr="00580ADF">
        <w:rPr>
          <w:rFonts w:ascii="Times New Roman" w:hAnsi="Times New Roman"/>
          <w:b/>
          <w:bCs/>
          <w:sz w:val="24"/>
          <w:szCs w:val="24"/>
        </w:rPr>
        <w:t>Ministerstvo kultúry Slovenskej republiky</w:t>
      </w:r>
    </w:p>
    <w:tbl>
      <w:tblPr>
        <w:tblStyle w:val="TableNormal"/>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poznámka</w:t>
            </w:r>
          </w:p>
        </w:tc>
      </w:tr>
      <w:tr>
        <w:tblPrEx>
          <w:tblW w:w="13950" w:type="dxa"/>
          <w:tblCellMar>
            <w:left w:w="70" w:type="dxa"/>
            <w:right w:w="70" w:type="dxa"/>
          </w:tblCellMar>
        </w:tblPrEx>
        <w:trPr>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2015</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vertAlign w:val="superscript"/>
              </w:rPr>
            </w:pPr>
            <w:r w:rsidRPr="00580ADF">
              <w:rPr>
                <w:rFonts w:ascii="Times New Roman" w:hAnsi="Times New Roman"/>
                <w:b/>
                <w:bCs/>
              </w:rPr>
              <w:t>Daňové príjmy (100)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Nedaňové príjmy (200)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Granty a transfery (300)</w:t>
            </w:r>
            <w:r w:rsidRPr="00580ADF">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580ADF" w:rsidRPr="00580ADF" w:rsidP="00580ADF">
            <w:pPr>
              <w:bidi w:val="0"/>
              <w:spacing w:after="0" w:line="240" w:lineRule="auto"/>
              <w:rPr>
                <w:rFonts w:ascii="Times New Roman" w:hAnsi="Times New Roman"/>
                <w:color w:val="FFFFFF"/>
              </w:rPr>
            </w:pPr>
            <w:r w:rsidRPr="00580ADF">
              <w:rPr>
                <w:rFonts w:ascii="Times New Roman" w:hAnsi="Times New Roman"/>
                <w:color w:val="FFFFFF"/>
              </w:rPr>
              <w:t> </w:t>
            </w:r>
          </w:p>
        </w:tc>
      </w:tr>
    </w:tbl>
    <w:p w:rsidR="00580ADF" w:rsidRPr="00580ADF" w:rsidP="00580ADF">
      <w:pPr>
        <w:pStyle w:val="BodyText"/>
        <w:tabs>
          <w:tab w:val="num" w:pos="1080"/>
        </w:tabs>
        <w:bidi w:val="0"/>
        <w:jc w:val="both"/>
        <w:rPr>
          <w:rFonts w:ascii="Times New Roman" w:hAnsi="Times New Roman"/>
          <w:b/>
          <w:bCs/>
          <w:sz w:val="24"/>
          <w:szCs w:val="24"/>
        </w:rPr>
      </w:pPr>
    </w:p>
    <w:p w:rsidR="00580ADF" w:rsidRPr="00580ADF" w:rsidP="00580ADF">
      <w:pPr>
        <w:pStyle w:val="BodyText"/>
        <w:tabs>
          <w:tab w:val="num" w:pos="1080"/>
        </w:tabs>
        <w:bidi w:val="0"/>
        <w:ind w:right="-578"/>
        <w:jc w:val="right"/>
        <w:rPr>
          <w:rFonts w:ascii="Times New Roman" w:hAnsi="Times New Roman"/>
          <w:b/>
          <w:bCs/>
          <w:sz w:val="24"/>
          <w:szCs w:val="24"/>
        </w:rPr>
      </w:pPr>
      <w:r w:rsidRPr="00580ADF">
        <w:rPr>
          <w:rFonts w:ascii="Times New Roman" w:hAnsi="Times New Roman"/>
          <w:b/>
          <w:bCs/>
          <w:sz w:val="24"/>
          <w:szCs w:val="24"/>
        </w:rPr>
        <w:t xml:space="preserve"> Tabuľka č. 5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2012</w:t>
            </w:r>
          </w:p>
        </w:tc>
        <w:tc>
          <w:tcPr>
            <w:tcW w:w="154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2015</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Bežné výdavky (600) – Rozhlas a televízia Slovenska</w:t>
            </w: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-10 235 575</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-13 328 097</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-18 286 080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transfer zo ŠR 0,142% z HDP</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-98 116 275</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-101 307 097</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-106 274 080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dotácia zo ŠR zmluva</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14 000 000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14 000 000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14 000 000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úhrada za služby verejnosti</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73 880 700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73 979 000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
                <w:iCs/>
                <w:color w:val="000000"/>
              </w:rPr>
            </w:pPr>
            <w:r w:rsidRPr="00580ADF">
              <w:rPr>
                <w:rFonts w:ascii="Times New Roman" w:hAnsi="Times New Roman"/>
                <w:i/>
                <w:iCs/>
                <w:color w:val="000000"/>
              </w:rPr>
              <w:t>73 988 000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vertAlign w:val="superscript"/>
              </w:rPr>
            </w:pPr>
            <w:r w:rsidRPr="00580ADF">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vertAlign w:val="superscript"/>
              </w:rPr>
            </w:pPr>
            <w:r w:rsidRPr="00580ADF">
              <w:rPr>
                <w:rFonts w:ascii="Times New Roman" w:hAnsi="Times New Roman"/>
              </w:rPr>
              <w:t xml:space="preserve">  Tovary a služby (630)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Bežné transfery 641 012 </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Splácanie úrokov a ostatné platby súvisiace s úvermi, pôžičkami a NFV (650)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Obstarávanie kapitálových aktív (710)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Kapitálové transfery (720)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Dopad na výdavky verejnej správy celkom –</w:t>
            </w:r>
            <w:r w:rsidRPr="00580ADF">
              <w:rPr>
                <w:rFonts w:ascii="Times New Roman" w:hAnsi="Times New Roman"/>
                <w:b/>
                <w:bCs/>
              </w:rPr>
              <w:t xml:space="preserve"> Rozhlas a televízia Slovenska</w:t>
            </w:r>
          </w:p>
        </w:tc>
        <w:tc>
          <w:tcPr>
            <w:tcW w:w="1540" w:type="dxa"/>
            <w:tcBorders>
              <w:top w:val="nil"/>
              <w:left w:val="nil"/>
              <w:bottom w:val="none" w:sz="0"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0</w:t>
            </w: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-10 235 575</w:t>
            </w: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-13 328 097</w:t>
            </w: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-18 286 080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580ADF" w:rsidRPr="00580ADF" w:rsidP="00580ADF">
            <w:pPr>
              <w:bidi w:val="0"/>
              <w:spacing w:after="0" w:line="240" w:lineRule="auto"/>
              <w:rPr>
                <w:rFonts w:ascii="Times New Roman" w:hAnsi="Times New Roman"/>
                <w:color w:val="FFFFFF"/>
              </w:rPr>
            </w:pPr>
            <w:r w:rsidRPr="00580ADF">
              <w:rPr>
                <w:rFonts w:ascii="Times New Roman" w:hAnsi="Times New Roman"/>
                <w:color w:val="FFFFFF"/>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Cs/>
              </w:rPr>
              <w:t xml:space="preserve">        Bežné výdavky</w:t>
            </w:r>
            <w:r w:rsidRPr="00580ADF">
              <w:rPr>
                <w:rFonts w:ascii="Times New Roman" w:hAnsi="Times New Roman"/>
                <w:b/>
                <w:bCs/>
              </w:rPr>
              <w:t xml:space="preserve"> </w:t>
            </w:r>
            <w:r w:rsidRPr="00580ADF">
              <w:rPr>
                <w:rFonts w:ascii="Times New Roman" w:hAnsi="Times New Roman"/>
                <w:bCs/>
              </w:rPr>
              <w:t>(600)</w:t>
            </w:r>
            <w:r w:rsidRPr="00580ADF">
              <w:rPr>
                <w:rFonts w:ascii="Times New Roman" w:hAnsi="Times New Roman"/>
                <w:b/>
                <w:bCs/>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               </w:t>
            </w:r>
            <w:r w:rsidRPr="00580ADF">
              <w:rPr>
                <w:rFonts w:ascii="Times New Roman" w:hAnsi="Times New Roman"/>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Cs/>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Cs/>
              </w:rPr>
            </w:pPr>
            <w:r w:rsidRPr="00580ADF">
              <w:rPr>
                <w:rFonts w:ascii="Times New Roman" w:hAnsi="Times New Roman"/>
                <w:bCs/>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bl>
    <w:p w:rsidR="00580ADF" w:rsidRPr="00580ADF" w:rsidP="00580ADF">
      <w:pPr>
        <w:pStyle w:val="BodyText"/>
        <w:tabs>
          <w:tab w:val="num" w:pos="1080"/>
        </w:tabs>
        <w:bidi w:val="0"/>
        <w:ind w:left="-900"/>
        <w:jc w:val="both"/>
        <w:rPr>
          <w:rFonts w:ascii="Times New Roman" w:hAnsi="Times New Roman"/>
          <w:b/>
          <w:bCs/>
          <w:sz w:val="24"/>
          <w:szCs w:val="24"/>
        </w:rPr>
      </w:pPr>
      <w:r w:rsidRPr="00580ADF">
        <w:rPr>
          <w:rFonts w:ascii="Times New Roman" w:hAnsi="Times New Roman"/>
          <w:b/>
          <w:bCs/>
          <w:sz w:val="24"/>
          <w:szCs w:val="24"/>
        </w:rPr>
        <w:t>2 –  výdavky rozpísať až do položiek platnej ekonomickej klasifikácie-</w:t>
      </w:r>
    </w:p>
    <w:p w:rsidR="00580ADF" w:rsidRPr="00580ADF" w:rsidP="00580ADF">
      <w:pPr>
        <w:pStyle w:val="BodyText"/>
        <w:tabs>
          <w:tab w:val="num" w:pos="1080"/>
        </w:tabs>
        <w:bidi w:val="0"/>
        <w:ind w:left="-900"/>
        <w:jc w:val="both"/>
        <w:rPr>
          <w:rFonts w:ascii="Times New Roman" w:hAnsi="Times New Roman"/>
          <w:b/>
          <w:bCs/>
          <w:sz w:val="24"/>
          <w:szCs w:val="24"/>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Bežné výdavky (600) – Ministerstvo kultúry Slovenskej republiky</w:t>
            </w: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r w:rsidRPr="00580ADF">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iCs/>
                <w:color w:val="000000"/>
              </w:rPr>
            </w:pPr>
            <w:r w:rsidRPr="00580ADF">
              <w:rPr>
                <w:rFonts w:ascii="Times New Roman" w:hAnsi="Times New Roman"/>
                <w:b/>
                <w:bCs/>
                <w:iCs/>
                <w:color w:val="000000"/>
              </w:rPr>
              <w:t>-84 116 275</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iCs/>
                <w:color w:val="000000"/>
              </w:rPr>
            </w:pPr>
            <w:r w:rsidRPr="00580ADF">
              <w:rPr>
                <w:rFonts w:ascii="Times New Roman" w:hAnsi="Times New Roman"/>
                <w:b/>
                <w:bCs/>
                <w:iCs/>
                <w:color w:val="000000"/>
              </w:rPr>
              <w:t>-87 307 097</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b/>
                <w:bCs/>
                <w:iCs/>
                <w:color w:val="000000"/>
              </w:rPr>
            </w:pPr>
            <w:r w:rsidRPr="00580ADF">
              <w:rPr>
                <w:rFonts w:ascii="Times New Roman" w:hAnsi="Times New Roman"/>
                <w:b/>
                <w:bCs/>
                <w:iCs/>
                <w:color w:val="000000"/>
              </w:rPr>
              <w:t>-92 274 080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vertAlign w:val="superscript"/>
              </w:rPr>
            </w:pPr>
            <w:r w:rsidRPr="00580ADF">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vertAlign w:val="superscript"/>
              </w:rPr>
            </w:pPr>
            <w:r w:rsidRPr="00580ADF">
              <w:rPr>
                <w:rFonts w:ascii="Times New Roman" w:hAnsi="Times New Roman"/>
              </w:rPr>
              <w:t xml:space="preserve">  Tovary a služby (630)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Bežné transfery 641 012</w:t>
            </w: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transfer zo ŠR 0,142% z HDP</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-98 116 275</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-101 307 097</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-106 274 080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dotácia zo ŠR zmluva</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Splácanie úrokov a ostatné platby súvisiace s úvermi, pôžičkami a NFV (650)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Obstarávanie kapitálových aktív (710)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 xml:space="preserve">  Kapitálové transfery (720)</w:t>
            </w:r>
            <w:r w:rsidRPr="00580ADF">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Dopad na výdavky verejnej správy celkom – Ministerstvo kultúry SR</w:t>
            </w:r>
          </w:p>
        </w:tc>
        <w:tc>
          <w:tcPr>
            <w:tcW w:w="1540" w:type="dxa"/>
            <w:tcBorders>
              <w:top w:val="nil"/>
              <w:left w:val="nil"/>
              <w:bottom w:val="none" w:sz="0"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-84 116 275</w:t>
            </w: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-87 307 097</w:t>
            </w:r>
          </w:p>
        </w:tc>
        <w:tc>
          <w:tcPr>
            <w:tcW w:w="1540" w:type="dxa"/>
            <w:tcBorders>
              <w:top w:val="nil"/>
              <w:left w:val="nil"/>
              <w:bottom w:val="none" w:sz="0"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-92 274 080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580ADF" w:rsidRPr="00580ADF" w:rsidP="00580ADF">
            <w:pPr>
              <w:bidi w:val="0"/>
              <w:spacing w:after="0" w:line="240" w:lineRule="auto"/>
              <w:rPr>
                <w:rFonts w:ascii="Times New Roman" w:hAnsi="Times New Roman"/>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Cs/>
              </w:rPr>
              <w:t xml:space="preserve">        Bežné výdavky</w:t>
            </w:r>
            <w:r w:rsidRPr="00580ADF">
              <w:rPr>
                <w:rFonts w:ascii="Times New Roman" w:hAnsi="Times New Roman"/>
                <w:b/>
                <w:bCs/>
              </w:rPr>
              <w:t xml:space="preserve"> </w:t>
            </w:r>
            <w:r w:rsidRPr="00580ADF">
              <w:rPr>
                <w:rFonts w:ascii="Times New Roman" w:hAnsi="Times New Roman"/>
                <w:bCs/>
              </w:rPr>
              <w:t>(600)</w:t>
            </w:r>
            <w:r w:rsidRPr="00580ADF">
              <w:rPr>
                <w:rFonts w:ascii="Times New Roman" w:hAnsi="Times New Roman"/>
                <w:b/>
                <w:bCs/>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Cs/>
              </w:rPr>
            </w:pP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transfer zo ŠR 0,142% z HDP</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-98 116 275</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-101 307 097</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-106 274 080</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i/>
                <w:iCs/>
                <w:color w:val="000000"/>
              </w:rPr>
            </w:pPr>
            <w:r w:rsidRPr="00580ADF">
              <w:rPr>
                <w:rFonts w:ascii="Times New Roman" w:hAnsi="Times New Roman"/>
                <w:i/>
                <w:iCs/>
                <w:color w:val="000000"/>
              </w:rPr>
              <w:t xml:space="preserve">              - dotácia zo ŠR zmluva</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iCs/>
                <w:color w:val="000000"/>
              </w:rPr>
            </w:pPr>
            <w:r w:rsidRPr="00580ADF">
              <w:rPr>
                <w:rFonts w:ascii="Times New Roman" w:hAnsi="Times New Roman"/>
                <w:iCs/>
                <w:color w:val="000000"/>
              </w:rPr>
              <w:t>14 000 000</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               </w:t>
            </w:r>
            <w:r w:rsidRPr="00580ADF">
              <w:rPr>
                <w:rFonts w:ascii="Times New Roman" w:hAnsi="Times New Roman"/>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Cs/>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Cs/>
              </w:rPr>
            </w:pPr>
            <w:r w:rsidRPr="00580ADF">
              <w:rPr>
                <w:rFonts w:ascii="Times New Roman" w:hAnsi="Times New Roman"/>
                <w:bCs/>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1540" w:type="dxa"/>
            <w:tcBorders>
              <w:top w:val="single" w:sz="4" w:space="0" w:color="auto"/>
              <w:left w:val="nil"/>
              <w:bottom w:val="single" w:sz="4" w:space="0" w:color="auto"/>
              <w:right w:val="single" w:sz="4" w:space="0" w:color="auto"/>
            </w:tcBorders>
            <w:textDirection w:val="lrTb"/>
            <w:vAlign w:val="center"/>
          </w:tcPr>
          <w:p w:rsidR="00580ADF" w:rsidRPr="00580ADF" w:rsidP="00580ADF">
            <w:pPr>
              <w:bidi w:val="0"/>
              <w:spacing w:after="0" w:line="240" w:lineRule="auto"/>
              <w:jc w:val="center"/>
              <w:rPr>
                <w:rFonts w:ascii="Times New Roman" w:hAnsi="Times New Roman"/>
              </w:rPr>
            </w:pPr>
            <w:r w:rsidRPr="00580ADF">
              <w:rPr>
                <w:rFonts w:ascii="Times New Roman" w:hAnsi="Times New Roman"/>
                <w:bCs/>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bl>
    <w:p w:rsidR="00580ADF" w:rsidRPr="00580ADF" w:rsidP="00580ADF">
      <w:pPr>
        <w:pStyle w:val="BodyText"/>
        <w:tabs>
          <w:tab w:val="num" w:pos="1080"/>
        </w:tabs>
        <w:bidi w:val="0"/>
        <w:ind w:left="-900"/>
        <w:jc w:val="both"/>
        <w:rPr>
          <w:rFonts w:ascii="Times New Roman" w:hAnsi="Times New Roman"/>
          <w:b/>
          <w:bCs/>
          <w:sz w:val="24"/>
          <w:szCs w:val="24"/>
        </w:rPr>
      </w:pPr>
    </w:p>
    <w:p w:rsidR="00580ADF" w:rsidRPr="00580ADF" w:rsidP="00580ADF">
      <w:pPr>
        <w:pStyle w:val="BodyText"/>
        <w:tabs>
          <w:tab w:val="num" w:pos="1080"/>
        </w:tabs>
        <w:bidi w:val="0"/>
        <w:jc w:val="right"/>
        <w:rPr>
          <w:rFonts w:ascii="Times New Roman" w:hAnsi="Times New Roman"/>
          <w:b/>
          <w:bCs/>
          <w:sz w:val="24"/>
          <w:szCs w:val="24"/>
        </w:rPr>
      </w:pPr>
      <w:r w:rsidRPr="00580ADF">
        <w:rPr>
          <w:rFonts w:ascii="Times New Roman" w:hAnsi="Times New Roman"/>
          <w:b/>
          <w:bCs/>
          <w:sz w:val="24"/>
          <w:szCs w:val="24"/>
        </w:rPr>
        <w:br w:type="page"/>
        <w:t xml:space="preserve">Tabuľka č. 6 </w:t>
      </w:r>
    </w:p>
    <w:p w:rsidR="00580ADF" w:rsidRPr="00580ADF" w:rsidP="00580ADF">
      <w:pPr>
        <w:pStyle w:val="BodyText"/>
        <w:tabs>
          <w:tab w:val="num" w:pos="1080"/>
        </w:tabs>
        <w:bidi w:val="0"/>
        <w:jc w:val="both"/>
        <w:rPr>
          <w:rFonts w:ascii="Times New Roman" w:hAnsi="Times New Roman"/>
          <w:b/>
          <w:bCs/>
          <w:sz w:val="24"/>
          <w:szCs w:val="24"/>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r + 3</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r w:rsidRPr="00580ADF">
              <w:rPr>
                <w:rFonts w:ascii="Times New Roman" w:hAnsi="Times New Roman"/>
              </w:rPr>
              <w:t> </w:t>
            </w: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580ADF" w:rsidRPr="00580ADF" w:rsidP="00580ADF">
            <w:pPr>
              <w:bidi w:val="0"/>
              <w:spacing w:after="0" w:line="240" w:lineRule="auto"/>
              <w:jc w:val="center"/>
              <w:rPr>
                <w:rFonts w:ascii="Times New Roman" w:hAnsi="Times New Roman"/>
                <w:b/>
                <w:bCs/>
                <w:color w:val="FFFFFF"/>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580ADF" w:rsidRPr="00580ADF" w:rsidP="00580ADF">
            <w:pPr>
              <w:bidi w:val="0"/>
              <w:spacing w:after="0" w:line="240" w:lineRule="auto"/>
              <w:rPr>
                <w:rFonts w:ascii="Times New Roman" w:hAnsi="Times New Roman"/>
                <w:b/>
                <w:bCs/>
                <w:color w:val="FFFFFF"/>
              </w:rPr>
            </w:pPr>
            <w:r w:rsidRPr="00580ADF">
              <w:rPr>
                <w:rFonts w:ascii="Times New Roman" w:hAnsi="Times New Roman"/>
                <w:b/>
                <w:bCs/>
                <w:color w:val="FFFFFF"/>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580ADF" w:rsidRPr="00580ADF" w:rsidP="00580ADF">
            <w:pPr>
              <w:bidi w:val="0"/>
              <w:spacing w:after="0" w:line="240" w:lineRule="auto"/>
              <w:rPr>
                <w:rFonts w:ascii="Times New Roman" w:hAnsi="Times New Roman"/>
                <w:b/>
                <w:bCs/>
              </w:rPr>
            </w:pPr>
            <w:r w:rsidRPr="00580ADF">
              <w:rPr>
                <w:rFonts w:ascii="Times New Roman" w:hAnsi="Times New Roman"/>
                <w:b/>
                <w:bCs/>
              </w:rPr>
              <w:t>Poznámky:</w:t>
            </w:r>
          </w:p>
        </w:tc>
        <w:tc>
          <w:tcPr>
            <w:tcW w:w="169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580ADF" w:rsidRPr="00580ADF" w:rsidP="00580ADF">
            <w:pPr>
              <w:bidi w:val="0"/>
              <w:spacing w:after="0" w:line="240" w:lineRule="auto"/>
              <w:rPr>
                <w:rFonts w:ascii="Times New Roman" w:hAnsi="Times New Roman"/>
              </w:rPr>
            </w:pPr>
            <w:r w:rsidRPr="00580ADF">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r w:rsidRPr="00580ADF">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580ADF" w:rsidRPr="00580ADF" w:rsidP="00580ADF">
            <w:pPr>
              <w:bidi w:val="0"/>
              <w:spacing w:after="0" w:line="240" w:lineRule="auto"/>
              <w:rPr>
                <w:rFonts w:ascii="Times New Roman" w:hAnsi="Times New Roman"/>
              </w:rPr>
            </w:pPr>
          </w:p>
        </w:tc>
      </w:tr>
    </w:tbl>
    <w:p w:rsidR="00580ADF" w:rsidRPr="00580ADF" w:rsidP="00580ADF">
      <w:pPr>
        <w:bidi w:val="0"/>
        <w:rPr>
          <w:rFonts w:ascii="Times New Roman" w:hAnsi="Times New Roman"/>
          <w:b/>
          <w:bCs/>
        </w:rPr>
      </w:pPr>
      <w:r w:rsidRPr="00580ADF">
        <w:rPr>
          <w:rFonts w:ascii="Times New Roman" w:hAnsi="Times New Roman"/>
          <w:b/>
          <w:bCs/>
        </w:rPr>
        <w:t>* počet zamestnancov,  mzdy a poistné rozpísať podľa spôsobu odmeňovania (napr. policajti, colníci</w:t>
      </w:r>
      <w:r w:rsidR="00E23D0A">
        <w:rPr>
          <w:rFonts w:ascii="Times New Roman" w:hAnsi="Times New Roman"/>
          <w:b/>
          <w:bCs/>
        </w:rPr>
        <w:t>...</w:t>
      </w:r>
      <w:r w:rsidRPr="00580ADF">
        <w:rPr>
          <w:rFonts w:ascii="Times New Roman" w:hAnsi="Times New Roman"/>
          <w:b/>
          <w:bCs/>
        </w:rPr>
        <w:t>)</w:t>
      </w: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docGrid w:linePitch="360"/>
        </w:sectPr>
      </w:pPr>
    </w:p>
    <w:p w:rsidR="00580ADF" w:rsidRPr="00580ADF" w:rsidP="00580ADF">
      <w:pPr>
        <w:bidi w:val="0"/>
        <w:rPr>
          <w:rFonts w:ascii="Times New Roman" w:hAnsi="Times New Roman"/>
          <w:b/>
        </w:rPr>
      </w:pPr>
      <w:r w:rsidRPr="00580ADF">
        <w:rPr>
          <w:rFonts w:ascii="Times New Roman" w:hAnsi="Times New Roman"/>
          <w:b/>
        </w:rPr>
        <w:t>Sociálne vplyvy -  vplyvy na hospodárenie obyvateľstva, sociálnu exklúziu, rovnosť príležitostí a rodovú rovnosť  a na zamestnanosť</w:t>
      </w:r>
    </w:p>
    <w:p w:rsidR="00580ADF" w:rsidRPr="00580ADF" w:rsidP="00580ADF">
      <w:pPr>
        <w:bidi w:val="0"/>
        <w:rPr>
          <w:rFonts w:ascii="Times New Roman" w:hAnsi="Times New Roman"/>
          <w:b/>
          <w:bCs/>
        </w:rPr>
      </w:pPr>
    </w:p>
    <w:p w:rsidR="00580ADF" w:rsidRPr="00580ADF" w:rsidP="00580ADF">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580ADF" w:rsidRPr="00580ADF" w:rsidP="00580ADF">
            <w:pPr>
              <w:bidi w:val="0"/>
              <w:spacing w:after="0" w:line="240" w:lineRule="auto"/>
              <w:jc w:val="center"/>
              <w:rPr>
                <w:rFonts w:ascii="Times New Roman" w:hAnsi="Times New Roman"/>
                <w:b/>
                <w:bCs/>
                <w:color w:val="FFFFFF"/>
              </w:rPr>
            </w:pPr>
            <w:r w:rsidRPr="00580ADF">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both"/>
              <w:rPr>
                <w:rFonts w:ascii="Times New Roman" w:hAnsi="Times New Roman"/>
              </w:rPr>
            </w:pPr>
            <w:r w:rsidRPr="00580ADF">
              <w:rPr>
                <w:rFonts w:ascii="Times New Roman" w:hAnsi="Times New Roman"/>
                <w:b/>
              </w:rPr>
              <w:t>4.1.</w:t>
            </w:r>
            <w:r w:rsidRPr="00580ADF">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both"/>
              <w:rPr>
                <w:rFonts w:ascii="Times New Roman" w:hAnsi="Times New Roman"/>
              </w:rPr>
            </w:pPr>
            <w:r w:rsidRPr="00580ADF">
              <w:rPr>
                <w:rFonts w:ascii="Times New Roman" w:hAnsi="Times New Roman"/>
              </w:rPr>
              <w:t> </w:t>
            </w: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Návrh zákona nepredpokladá oproti súčasnej právnej úprave výrazný vplyv na hospodárenie domácností. </w:t>
            </w: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Pozitívne ovplyvnené budú domácnosti, v ktorých je platiteľom úhrady fyzická osoba, ktorá je poberateľom dôchodkových dávok – starobného dôchodku, predčasného starobného dôchodku, invalidného dôchodku, vdovského, vdoveckého alebo sirotského dôchodku alebo </w:t>
            </w:r>
            <w:r w:rsidRPr="00580ADF">
              <w:rPr>
                <w:rFonts w:ascii="Times New Roman" w:hAnsi="Times New Roman"/>
                <w:b/>
              </w:rPr>
              <w:t>ktorá je poberateľom rovnocenných dávok zo zahraničia</w:t>
            </w:r>
            <w:r w:rsidRPr="00580ADF">
              <w:rPr>
                <w:rFonts w:ascii="Times New Roman" w:hAnsi="Times New Roman"/>
              </w:rPr>
              <w:t>, ak nemá pravidelný príjem zo zárobkovej činnosti a nežije v domácnosti s osobou, ktorá ma takýto príjem. Takýmto osobám sa sadzba úhrady znižuje na polovicu.</w:t>
            </w: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Negatívny vplyv bude mať návrh zákona </w:t>
            </w:r>
            <w:r w:rsidRPr="00580ADF">
              <w:rPr>
                <w:rFonts w:ascii="Times New Roman" w:hAnsi="Times New Roman"/>
                <w:b/>
              </w:rPr>
              <w:t xml:space="preserve">na poberateľov výsluhových dôchodkov, </w:t>
            </w:r>
            <w:r w:rsidRPr="00580ADF">
              <w:rPr>
                <w:rFonts w:ascii="Times New Roman" w:hAnsi="Times New Roman"/>
              </w:rPr>
              <w:t xml:space="preserve">ktorým nárok na zníženú sadzbu úhrady už nevzniká a na </w:t>
            </w:r>
            <w:r w:rsidRPr="00580ADF">
              <w:rPr>
                <w:rFonts w:ascii="Times New Roman" w:hAnsi="Times New Roman"/>
                <w:b/>
              </w:rPr>
              <w:t>poberateľov dôchodkových dávok</w:t>
            </w:r>
            <w:r w:rsidRPr="00580ADF">
              <w:rPr>
                <w:rFonts w:ascii="Times New Roman" w:hAnsi="Times New Roman"/>
              </w:rPr>
              <w:t xml:space="preserve">, </w:t>
            </w:r>
            <w:r w:rsidRPr="00580ADF">
              <w:rPr>
                <w:rFonts w:ascii="Times New Roman" w:hAnsi="Times New Roman"/>
                <w:b/>
              </w:rPr>
              <w:t>ktorý majú príjem zo zárobkovej činnosti</w:t>
            </w:r>
            <w:r w:rsidRPr="00580ADF">
              <w:rPr>
                <w:rFonts w:ascii="Times New Roman" w:hAnsi="Times New Roman"/>
              </w:rPr>
              <w:t xml:space="preserve"> a ktorí si podľa doterajšej právnej úpravy uplatňovali nárok na zníženú sadzbu úhrady. </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580ADF" w:rsidRPr="00580ADF" w:rsidP="00B25796">
            <w:pPr>
              <w:bidi w:val="0"/>
              <w:spacing w:after="0" w:line="240" w:lineRule="auto"/>
              <w:ind w:firstLine="480" w:firstLineChars="200"/>
              <w:jc w:val="both"/>
              <w:rPr>
                <w:rFonts w:ascii="Times New Roman" w:hAnsi="Times New Roman"/>
              </w:rPr>
            </w:pPr>
            <w:r w:rsidRPr="00580ADF">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V súčasnosti nie je možné kvantifikovať.</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580ADF" w:rsidRPr="00580ADF" w:rsidP="00B25796">
            <w:pPr>
              <w:bidi w:val="0"/>
              <w:spacing w:after="0" w:line="240" w:lineRule="auto"/>
              <w:ind w:firstLine="720" w:firstLineChars="300"/>
              <w:jc w:val="both"/>
              <w:rPr>
                <w:rFonts w:ascii="Times New Roman" w:hAnsi="Times New Roman"/>
              </w:rPr>
            </w:pPr>
            <w:r w:rsidRPr="00580ADF">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580ADF" w:rsidRPr="00580ADF" w:rsidP="00B25796">
            <w:pPr>
              <w:bidi w:val="0"/>
              <w:spacing w:after="0" w:line="240" w:lineRule="auto"/>
              <w:ind w:firstLine="720" w:firstLineChars="300"/>
              <w:jc w:val="both"/>
              <w:rPr>
                <w:rFonts w:ascii="Times New Roman" w:hAnsi="Times New Roman"/>
              </w:rPr>
            </w:pPr>
            <w:r w:rsidRPr="00580ADF">
              <w:rPr>
                <w:rFonts w:ascii="Times New Roman" w:hAnsi="Times New Roman"/>
              </w:rPr>
              <w:t>- Rast alebo pokles príjmov/výdavkov                  za jednotlivé ovplyvnené  skupiny domácností</w:t>
            </w:r>
          </w:p>
          <w:p w:rsidR="00580ADF" w:rsidRPr="00580ADF" w:rsidP="00B25796">
            <w:pPr>
              <w:bidi w:val="0"/>
              <w:spacing w:after="0" w:line="240" w:lineRule="auto"/>
              <w:ind w:firstLine="720" w:firstLineChars="300"/>
              <w:jc w:val="both"/>
              <w:rPr>
                <w:rFonts w:ascii="Times New Roman" w:hAnsi="Times New Roman"/>
              </w:rPr>
            </w:pPr>
            <w:r w:rsidRPr="00580ADF">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580ADF" w:rsidRPr="00580ADF" w:rsidP="00B25796">
            <w:pPr>
              <w:bidi w:val="0"/>
              <w:spacing w:after="0" w:line="240" w:lineRule="auto"/>
              <w:ind w:firstLine="720" w:firstLineChars="300"/>
              <w:jc w:val="both"/>
              <w:rPr>
                <w:rFonts w:ascii="Times New Roman" w:hAnsi="Times New Roman"/>
              </w:rPr>
            </w:pPr>
          </w:p>
        </w:tc>
        <w:tc>
          <w:tcPr>
            <w:tcW w:w="0" w:type="auto"/>
            <w:vMerge/>
            <w:tcBorders>
              <w:top w:val="nil"/>
              <w:left w:val="nil"/>
              <w:bottom w:val="single" w:sz="4" w:space="0" w:color="auto"/>
              <w:right w:val="single" w:sz="4" w:space="0" w:color="auto"/>
            </w:tcBorders>
            <w:textDirection w:val="lrTb"/>
            <w:vAlign w:val="center"/>
          </w:tcPr>
          <w:p w:rsidR="00580ADF" w:rsidRPr="00580ADF" w:rsidP="00580ADF">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both"/>
              <w:rPr>
                <w:rFonts w:ascii="Times New Roman" w:hAnsi="Times New Roman"/>
              </w:rPr>
            </w:pPr>
            <w:r w:rsidRPr="00580ADF">
              <w:rPr>
                <w:rFonts w:ascii="Times New Roman" w:hAnsi="Times New Roman"/>
                <w:b/>
              </w:rPr>
              <w:t>4.2.</w:t>
            </w:r>
            <w:r w:rsidRPr="00580ADF">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580ADF" w:rsidRPr="00580ADF" w:rsidP="00580ADF">
            <w:pPr>
              <w:bidi w:val="0"/>
              <w:spacing w:after="0" w:line="240" w:lineRule="auto"/>
              <w:jc w:val="both"/>
              <w:rPr>
                <w:rFonts w:ascii="Times New Roman" w:hAnsi="Times New Roman"/>
              </w:rPr>
            </w:pPr>
            <w:r w:rsidRPr="00580ADF">
              <w:rPr>
                <w:rFonts w:ascii="Times New Roman" w:hAnsi="Times New Roman"/>
              </w:rPr>
              <w:t> </w:t>
            </w: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Nepredpokladá sa, že návrh zákona bude mať vplyv na prístup ovplyvnených skupín obyvateľstva k zdrojom, právam, tovarom a službám.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b/>
              </w:rPr>
              <w:t>4.3.</w:t>
            </w:r>
            <w:r w:rsidRPr="00580ADF">
              <w:rPr>
                <w:rFonts w:ascii="Times New Roman" w:hAnsi="Times New Roman"/>
              </w:rPr>
              <w:t xml:space="preserve">  Zhodnoťte vplyv na rovnosť príležitostí:</w:t>
            </w: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Zhodnoťte vplyv na rodovú rovnosť.</w:t>
            </w:r>
          </w:p>
          <w:p w:rsidR="00580ADF" w:rsidRPr="00580ADF" w:rsidP="00580ADF">
            <w:pPr>
              <w:bidi w:val="0"/>
              <w:spacing w:after="0" w:line="240" w:lineRule="auto"/>
              <w:jc w:val="both"/>
              <w:rPr>
                <w:rFonts w:ascii="Times New Roman" w:hAnsi="Times New Roman"/>
              </w:rPr>
            </w:pPr>
          </w:p>
        </w:tc>
        <w:tc>
          <w:tcPr>
            <w:tcW w:w="4140" w:type="dxa"/>
            <w:tcBorders>
              <w:top w:val="single" w:sz="4" w:space="0" w:color="auto"/>
              <w:left w:val="nil"/>
              <w:bottom w:val="single" w:sz="4" w:space="0" w:color="auto"/>
              <w:right w:val="single" w:sz="4" w:space="0" w:color="auto"/>
            </w:tcBorders>
            <w:textDirection w:val="lrTb"/>
            <w:vAlign w:val="top"/>
          </w:tcPr>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 Nepredpokladá sa vplyv návrhu zákona na rovnosť príležitostí a rodovú rovnosť. </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80ADF" w:rsidRPr="00580ADF" w:rsidP="00580ADF">
            <w:pPr>
              <w:bidi w:val="0"/>
              <w:spacing w:after="0" w:line="240" w:lineRule="auto"/>
              <w:jc w:val="both"/>
              <w:rPr>
                <w:rFonts w:ascii="Times New Roman" w:hAnsi="Times New Roman"/>
              </w:rPr>
            </w:pPr>
            <w:r w:rsidRPr="00580ADF">
              <w:rPr>
                <w:rFonts w:ascii="Times New Roman" w:hAnsi="Times New Roman"/>
                <w:b/>
              </w:rPr>
              <w:t xml:space="preserve">4.4. </w:t>
            </w:r>
            <w:r w:rsidRPr="00580ADF">
              <w:rPr>
                <w:rFonts w:ascii="Times New Roman" w:hAnsi="Times New Roman"/>
              </w:rPr>
              <w:t>Zhodnoťte vplyvy na zamestnanosť.</w:t>
            </w:r>
          </w:p>
          <w:p w:rsidR="00580ADF" w:rsidRPr="00580ADF" w:rsidP="00580ADF">
            <w:pPr>
              <w:bidi w:val="0"/>
              <w:spacing w:after="0" w:line="240" w:lineRule="auto"/>
              <w:jc w:val="both"/>
              <w:rPr>
                <w:rFonts w:ascii="Times New Roman" w:hAnsi="Times New Roman"/>
                <w:b/>
              </w:rPr>
            </w:pPr>
          </w:p>
          <w:p w:rsidR="00580ADF" w:rsidRPr="00580ADF" w:rsidP="00580ADF">
            <w:pPr>
              <w:bidi w:val="0"/>
              <w:spacing w:after="0" w:line="240" w:lineRule="auto"/>
              <w:jc w:val="both"/>
              <w:rPr>
                <w:rFonts w:ascii="Times New Roman" w:hAnsi="Times New Roman"/>
                <w:bCs/>
              </w:rPr>
            </w:pPr>
            <w:r w:rsidRPr="00580ADF">
              <w:rPr>
                <w:rFonts w:ascii="Times New Roman" w:hAnsi="Times New Roman"/>
                <w:bCs/>
              </w:rPr>
              <w:t>Aké sú  vplyvy na zamestnanosť ?</w:t>
            </w:r>
          </w:p>
          <w:p w:rsidR="00580ADF" w:rsidRPr="00580ADF" w:rsidP="00580ADF">
            <w:pPr>
              <w:bidi w:val="0"/>
              <w:spacing w:after="0" w:line="240" w:lineRule="auto"/>
              <w:jc w:val="both"/>
              <w:rPr>
                <w:rFonts w:ascii="Times New Roman" w:hAnsi="Times New Roman"/>
              </w:rPr>
            </w:pPr>
            <w:r w:rsidRPr="00580ADF">
              <w:rPr>
                <w:rFonts w:ascii="Times New Roman" w:hAnsi="Times New Roman"/>
                <w:bCs/>
              </w:rPr>
              <w:t>Ktoré skupiny zamestnancov budú ohrozené schválením predkladaného materiálu ?</w:t>
            </w:r>
          </w:p>
          <w:p w:rsidR="00580ADF" w:rsidRPr="00580ADF" w:rsidP="00580ADF">
            <w:pPr>
              <w:bidi w:val="0"/>
              <w:spacing w:after="0" w:line="240" w:lineRule="auto"/>
              <w:jc w:val="both"/>
              <w:rPr>
                <w:rFonts w:ascii="Times New Roman" w:hAnsi="Times New Roman"/>
                <w:bCs/>
              </w:rPr>
            </w:pPr>
            <w:r w:rsidRPr="00580ADF">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r w:rsidRPr="00580ADF">
              <w:rPr>
                <w:rFonts w:ascii="Times New Roman" w:hAnsi="Times New Roman"/>
              </w:rPr>
              <w:t xml:space="preserve">Navrhovaná právna úprava nebude mať negatívny vplyv na zamestnanosť. </w:t>
            </w: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p>
          <w:p w:rsidR="00580ADF" w:rsidRPr="00580ADF" w:rsidP="00580ADF">
            <w:pPr>
              <w:bidi w:val="0"/>
              <w:spacing w:after="0" w:line="240" w:lineRule="auto"/>
              <w:jc w:val="both"/>
              <w:rPr>
                <w:rFonts w:ascii="Times New Roman" w:hAnsi="Times New Roman"/>
              </w:rPr>
            </w:pPr>
          </w:p>
        </w:tc>
      </w:tr>
    </w:tbl>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B25796" w:rsidP="00580ADF">
      <w:pPr>
        <w:bidi w:val="0"/>
        <w:jc w:val="center"/>
        <w:rPr>
          <w:rFonts w:ascii="Times New Roman" w:hAnsi="Times New Roman"/>
          <w:b/>
          <w:caps/>
          <w:spacing w:val="30"/>
        </w:rPr>
      </w:pPr>
    </w:p>
    <w:p w:rsidR="00580ADF" w:rsidRPr="00580ADF" w:rsidP="00580ADF">
      <w:pPr>
        <w:bidi w:val="0"/>
        <w:jc w:val="center"/>
        <w:rPr>
          <w:rFonts w:ascii="Times New Roman" w:hAnsi="Times New Roman"/>
          <w:b/>
          <w:caps/>
          <w:spacing w:val="30"/>
        </w:rPr>
      </w:pPr>
      <w:r w:rsidRPr="00580ADF">
        <w:rPr>
          <w:rFonts w:ascii="Times New Roman" w:hAnsi="Times New Roman"/>
          <w:b/>
          <w:caps/>
          <w:spacing w:val="30"/>
        </w:rPr>
        <w:t>Doložka zlučiteľnosti</w:t>
      </w:r>
    </w:p>
    <w:p w:rsidR="00580ADF" w:rsidRPr="00580ADF" w:rsidP="00580ADF">
      <w:pPr>
        <w:bidi w:val="0"/>
        <w:jc w:val="center"/>
        <w:rPr>
          <w:rFonts w:ascii="Times New Roman" w:hAnsi="Times New Roman"/>
          <w:b/>
        </w:rPr>
      </w:pPr>
      <w:r w:rsidRPr="00580ADF">
        <w:rPr>
          <w:rFonts w:ascii="Times New Roman" w:hAnsi="Times New Roman"/>
          <w:b/>
        </w:rPr>
        <w:t>právneho predpisu s právom Európskej únie </w:t>
      </w:r>
    </w:p>
    <w:p w:rsidR="00580ADF" w:rsidRPr="00580ADF" w:rsidP="00580ADF">
      <w:pPr>
        <w:bidi w:val="0"/>
        <w:rPr>
          <w:rFonts w:ascii="Times New Roman" w:hAnsi="Times New Roman"/>
        </w:rPr>
      </w:pPr>
    </w:p>
    <w:p w:rsidR="00580ADF" w:rsidRPr="00580ADF" w:rsidP="00580ADF">
      <w:pPr>
        <w:bidi w:val="0"/>
        <w:rPr>
          <w:rFonts w:ascii="Times New Roman" w:hAnsi="Times New Roman"/>
        </w:rPr>
      </w:pPr>
    </w:p>
    <w:p w:rsidR="00580ADF" w:rsidRPr="00580ADF" w:rsidP="00580ADF">
      <w:pPr>
        <w:bidi w:val="0"/>
        <w:ind w:left="360" w:hanging="360"/>
        <w:rPr>
          <w:rFonts w:ascii="Times New Roman" w:hAnsi="Times New Roman"/>
          <w:b/>
        </w:rPr>
      </w:pPr>
      <w:r w:rsidRPr="00580ADF">
        <w:rPr>
          <w:rFonts w:ascii="Times New Roman" w:hAnsi="Times New Roman"/>
          <w:b/>
        </w:rPr>
        <w:t>1.</w:t>
        <w:tab/>
        <w:t>Predkladateľ právneho predpisu:</w:t>
      </w:r>
      <w:r w:rsidRPr="00580ADF">
        <w:rPr>
          <w:rFonts w:ascii="Times New Roman" w:hAnsi="Times New Roman"/>
        </w:rPr>
        <w:t xml:space="preserve"> vláda Slovenskej republiky </w:t>
      </w:r>
    </w:p>
    <w:p w:rsidR="00580ADF" w:rsidRPr="00580ADF" w:rsidP="00580ADF">
      <w:pPr>
        <w:tabs>
          <w:tab w:val="left" w:pos="360"/>
        </w:tabs>
        <w:bidi w:val="0"/>
        <w:ind w:left="360"/>
        <w:rPr>
          <w:rFonts w:ascii="Times New Roman" w:hAnsi="Times New Roman"/>
        </w:rPr>
      </w:pPr>
      <w:r w:rsidRPr="00580ADF">
        <w:rPr>
          <w:rFonts w:ascii="Times New Roman" w:hAnsi="Times New Roman"/>
        </w:rPr>
        <w:t xml:space="preserve"> </w:t>
      </w:r>
    </w:p>
    <w:p w:rsidR="00580ADF" w:rsidRPr="00580ADF" w:rsidP="00580ADF">
      <w:pPr>
        <w:bidi w:val="0"/>
        <w:ind w:left="360" w:hanging="360"/>
        <w:rPr>
          <w:rFonts w:ascii="Times New Roman" w:hAnsi="Times New Roman"/>
          <w:b/>
        </w:rPr>
      </w:pPr>
      <w:r w:rsidRPr="00580ADF">
        <w:rPr>
          <w:rFonts w:ascii="Times New Roman" w:hAnsi="Times New Roman"/>
          <w:b/>
        </w:rPr>
        <w:t>2.</w:t>
        <w:tab/>
        <w:t>Názov návrhu právneho predpisu:</w:t>
      </w:r>
      <w:r w:rsidRPr="00580ADF">
        <w:rPr>
          <w:rFonts w:ascii="Times New Roman" w:hAnsi="Times New Roman"/>
        </w:rPr>
        <w:t xml:space="preserve"> Návrh zákona o úhrade za služby verejnosti poskytované Rozhlasom a televíziou Slovenska a o zmene a doplnení niektorých zákonov </w:t>
      </w:r>
    </w:p>
    <w:p w:rsidR="00580ADF" w:rsidRPr="00580ADF" w:rsidP="00580ADF">
      <w:pPr>
        <w:bidi w:val="0"/>
        <w:rPr>
          <w:rFonts w:ascii="Times New Roman" w:hAnsi="Times New Roman"/>
        </w:rPr>
      </w:pPr>
    </w:p>
    <w:p w:rsidR="00580ADF" w:rsidRPr="00580ADF" w:rsidP="00580ADF">
      <w:pPr>
        <w:bidi w:val="0"/>
        <w:ind w:left="360" w:hanging="360"/>
        <w:rPr>
          <w:rFonts w:ascii="Times New Roman" w:hAnsi="Times New Roman"/>
          <w:b/>
        </w:rPr>
      </w:pPr>
      <w:r w:rsidRPr="00580ADF">
        <w:rPr>
          <w:rFonts w:ascii="Times New Roman" w:hAnsi="Times New Roman"/>
          <w:b/>
        </w:rPr>
        <w:t>3.</w:t>
        <w:tab/>
        <w:t>Problematika návrhu právneho predpisu:</w:t>
      </w:r>
    </w:p>
    <w:p w:rsidR="00580ADF" w:rsidRPr="00580ADF" w:rsidP="00580ADF">
      <w:pPr>
        <w:bidi w:val="0"/>
        <w:ind w:firstLine="360"/>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a)</w:t>
        <w:tab/>
        <w:t>je upravená v práve Európskej únie</w:t>
      </w:r>
    </w:p>
    <w:p w:rsidR="00580ADF" w:rsidRPr="00580ADF" w:rsidP="00580ADF">
      <w:pPr>
        <w:bidi w:val="0"/>
        <w:ind w:left="360"/>
        <w:rPr>
          <w:rFonts w:ascii="Times New Roman" w:hAnsi="Times New Roman"/>
        </w:rPr>
      </w:pPr>
    </w:p>
    <w:p w:rsidR="00580ADF" w:rsidRPr="00580ADF" w:rsidP="00580ADF">
      <w:pPr>
        <w:tabs>
          <w:tab w:val="left" w:pos="1068"/>
        </w:tabs>
        <w:bidi w:val="0"/>
        <w:ind w:left="879" w:hanging="171"/>
        <w:rPr>
          <w:rFonts w:ascii="Times New Roman" w:hAnsi="Times New Roman"/>
          <w:i/>
        </w:rPr>
      </w:pPr>
      <w:r w:rsidRPr="00580ADF">
        <w:rPr>
          <w:rFonts w:ascii="Times New Roman" w:hAnsi="Times New Roman"/>
        </w:rPr>
        <w:t>-</w:t>
        <w:tab/>
      </w:r>
      <w:r w:rsidRPr="00580ADF">
        <w:rPr>
          <w:rFonts w:ascii="Times New Roman" w:hAnsi="Times New Roman"/>
          <w:i/>
        </w:rPr>
        <w:t>primárnom</w:t>
      </w:r>
    </w:p>
    <w:p w:rsidR="00580ADF" w:rsidRPr="00580ADF" w:rsidP="00580ADF">
      <w:pPr>
        <w:bidi w:val="0"/>
        <w:ind w:left="851"/>
        <w:rPr>
          <w:rFonts w:ascii="Times New Roman" w:hAnsi="Times New Roman"/>
        </w:rPr>
      </w:pPr>
    </w:p>
    <w:p w:rsidR="00580ADF" w:rsidRPr="00580ADF" w:rsidP="00580ADF">
      <w:pPr>
        <w:bidi w:val="0"/>
        <w:ind w:left="851"/>
        <w:rPr>
          <w:rFonts w:ascii="Times New Roman" w:hAnsi="Times New Roman"/>
        </w:rPr>
      </w:pPr>
      <w:r w:rsidRPr="00580ADF">
        <w:rPr>
          <w:rFonts w:ascii="Times New Roman" w:hAnsi="Times New Roman"/>
        </w:rPr>
        <w:t>Protokol č. 29 o systéme verejnoprávneho vysielania v členských štátoch pripojený k Zmluve o fungovaní Európskej únie </w:t>
      </w:r>
    </w:p>
    <w:p w:rsidR="00580ADF" w:rsidRPr="00580ADF" w:rsidP="00580ADF">
      <w:pPr>
        <w:bidi w:val="0"/>
        <w:ind w:firstLine="360"/>
        <w:rPr>
          <w:rFonts w:ascii="Times New Roman" w:hAnsi="Times New Roman"/>
        </w:rPr>
      </w:pPr>
    </w:p>
    <w:p w:rsidR="00580ADF" w:rsidRPr="00580ADF" w:rsidP="00580ADF">
      <w:pPr>
        <w:tabs>
          <w:tab w:val="left" w:pos="1068"/>
        </w:tabs>
        <w:bidi w:val="0"/>
        <w:ind w:left="879" w:hanging="171"/>
        <w:rPr>
          <w:rFonts w:ascii="Times New Roman" w:hAnsi="Times New Roman"/>
          <w:i/>
        </w:rPr>
      </w:pPr>
      <w:r w:rsidRPr="00580ADF">
        <w:rPr>
          <w:rFonts w:ascii="Times New Roman" w:hAnsi="Times New Roman"/>
        </w:rPr>
        <w:t>-</w:t>
        <w:tab/>
      </w:r>
      <w:r w:rsidRPr="00580ADF">
        <w:rPr>
          <w:rFonts w:ascii="Times New Roman" w:hAnsi="Times New Roman"/>
          <w:i/>
        </w:rPr>
        <w:t>sekundárnom (prijatom po nadobudnutím platnosti Lisabonskej zmluvy, ktorou sa mení a dopĺňa Zmluva o Európskom spoločenstve a Zmluva o Európskej únii – po 30. novembri 2009)</w:t>
      </w:r>
    </w:p>
    <w:p w:rsidR="00580ADF" w:rsidRPr="00580ADF" w:rsidP="00580ADF">
      <w:pPr>
        <w:tabs>
          <w:tab w:val="left" w:pos="1068"/>
        </w:tabs>
        <w:bidi w:val="0"/>
        <w:ind w:left="879" w:hanging="171"/>
        <w:rPr>
          <w:rFonts w:ascii="Times New Roman" w:hAnsi="Times New Roman"/>
          <w:i/>
        </w:rPr>
      </w:pPr>
    </w:p>
    <w:p w:rsidR="00580ADF" w:rsidRPr="00580ADF" w:rsidP="00580ADF">
      <w:pPr>
        <w:bidi w:val="0"/>
        <w:ind w:left="1239" w:hanging="360"/>
        <w:rPr>
          <w:rFonts w:ascii="Times New Roman" w:hAnsi="Times New Roman"/>
          <w:i/>
        </w:rPr>
      </w:pPr>
      <w:r w:rsidRPr="00580ADF">
        <w:rPr>
          <w:rFonts w:ascii="Times New Roman" w:hAnsi="Times New Roman"/>
        </w:rPr>
        <w:t>1.</w:t>
        <w:tab/>
        <w:t xml:space="preserve">legislatívne akty </w:t>
      </w:r>
    </w:p>
    <w:p w:rsidR="00580ADF" w:rsidRPr="00580ADF" w:rsidP="0001365F">
      <w:pPr>
        <w:bidi w:val="0"/>
        <w:rPr>
          <w:rFonts w:ascii="Times New Roman" w:hAnsi="Times New Roman"/>
        </w:rPr>
      </w:pPr>
    </w:p>
    <w:p w:rsidR="00580ADF" w:rsidRPr="0001365F" w:rsidP="0001365F">
      <w:pPr>
        <w:bidi w:val="0"/>
        <w:ind w:left="1239" w:hanging="360"/>
        <w:jc w:val="both"/>
        <w:rPr>
          <w:rFonts w:ascii="Times New Roman" w:hAnsi="Times New Roman"/>
          <w:i/>
        </w:rPr>
      </w:pPr>
      <w:r w:rsidRPr="00580ADF">
        <w:rPr>
          <w:rFonts w:ascii="Times New Roman" w:hAnsi="Times New Roman"/>
        </w:rPr>
        <w:t>2.</w:t>
        <w:tab/>
        <w:t xml:space="preserve">nelegislatívne akty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80ADF" w:rsidRPr="00580ADF" w:rsidP="00580ADF">
            <w:pPr>
              <w:bidi w:val="0"/>
              <w:spacing w:after="0" w:line="240" w:lineRule="auto"/>
              <w:jc w:val="both"/>
              <w:rPr>
                <w:rFonts w:ascii="Times New Roman" w:hAnsi="Times New Roman"/>
              </w:rPr>
            </w:pPr>
          </w:p>
        </w:tc>
      </w:tr>
    </w:tbl>
    <w:p w:rsidR="00580ADF" w:rsidRPr="00580ADF" w:rsidP="0001365F">
      <w:pPr>
        <w:bidi w:val="0"/>
        <w:jc w:val="both"/>
        <w:rPr>
          <w:rFonts w:ascii="Times New Roman" w:hAnsi="Times New Roman"/>
        </w:rPr>
      </w:pPr>
    </w:p>
    <w:p w:rsidR="00580ADF" w:rsidRPr="0001365F" w:rsidP="0001365F">
      <w:pPr>
        <w:bidi w:val="0"/>
        <w:ind w:left="879" w:hanging="171"/>
        <w:jc w:val="both"/>
        <w:rPr>
          <w:rFonts w:ascii="Times New Roman" w:hAnsi="Times New Roman"/>
          <w:i/>
        </w:rPr>
      </w:pPr>
      <w:r w:rsidRPr="00580ADF">
        <w:rPr>
          <w:rFonts w:ascii="Times New Roman" w:hAnsi="Times New Roman"/>
        </w:rPr>
        <w:t>-</w:t>
        <w:tab/>
      </w:r>
      <w:r w:rsidRPr="00580ADF">
        <w:rPr>
          <w:rFonts w:ascii="Times New Roman" w:hAnsi="Times New Roman"/>
          <w:i/>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80ADF" w:rsidRPr="00580ADF" w:rsidP="00580ADF">
            <w:pPr>
              <w:bidi w:val="0"/>
              <w:spacing w:after="0" w:line="240" w:lineRule="auto"/>
              <w:jc w:val="both"/>
              <w:rPr>
                <w:rFonts w:ascii="Times New Roman" w:hAnsi="Times New Roman"/>
              </w:rPr>
            </w:pPr>
            <w:r w:rsidRPr="00580ADF">
              <w:rPr>
                <w:rFonts w:ascii="Times New Roman" w:hAnsi="Times New Roman"/>
              </w:rPr>
              <w:t> </w:t>
            </w:r>
          </w:p>
        </w:tc>
      </w:tr>
    </w:tbl>
    <w:p w:rsidR="00580ADF" w:rsidRPr="00580ADF" w:rsidP="00580ADF">
      <w:pPr>
        <w:bidi w:val="0"/>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b)</w:t>
        <w:tab/>
        <w:t>nie je obsiahnutá v judikatúre Súdneho dvora Európskej únie.</w:t>
      </w:r>
    </w:p>
    <w:p w:rsidR="00580ADF" w:rsidRPr="00580ADF" w:rsidP="00580ADF">
      <w:pPr>
        <w:bidi w:val="0"/>
        <w:rPr>
          <w:rFonts w:ascii="Times New Roman" w:hAnsi="Times New Roman"/>
        </w:rPr>
      </w:pPr>
    </w:p>
    <w:p w:rsidR="00580ADF" w:rsidRPr="00580ADF" w:rsidP="00580ADF">
      <w:pPr>
        <w:bidi w:val="0"/>
        <w:ind w:left="360" w:hanging="360"/>
        <w:rPr>
          <w:rFonts w:ascii="Times New Roman" w:hAnsi="Times New Roman"/>
          <w:b/>
        </w:rPr>
      </w:pPr>
      <w:r w:rsidRPr="00580ADF">
        <w:rPr>
          <w:rFonts w:ascii="Times New Roman" w:hAnsi="Times New Roman"/>
          <w:b/>
        </w:rPr>
        <w:t>4.</w:t>
        <w:tab/>
        <w:t xml:space="preserve">Záväzky Slovenskej republiky vo vzťahu k Európskej únii: </w:t>
      </w:r>
    </w:p>
    <w:p w:rsidR="00580ADF" w:rsidRPr="00580ADF" w:rsidP="00580ADF">
      <w:pPr>
        <w:bidi w:val="0"/>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a)</w:t>
        <w:tab/>
        <w:t>lehota na prebratie smernice alebo lehota na implementáciu nariadenia alebo rozhodnutia</w:t>
      </w:r>
    </w:p>
    <w:p w:rsidR="00580ADF" w:rsidRPr="00580ADF" w:rsidP="00580ADF">
      <w:pPr>
        <w:bidi w:val="0"/>
        <w:ind w:left="720"/>
        <w:rPr>
          <w:rFonts w:ascii="Times New Roman" w:hAnsi="Times New Roman"/>
        </w:rPr>
      </w:pPr>
    </w:p>
    <w:p w:rsidR="00580ADF" w:rsidRPr="00580ADF" w:rsidP="00580ADF">
      <w:pPr>
        <w:bidi w:val="0"/>
        <w:ind w:left="720"/>
        <w:rPr>
          <w:rFonts w:ascii="Times New Roman" w:hAnsi="Times New Roman"/>
        </w:rPr>
      </w:pPr>
      <w:r w:rsidRPr="00580ADF">
        <w:rPr>
          <w:rFonts w:ascii="Times New Roman" w:hAnsi="Times New Roman"/>
        </w:rPr>
        <w:t>-bezpredmetné </w:t>
      </w:r>
    </w:p>
    <w:p w:rsidR="00580ADF" w:rsidRPr="00580ADF" w:rsidP="00580ADF">
      <w:pPr>
        <w:bidi w:val="0"/>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b)</w:t>
        <w:tab/>
      </w:r>
      <w:r w:rsidRPr="00580ADF">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580ADF" w:rsidRPr="00580ADF" w:rsidP="00580ADF">
      <w:pPr>
        <w:bidi w:val="0"/>
        <w:ind w:left="709" w:hanging="349"/>
        <w:rPr>
          <w:rFonts w:ascii="Times New Roman" w:hAnsi="Times New Roman"/>
        </w:rPr>
      </w:pPr>
      <w:r w:rsidRPr="00580ADF">
        <w:rPr>
          <w:rFonts w:ascii="Times New Roman" w:hAnsi="Times New Roman"/>
        </w:rPr>
        <w:tab/>
      </w:r>
    </w:p>
    <w:p w:rsidR="00580ADF" w:rsidRPr="00580ADF" w:rsidP="00580ADF">
      <w:pPr>
        <w:bidi w:val="0"/>
        <w:ind w:left="709" w:hanging="349"/>
        <w:rPr>
          <w:rFonts w:ascii="Times New Roman" w:hAnsi="Times New Roman"/>
        </w:rPr>
      </w:pPr>
      <w:r w:rsidRPr="00580ADF">
        <w:rPr>
          <w:rFonts w:ascii="Times New Roman" w:hAnsi="Times New Roman"/>
        </w:rPr>
        <w:tab/>
        <w:t>-bezpredmetné </w:t>
      </w:r>
    </w:p>
    <w:p w:rsidR="00580ADF" w:rsidRPr="00580ADF" w:rsidP="00580ADF">
      <w:pPr>
        <w:bidi w:val="0"/>
        <w:ind w:left="709" w:hanging="349"/>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c)</w:t>
        <w:tab/>
        <w:t>informácia o konaní začatom proti Slovenskej republike o porušení podľa čl. 258 až 260 Zmluvy o fungovaní Európskej únie</w:t>
      </w:r>
    </w:p>
    <w:p w:rsidR="00580ADF" w:rsidRPr="00580ADF" w:rsidP="00580ADF">
      <w:pPr>
        <w:bidi w:val="0"/>
        <w:ind w:left="720"/>
        <w:rPr>
          <w:rFonts w:ascii="Times New Roman" w:hAnsi="Times New Roman"/>
        </w:rPr>
      </w:pPr>
    </w:p>
    <w:p w:rsidR="00580ADF" w:rsidRPr="00580ADF" w:rsidP="00580ADF">
      <w:pPr>
        <w:bidi w:val="0"/>
        <w:ind w:firstLine="708"/>
        <w:rPr>
          <w:rFonts w:ascii="Times New Roman" w:hAnsi="Times New Roman"/>
        </w:rPr>
      </w:pPr>
      <w:r w:rsidRPr="00580ADF">
        <w:rPr>
          <w:rFonts w:ascii="Times New Roman" w:hAnsi="Times New Roman"/>
        </w:rPr>
        <w:t>- žiadne konanie proti Slovenskej republike nebolo začaté </w:t>
      </w:r>
    </w:p>
    <w:p w:rsidR="00580ADF" w:rsidRPr="00580ADF" w:rsidP="00580ADF">
      <w:pPr>
        <w:bidi w:val="0"/>
        <w:ind w:firstLine="708"/>
        <w:rPr>
          <w:rFonts w:ascii="Times New Roman" w:hAnsi="Times New Roman"/>
        </w:rPr>
      </w:pPr>
    </w:p>
    <w:p w:rsidR="00580ADF" w:rsidRPr="00580ADF" w:rsidP="00580ADF">
      <w:pPr>
        <w:bidi w:val="0"/>
        <w:ind w:left="709" w:hanging="349"/>
        <w:rPr>
          <w:rFonts w:ascii="Times New Roman" w:hAnsi="Times New Roman"/>
        </w:rPr>
      </w:pPr>
      <w:r w:rsidRPr="00580ADF">
        <w:rPr>
          <w:rFonts w:ascii="Times New Roman" w:hAnsi="Times New Roman"/>
        </w:rPr>
        <w:t>d)</w:t>
        <w:tab/>
        <w:t>informácia o právnych predpisoch, v ktorých sú preberané smernice už prebraté spolu s uvedením rozsahu tohto prebratia</w:t>
      </w:r>
    </w:p>
    <w:p w:rsidR="00580ADF" w:rsidRPr="00580ADF" w:rsidP="00580ADF">
      <w:pPr>
        <w:bidi w:val="0"/>
        <w:ind w:left="720"/>
        <w:rPr>
          <w:rFonts w:ascii="Times New Roman" w:hAnsi="Times New Roman"/>
        </w:rPr>
      </w:pPr>
    </w:p>
    <w:p w:rsidR="00580ADF" w:rsidRPr="00580ADF" w:rsidP="00580ADF">
      <w:pPr>
        <w:bidi w:val="0"/>
        <w:ind w:firstLine="708"/>
        <w:rPr>
          <w:rFonts w:ascii="Times New Roman" w:hAnsi="Times New Roman"/>
        </w:rPr>
      </w:pPr>
      <w:r w:rsidRPr="00580ADF">
        <w:rPr>
          <w:rFonts w:ascii="Times New Roman" w:hAnsi="Times New Roman"/>
        </w:rPr>
        <w:t>-bezpredmetné </w:t>
      </w:r>
    </w:p>
    <w:p w:rsidR="00580ADF" w:rsidRPr="00580ADF" w:rsidP="00580ADF">
      <w:pPr>
        <w:bidi w:val="0"/>
        <w:ind w:firstLine="708"/>
        <w:rPr>
          <w:rFonts w:ascii="Times New Roman" w:hAnsi="Times New Roman"/>
        </w:rPr>
      </w:pPr>
    </w:p>
    <w:p w:rsidR="00580ADF" w:rsidRPr="00580ADF" w:rsidP="00580ADF">
      <w:pPr>
        <w:bidi w:val="0"/>
        <w:ind w:left="360" w:hanging="360"/>
        <w:rPr>
          <w:rFonts w:ascii="Times New Roman" w:hAnsi="Times New Roman"/>
          <w:b/>
        </w:rPr>
      </w:pPr>
      <w:r w:rsidRPr="00580ADF">
        <w:rPr>
          <w:rFonts w:ascii="Times New Roman" w:hAnsi="Times New Roman"/>
          <w:b/>
        </w:rPr>
        <w:t>5.</w:t>
        <w:tab/>
        <w:t>Stupeň zlučiteľnosti návrhu právneho predpisu s právom Európskej únie:</w:t>
      </w:r>
    </w:p>
    <w:p w:rsidR="00580ADF" w:rsidRPr="00580ADF" w:rsidP="00580ADF">
      <w:pPr>
        <w:bidi w:val="0"/>
        <w:rPr>
          <w:rFonts w:ascii="Times New Roman" w:hAnsi="Times New Roman"/>
        </w:rPr>
      </w:pPr>
    </w:p>
    <w:p w:rsidR="00580ADF" w:rsidRPr="00580ADF" w:rsidP="00580ADF">
      <w:pPr>
        <w:bidi w:val="0"/>
        <w:ind w:firstLine="360"/>
        <w:rPr>
          <w:rFonts w:ascii="Times New Roman" w:hAnsi="Times New Roman"/>
        </w:rPr>
      </w:pPr>
      <w:r w:rsidRPr="00580ADF">
        <w:rPr>
          <w:rFonts w:ascii="Times New Roman" w:hAnsi="Times New Roman"/>
        </w:rPr>
        <w:t>Stupeň zlučiteľnosti - úplný </w:t>
      </w:r>
    </w:p>
    <w:p w:rsidR="00580ADF" w:rsidRPr="00580ADF" w:rsidP="00580ADF">
      <w:pPr>
        <w:bidi w:val="0"/>
        <w:rPr>
          <w:rFonts w:ascii="Times New Roman" w:hAnsi="Times New Roman"/>
        </w:rPr>
      </w:pPr>
    </w:p>
    <w:p w:rsidR="00580ADF" w:rsidRPr="00580ADF" w:rsidP="00580ADF">
      <w:pPr>
        <w:bidi w:val="0"/>
        <w:ind w:left="360" w:hanging="360"/>
        <w:rPr>
          <w:rFonts w:ascii="Times New Roman" w:hAnsi="Times New Roman"/>
          <w:b/>
        </w:rPr>
      </w:pPr>
      <w:r w:rsidRPr="00580ADF">
        <w:rPr>
          <w:rFonts w:ascii="Times New Roman" w:hAnsi="Times New Roman"/>
          <w:b/>
        </w:rPr>
        <w:t>6.</w:t>
        <w:tab/>
        <w:t xml:space="preserve">Gestor a spolupracujúce rezorty: </w:t>
      </w:r>
    </w:p>
    <w:p w:rsidR="00580ADF" w:rsidRP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r w:rsidRPr="00580ADF">
        <w:rPr>
          <w:rFonts w:ascii="Times New Roman" w:hAnsi="Times New Roman"/>
        </w:rPr>
        <w:t>Ministerstvo kultúry Slovenskej republiky</w:t>
      </w: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01365F" w:rsidP="00580ADF">
      <w:pPr>
        <w:bidi w:val="0"/>
        <w:jc w:val="both"/>
        <w:rPr>
          <w:rFonts w:ascii="Times New Roman" w:hAnsi="Times New Roman"/>
          <w:b/>
          <w:bCs/>
          <w:color w:val="000000"/>
        </w:rPr>
      </w:pPr>
    </w:p>
    <w:p w:rsidR="0001365F" w:rsidP="00580ADF">
      <w:pPr>
        <w:bidi w:val="0"/>
        <w:jc w:val="both"/>
        <w:rPr>
          <w:rFonts w:ascii="Times New Roman" w:hAnsi="Times New Roman"/>
          <w:b/>
          <w:bCs/>
          <w:color w:val="000000"/>
        </w:rPr>
      </w:pPr>
    </w:p>
    <w:p w:rsidR="0001365F" w:rsidP="00580ADF">
      <w:pPr>
        <w:bidi w:val="0"/>
        <w:jc w:val="both"/>
        <w:rPr>
          <w:rFonts w:ascii="Times New Roman" w:hAnsi="Times New Roman"/>
          <w:b/>
          <w:bCs/>
          <w:color w:val="000000"/>
        </w:rPr>
      </w:pPr>
    </w:p>
    <w:p w:rsidR="0001365F" w:rsidP="00580ADF">
      <w:pPr>
        <w:bidi w:val="0"/>
        <w:jc w:val="both"/>
        <w:rPr>
          <w:rFonts w:ascii="Times New Roman" w:hAnsi="Times New Roman"/>
          <w:b/>
          <w:bCs/>
          <w:color w:val="000000"/>
        </w:rPr>
      </w:pPr>
    </w:p>
    <w:p w:rsidR="00B25796" w:rsidP="00580ADF">
      <w:pPr>
        <w:bidi w:val="0"/>
        <w:jc w:val="both"/>
        <w:rPr>
          <w:rFonts w:ascii="Times New Roman" w:hAnsi="Times New Roman"/>
          <w:b/>
          <w:bCs/>
          <w:color w:val="000000"/>
        </w:rPr>
      </w:pPr>
    </w:p>
    <w:p w:rsidR="00580ADF" w:rsidP="00580ADF">
      <w:pPr>
        <w:bidi w:val="0"/>
        <w:jc w:val="both"/>
        <w:rPr>
          <w:rFonts w:ascii="Times New Roman" w:hAnsi="Times New Roman"/>
          <w:b/>
          <w:bCs/>
          <w:color w:val="000000"/>
        </w:rPr>
      </w:pPr>
      <w:r w:rsidRPr="008C36EF">
        <w:rPr>
          <w:rFonts w:ascii="Times New Roman" w:hAnsi="Times New Roman"/>
          <w:b/>
          <w:bCs/>
          <w:color w:val="000000"/>
        </w:rPr>
        <w:t>B. Osobitná časť</w:t>
      </w:r>
    </w:p>
    <w:p w:rsidR="00580ADF" w:rsidP="00580ADF">
      <w:pPr>
        <w:bidi w:val="0"/>
        <w:jc w:val="both"/>
        <w:rPr>
          <w:rFonts w:ascii="Times New Roman" w:hAnsi="Times New Roman"/>
          <w:b/>
          <w:bCs/>
          <w:color w:val="000000"/>
        </w:rPr>
      </w:pPr>
    </w:p>
    <w:p w:rsidR="002716E1" w:rsidP="002716E1">
      <w:pPr>
        <w:bidi w:val="0"/>
        <w:rPr>
          <w:rFonts w:ascii="Times New Roman" w:hAnsi="Times New Roman"/>
          <w:b/>
          <w:u w:val="single"/>
        </w:rPr>
      </w:pPr>
      <w:r w:rsidRPr="00B50BCA">
        <w:rPr>
          <w:rFonts w:ascii="Times New Roman" w:hAnsi="Times New Roman"/>
          <w:b/>
          <w:u w:val="single"/>
        </w:rPr>
        <w:t>K čl. I:</w:t>
      </w:r>
    </w:p>
    <w:p w:rsidR="002716E1" w:rsidP="002716E1">
      <w:pPr>
        <w:bidi w:val="0"/>
        <w:rPr>
          <w:rFonts w:ascii="Times New Roman" w:hAnsi="Times New Roman"/>
          <w:b/>
          <w:u w:val="single"/>
        </w:rPr>
      </w:pPr>
    </w:p>
    <w:p w:rsidR="002716E1" w:rsidP="002716E1">
      <w:pPr>
        <w:bidi w:val="0"/>
        <w:rPr>
          <w:rFonts w:ascii="Times New Roman" w:hAnsi="Times New Roman"/>
          <w:b/>
          <w:u w:val="single"/>
        </w:rPr>
      </w:pPr>
      <w:r>
        <w:rPr>
          <w:rFonts w:ascii="Times New Roman" w:hAnsi="Times New Roman"/>
          <w:b/>
          <w:u w:val="single"/>
        </w:rPr>
        <w:t>K § 1:</w:t>
      </w:r>
    </w:p>
    <w:p w:rsidR="002716E1" w:rsidP="002716E1">
      <w:pPr>
        <w:bidi w:val="0"/>
        <w:rPr>
          <w:rFonts w:ascii="Times New Roman" w:hAnsi="Times New Roman"/>
          <w:b/>
          <w:u w:val="single"/>
        </w:rPr>
      </w:pPr>
    </w:p>
    <w:p w:rsidR="002716E1" w:rsidRPr="00D24D10" w:rsidP="002716E1">
      <w:pPr>
        <w:bidi w:val="0"/>
        <w:ind w:firstLine="708"/>
        <w:jc w:val="both"/>
        <w:rPr>
          <w:rFonts w:ascii="Times New Roman" w:hAnsi="Times New Roman"/>
        </w:rPr>
      </w:pPr>
      <w:r w:rsidRPr="00D24D10">
        <w:rPr>
          <w:rFonts w:ascii="Times New Roman" w:hAnsi="Times New Roman"/>
        </w:rPr>
        <w:t>Vymedzuje sa predmet úpravy</w:t>
      </w:r>
      <w:r>
        <w:rPr>
          <w:rFonts w:ascii="Times New Roman" w:hAnsi="Times New Roman"/>
        </w:rPr>
        <w:t xml:space="preserve"> návrhu zákona, ktorým je platenie, vyberanie a vymáhanie úhrady za služby verejnosti poskytované Rozhlasom a televíziou Slovenska v oblasti rozhlasového a televízneho vysielania (ďalej len „úhrada“), ako hlavného zdroja financovania verejnoprávneho vysielania v Slovenskej republike.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K § 2:</w:t>
      </w:r>
    </w:p>
    <w:p w:rsidR="002716E1" w:rsidP="002716E1">
      <w:pPr>
        <w:bidi w:val="0"/>
        <w:jc w:val="both"/>
        <w:rPr>
          <w:rFonts w:ascii="Times New Roman" w:hAnsi="Times New Roman"/>
          <w:b/>
          <w:u w:val="single"/>
        </w:rPr>
      </w:pPr>
    </w:p>
    <w:p w:rsidR="002716E1" w:rsidRPr="008B7E25" w:rsidP="002716E1">
      <w:pPr>
        <w:bidi w:val="0"/>
        <w:ind w:firstLine="708"/>
        <w:jc w:val="both"/>
        <w:rPr>
          <w:rFonts w:ascii="Times New Roman" w:hAnsi="Times New Roman"/>
        </w:rPr>
      </w:pPr>
      <w:r w:rsidRPr="00355A8B">
        <w:rPr>
          <w:rFonts w:ascii="Times New Roman" w:hAnsi="Times New Roman"/>
        </w:rPr>
        <w:t>Úhrada vytvára na princípe solidarity priamy vzťah medzi verejnoprávnym</w:t>
      </w:r>
      <w:r>
        <w:rPr>
          <w:rFonts w:ascii="Times New Roman" w:hAnsi="Times New Roman"/>
        </w:rPr>
        <w:t xml:space="preserve"> vysielateľom</w:t>
      </w:r>
      <w:r w:rsidRPr="00355A8B">
        <w:rPr>
          <w:rFonts w:ascii="Times New Roman" w:hAnsi="Times New Roman"/>
        </w:rPr>
        <w:t xml:space="preserve"> a verejnosťou.</w:t>
      </w:r>
      <w:r w:rsidRPr="00222B3C">
        <w:rPr>
          <w:rFonts w:ascii="Times New Roman" w:hAnsi="Times New Roman"/>
          <w:color w:val="0000FF"/>
        </w:rPr>
        <w:t xml:space="preserve"> </w:t>
      </w:r>
      <w:r w:rsidRPr="008B7E25">
        <w:rPr>
          <w:rFonts w:ascii="Times New Roman" w:hAnsi="Times New Roman"/>
        </w:rPr>
        <w:t xml:space="preserve">Úhrada je v zmysle </w:t>
      </w:r>
      <w:r>
        <w:rPr>
          <w:rFonts w:ascii="Times New Roman" w:hAnsi="Times New Roman"/>
        </w:rPr>
        <w:t xml:space="preserve">návrhu </w:t>
      </w:r>
      <w:r w:rsidRPr="008B7E25">
        <w:rPr>
          <w:rFonts w:ascii="Times New Roman" w:hAnsi="Times New Roman"/>
        </w:rPr>
        <w:t xml:space="preserve">zákona určená </w:t>
      </w:r>
      <w:r>
        <w:rPr>
          <w:rFonts w:ascii="Times New Roman" w:hAnsi="Times New Roman"/>
        </w:rPr>
        <w:t xml:space="preserve">výlučne </w:t>
      </w:r>
      <w:r w:rsidRPr="008B7E25">
        <w:rPr>
          <w:rFonts w:ascii="Times New Roman" w:hAnsi="Times New Roman"/>
        </w:rPr>
        <w:t>na finančné zabezpečenie služieb verejnosti poskytovaných Rozhlasom a televíziou Slovenska v oblasti rozhlasového a televízneho vysielania</w:t>
      </w:r>
      <w:r>
        <w:rPr>
          <w:rFonts w:ascii="Times New Roman" w:hAnsi="Times New Roman"/>
        </w:rPr>
        <w:t xml:space="preserve">, a teda na finančné zabezpečenie plnenia povinností uložených Rozhlasu a televízii Slovenska osobitnými predpismi.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K § 3</w:t>
      </w:r>
      <w:r w:rsidRPr="00CA1A30">
        <w:rPr>
          <w:rFonts w:ascii="Times New Roman" w:hAnsi="Times New Roman"/>
          <w:b/>
          <w:u w:val="single"/>
        </w:rPr>
        <w:t>:</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color w:val="0000FF"/>
        </w:rPr>
      </w:pPr>
      <w:r w:rsidRPr="008F6A86">
        <w:rPr>
          <w:rFonts w:ascii="Times New Roman" w:hAnsi="Times New Roman"/>
        </w:rPr>
        <w:t>Verejnoprávny vysielateľ poskytuje svoju službu verejnosti, ktorá participuje na existencii tejto služby jej solidárnym financovaním. Pojem verejnosť je právne neurčitý pojem, ktorý sa však v právnom poriadku používa často, pričom  samotná verejnosť subjektom práva nie je. Pri systéme financovania verejnej služby v oblasti vysielania prostredníctvom verejnej platby, ktorá je jedným z tradičných systémov financovania, je nevyhnutné špecifikovať osobu platiteľa, ktorá je súčasťou verejnosti a zároveň subjektom práva.</w:t>
      </w:r>
      <w:r w:rsidRPr="00222B3C">
        <w:rPr>
          <w:rFonts w:ascii="Times New Roman" w:hAnsi="Times New Roman"/>
          <w:color w:val="0000FF"/>
        </w:rPr>
        <w:t xml:space="preserve"> </w:t>
      </w:r>
    </w:p>
    <w:p w:rsidR="002716E1" w:rsidP="002716E1">
      <w:pPr>
        <w:bidi w:val="0"/>
        <w:ind w:firstLine="708"/>
        <w:jc w:val="both"/>
        <w:rPr>
          <w:rFonts w:ascii="Times New Roman" w:hAnsi="Times New Roman"/>
        </w:rPr>
      </w:pPr>
      <w:r>
        <w:rPr>
          <w:rFonts w:ascii="Times New Roman" w:hAnsi="Times New Roman"/>
        </w:rPr>
        <w:t xml:space="preserve">Povinnosť platiť úhradu má fyzická osoba, ktorú eviduje dodávateľ elektriny v evidencii odberateľov elektriny v domácnosti ako odberateľa elektriny v domácnosti v odbernom mieste pre spotrebu v byte alebo v rodinnom dome. Pre vznik povinnosti platiť úhradu je relevantné, či je konkrétna fyzická osoba evidovaná v uvedenej evidencii ako odberateľ elektriny v domácnosti a nie, či elektrinu skutočne aj odoberá. Cieľom takejto úpravy vymedzenia platiteľa úhrady je to, aby platiteľ úhrady, ktorý prestane odoberať elektrinu bol „nútený“ túto skutočnosť dodávateľovi elektriny aj oznámiť, resp. ukončiť odber elektriny v odbernom mieste pre ktoré je platiteľ evidovaný dodávateľom elektriny ako odberateľ elektriny v domácnosti alebo oznámiť zmenu odberateľa  elektriny v domácnosti. Týmto spôsobom sa zabezpečí aktuálnosť evidencie odberateľov elektriny v domácnosti, ktorú vyberateľ úhrady využíva pri kontrole platenia úhrady, a zároveň aj zníženie administratívnej záťaže pre vyberateľa úhrady spojenej s kontrolou platenia úhrady. </w:t>
      </w:r>
    </w:p>
    <w:p w:rsidR="002716E1" w:rsidP="002716E1">
      <w:pPr>
        <w:bidi w:val="0"/>
        <w:ind w:firstLine="708"/>
        <w:jc w:val="both"/>
        <w:rPr>
          <w:rFonts w:ascii="Times New Roman" w:hAnsi="Times New Roman"/>
        </w:rPr>
      </w:pPr>
      <w:r>
        <w:rPr>
          <w:rFonts w:ascii="Times New Roman" w:hAnsi="Times New Roman"/>
        </w:rPr>
        <w:t xml:space="preserve">Platiteľom úhrady je v zmysle návrhu zákona aj zamestnávateľ, ktorý zamestnáva v pracovnom pomere alebo obdobnom pracovnom vzťahu aspoň troch zamestnancov. </w:t>
      </w:r>
    </w:p>
    <w:p w:rsidR="00B25796" w:rsidP="002716E1">
      <w:pPr>
        <w:bidi w:val="0"/>
        <w:jc w:val="both"/>
        <w:rPr>
          <w:rFonts w:ascii="Times New Roman" w:hAnsi="Times New Roman"/>
          <w:b/>
          <w:u w:val="single"/>
        </w:rPr>
      </w:pPr>
    </w:p>
    <w:p w:rsidR="002716E1" w:rsidRPr="0067034F" w:rsidP="002716E1">
      <w:pPr>
        <w:bidi w:val="0"/>
        <w:jc w:val="both"/>
        <w:rPr>
          <w:rFonts w:ascii="Times New Roman" w:hAnsi="Times New Roman"/>
          <w:b/>
          <w:u w:val="single"/>
        </w:rPr>
      </w:pPr>
      <w:r w:rsidRPr="0067034F">
        <w:rPr>
          <w:rFonts w:ascii="Times New Roman" w:hAnsi="Times New Roman"/>
          <w:b/>
          <w:u w:val="single"/>
        </w:rPr>
        <w:t xml:space="preserve">K § 4: </w:t>
      </w:r>
    </w:p>
    <w:p w:rsidR="002716E1" w:rsidP="002716E1">
      <w:pPr>
        <w:bidi w:val="0"/>
        <w:jc w:val="both"/>
        <w:rPr>
          <w:rFonts w:ascii="Times New Roman" w:hAnsi="Times New Roman"/>
        </w:rPr>
      </w:pPr>
    </w:p>
    <w:p w:rsidR="002716E1" w:rsidP="002716E1">
      <w:pPr>
        <w:bidi w:val="0"/>
        <w:ind w:firstLine="708"/>
        <w:jc w:val="both"/>
        <w:rPr>
          <w:rFonts w:ascii="Times New Roman" w:hAnsi="Times New Roman"/>
        </w:rPr>
      </w:pPr>
      <w:r>
        <w:rPr>
          <w:rFonts w:ascii="Times New Roman" w:hAnsi="Times New Roman"/>
        </w:rPr>
        <w:t>Vyberateľom a zároveň príjemcom úhrady je v zmysle návrhu zákona Rozhlas a televízia Slovenska. Podľa platnej právnej úpravy je vyberateľom úhrady spoločnosť s ručením obmedzeným, ktorá bola pôvodne založená Slovenskou televíziou a Slovenským rozhlasom, ako právnymi predchodcami Rozhlasu a televízie Slovenska, za nepodnikateľským účelom výberu úhrady pre Slovenskú televíziu a Slovenský rozhlas, z dôvodu zníženia nákladov spojených s výberom úhrady. Nakoľko však od 1. januára 2011 došlo k zlúčeniu Slovenskej televízie a Slovenského rozhlasu do jednej verejnoprávnej inštitúcie, ktorou je Rozhlas a televízia Slovenska, existencia spoločnosti s ručením obmedzeným, ktorá je zriadená za účelom výberu úhrady pre tohto verejnoprávneho vysielateľa už nie je opodstatnená.</w:t>
      </w:r>
    </w:p>
    <w:p w:rsidR="002716E1" w:rsidP="002716E1">
      <w:pPr>
        <w:bidi w:val="0"/>
        <w:ind w:firstLine="708"/>
        <w:jc w:val="both"/>
        <w:rPr>
          <w:rFonts w:ascii="Times New Roman" w:hAnsi="Times New Roman"/>
        </w:rPr>
      </w:pPr>
      <w:r>
        <w:rPr>
          <w:rFonts w:ascii="Times New Roman" w:hAnsi="Times New Roman"/>
        </w:rPr>
        <w:t>V súlade s požiadavkou transparentnosti použitia úhrady sa v návrhu zákona pre  Rozhlas a televíziu Slovenska explicitne ustanovuje povinnosť viesť príjmy z úhrady na samostatnom účte a viesť analytickú evidenciu príjmov z úhrady oddelenú od iných príjmov. Príjmy z úhrady a príjmy z pokút môže Rozhlas a televízia Slovenska použiť výhradne iba na zabezpečenie služieb verejnosti v oblasti rozhlasového a televízneho vysielania, pričom príjmy z úhrady sa použijú aj na zabezpečenie výberu úhrady, kontroly platenia úhrady a na vymáhanie úhrady a pokút.</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sidRPr="00786E6D">
        <w:rPr>
          <w:rFonts w:ascii="Times New Roman" w:hAnsi="Times New Roman"/>
          <w:b/>
          <w:u w:val="single"/>
        </w:rPr>
        <w:t>K § 5:</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rPr>
      </w:pPr>
      <w:r>
        <w:rPr>
          <w:rFonts w:ascii="Times New Roman" w:hAnsi="Times New Roman"/>
        </w:rPr>
        <w:t xml:space="preserve">Návrh zákona vymedzuje podmienky, za akých je platiteľ podľa § 3 písm. a) oslobodený od povinnosti platiť úhradu. Oslobodenie od povinnosti platiť úhradu môže vzniknúť u platiteľa, ktorý je fyzickou osobou v prípade, ak dôjde ku kumulatívnemu naplneniu </w:t>
      </w:r>
      <w:r w:rsidRPr="0093765F">
        <w:rPr>
          <w:rFonts w:ascii="Times New Roman" w:hAnsi="Times New Roman"/>
        </w:rPr>
        <w:t>pasívnej a aktívnej podmienky oslobodenia</w:t>
      </w:r>
      <w:r>
        <w:rPr>
          <w:rFonts w:ascii="Times New Roman" w:hAnsi="Times New Roman"/>
        </w:rPr>
        <w:t xml:space="preserve">. Od povinnosti platiť úhradu je oslobodený platiteľ, ktorý je buď sám fyzickou osobou s ťažkým zdravotným postihnutím alebo žije v domácnosti s fyzickou osobou s ťažkým zdravotným postihnutím, pričom však návrh zákona ustanovuje, že táto osoba musí mať na adrese odberného miesta platiteľa trvalý pobyt (pasívna podmienka). Zároveň návrh zákona stanovuje, že nárok na oslobodenie vzniká takémuto platiteľovi až po oznámení a preukázaní skutočností zakladajúcich oslobodenie od platenia úhrady vyberateľovi úhrady (aktívna podmienka). </w:t>
      </w:r>
      <w:r w:rsidRPr="003F4FFF">
        <w:rPr>
          <w:rFonts w:ascii="Times New Roman" w:hAnsi="Times New Roman"/>
        </w:rPr>
        <w:t>Nárok na oslobodenie od povinnosti platiť úhradu vzniká od prvého dňa kalendárneho mesiaca nasledujúceho po kalendárnom mesiaci, v ktorom platiteľ oznámil a preukázal vznik tohto nároku.</w:t>
      </w:r>
      <w:r>
        <w:rPr>
          <w:rFonts w:ascii="Times New Roman" w:hAnsi="Times New Roman"/>
        </w:rPr>
        <w:t xml:space="preserve"> Prístup, kedy nárok na oslobodenie od povinnosti platiť úhradu nevzniká priamo zo zákona, po splnení zákonom stanovených podmienok, ale vzniká až po oznámení a preukázaní tejto skutočnosti </w:t>
      </w:r>
      <w:r w:rsidRPr="00BD08BE">
        <w:rPr>
          <w:rFonts w:ascii="Times New Roman" w:hAnsi="Times New Roman"/>
        </w:rPr>
        <w:t>vyberateľovi úhrady, bol do návrhu zákona zavedený</w:t>
      </w:r>
      <w:r>
        <w:rPr>
          <w:rFonts w:ascii="Times New Roman" w:hAnsi="Times New Roman"/>
        </w:rPr>
        <w:t xml:space="preserve"> s</w:t>
      </w:r>
      <w:r w:rsidRPr="00BD08BE">
        <w:rPr>
          <w:rFonts w:ascii="Times New Roman" w:hAnsi="Times New Roman"/>
        </w:rPr>
        <w:t xml:space="preserve"> cieľom donútiť platiteľov plniť si svoju</w:t>
      </w:r>
      <w:r>
        <w:rPr>
          <w:rFonts w:ascii="Times New Roman" w:hAnsi="Times New Roman"/>
        </w:rPr>
        <w:t xml:space="preserve"> </w:t>
      </w:r>
      <w:r w:rsidRPr="00BD08BE">
        <w:rPr>
          <w:rFonts w:ascii="Times New Roman" w:hAnsi="Times New Roman"/>
        </w:rPr>
        <w:t>oznamovaciu povinnosť voči vyberateľovi úhrady</w:t>
      </w:r>
      <w:r>
        <w:rPr>
          <w:rFonts w:ascii="Times New Roman" w:hAnsi="Times New Roman"/>
        </w:rPr>
        <w:t>, a tým zabezpečiť aktuálnosť a úplnosť evidencie platiteľov a zároveň aj zníženie administratívnej a finančnej záťaže pre vyberateľa úhrady spojenej s kontrolou platenia úhrady.</w:t>
      </w:r>
    </w:p>
    <w:p w:rsidR="002716E1" w:rsidP="002716E1">
      <w:pPr>
        <w:bidi w:val="0"/>
        <w:ind w:firstLine="708"/>
        <w:jc w:val="both"/>
        <w:rPr>
          <w:rFonts w:ascii="Times New Roman" w:hAnsi="Times New Roman"/>
        </w:rPr>
      </w:pPr>
      <w:r>
        <w:rPr>
          <w:rFonts w:ascii="Times New Roman" w:hAnsi="Times New Roman"/>
        </w:rPr>
        <w:t>Tak ako sa ukázalo pri aplikácii zákona č. 68/2008 Z. z., v zmysle ktorého je platiteľ  taktiež povinný písomne oznámiť vyberateľovi úhrady vznik alebo zánik oslobodenia od povinnosti platiť úhradu a zároveň túto skutočnosť preukázať, v prípade, že nesplnenie tejto povinnosti nie je postihnuté žiadnou sankciou, často sa stáva, že platiteľ ktorému vznikol nárok na oslobodenie od povinnosti platiť úhradu jednoducho prestane platiť úhradu, resp. ani ju nikdy platiť nezačne a to bez toho, aby si splnil oznamovaciu povinnosť voči vyberateľovi úhrady. Dôsledkom toho je, že vyberateľ úhrady nevie, či príčinou neplatenia úhrady je skutočnosť, že platiteľovi úhrady vznikol nárok na oslobodenie od platenia úhrady alebo či ide o platiteľa, ktorý si neplní svoju zákonnú povinnosť platiť úhradu, a tak každého jedného takéhoto platiteľa musí v zmysle zákona povinne vyzvať na zaplatenie úhrady, čím sa neodôvodnene zvyšuje administratívna záťaž vyberateľa úhrady, ako aj jeho náklady na poštovné.</w:t>
      </w:r>
    </w:p>
    <w:p w:rsidR="002716E1" w:rsidP="007C29BD">
      <w:pPr>
        <w:bidi w:val="0"/>
        <w:ind w:firstLine="708"/>
        <w:jc w:val="both"/>
        <w:rPr>
          <w:rFonts w:ascii="Times New Roman" w:hAnsi="Times New Roman"/>
        </w:rPr>
      </w:pPr>
      <w:r>
        <w:rPr>
          <w:rFonts w:ascii="Times New Roman" w:hAnsi="Times New Roman"/>
        </w:rPr>
        <w:t>Návrh zákona taktiež taxatívne vymedzuje okruh subjektov, ktoré sú priamo na základe zákona oslobodené o povinnosti platiť úhradu.</w:t>
      </w:r>
    </w:p>
    <w:p w:rsidR="002716E1" w:rsidP="002716E1">
      <w:pPr>
        <w:bidi w:val="0"/>
        <w:jc w:val="both"/>
        <w:rPr>
          <w:rFonts w:ascii="Times New Roman" w:hAnsi="Times New Roman"/>
        </w:rPr>
      </w:pPr>
    </w:p>
    <w:p w:rsidR="00A76501" w:rsidP="002716E1">
      <w:pPr>
        <w:bidi w:val="0"/>
        <w:jc w:val="both"/>
        <w:rPr>
          <w:rFonts w:ascii="Times New Roman" w:hAnsi="Times New Roman"/>
          <w:b/>
          <w:u w:val="single"/>
        </w:rPr>
      </w:pPr>
    </w:p>
    <w:p w:rsidR="00A76501" w:rsidP="002716E1">
      <w:pPr>
        <w:bidi w:val="0"/>
        <w:jc w:val="both"/>
        <w:rPr>
          <w:rFonts w:ascii="Times New Roman" w:hAnsi="Times New Roman"/>
          <w:b/>
          <w:u w:val="single"/>
        </w:rPr>
      </w:pPr>
    </w:p>
    <w:p w:rsidR="002716E1" w:rsidP="002716E1">
      <w:pPr>
        <w:bidi w:val="0"/>
        <w:jc w:val="both"/>
        <w:rPr>
          <w:rFonts w:ascii="Times New Roman" w:hAnsi="Times New Roman"/>
          <w:b/>
          <w:u w:val="single"/>
        </w:rPr>
      </w:pPr>
      <w:r w:rsidRPr="000558EA">
        <w:rPr>
          <w:rFonts w:ascii="Times New Roman" w:hAnsi="Times New Roman"/>
          <w:b/>
          <w:u w:val="single"/>
        </w:rPr>
        <w:t>K § 6:</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rPr>
      </w:pPr>
      <w:r>
        <w:rPr>
          <w:rFonts w:ascii="Times New Roman" w:hAnsi="Times New Roman"/>
        </w:rPr>
        <w:t xml:space="preserve">V § 6 sa upravuje sadzba úhrady. </w:t>
      </w:r>
      <w:r w:rsidRPr="00674D58">
        <w:rPr>
          <w:rFonts w:ascii="Times New Roman" w:hAnsi="Times New Roman"/>
        </w:rPr>
        <w:t>Výška sadzby úhrady zostáva nezmenená a pre platiteľa,  ktorý je fyzickou osobou</w:t>
      </w:r>
      <w:r>
        <w:rPr>
          <w:rFonts w:ascii="Times New Roman" w:hAnsi="Times New Roman"/>
        </w:rPr>
        <w:t>,</w:t>
      </w:r>
      <w:r w:rsidRPr="00413E89">
        <w:rPr>
          <w:rFonts w:ascii="Times New Roman" w:hAnsi="Times New Roman"/>
        </w:rPr>
        <w:t xml:space="preserve"> </w:t>
      </w:r>
      <w:r>
        <w:rPr>
          <w:rFonts w:ascii="Times New Roman" w:hAnsi="Times New Roman"/>
        </w:rPr>
        <w:t>ktorá je evidovaná dodávateľom elektriny v evidencii odberateľov elektriny v domácnosti ako odberateľa elektriny v domácnosti v odbernom mieste pre spotrebu v byte alebo v rodinnom dome</w:t>
      </w:r>
      <w:r w:rsidRPr="00674D58">
        <w:rPr>
          <w:rFonts w:ascii="Times New Roman" w:hAnsi="Times New Roman"/>
        </w:rPr>
        <w:t xml:space="preserve"> predstavuje 4,64 eur za každý aj začatý kalendárny mesiac.</w:t>
      </w:r>
    </w:p>
    <w:p w:rsidR="002716E1" w:rsidP="002716E1">
      <w:pPr>
        <w:bidi w:val="0"/>
        <w:ind w:firstLine="708"/>
        <w:jc w:val="both"/>
        <w:rPr>
          <w:rFonts w:ascii="Times New Roman" w:hAnsi="Times New Roman"/>
        </w:rPr>
      </w:pPr>
      <w:r>
        <w:rPr>
          <w:rFonts w:ascii="Times New Roman" w:hAnsi="Times New Roman"/>
        </w:rPr>
        <w:t>Úhradu len za jedno odberné miesto platí platiteľ podľa § 3 písm. a), ak je</w:t>
      </w:r>
      <w:r w:rsidRPr="00493739">
        <w:rPr>
          <w:rFonts w:ascii="Times New Roman" w:hAnsi="Times New Roman"/>
        </w:rPr>
        <w:t xml:space="preserve"> </w:t>
      </w:r>
      <w:r>
        <w:rPr>
          <w:rFonts w:ascii="Times New Roman" w:hAnsi="Times New Roman"/>
        </w:rPr>
        <w:t xml:space="preserve">dodávateľom elektriny evidovaný v evidencii odberateľov elektriny v domácnosti vo viacerých odberných miestach (pasívna podmienka) a vznik tejto skutočnosti oznámi a preukáže vyberateľovi úhrady (aktívna podmienka). </w:t>
      </w:r>
    </w:p>
    <w:p w:rsidR="002716E1" w:rsidP="002716E1">
      <w:pPr>
        <w:bidi w:val="0"/>
        <w:ind w:firstLine="708"/>
        <w:jc w:val="both"/>
        <w:rPr>
          <w:rFonts w:ascii="Times New Roman" w:hAnsi="Times New Roman"/>
        </w:rPr>
      </w:pPr>
      <w:r>
        <w:rPr>
          <w:rFonts w:ascii="Times New Roman" w:hAnsi="Times New Roman"/>
        </w:rPr>
        <w:t xml:space="preserve">Nárok na zníženú sadzbu úhrady na polovicu vzniká platiteľovi podľa § 3 písm. a), ktorý je poberateľom dôchodkových dávok podľa osobitného predpisu (starobného dôchodku, predčasného starobného dôchodku, invalidného dôchodku, vdovského dôchodku, vdoveckého dôchodku alebo sirotského dôchodku) alebo je poberateľom rovnocenných dôchodkových dávok zo zahraničia, nemá pravidelný príjem zo zárobkovej činnosti, nežije v domácnosti s inou osobou s pravidelným príjmom zo zárobkovej činnosti (pasívna podmienka) a zároveň vznik tejto skutočnosti oznámi a preukáže vyberateľovi úhrady (aktívna podmienka). </w:t>
      </w:r>
    </w:p>
    <w:p w:rsidR="002716E1" w:rsidP="002716E1">
      <w:pPr>
        <w:bidi w:val="0"/>
        <w:ind w:firstLine="708"/>
        <w:jc w:val="both"/>
        <w:rPr>
          <w:rFonts w:ascii="Times New Roman" w:hAnsi="Times New Roman"/>
        </w:rPr>
      </w:pPr>
      <w:r>
        <w:rPr>
          <w:rFonts w:ascii="Times New Roman" w:hAnsi="Times New Roman"/>
        </w:rPr>
        <w:t xml:space="preserve">Zníženú sadzbu úhrady na polovicu platí aj platiteľ podľa § 3 písm. a), ktorý je poberateľom dávky v hmotnej núdzi alebo osobou spoločne posudzovanou s poberateľom dávky v hmotnej núdzi (pasívna podmienka) a vznik tejto skutočnosti oznámi a preukáže vyberateľovi úhrady (aktívna podmienka). </w:t>
      </w:r>
    </w:p>
    <w:p w:rsidR="002716E1" w:rsidP="002716E1">
      <w:pPr>
        <w:bidi w:val="0"/>
        <w:ind w:firstLine="708"/>
        <w:jc w:val="both"/>
        <w:rPr>
          <w:rFonts w:ascii="Times New Roman" w:hAnsi="Times New Roman"/>
        </w:rPr>
      </w:pPr>
      <w:r>
        <w:rPr>
          <w:rFonts w:ascii="Times New Roman" w:hAnsi="Times New Roman"/>
        </w:rPr>
        <w:t xml:space="preserve">Návrh zákona viaže nárok </w:t>
      </w:r>
      <w:r w:rsidRPr="00212CA1">
        <w:rPr>
          <w:rFonts w:ascii="Times New Roman" w:hAnsi="Times New Roman"/>
        </w:rPr>
        <w:t>na platenie úhrady len za jedno odberné miesto</w:t>
      </w:r>
      <w:r>
        <w:rPr>
          <w:rFonts w:ascii="Times New Roman" w:hAnsi="Times New Roman"/>
        </w:rPr>
        <w:t xml:space="preserve">, ako aj </w:t>
      </w:r>
      <w:r w:rsidRPr="00212CA1">
        <w:rPr>
          <w:rFonts w:ascii="Times New Roman" w:hAnsi="Times New Roman"/>
        </w:rPr>
        <w:t>nárok na zníženie sadzby úhrady na polovicu</w:t>
      </w:r>
      <w:r>
        <w:rPr>
          <w:rFonts w:ascii="Times New Roman" w:hAnsi="Times New Roman"/>
        </w:rPr>
        <w:t xml:space="preserve">, na kumulatívne splnenie návrhom zákona ustanovenej pasívnej a aktívnej podmienky. </w:t>
      </w:r>
      <w:r w:rsidRPr="003F4FFF">
        <w:rPr>
          <w:rFonts w:ascii="Times New Roman" w:hAnsi="Times New Roman"/>
        </w:rPr>
        <w:t>Nárok na platenie úhrady len za jedno odberné miesto a nárok na zníženie sadzby úhrady na polovicu vzniká od prvého dňa kalendárneho mesiaca nasledujúceho po kalendárnom mesiaci, v ktorom platiteľ oznámil a preukázal vznik tohto nároku.</w:t>
      </w:r>
    </w:p>
    <w:p w:rsidR="002716E1" w:rsidP="002716E1">
      <w:pPr>
        <w:bidi w:val="0"/>
        <w:ind w:firstLine="708"/>
        <w:jc w:val="both"/>
        <w:rPr>
          <w:rFonts w:ascii="Times New Roman" w:hAnsi="Times New Roman"/>
        </w:rPr>
      </w:pPr>
      <w:r>
        <w:rPr>
          <w:rFonts w:ascii="Times New Roman" w:hAnsi="Times New Roman"/>
        </w:rPr>
        <w:t>Sadzba</w:t>
      </w:r>
      <w:r w:rsidRPr="005145E1">
        <w:rPr>
          <w:rFonts w:ascii="Times New Roman" w:hAnsi="Times New Roman"/>
        </w:rPr>
        <w:t xml:space="preserve"> úhrady platiteľa, ktorý je zamestnávateľom sa odvíja od počtu jeho zamestnancov v pracovn</w:t>
      </w:r>
      <w:r>
        <w:rPr>
          <w:rFonts w:ascii="Times New Roman" w:hAnsi="Times New Roman"/>
        </w:rPr>
        <w:t>om pomere alebo obdobnom pracovnom vzťahu</w:t>
      </w:r>
      <w:r w:rsidRPr="005145E1">
        <w:rPr>
          <w:rFonts w:ascii="Times New Roman" w:hAnsi="Times New Roman"/>
        </w:rPr>
        <w:t>, t. j. do počtu sa nezapočítavajú zamestnanci na základe dohôd o prácach vykonávaných mimo pracovného pomeru. Platiteľom nie je zamestnávateľ, ktorý zamestnáva menej ako troch zamestnancov v pracovnom alebo služobnom pomere a pre kategóriu zamestnávateľov od 3-9 zamestnancov sa navrhuje základná sadzba úhrady, čím sa sleduje minimalizácia finančnej záťaže najmenších zamestnávateľov a tzv. rodinných podnikov.</w:t>
      </w:r>
      <w:r>
        <w:rPr>
          <w:rFonts w:ascii="Times New Roman" w:hAnsi="Times New Roman"/>
        </w:rPr>
        <w:t xml:space="preserve"> </w:t>
      </w:r>
    </w:p>
    <w:p w:rsidR="002716E1" w:rsidP="002716E1">
      <w:pPr>
        <w:bidi w:val="0"/>
        <w:ind w:firstLine="708"/>
        <w:jc w:val="both"/>
        <w:rPr>
          <w:rFonts w:ascii="Times New Roman" w:hAnsi="Times New Roman"/>
        </w:rPr>
      </w:pPr>
      <w:r>
        <w:rPr>
          <w:rFonts w:ascii="Times New Roman" w:hAnsi="Times New Roman"/>
        </w:rPr>
        <w:t>Návrh zákona ustanovuje, že rozhodujúci pre určenie sadzby úhrady</w:t>
      </w:r>
      <w:r w:rsidRPr="00B10D19">
        <w:rPr>
          <w:rFonts w:ascii="Times New Roman" w:hAnsi="Times New Roman"/>
        </w:rPr>
        <w:t xml:space="preserve"> </w:t>
      </w:r>
      <w:r w:rsidRPr="005145E1">
        <w:rPr>
          <w:rFonts w:ascii="Times New Roman" w:hAnsi="Times New Roman"/>
        </w:rPr>
        <w:t>platiteľa, ktorý je zamestnávateľom</w:t>
      </w:r>
      <w:r>
        <w:rPr>
          <w:rFonts w:ascii="Times New Roman" w:hAnsi="Times New Roman"/>
        </w:rPr>
        <w:t>, je počet zamestnancov v prvý deň kalendárneho mesiaca, za ktorý sa platí úhrada. Úhradu možno v zmysle §  7 ods. 2 návrhu zákona zaplatiť aj jednorázovo za štvrťrok, polrok alebo rok a v takom prípade je pre určenie sadzby úhrady na celé takéto obdobie rozhodujúci počet zamestnancov v prvý deň prvého kalendárneho mesiaca tohto obdobia.</w:t>
      </w:r>
    </w:p>
    <w:p w:rsidR="002716E1" w:rsidP="002716E1">
      <w:pPr>
        <w:bidi w:val="0"/>
        <w:ind w:firstLine="708"/>
        <w:jc w:val="both"/>
        <w:rPr>
          <w:rFonts w:ascii="Times New Roman" w:hAnsi="Times New Roman"/>
        </w:rPr>
      </w:pPr>
      <w:r>
        <w:rPr>
          <w:rFonts w:ascii="Times New Roman" w:hAnsi="Times New Roman"/>
        </w:rPr>
        <w:t xml:space="preserve">Predkladaný návrh právnej úpravy zároveň ustanovuje, ako sa určuje výška sadzby úhrady </w:t>
      </w:r>
      <w:r w:rsidRPr="005145E1">
        <w:rPr>
          <w:rFonts w:ascii="Times New Roman" w:hAnsi="Times New Roman"/>
        </w:rPr>
        <w:t>platiteľa, ktorý je zamestnávateľom</w:t>
      </w:r>
      <w:r>
        <w:rPr>
          <w:rFonts w:ascii="Times New Roman" w:hAnsi="Times New Roman"/>
        </w:rPr>
        <w:t xml:space="preserve">, v prípade zníženia alebo zvýšenia počtu zamestnancov. </w:t>
      </w:r>
    </w:p>
    <w:p w:rsidR="002716E1" w:rsidP="002716E1">
      <w:pPr>
        <w:widowControl w:val="0"/>
        <w:autoSpaceDE w:val="0"/>
        <w:autoSpaceDN w:val="0"/>
        <w:bidi w:val="0"/>
        <w:adjustRightInd w:val="0"/>
        <w:ind w:firstLine="720"/>
        <w:jc w:val="both"/>
        <w:rPr>
          <w:rFonts w:ascii="Times New Roman" w:hAnsi="Times New Roman"/>
        </w:rPr>
      </w:pPr>
      <w:r>
        <w:rPr>
          <w:rFonts w:ascii="Times New Roman" w:hAnsi="Times New Roman"/>
        </w:rPr>
        <w:t>Ak sa zníži počet zamestnancov zamestnávateľa, ktorý je platiteľom úhrady a takéto zníženie má vplyv na určenie sadzby úhrady (pasívna podmienka), nárok platiť nižšiu sadzbu úhrady vzniká platiteľovi až po oznámení a preukázaní zmeny povinnosti platiť úhradu (aktívna podmienka). Nárok platiť nižšiu sadzbu úhrady vzniká po kumulatívnom splnení pasívnej a aktívnej podmienky ustanovenej návrhom zákona,</w:t>
      </w:r>
      <w:r w:rsidRPr="00212CA1">
        <w:rPr>
          <w:rFonts w:ascii="Times New Roman" w:hAnsi="Times New Roman"/>
        </w:rPr>
        <w:t xml:space="preserve"> </w:t>
      </w:r>
      <w:r>
        <w:rPr>
          <w:rFonts w:ascii="Times New Roman" w:hAnsi="Times New Roman"/>
        </w:rPr>
        <w:t>naj</w:t>
      </w:r>
      <w:r w:rsidRPr="00212CA1">
        <w:rPr>
          <w:rFonts w:ascii="Times New Roman" w:hAnsi="Times New Roman"/>
        </w:rPr>
        <w:t>skôr</w:t>
      </w:r>
      <w:r>
        <w:rPr>
          <w:rFonts w:ascii="Times New Roman" w:hAnsi="Times New Roman"/>
        </w:rPr>
        <w:t xml:space="preserve"> </w:t>
      </w:r>
      <w:r w:rsidRPr="00212CA1">
        <w:rPr>
          <w:rFonts w:ascii="Times New Roman" w:hAnsi="Times New Roman"/>
        </w:rPr>
        <w:t>od prvého dňa kalendárneho mesiaca nasledujúceho po oznámení</w:t>
      </w:r>
      <w:r>
        <w:rPr>
          <w:rFonts w:ascii="Times New Roman" w:hAnsi="Times New Roman"/>
        </w:rPr>
        <w:t xml:space="preserve"> a preukázaní tejto skutočnosti</w:t>
      </w:r>
      <w:r w:rsidRPr="00212CA1">
        <w:rPr>
          <w:rFonts w:ascii="Times New Roman" w:hAnsi="Times New Roman"/>
        </w:rPr>
        <w:t>, ak sa platí úhrada mesačne,</w:t>
      </w:r>
      <w:r>
        <w:rPr>
          <w:rFonts w:ascii="Times New Roman" w:hAnsi="Times New Roman"/>
        </w:rPr>
        <w:t xml:space="preserve"> alebo </w:t>
      </w:r>
      <w:r w:rsidRPr="00212CA1">
        <w:rPr>
          <w:rFonts w:ascii="Times New Roman" w:hAnsi="Times New Roman"/>
        </w:rPr>
        <w:t>od prvého dňa kalend</w:t>
      </w:r>
      <w:r>
        <w:rPr>
          <w:rFonts w:ascii="Times New Roman" w:hAnsi="Times New Roman"/>
        </w:rPr>
        <w:t>árneho mesiaca nasledujúceho po</w:t>
      </w:r>
      <w:r w:rsidRPr="00212CA1">
        <w:rPr>
          <w:rFonts w:ascii="Times New Roman" w:hAnsi="Times New Roman"/>
        </w:rPr>
        <w:t xml:space="preserve"> oznámení</w:t>
      </w:r>
      <w:r>
        <w:rPr>
          <w:rFonts w:ascii="Times New Roman" w:hAnsi="Times New Roman"/>
        </w:rPr>
        <w:t xml:space="preserve"> a preukázaní tejto skutočnosti</w:t>
      </w:r>
      <w:r w:rsidRPr="00212CA1">
        <w:rPr>
          <w:rFonts w:ascii="Times New Roman" w:hAnsi="Times New Roman"/>
        </w:rPr>
        <w:t>, po uplynutí obdobia, za ktoré sa platí úhrada jednorázovo, ak sa platí úhrada jednorázovo za štvrťrok, polrok alebo rok.</w:t>
      </w:r>
    </w:p>
    <w:p w:rsidR="002716E1" w:rsidP="007C29BD">
      <w:pPr>
        <w:widowControl w:val="0"/>
        <w:autoSpaceDE w:val="0"/>
        <w:autoSpaceDN w:val="0"/>
        <w:bidi w:val="0"/>
        <w:adjustRightInd w:val="0"/>
        <w:ind w:firstLine="720"/>
        <w:jc w:val="both"/>
        <w:rPr>
          <w:rFonts w:ascii="Times New Roman" w:hAnsi="Times New Roman"/>
        </w:rPr>
      </w:pPr>
      <w:r>
        <w:rPr>
          <w:rFonts w:ascii="Times New Roman" w:hAnsi="Times New Roman"/>
        </w:rPr>
        <w:t>Naopak ak sa zvýši počet</w:t>
      </w:r>
      <w:r w:rsidRPr="004303FC">
        <w:rPr>
          <w:rFonts w:ascii="Times New Roman" w:hAnsi="Times New Roman"/>
        </w:rPr>
        <w:t xml:space="preserve"> </w:t>
      </w:r>
      <w:r>
        <w:rPr>
          <w:rFonts w:ascii="Times New Roman" w:hAnsi="Times New Roman"/>
        </w:rPr>
        <w:t xml:space="preserve">zamestnancov rozhodujúci pre určenie sadzby úhrady platiteľa, ktorý je zamestnávateľom (pasívna podmienka), </w:t>
      </w:r>
      <w:r w:rsidRPr="00212CA1">
        <w:rPr>
          <w:rFonts w:ascii="Times New Roman" w:hAnsi="Times New Roman"/>
        </w:rPr>
        <w:t xml:space="preserve">povinnosť platiť vyššiu sadzbu úhrady </w:t>
      </w:r>
      <w:r>
        <w:rPr>
          <w:rFonts w:ascii="Times New Roman" w:hAnsi="Times New Roman"/>
        </w:rPr>
        <w:t xml:space="preserve">mu </w:t>
      </w:r>
      <w:r w:rsidRPr="00212CA1">
        <w:rPr>
          <w:rFonts w:ascii="Times New Roman" w:hAnsi="Times New Roman"/>
        </w:rPr>
        <w:t>vzniká</w:t>
      </w:r>
      <w:r>
        <w:rPr>
          <w:rFonts w:ascii="Times New Roman" w:hAnsi="Times New Roman"/>
        </w:rPr>
        <w:t xml:space="preserve"> priamo zo zákona </w:t>
      </w:r>
      <w:r w:rsidRPr="00212CA1">
        <w:rPr>
          <w:rFonts w:ascii="Times New Roman" w:hAnsi="Times New Roman"/>
        </w:rPr>
        <w:t>od prvého dňa nasledujúceho kalendárneho mesiaca, ak sa platí úhrada mesačne,</w:t>
      </w:r>
      <w:r>
        <w:rPr>
          <w:rFonts w:ascii="Times New Roman" w:hAnsi="Times New Roman"/>
        </w:rPr>
        <w:t xml:space="preserve"> alebo </w:t>
      </w:r>
      <w:r w:rsidRPr="00212CA1">
        <w:rPr>
          <w:rFonts w:ascii="Times New Roman" w:hAnsi="Times New Roman"/>
        </w:rPr>
        <w:t>od prvého dňa kalendárneho mesiaca nasledujúceho po uplynutí obdobia, za ktoré sa platí úhrada jednorázovo, ak sa platí úhrada jednorázovo za štvrťrok, polrok alebo rok.</w:t>
      </w:r>
      <w:r>
        <w:rPr>
          <w:rFonts w:ascii="Times New Roman" w:hAnsi="Times New Roman"/>
        </w:rPr>
        <w:t xml:space="preserve"> Vznik povinnosti platiť vyššiu sadzbu úhrady nie je podmienený splnením si oznamovacej povinnosti (aktívna podmienka), nakoľko by to v praxi mohlo viesť k prípadom, kedy by platiteľ, ktorý je zamestnávateľom, zámerne neoznámil vyberateľovi úhrady zvýšenie počtu</w:t>
      </w:r>
      <w:r w:rsidRPr="004303FC">
        <w:rPr>
          <w:rFonts w:ascii="Times New Roman" w:hAnsi="Times New Roman"/>
        </w:rPr>
        <w:t xml:space="preserve"> </w:t>
      </w:r>
      <w:r>
        <w:rPr>
          <w:rFonts w:ascii="Times New Roman" w:hAnsi="Times New Roman"/>
        </w:rPr>
        <w:t>zamestnancov rozhodujúci pre určenie sadzby úhrady s cieľom platiť nižšiu sadzbu úhrady.</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sidRPr="00717E7A">
        <w:rPr>
          <w:rFonts w:ascii="Times New Roman" w:hAnsi="Times New Roman"/>
          <w:b/>
          <w:u w:val="single"/>
        </w:rPr>
        <w:t>K § 7:</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rPr>
      </w:pPr>
      <w:r>
        <w:rPr>
          <w:rFonts w:ascii="Times New Roman" w:hAnsi="Times New Roman"/>
        </w:rPr>
        <w:t xml:space="preserve">Návrh zákona ustanovuje, že povinnosť platiť úhradu vzniká od prvého dňa kalendárneho mesiaca nasledujúceho po kalendárnom mesiaci, v ktorom sa osoba stala platiteľom, a zaniká posledný deň kalendárneho mesiaca, v ktorom osoba prestala byť platiteľom. Úhrada sa platí mesačne, pričom platiteľ je povinný ju zaplatiť do posledného dňa príslušného kalendárneho mesiaca. Navrhovaná právna úprava umožňuje zaplatiť úhradu aj jednorázovo za obdobie, ktoré si platiteľ zvolí, a to buď za štvrťrok, polrok alebo rok, a vtedy má platiteľ povinnosť zaplatiť úhradu do posledného dňa prvého kalendárneho mesiaca obdobia, za ktoré sa úhrada platí. </w:t>
      </w:r>
    </w:p>
    <w:p w:rsidR="002716E1" w:rsidP="002716E1">
      <w:pPr>
        <w:bidi w:val="0"/>
        <w:ind w:firstLine="708"/>
        <w:jc w:val="both"/>
        <w:rPr>
          <w:rFonts w:ascii="Times New Roman" w:hAnsi="Times New Roman"/>
        </w:rPr>
      </w:pPr>
      <w:r>
        <w:rPr>
          <w:rFonts w:ascii="Times New Roman" w:hAnsi="Times New Roman"/>
        </w:rPr>
        <w:t xml:space="preserve">V zmysle navrhovanej právnej úpravy je vyberateľ úhrady povinný vrátiť úhradu alebo jej časť zaplatenú bez právneho dôvodu platiteľovi do 60 dní odo dňa, keď zistil túto skutočnosť alebo do 60 dní odo dňa doručenia písomnej žiadosti platiteľa o vrátenie úhrady alebo jej časti, pričom prílohou žiadosti sú aj doklady preukazujúce vznik nároku na vrátenie úhrady alebo jej časti. Návrh zákona zároveň ustanovuje, že právo na vrátenie úhrady alebo jej časti, ktorá bola zaplatená bez právneho dôvodu, zanikne po uplynutí dvoch rokov nasledujúcich po roku, v ktorom bola úhrada vyberateľovi zaplatená. </w:t>
      </w:r>
    </w:p>
    <w:p w:rsidR="002716E1" w:rsidRPr="007E31C9" w:rsidP="002716E1">
      <w:pPr>
        <w:bidi w:val="0"/>
        <w:ind w:firstLine="708"/>
        <w:jc w:val="both"/>
        <w:rPr>
          <w:rFonts w:ascii="Times New Roman" w:hAnsi="Times New Roman"/>
        </w:rPr>
      </w:pPr>
      <w:r w:rsidRPr="007E31C9">
        <w:rPr>
          <w:rFonts w:ascii="Times New Roman" w:hAnsi="Times New Roman"/>
        </w:rPr>
        <w:t xml:space="preserve">Platiteľ je povinný zaplatiť úhradu vyberateľovi úhrady prevodom na účet alebo prostredníctvom poštového podniku. Platiteľovi úhrady tak ostáva zachovaná možnosť platby úhrady prostredníctvom </w:t>
      </w:r>
      <w:r w:rsidRPr="00B204AE">
        <w:rPr>
          <w:rFonts w:ascii="Times New Roman" w:hAnsi="Times New Roman"/>
        </w:rPr>
        <w:t>produktu SIPO (sústredené inkaso platieb obyvateľstva).</w:t>
      </w:r>
    </w:p>
    <w:p w:rsidR="002716E1" w:rsidP="002716E1">
      <w:pPr>
        <w:bidi w:val="0"/>
        <w:jc w:val="both"/>
        <w:rPr>
          <w:rFonts w:ascii="Times New Roman" w:hAnsi="Times New Roman"/>
        </w:rPr>
      </w:pPr>
    </w:p>
    <w:p w:rsidR="002716E1" w:rsidRPr="00A601A4" w:rsidP="002716E1">
      <w:pPr>
        <w:bidi w:val="0"/>
        <w:jc w:val="both"/>
        <w:rPr>
          <w:rFonts w:ascii="Times New Roman" w:hAnsi="Times New Roman"/>
          <w:b/>
          <w:u w:val="single"/>
        </w:rPr>
      </w:pPr>
      <w:r w:rsidRPr="00A601A4">
        <w:rPr>
          <w:rFonts w:ascii="Times New Roman" w:hAnsi="Times New Roman"/>
          <w:b/>
          <w:u w:val="single"/>
        </w:rPr>
        <w:t>K § 8:</w:t>
      </w:r>
    </w:p>
    <w:p w:rsidR="002716E1" w:rsidP="002716E1">
      <w:pPr>
        <w:bidi w:val="0"/>
        <w:jc w:val="both"/>
        <w:rPr>
          <w:rFonts w:ascii="Times New Roman" w:hAnsi="Times New Roman"/>
        </w:rPr>
      </w:pPr>
    </w:p>
    <w:p w:rsidR="0001365F" w:rsidRPr="007C29BD" w:rsidP="007C29BD">
      <w:pPr>
        <w:bidi w:val="0"/>
        <w:ind w:firstLine="708"/>
        <w:jc w:val="both"/>
        <w:rPr>
          <w:rFonts w:ascii="Times New Roman" w:hAnsi="Times New Roman"/>
        </w:rPr>
      </w:pPr>
      <w:r w:rsidR="002716E1">
        <w:rPr>
          <w:rFonts w:ascii="Times New Roman" w:hAnsi="Times New Roman"/>
        </w:rPr>
        <w:t xml:space="preserve">Návrh zákona ustanovuje, že kontrolu platenia úhrady vykonáva vyberateľ úhrady. </w:t>
      </w:r>
    </w:p>
    <w:p w:rsidR="002716E1" w:rsidP="002716E1">
      <w:pPr>
        <w:bidi w:val="0"/>
        <w:jc w:val="both"/>
        <w:rPr>
          <w:rFonts w:ascii="Times New Roman" w:hAnsi="Times New Roman"/>
          <w:b/>
          <w:u w:val="single"/>
        </w:rPr>
      </w:pPr>
    </w:p>
    <w:p w:rsidR="002716E1" w:rsidP="002716E1">
      <w:pPr>
        <w:bidi w:val="0"/>
        <w:jc w:val="both"/>
        <w:rPr>
          <w:rFonts w:ascii="Times New Roman" w:hAnsi="Times New Roman"/>
          <w:b/>
          <w:u w:val="single"/>
        </w:rPr>
      </w:pPr>
      <w:r w:rsidRPr="00A601A4">
        <w:rPr>
          <w:rFonts w:ascii="Times New Roman" w:hAnsi="Times New Roman"/>
          <w:b/>
          <w:u w:val="single"/>
        </w:rPr>
        <w:t>K § 9:</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rPr>
      </w:pPr>
      <w:r>
        <w:rPr>
          <w:rFonts w:ascii="Times New Roman" w:hAnsi="Times New Roman"/>
        </w:rPr>
        <w:t xml:space="preserve">Vyberateľ úhrady vedie v zmysle návrhu zákona na účely výberu úhrady a kontroly platenia úhrady evidenciu platiteľov, ktorá obsahuje návrhom zákona ustanovené údaje. Evidenciu platiteľov vytvára vyberateľ úhrady z údajov, ktoré mu poskytnú jednotliví platitelia úhrady  a z údajov, ktoré na základe písomnej žiadosti vyberateľa úhrady poskytujú dodávateľ elektriny, prevádzkovateľ distribučnej sústavy, Ústredie práce, sociálnych vecí a rodiny, Sociálna poisťovňa a katastrálne úrady. </w:t>
      </w:r>
    </w:p>
    <w:p w:rsidR="002716E1" w:rsidP="002716E1">
      <w:pPr>
        <w:bidi w:val="0"/>
        <w:ind w:firstLine="708"/>
        <w:jc w:val="both"/>
        <w:rPr>
          <w:rFonts w:ascii="Times New Roman" w:hAnsi="Times New Roman"/>
        </w:rPr>
      </w:pPr>
      <w:r>
        <w:rPr>
          <w:rFonts w:ascii="Times New Roman" w:hAnsi="Times New Roman"/>
        </w:rPr>
        <w:t xml:space="preserve">Platiteľ úhrady je povinný písomne oznamovať a preukazovať vyberateľovi úhrady vznik, zmenu alebo zánik povinnosti platiť úhradu. Rovnako je platiteľ úhrady povinný písomne oznámiť vyberateľovi úhrady vznik alebo zánik oslobodenia od povinnosti platiť úhradu podľa § 5 ods. 1, vznik nároku platiť úhradu len za jedno odberné miesto podľa § 6 ods. 1 a vznik, zmenu alebo zánik skutočnosti rozhodujúcej pre určenie zníženej sadzby úhrady podľa § 6 ods. 3, pričom tieto skutočnosti je povinný vyberateľovi úhrady aj preukázať. </w:t>
      </w:r>
    </w:p>
    <w:p w:rsidR="002716E1" w:rsidP="002716E1">
      <w:pPr>
        <w:bidi w:val="0"/>
        <w:ind w:firstLine="708"/>
        <w:jc w:val="both"/>
        <w:rPr>
          <w:rFonts w:ascii="Times New Roman" w:hAnsi="Times New Roman"/>
        </w:rPr>
      </w:pPr>
      <w:r>
        <w:rPr>
          <w:rFonts w:ascii="Times New Roman" w:hAnsi="Times New Roman"/>
        </w:rPr>
        <w:t xml:space="preserve">Návrh zákona explicitne vymedzuje, aké údaje musí obsahovať písomné oznámenie platiteľa. V písomnom oznámení </w:t>
      </w:r>
      <w:r w:rsidRPr="00212CA1">
        <w:rPr>
          <w:rFonts w:ascii="Times New Roman" w:hAnsi="Times New Roman"/>
        </w:rPr>
        <w:t xml:space="preserve">platiteľ podľa § 3 písm. a) </w:t>
      </w:r>
      <w:r>
        <w:rPr>
          <w:rFonts w:ascii="Times New Roman" w:hAnsi="Times New Roman"/>
        </w:rPr>
        <w:t xml:space="preserve">uvedie meno, priezvisko, trvalý pobyt, </w:t>
      </w:r>
      <w:r w:rsidRPr="00212CA1">
        <w:rPr>
          <w:rFonts w:ascii="Times New Roman" w:hAnsi="Times New Roman"/>
        </w:rPr>
        <w:t xml:space="preserve">adresu odberného miesta, číslo odberného miesta, adresu na doručovanie písomností a skutočnosti podľa § 5 ods. </w:t>
      </w:r>
      <w:smartTag w:uri="urn:schemas-microsoft-com:office:smarttags" w:element="metricconverter">
        <w:smartTagPr>
          <w:attr w:name="ProductID" w:val="20f"/>
        </w:smartTagPr>
        <w:r w:rsidRPr="00212CA1">
          <w:rPr>
            <w:rFonts w:ascii="Times New Roman" w:hAnsi="Times New Roman"/>
          </w:rPr>
          <w:t>1 a</w:t>
        </w:r>
      </w:smartTag>
      <w:r w:rsidRPr="00212CA1">
        <w:rPr>
          <w:rFonts w:ascii="Times New Roman" w:hAnsi="Times New Roman"/>
        </w:rPr>
        <w:t xml:space="preserve"> § 6 ods.1 alebo ods. </w:t>
      </w:r>
      <w:r>
        <w:rPr>
          <w:rFonts w:ascii="Times New Roman" w:hAnsi="Times New Roman"/>
        </w:rPr>
        <w:t>3, a ak je platiteľ oslobodený od povinnosti platiť úhradu podľa § 5 ods. 1 alebo platí úhradu zníženú podľa § 6 ods. 3, aj rodné číslo. Prílohou oznámenia o zániku povinnosti platiť úhradu platiteľa</w:t>
      </w:r>
      <w:r w:rsidRPr="0096158D">
        <w:rPr>
          <w:rFonts w:ascii="Times New Roman" w:hAnsi="Times New Roman"/>
        </w:rPr>
        <w:t xml:space="preserve"> </w:t>
      </w:r>
      <w:r w:rsidRPr="00212CA1">
        <w:rPr>
          <w:rFonts w:ascii="Times New Roman" w:hAnsi="Times New Roman"/>
        </w:rPr>
        <w:t xml:space="preserve">podľa § 3 písm. a) </w:t>
      </w:r>
      <w:r>
        <w:rPr>
          <w:rFonts w:ascii="Times New Roman" w:hAnsi="Times New Roman"/>
        </w:rPr>
        <w:t xml:space="preserve">je doklad o ukončení odberu elektriny v odbernom mieste, pre ktoré bol platiteľ evidovaný alebo doklad o zmene odberateľa elektriny v domácnosti v tomto odbernom mieste.  Platiteľ, ktorý je zamestnávateľom uvedie v písomnom oznámení </w:t>
      </w:r>
      <w:r w:rsidRPr="00212CA1">
        <w:rPr>
          <w:rFonts w:ascii="Times New Roman" w:hAnsi="Times New Roman"/>
        </w:rPr>
        <w:t>obchodné meno, sídlo, identifikačné číslo</w:t>
      </w:r>
      <w:r>
        <w:rPr>
          <w:rFonts w:ascii="Times New Roman" w:hAnsi="Times New Roman"/>
        </w:rPr>
        <w:t xml:space="preserve"> organizácie</w:t>
      </w:r>
      <w:r w:rsidRPr="00212CA1">
        <w:rPr>
          <w:rFonts w:ascii="Times New Roman" w:hAnsi="Times New Roman"/>
        </w:rPr>
        <w:t xml:space="preserve">, adresu na doručovanie písomností a počet zamestnancov </w:t>
      </w:r>
      <w:r>
        <w:rPr>
          <w:rFonts w:ascii="Times New Roman" w:hAnsi="Times New Roman"/>
        </w:rPr>
        <w:t xml:space="preserve">rozhodujúci pre určenie úhrady, ak je právnickou osobou, a ak je fyzickou osobou uvedie </w:t>
      </w:r>
      <w:r w:rsidRPr="00212CA1">
        <w:rPr>
          <w:rFonts w:ascii="Times New Roman" w:hAnsi="Times New Roman"/>
        </w:rPr>
        <w:t>obchodné meno, miesto podnikania, identifikačné číslo</w:t>
      </w:r>
      <w:r>
        <w:rPr>
          <w:rFonts w:ascii="Times New Roman" w:hAnsi="Times New Roman"/>
        </w:rPr>
        <w:t xml:space="preserve"> organizácie</w:t>
      </w:r>
      <w:r w:rsidRPr="00212CA1">
        <w:rPr>
          <w:rFonts w:ascii="Times New Roman" w:hAnsi="Times New Roman"/>
        </w:rPr>
        <w:t xml:space="preserve"> alebo meno, priezvisko, trvalý pobyt, adresu na doručovanie písomností a počet zamestnancov rozhodujúci pre určenie </w:t>
      </w:r>
      <w:r>
        <w:rPr>
          <w:rFonts w:ascii="Times New Roman" w:hAnsi="Times New Roman"/>
        </w:rPr>
        <w:t xml:space="preserve">sadzby </w:t>
      </w:r>
      <w:r w:rsidRPr="00212CA1">
        <w:rPr>
          <w:rFonts w:ascii="Times New Roman" w:hAnsi="Times New Roman"/>
        </w:rPr>
        <w:t xml:space="preserve">úhrady. </w:t>
      </w:r>
    </w:p>
    <w:p w:rsidR="002716E1" w:rsidP="007C29BD">
      <w:pPr>
        <w:bidi w:val="0"/>
        <w:ind w:firstLine="708"/>
        <w:jc w:val="both"/>
        <w:rPr>
          <w:rFonts w:ascii="Times New Roman" w:hAnsi="Times New Roman"/>
        </w:rPr>
      </w:pPr>
      <w:r>
        <w:rPr>
          <w:rFonts w:ascii="Times New Roman" w:hAnsi="Times New Roman"/>
        </w:rPr>
        <w:t xml:space="preserve">Všetky osobné údaje získané podľa tohto návrhu zákona podliehajú ochrane osobných údajov podľa zákona č. 428/2002 Z. z. o ochrane osobných údajov a využívať ich možno len na účely podľa tohto zákona.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K § 10</w:t>
      </w:r>
      <w:r w:rsidRPr="00A96E81">
        <w:rPr>
          <w:rFonts w:ascii="Times New Roman" w:hAnsi="Times New Roman"/>
          <w:b/>
          <w:u w:val="single"/>
        </w:rPr>
        <w:t>:</w:t>
      </w:r>
    </w:p>
    <w:p w:rsidR="002716E1" w:rsidP="002716E1">
      <w:pPr>
        <w:bidi w:val="0"/>
        <w:jc w:val="both"/>
        <w:rPr>
          <w:rFonts w:ascii="Times New Roman" w:hAnsi="Times New Roman"/>
          <w:b/>
          <w:u w:val="single"/>
        </w:rPr>
      </w:pPr>
    </w:p>
    <w:p w:rsidR="002716E1" w:rsidRPr="007C29BD" w:rsidP="007C29BD">
      <w:pPr>
        <w:bidi w:val="0"/>
        <w:ind w:firstLine="708"/>
        <w:jc w:val="both"/>
        <w:rPr>
          <w:rFonts w:ascii="Times New Roman" w:hAnsi="Times New Roman"/>
        </w:rPr>
      </w:pPr>
      <w:r>
        <w:rPr>
          <w:rFonts w:ascii="Times New Roman" w:hAnsi="Times New Roman"/>
        </w:rPr>
        <w:t xml:space="preserve">Ak vyberateľ úhrady zistí, že platiteľ nezaplatil úhradu, vyzve ho v lehote 60 dní od zistenia tejto skutočnosti na zaplatenie úhrady a poštových sadzieb spojených s odoslaním výzvy na zaplatenie úhrady. Ak platiteľ podľa § 3 písm. a) ani napriek výzve nezaplatí úhradu a poštové sadzby do 30 dní od doručenia výzvy, je povinný zaplatiť vyberateľovi úhrady aj pokutu vo výške 17 eur. Ak na základe výzvy vyberateľa úhrady nezaplatí úhradu a poštové sadzby platiteľ, ktorý je zamestnávateľom, je povinný zaplatiť vyberateľovi úhrady aj pokutu vo výške od 33 eur do 166 eur v závislosti od sadzby nezaplatenej úhrady. Nárok na zaplatenie úhrady je vyberateľ úhrady povinný uplatňovať na súde. Návrh zákona ustanovuje výnimku, kedy vyberateľovi úhrady povinnosť podľa predchádzajúcej vety nevzniká. Ide o prípad ak tak rozhodne generálny riaditeľ Rozhlasu a televízie Slovenska na základe niektorého z dôvodov uvedených v návrhu zákona. </w:t>
      </w:r>
    </w:p>
    <w:p w:rsidR="0001365F" w:rsidP="002716E1">
      <w:pPr>
        <w:bidi w:val="0"/>
        <w:jc w:val="both"/>
        <w:rPr>
          <w:rFonts w:ascii="Times New Roman" w:hAnsi="Times New Roman"/>
          <w:b/>
          <w:u w:val="single"/>
        </w:rPr>
      </w:pPr>
    </w:p>
    <w:p w:rsidR="002716E1" w:rsidRPr="007C00C9" w:rsidP="002716E1">
      <w:pPr>
        <w:bidi w:val="0"/>
        <w:jc w:val="both"/>
        <w:rPr>
          <w:rFonts w:ascii="Times New Roman" w:hAnsi="Times New Roman"/>
          <w:b/>
          <w:u w:val="single"/>
        </w:rPr>
      </w:pPr>
      <w:r>
        <w:rPr>
          <w:rFonts w:ascii="Times New Roman" w:hAnsi="Times New Roman"/>
          <w:b/>
          <w:u w:val="single"/>
        </w:rPr>
        <w:t>K § 11</w:t>
      </w:r>
      <w:r w:rsidRPr="007C00C9">
        <w:rPr>
          <w:rFonts w:ascii="Times New Roman" w:hAnsi="Times New Roman"/>
          <w:b/>
          <w:u w:val="single"/>
        </w:rPr>
        <w:t>:</w:t>
      </w:r>
    </w:p>
    <w:p w:rsidR="002716E1" w:rsidP="002716E1">
      <w:pPr>
        <w:bidi w:val="0"/>
        <w:jc w:val="both"/>
        <w:rPr>
          <w:rFonts w:ascii="Times New Roman" w:hAnsi="Times New Roman"/>
        </w:rPr>
      </w:pPr>
    </w:p>
    <w:p w:rsidR="002716E1" w:rsidP="007C29BD">
      <w:pPr>
        <w:bidi w:val="0"/>
        <w:ind w:firstLine="708"/>
        <w:jc w:val="both"/>
        <w:rPr>
          <w:rFonts w:ascii="Times New Roman" w:hAnsi="Times New Roman"/>
        </w:rPr>
      </w:pPr>
      <w:r>
        <w:rPr>
          <w:rFonts w:ascii="Times New Roman" w:hAnsi="Times New Roman"/>
        </w:rPr>
        <w:t xml:space="preserve">Vzhľadom na systém výberu a vymáhania úhrady sa osobitne upravuje doručovanie výzvy platiteľovi.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 xml:space="preserve">K § </w:t>
      </w:r>
      <w:smartTag w:uri="urn:schemas-microsoft-com:office:smarttags" w:element="metricconverter">
        <w:smartTagPr>
          <w:attr w:name="ProductID" w:val="12 a"/>
        </w:smartTagPr>
        <w:r>
          <w:rPr>
            <w:rFonts w:ascii="Times New Roman" w:hAnsi="Times New Roman"/>
            <w:b/>
            <w:u w:val="single"/>
          </w:rPr>
          <w:t>12 a</w:t>
        </w:r>
      </w:smartTag>
      <w:r>
        <w:rPr>
          <w:rFonts w:ascii="Times New Roman" w:hAnsi="Times New Roman"/>
          <w:b/>
          <w:u w:val="single"/>
        </w:rPr>
        <w:t xml:space="preserve"> 13</w:t>
      </w:r>
      <w:r w:rsidRPr="000A2FC3">
        <w:rPr>
          <w:rFonts w:ascii="Times New Roman" w:hAnsi="Times New Roman"/>
          <w:b/>
          <w:u w:val="single"/>
        </w:rPr>
        <w:t>:</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b/>
          <w:u w:val="single"/>
        </w:rPr>
      </w:pPr>
      <w:r>
        <w:rPr>
          <w:rFonts w:ascii="Times New Roman" w:hAnsi="Times New Roman"/>
        </w:rPr>
        <w:t xml:space="preserve">Keďže návrhom zákona sa nanovo upravuje výber, platenie a vymáhanie úhrad, upravujú sa v prechodných ustanoveniach právne vzťahy vyplývajúce zo zákona č. 68/2008 Z. z., ktorý bol s účinnosťou od 1. januára 2013 zrušený zákonom č. 397/2011 Z. z. </w:t>
      </w:r>
    </w:p>
    <w:p w:rsidR="002716E1" w:rsidP="007C29BD">
      <w:pPr>
        <w:bidi w:val="0"/>
        <w:jc w:val="both"/>
        <w:rPr>
          <w:rFonts w:ascii="Times New Roman" w:hAnsi="Times New Roman"/>
          <w:b/>
          <w:u w:val="single"/>
        </w:rPr>
      </w:pPr>
    </w:p>
    <w:p w:rsidR="00A76501" w:rsidP="007C29BD">
      <w:pPr>
        <w:bidi w:val="0"/>
        <w:jc w:val="both"/>
        <w:rPr>
          <w:rFonts w:ascii="Times New Roman" w:hAnsi="Times New Roman"/>
          <w:b/>
          <w:u w:val="single"/>
        </w:rPr>
      </w:pPr>
    </w:p>
    <w:p w:rsidR="00A76501" w:rsidP="007C29BD">
      <w:pPr>
        <w:bidi w:val="0"/>
        <w:jc w:val="both"/>
        <w:rPr>
          <w:rFonts w:ascii="Times New Roman" w:hAnsi="Times New Roman"/>
          <w:b/>
          <w:u w:val="single"/>
        </w:rPr>
      </w:pPr>
    </w:p>
    <w:p w:rsidR="00A76501" w:rsidP="007C29BD">
      <w:pPr>
        <w:bidi w:val="0"/>
        <w:jc w:val="both"/>
        <w:rPr>
          <w:rFonts w:ascii="Times New Roman" w:hAnsi="Times New Roman"/>
          <w:b/>
          <w:u w:val="single"/>
        </w:rPr>
      </w:pPr>
    </w:p>
    <w:p w:rsidR="00A76501" w:rsidP="007C29BD">
      <w:pPr>
        <w:bidi w:val="0"/>
        <w:jc w:val="both"/>
        <w:rPr>
          <w:rFonts w:ascii="Times New Roman" w:hAnsi="Times New Roman"/>
          <w:b/>
          <w:u w:val="single"/>
        </w:rPr>
      </w:pPr>
    </w:p>
    <w:p w:rsidR="002716E1" w:rsidP="002716E1">
      <w:pPr>
        <w:bidi w:val="0"/>
        <w:jc w:val="both"/>
        <w:rPr>
          <w:rFonts w:ascii="Times New Roman" w:hAnsi="Times New Roman"/>
          <w:b/>
          <w:u w:val="single"/>
        </w:rPr>
      </w:pPr>
      <w:r>
        <w:rPr>
          <w:rFonts w:ascii="Times New Roman" w:hAnsi="Times New Roman"/>
          <w:b/>
          <w:u w:val="single"/>
        </w:rPr>
        <w:t>K § 14:</w:t>
      </w:r>
    </w:p>
    <w:p w:rsidR="00A76501" w:rsidP="002716E1">
      <w:pPr>
        <w:bidi w:val="0"/>
        <w:jc w:val="both"/>
        <w:rPr>
          <w:rFonts w:ascii="Times New Roman" w:hAnsi="Times New Roman"/>
          <w:b/>
          <w:u w:val="single"/>
        </w:rPr>
      </w:pPr>
    </w:p>
    <w:p w:rsidR="002716E1" w:rsidP="007C29BD">
      <w:pPr>
        <w:bidi w:val="0"/>
        <w:ind w:firstLine="708"/>
        <w:jc w:val="both"/>
        <w:rPr>
          <w:rFonts w:ascii="Times New Roman" w:hAnsi="Times New Roman"/>
        </w:rPr>
      </w:pPr>
      <w:r w:rsidRPr="00CA63E1">
        <w:rPr>
          <w:rFonts w:ascii="Times New Roman" w:hAnsi="Times New Roman"/>
        </w:rPr>
        <w:t>Zrušuje sa zákon č. 68/2008 Z</w:t>
      </w:r>
      <w:r>
        <w:rPr>
          <w:rFonts w:ascii="Times New Roman" w:hAnsi="Times New Roman"/>
        </w:rPr>
        <w:t xml:space="preserve">. </w:t>
      </w:r>
      <w:r w:rsidRPr="00CA63E1">
        <w:rPr>
          <w:rFonts w:ascii="Times New Roman" w:hAnsi="Times New Roman"/>
        </w:rPr>
        <w:t xml:space="preserve">z. </w:t>
      </w:r>
      <w:r>
        <w:rPr>
          <w:rFonts w:ascii="Times New Roman" w:hAnsi="Times New Roman"/>
        </w:rPr>
        <w:t xml:space="preserve">o úhrade za služby verejnosti poskytované Slovenskou televíziou a Slovenským rozhlasom a o zmene a doplnení niektorých zákonov v znení zákona č. 532/2010 Z. z. </w:t>
      </w:r>
    </w:p>
    <w:p w:rsidR="007C29BD" w:rsidRPr="00AE4FBA" w:rsidP="007C29BD">
      <w:pPr>
        <w:bidi w:val="0"/>
        <w:ind w:firstLine="708"/>
        <w:jc w:val="both"/>
        <w:rPr>
          <w:rFonts w:ascii="Times New Roman" w:hAnsi="Times New Roman"/>
        </w:rPr>
      </w:pPr>
    </w:p>
    <w:p w:rsidR="007C29BD" w:rsidP="002716E1">
      <w:pPr>
        <w:bidi w:val="0"/>
        <w:jc w:val="both"/>
        <w:rPr>
          <w:rFonts w:ascii="Times New Roman" w:hAnsi="Times New Roman"/>
          <w:b/>
          <w:u w:val="single"/>
        </w:rPr>
      </w:pPr>
    </w:p>
    <w:p w:rsidR="002716E1" w:rsidP="002716E1">
      <w:pPr>
        <w:bidi w:val="0"/>
        <w:jc w:val="both"/>
        <w:rPr>
          <w:rFonts w:ascii="Times New Roman" w:hAnsi="Times New Roman"/>
          <w:b/>
          <w:u w:val="single"/>
        </w:rPr>
      </w:pPr>
      <w:r w:rsidRPr="00453807">
        <w:rPr>
          <w:rFonts w:ascii="Times New Roman" w:hAnsi="Times New Roman"/>
          <w:b/>
          <w:u w:val="single"/>
        </w:rPr>
        <w:t>K čl. II:</w:t>
      </w:r>
    </w:p>
    <w:p w:rsidR="007C29BD" w:rsidP="002716E1">
      <w:pPr>
        <w:bidi w:val="0"/>
        <w:jc w:val="both"/>
        <w:rPr>
          <w:rFonts w:ascii="Times New Roman" w:hAnsi="Times New Roman"/>
          <w:b/>
          <w:u w:val="single"/>
        </w:rPr>
      </w:pPr>
    </w:p>
    <w:p w:rsidR="002716E1" w:rsidP="002716E1">
      <w:pPr>
        <w:bidi w:val="0"/>
        <w:jc w:val="both"/>
        <w:rPr>
          <w:rFonts w:ascii="Times New Roman" w:hAnsi="Times New Roman"/>
          <w:b/>
          <w:u w:val="single"/>
        </w:rPr>
      </w:pPr>
      <w:r>
        <w:rPr>
          <w:rFonts w:ascii="Times New Roman" w:hAnsi="Times New Roman"/>
          <w:b/>
          <w:u w:val="single"/>
        </w:rPr>
        <w:t xml:space="preserve">K bodom </w:t>
      </w:r>
      <w:smartTag w:uri="urn:schemas-microsoft-com:office:smarttags" w:element="metricconverter">
        <w:smartTagPr>
          <w:attr w:name="ProductID" w:val="19 a"/>
        </w:smartTagPr>
        <w:r>
          <w:rPr>
            <w:rFonts w:ascii="Times New Roman" w:hAnsi="Times New Roman"/>
            <w:b/>
            <w:u w:val="single"/>
          </w:rPr>
          <w:t>1 a</w:t>
        </w:r>
      </w:smartTag>
      <w:r>
        <w:rPr>
          <w:rFonts w:ascii="Times New Roman" w:hAnsi="Times New Roman"/>
          <w:b/>
          <w:u w:val="single"/>
        </w:rPr>
        <w:t xml:space="preserve"> 4:</w:t>
      </w:r>
    </w:p>
    <w:p w:rsidR="002716E1" w:rsidP="002716E1">
      <w:pPr>
        <w:bidi w:val="0"/>
        <w:jc w:val="both"/>
        <w:rPr>
          <w:rFonts w:ascii="Times New Roman" w:hAnsi="Times New Roman"/>
          <w:b/>
          <w:u w:val="single"/>
        </w:rPr>
      </w:pPr>
    </w:p>
    <w:p w:rsidR="002716E1" w:rsidP="002716E1">
      <w:pPr>
        <w:bidi w:val="0"/>
        <w:ind w:firstLine="720"/>
        <w:jc w:val="both"/>
        <w:rPr>
          <w:rFonts w:ascii="Times New Roman" w:hAnsi="Times New Roman"/>
        </w:rPr>
      </w:pPr>
      <w:r>
        <w:rPr>
          <w:rFonts w:ascii="Times New Roman" w:hAnsi="Times New Roman"/>
        </w:rPr>
        <w:t xml:space="preserve">Navrhuje sa spresniť okamih zániku funkcie člena rady a člena dozornej komisie v prípade ich odvolania z funkcie. Odvolanému členovi rady alebo dozornej komisie zaniká členstvo dňom určeným v rozhodnutí o odvolaní z funkcie. </w:t>
      </w:r>
    </w:p>
    <w:p w:rsidR="002716E1" w:rsidRPr="00061D32" w:rsidP="002716E1">
      <w:pPr>
        <w:bidi w:val="0"/>
        <w:jc w:val="both"/>
        <w:rPr>
          <w:rFonts w:ascii="Times New Roman" w:hAnsi="Times New Roman"/>
        </w:rPr>
      </w:pPr>
    </w:p>
    <w:p w:rsidR="002716E1" w:rsidRPr="00061D32" w:rsidP="002716E1">
      <w:pPr>
        <w:bidi w:val="0"/>
        <w:jc w:val="both"/>
        <w:rPr>
          <w:rFonts w:ascii="Times New Roman" w:hAnsi="Times New Roman"/>
          <w:b/>
          <w:u w:val="single"/>
        </w:rPr>
      </w:pPr>
      <w:r w:rsidRPr="00061D32">
        <w:rPr>
          <w:rFonts w:ascii="Times New Roman" w:hAnsi="Times New Roman"/>
          <w:b/>
          <w:u w:val="single"/>
        </w:rPr>
        <w:t>K </w:t>
      </w:r>
      <w:r>
        <w:rPr>
          <w:rFonts w:ascii="Times New Roman" w:hAnsi="Times New Roman"/>
          <w:b/>
          <w:u w:val="single"/>
        </w:rPr>
        <w:t>bodom</w:t>
      </w:r>
      <w:r w:rsidRPr="00061D32">
        <w:rPr>
          <w:rFonts w:ascii="Times New Roman" w:hAnsi="Times New Roman"/>
          <w:b/>
          <w:u w:val="single"/>
        </w:rPr>
        <w:t xml:space="preserve"> </w:t>
      </w:r>
      <w:smartTag w:uri="urn:schemas-microsoft-com:office:smarttags" w:element="metricconverter">
        <w:smartTagPr>
          <w:attr w:name="ProductID" w:val="19 a"/>
        </w:smartTagPr>
        <w:r w:rsidRPr="00061D32">
          <w:rPr>
            <w:rFonts w:ascii="Times New Roman" w:hAnsi="Times New Roman"/>
            <w:b/>
            <w:u w:val="single"/>
          </w:rPr>
          <w:t>2</w:t>
        </w:r>
        <w:r>
          <w:rPr>
            <w:rFonts w:ascii="Times New Roman" w:hAnsi="Times New Roman"/>
            <w:b/>
            <w:u w:val="single"/>
          </w:rPr>
          <w:t xml:space="preserve"> a</w:t>
        </w:r>
      </w:smartTag>
      <w:r>
        <w:rPr>
          <w:rFonts w:ascii="Times New Roman" w:hAnsi="Times New Roman"/>
          <w:b/>
          <w:u w:val="single"/>
        </w:rPr>
        <w:t xml:space="preserve"> 5</w:t>
      </w:r>
      <w:r w:rsidRPr="00061D32">
        <w:rPr>
          <w:rFonts w:ascii="Times New Roman" w:hAnsi="Times New Roman"/>
          <w:b/>
          <w:u w:val="single"/>
        </w:rPr>
        <w:t>:</w:t>
      </w:r>
    </w:p>
    <w:p w:rsidR="002716E1" w:rsidP="002716E1">
      <w:pPr>
        <w:bidi w:val="0"/>
        <w:jc w:val="both"/>
        <w:rPr>
          <w:rFonts w:ascii="Times New Roman" w:hAnsi="Times New Roman"/>
          <w:b/>
          <w:u w:val="single"/>
        </w:rPr>
      </w:pPr>
    </w:p>
    <w:p w:rsidR="002716E1" w:rsidP="007C29BD">
      <w:pPr>
        <w:bidi w:val="0"/>
        <w:ind w:firstLine="720"/>
        <w:jc w:val="both"/>
        <w:rPr>
          <w:rFonts w:ascii="Times New Roman" w:hAnsi="Times New Roman"/>
        </w:rPr>
      </w:pPr>
      <w:r w:rsidRPr="00061D32">
        <w:rPr>
          <w:rFonts w:ascii="Times New Roman" w:hAnsi="Times New Roman"/>
        </w:rPr>
        <w:t>Zavádza sa nový fakultatívny dôvod odvolania člena rady a člena dozornej komisie, ktorí sú vymenovaní priamo ministrom kultúry Slovenskej republiky (ďalej len „minister“), a to možnosť odvolania týchto zástupcov ministerstva aj bez uvedenia dôvodu. Vzhľadom na skutočnosť, že minister má právo vymenovať jedného člena rady a jedného člena dozornej komisie bez toho, aby bol viazaný návrhmi tretích osôb (osôb pôsobiacich v audiovízii), je potrebné zabezpečiť vyváženosť tejto kreačnej kompetencie ministra aj vo vzťahu k odvolaniu týchto členov orgánov Audiovizuálneho fondu.</w:t>
      </w:r>
    </w:p>
    <w:p w:rsidR="002716E1" w:rsidP="002716E1">
      <w:pPr>
        <w:bidi w:val="0"/>
        <w:ind w:firstLine="720"/>
        <w:jc w:val="both"/>
        <w:rPr>
          <w:rFonts w:ascii="Times New Roman" w:hAnsi="Times New Roman"/>
        </w:rPr>
      </w:pPr>
    </w:p>
    <w:p w:rsidR="002716E1" w:rsidP="002716E1">
      <w:pPr>
        <w:bidi w:val="0"/>
        <w:jc w:val="both"/>
        <w:rPr>
          <w:rFonts w:ascii="Times New Roman" w:hAnsi="Times New Roman"/>
          <w:b/>
          <w:u w:val="single"/>
        </w:rPr>
      </w:pPr>
      <w:r w:rsidRPr="00061D32">
        <w:rPr>
          <w:rFonts w:ascii="Times New Roman" w:hAnsi="Times New Roman"/>
          <w:b/>
          <w:u w:val="single"/>
        </w:rPr>
        <w:t xml:space="preserve">K bodu </w:t>
      </w:r>
      <w:r>
        <w:rPr>
          <w:rFonts w:ascii="Times New Roman" w:hAnsi="Times New Roman"/>
          <w:b/>
          <w:u w:val="single"/>
        </w:rPr>
        <w:t>3</w:t>
      </w:r>
      <w:r w:rsidRPr="00061D32">
        <w:rPr>
          <w:rFonts w:ascii="Times New Roman" w:hAnsi="Times New Roman"/>
          <w:b/>
          <w:u w:val="single"/>
        </w:rPr>
        <w:t>:</w:t>
      </w:r>
    </w:p>
    <w:p w:rsidR="002716E1" w:rsidP="002716E1">
      <w:pPr>
        <w:bidi w:val="0"/>
        <w:jc w:val="both"/>
        <w:rPr>
          <w:rFonts w:ascii="Times New Roman" w:hAnsi="Times New Roman"/>
          <w:b/>
          <w:u w:val="single"/>
        </w:rPr>
      </w:pPr>
    </w:p>
    <w:p w:rsidR="002716E1" w:rsidP="007C29BD">
      <w:pPr>
        <w:bidi w:val="0"/>
        <w:ind w:firstLine="720"/>
        <w:jc w:val="both"/>
        <w:rPr>
          <w:rFonts w:ascii="Times New Roman" w:hAnsi="Times New Roman"/>
        </w:rPr>
      </w:pPr>
      <w:r w:rsidRPr="00691AB7">
        <w:rPr>
          <w:rFonts w:ascii="Times New Roman" w:hAnsi="Times New Roman"/>
        </w:rPr>
        <w:t>Spresnenie a jednoznačné určenie pôsobnosti dozornej komisie Audiovizuálneho fondu pre výkon kontrolnej činnosti vo vzťahu k prijímateľom finančných prostriedkov z fondu a k použitiu týchto prostriedkov. Táto pôsobnosť dozornej komisie ako kontrolného orgánu fondu je uplatňovaná v praxi ako jedna z primárnych činností dozornej komisie.</w:t>
      </w:r>
    </w:p>
    <w:p w:rsidR="0001365F" w:rsidP="002716E1">
      <w:pPr>
        <w:bidi w:val="0"/>
        <w:jc w:val="both"/>
        <w:rPr>
          <w:rFonts w:ascii="Times New Roman" w:hAnsi="Times New Roman"/>
          <w:b/>
          <w:u w:val="single"/>
        </w:rPr>
      </w:pPr>
    </w:p>
    <w:p w:rsidR="002716E1" w:rsidRPr="00691AB7" w:rsidP="002716E1">
      <w:pPr>
        <w:bidi w:val="0"/>
        <w:jc w:val="both"/>
        <w:rPr>
          <w:rFonts w:ascii="Times New Roman" w:hAnsi="Times New Roman"/>
          <w:b/>
          <w:u w:val="single"/>
        </w:rPr>
      </w:pPr>
      <w:r w:rsidRPr="00691AB7">
        <w:rPr>
          <w:rFonts w:ascii="Times New Roman" w:hAnsi="Times New Roman"/>
          <w:b/>
          <w:u w:val="single"/>
        </w:rPr>
        <w:t xml:space="preserve">K bodu </w:t>
      </w:r>
      <w:r>
        <w:rPr>
          <w:rFonts w:ascii="Times New Roman" w:hAnsi="Times New Roman"/>
          <w:b/>
          <w:u w:val="single"/>
        </w:rPr>
        <w:t>6</w:t>
      </w:r>
      <w:r w:rsidRPr="00691AB7">
        <w:rPr>
          <w:rFonts w:ascii="Times New Roman" w:hAnsi="Times New Roman"/>
          <w:b/>
          <w:u w:val="single"/>
        </w:rPr>
        <w:t>:</w:t>
      </w:r>
    </w:p>
    <w:p w:rsidR="002716E1" w:rsidP="002716E1">
      <w:pPr>
        <w:bidi w:val="0"/>
        <w:jc w:val="both"/>
        <w:rPr>
          <w:rFonts w:ascii="Times New Roman" w:hAnsi="Times New Roman"/>
        </w:rPr>
      </w:pPr>
    </w:p>
    <w:p w:rsidR="002716E1" w:rsidP="002716E1">
      <w:pPr>
        <w:bidi w:val="0"/>
        <w:ind w:firstLine="720"/>
        <w:jc w:val="both"/>
        <w:rPr>
          <w:rFonts w:ascii="Times New Roman" w:hAnsi="Times New Roman"/>
        </w:rPr>
      </w:pPr>
      <w:r w:rsidRPr="00691AB7">
        <w:rPr>
          <w:rFonts w:ascii="Times New Roman" w:hAnsi="Times New Roman"/>
        </w:rPr>
        <w:t>Projekty zamerané na rozvoj vzdelávania a odborného výskumu v oblasti audiovizuálnej kultúry a filmového umenia v praxi realizujú aj právnické osoby. Navrhovaná úprava odstraňuje nadbytočný a neodôvodnený limit v určení oprávnených prijímateľov finančných prostriedkov z fondu určených na realizáciu takýchto projektov (workshopy, tréningy, výskumné projekty a iné).</w:t>
      </w:r>
      <w:r>
        <w:rPr>
          <w:rFonts w:ascii="Times New Roman" w:hAnsi="Times New Roman"/>
        </w:rPr>
        <w:t xml:space="preserve"> </w:t>
      </w:r>
    </w:p>
    <w:p w:rsidR="002716E1" w:rsidP="007C29BD">
      <w:pPr>
        <w:bidi w:val="0"/>
        <w:jc w:val="both"/>
        <w:rPr>
          <w:rFonts w:ascii="Times New Roman" w:hAnsi="Times New Roman"/>
        </w:rPr>
      </w:pPr>
    </w:p>
    <w:p w:rsidR="002716E1" w:rsidP="002716E1">
      <w:pPr>
        <w:bidi w:val="0"/>
        <w:jc w:val="both"/>
        <w:rPr>
          <w:rFonts w:ascii="Times New Roman" w:hAnsi="Times New Roman"/>
          <w:b/>
          <w:u w:val="single"/>
        </w:rPr>
      </w:pPr>
      <w:r w:rsidRPr="00691AB7">
        <w:rPr>
          <w:rFonts w:ascii="Times New Roman" w:hAnsi="Times New Roman"/>
          <w:b/>
          <w:u w:val="single"/>
        </w:rPr>
        <w:t>K bodu 7:</w:t>
      </w:r>
    </w:p>
    <w:p w:rsidR="002716E1" w:rsidP="002716E1">
      <w:pPr>
        <w:bidi w:val="0"/>
        <w:jc w:val="both"/>
        <w:rPr>
          <w:rFonts w:ascii="Times New Roman" w:hAnsi="Times New Roman"/>
          <w:b/>
          <w:u w:val="single"/>
        </w:rPr>
      </w:pPr>
    </w:p>
    <w:p w:rsidR="002716E1" w:rsidP="00A76501">
      <w:pPr>
        <w:bidi w:val="0"/>
        <w:ind w:firstLine="720"/>
        <w:jc w:val="both"/>
        <w:rPr>
          <w:rFonts w:ascii="Times New Roman" w:hAnsi="Times New Roman"/>
        </w:rPr>
      </w:pPr>
      <w:r>
        <w:rPr>
          <w:rFonts w:ascii="Times New Roman" w:hAnsi="Times New Roman"/>
        </w:rPr>
        <w:t>Navrhuje sa o</w:t>
      </w:r>
      <w:r w:rsidRPr="00691AB7">
        <w:rPr>
          <w:rFonts w:ascii="Times New Roman" w:hAnsi="Times New Roman"/>
        </w:rPr>
        <w:t>dstránenie administratívne zbytočne náročného a ekonomicky neefektívneho úkonu, ktorým je vrátenie administratívnej úhrady pri vyradení žiadosti. Vrátenie zaplatenej úhrady nemá ani vecné opodstatnenie, nakoľko aj pri takejto žiadosti musí fond vykonať všetky administratívne úkony spojené s kontrolou žiadosti, pričom náklady na tieto úkony znáša fond. Navrhovaná úprava odstraňuje aj nerovnosť žiadateľov v tých prípadoch, keď žiadosť nie je zaradená do procesu posudzovania z iného dôvodu než je vyradenie žiadosti (stiahnutie žiadosti žiadateľom, vrátenie žiadosti doručenej po termíne a pod.).</w:t>
      </w:r>
    </w:p>
    <w:p w:rsidR="002716E1" w:rsidP="002716E1">
      <w:pPr>
        <w:bidi w:val="0"/>
        <w:jc w:val="both"/>
        <w:rPr>
          <w:rFonts w:ascii="Times New Roman" w:hAnsi="Times New Roman"/>
          <w:b/>
          <w:u w:val="single"/>
        </w:rPr>
      </w:pPr>
      <w:r w:rsidRPr="00691AB7">
        <w:rPr>
          <w:rFonts w:ascii="Times New Roman" w:hAnsi="Times New Roman"/>
          <w:b/>
          <w:u w:val="single"/>
        </w:rPr>
        <w:t>K bodu 8:</w:t>
      </w:r>
    </w:p>
    <w:p w:rsidR="002716E1" w:rsidP="002716E1">
      <w:pPr>
        <w:bidi w:val="0"/>
        <w:jc w:val="both"/>
        <w:rPr>
          <w:rFonts w:ascii="Times New Roman" w:hAnsi="Times New Roman"/>
          <w:b/>
          <w:u w:val="single"/>
        </w:rPr>
      </w:pPr>
    </w:p>
    <w:p w:rsidR="002716E1" w:rsidP="002716E1">
      <w:pPr>
        <w:bidi w:val="0"/>
        <w:ind w:firstLine="720"/>
        <w:jc w:val="both"/>
        <w:rPr>
          <w:rFonts w:ascii="Times New Roman" w:hAnsi="Times New Roman"/>
        </w:rPr>
      </w:pPr>
      <w:r w:rsidRPr="00691AB7">
        <w:rPr>
          <w:rFonts w:ascii="Times New Roman" w:hAnsi="Times New Roman"/>
        </w:rPr>
        <w:t>Navrhovaná úprava umožňuje Audiovizuálnemu fondu legitímne získavať aj ďalšie finančné zdroje okrem tých, ktoré sú taxatívne určené zákonom.</w:t>
      </w:r>
    </w:p>
    <w:p w:rsidR="002716E1" w:rsidP="007C29BD">
      <w:pPr>
        <w:bidi w:val="0"/>
        <w:jc w:val="both"/>
        <w:rPr>
          <w:rFonts w:ascii="Times New Roman" w:hAnsi="Times New Roman"/>
        </w:rPr>
      </w:pPr>
    </w:p>
    <w:p w:rsidR="002716E1" w:rsidP="002716E1">
      <w:pPr>
        <w:bidi w:val="0"/>
        <w:jc w:val="both"/>
        <w:rPr>
          <w:rFonts w:ascii="Times New Roman" w:hAnsi="Times New Roman"/>
          <w:b/>
          <w:u w:val="single"/>
        </w:rPr>
      </w:pPr>
      <w:r w:rsidRPr="00691AB7">
        <w:rPr>
          <w:rFonts w:ascii="Times New Roman" w:hAnsi="Times New Roman"/>
          <w:b/>
          <w:u w:val="single"/>
        </w:rPr>
        <w:t xml:space="preserve">K bodu </w:t>
      </w:r>
      <w:smartTag w:uri="urn:schemas-microsoft-com:office:smarttags" w:element="metricconverter">
        <w:smartTagPr>
          <w:attr w:name="ProductID" w:val="9 a"/>
        </w:smartTagPr>
        <w:r w:rsidRPr="00691AB7">
          <w:rPr>
            <w:rFonts w:ascii="Times New Roman" w:hAnsi="Times New Roman"/>
            <w:b/>
            <w:u w:val="single"/>
          </w:rPr>
          <w:t>9</w:t>
        </w:r>
        <w:r>
          <w:rPr>
            <w:rFonts w:ascii="Times New Roman" w:hAnsi="Times New Roman"/>
            <w:b/>
            <w:u w:val="single"/>
          </w:rPr>
          <w:t xml:space="preserve"> a</w:t>
        </w:r>
      </w:smartTag>
      <w:r>
        <w:rPr>
          <w:rFonts w:ascii="Times New Roman" w:hAnsi="Times New Roman"/>
          <w:b/>
          <w:u w:val="single"/>
        </w:rPr>
        <w:t xml:space="preserve"> 10</w:t>
      </w:r>
      <w:r w:rsidRPr="00691AB7">
        <w:rPr>
          <w:rFonts w:ascii="Times New Roman" w:hAnsi="Times New Roman"/>
          <w:b/>
          <w:u w:val="single"/>
        </w:rPr>
        <w:t>:</w:t>
      </w:r>
    </w:p>
    <w:p w:rsidR="002716E1" w:rsidP="002716E1">
      <w:pPr>
        <w:bidi w:val="0"/>
        <w:jc w:val="both"/>
        <w:rPr>
          <w:rFonts w:ascii="Times New Roman" w:hAnsi="Times New Roman"/>
          <w:b/>
          <w:u w:val="single"/>
        </w:rPr>
      </w:pPr>
    </w:p>
    <w:p w:rsidR="002716E1" w:rsidP="002716E1">
      <w:pPr>
        <w:bidi w:val="0"/>
        <w:jc w:val="both"/>
        <w:rPr>
          <w:rFonts w:ascii="Times New Roman" w:hAnsi="Times New Roman"/>
        </w:rPr>
      </w:pPr>
      <w:r w:rsidRPr="00E17691">
        <w:rPr>
          <w:rFonts w:ascii="Times New Roman" w:hAnsi="Times New Roman"/>
          <w:b/>
        </w:rPr>
        <w:tab/>
      </w:r>
      <w:r w:rsidRPr="00691AB7">
        <w:rPr>
          <w:rFonts w:ascii="Times New Roman" w:hAnsi="Times New Roman"/>
        </w:rPr>
        <w:t xml:space="preserve">Spresnenie rozsahu povinnosti fondu použiť </w:t>
      </w:r>
      <w:r w:rsidRPr="00E17691">
        <w:rPr>
          <w:rFonts w:ascii="Times New Roman" w:hAnsi="Times New Roman"/>
        </w:rPr>
        <w:t>najmenej</w:t>
      </w:r>
      <w:r w:rsidRPr="00691AB7">
        <w:rPr>
          <w:rFonts w:ascii="Times New Roman" w:hAnsi="Times New Roman"/>
        </w:rPr>
        <w:t xml:space="preserve"> 95% svojich príjmov na </w:t>
      </w:r>
      <w:r>
        <w:rPr>
          <w:rFonts w:ascii="Times New Roman" w:hAnsi="Times New Roman"/>
        </w:rPr>
        <w:t xml:space="preserve">uskutočňovanie základného účelu fondu, ktorým je </w:t>
      </w:r>
      <w:r w:rsidRPr="00691AB7">
        <w:rPr>
          <w:rFonts w:ascii="Times New Roman" w:hAnsi="Times New Roman"/>
        </w:rPr>
        <w:t>podporn</w:t>
      </w:r>
      <w:r>
        <w:rPr>
          <w:rFonts w:ascii="Times New Roman" w:hAnsi="Times New Roman"/>
        </w:rPr>
        <w:t>á</w:t>
      </w:r>
      <w:r w:rsidRPr="00691AB7">
        <w:rPr>
          <w:rFonts w:ascii="Times New Roman" w:hAnsi="Times New Roman"/>
        </w:rPr>
        <w:t xml:space="preserve"> činnosť</w:t>
      </w:r>
      <w:r>
        <w:rPr>
          <w:rFonts w:ascii="Times New Roman" w:hAnsi="Times New Roman"/>
        </w:rPr>
        <w:t xml:space="preserve"> podľa zákona</w:t>
      </w:r>
      <w:r w:rsidRPr="00691AB7">
        <w:rPr>
          <w:rFonts w:ascii="Times New Roman" w:hAnsi="Times New Roman"/>
        </w:rPr>
        <w:t xml:space="preserve">. Táto povinnosť by sa </w:t>
      </w:r>
      <w:r>
        <w:rPr>
          <w:rFonts w:ascii="Times New Roman" w:hAnsi="Times New Roman"/>
        </w:rPr>
        <w:t xml:space="preserve">však </w:t>
      </w:r>
      <w:r w:rsidRPr="00691AB7">
        <w:rPr>
          <w:rFonts w:ascii="Times New Roman" w:hAnsi="Times New Roman"/>
        </w:rPr>
        <w:t>mala viazať len na tie príjmy fondu, ktoré sú na tento základný účel priamo určené – t.j. príspevky podľa § 24 až 29 zákona</w:t>
      </w:r>
      <w:r>
        <w:rPr>
          <w:rFonts w:ascii="Times New Roman" w:hAnsi="Times New Roman"/>
        </w:rPr>
        <w:t>, ako aj novo navrhované iné príjmy (najmä dary alebo dobrovoľné príspevky) a sankcie za neoprávnené použitie prostriedkov fondu</w:t>
      </w:r>
      <w:r w:rsidRPr="00691AB7">
        <w:rPr>
          <w:rFonts w:ascii="Times New Roman" w:hAnsi="Times New Roman"/>
        </w:rPr>
        <w:t>. Použitie 95% administratívn</w:t>
      </w:r>
      <w:r>
        <w:rPr>
          <w:rFonts w:ascii="Times New Roman" w:hAnsi="Times New Roman"/>
        </w:rPr>
        <w:t>ych</w:t>
      </w:r>
      <w:r w:rsidRPr="00691AB7">
        <w:rPr>
          <w:rFonts w:ascii="Times New Roman" w:hAnsi="Times New Roman"/>
        </w:rPr>
        <w:t xml:space="preserve"> úhrad na podpornú činnosť je v súčasnej právnej úprave v priamom rozpore s charakterom týchto príjmov </w:t>
      </w:r>
      <w:r>
        <w:rPr>
          <w:rFonts w:ascii="Times New Roman" w:hAnsi="Times New Roman"/>
        </w:rPr>
        <w:t>–</w:t>
      </w:r>
      <w:r w:rsidRPr="00691AB7">
        <w:rPr>
          <w:rFonts w:ascii="Times New Roman" w:hAnsi="Times New Roman"/>
        </w:rPr>
        <w:t xml:space="preserve"> administratívne úhrady sú podľa § 21 priamo určené na úhradu nákladov spojených s </w:t>
      </w:r>
      <w:r>
        <w:rPr>
          <w:rFonts w:ascii="Times New Roman" w:hAnsi="Times New Roman"/>
        </w:rPr>
        <w:t xml:space="preserve">administratívnym </w:t>
      </w:r>
      <w:r w:rsidRPr="00691AB7">
        <w:rPr>
          <w:rFonts w:ascii="Times New Roman" w:hAnsi="Times New Roman"/>
        </w:rPr>
        <w:t>spracovaním žiadosti</w:t>
      </w:r>
      <w:r>
        <w:rPr>
          <w:rFonts w:ascii="Times New Roman" w:hAnsi="Times New Roman"/>
        </w:rPr>
        <w:t xml:space="preserve">, ako aj na úhradu súvisiacich </w:t>
      </w:r>
      <w:r w:rsidRPr="00691AB7">
        <w:rPr>
          <w:rFonts w:ascii="Times New Roman" w:hAnsi="Times New Roman"/>
        </w:rPr>
        <w:t>nákladov spojených s</w:t>
      </w:r>
      <w:r>
        <w:rPr>
          <w:rFonts w:ascii="Times New Roman" w:hAnsi="Times New Roman"/>
        </w:rPr>
        <w:t> </w:t>
      </w:r>
      <w:r w:rsidRPr="00691AB7">
        <w:rPr>
          <w:rFonts w:ascii="Times New Roman" w:hAnsi="Times New Roman"/>
        </w:rPr>
        <w:t>auditom</w:t>
      </w:r>
      <w:r>
        <w:rPr>
          <w:rFonts w:ascii="Times New Roman" w:hAnsi="Times New Roman"/>
        </w:rPr>
        <w:t xml:space="preserve"> a</w:t>
      </w:r>
      <w:r w:rsidRPr="00691AB7">
        <w:rPr>
          <w:rFonts w:ascii="Times New Roman" w:hAnsi="Times New Roman"/>
        </w:rPr>
        <w:t xml:space="preserve"> kontrolou použitia </w:t>
      </w:r>
      <w:r>
        <w:rPr>
          <w:rFonts w:ascii="Times New Roman" w:hAnsi="Times New Roman"/>
        </w:rPr>
        <w:t>prostriedkov poskytnutých fondom.</w:t>
      </w:r>
      <w:r w:rsidRPr="00E17691">
        <w:rPr>
          <w:rFonts w:ascii="Times New Roman" w:hAnsi="Times New Roman"/>
        </w:rPr>
        <w:t xml:space="preserve"> </w:t>
      </w:r>
      <w:r>
        <w:rPr>
          <w:rFonts w:ascii="Times New Roman" w:hAnsi="Times New Roman"/>
        </w:rPr>
        <w:t>Podobne aj</w:t>
      </w:r>
      <w:r w:rsidRPr="00691AB7">
        <w:rPr>
          <w:rFonts w:ascii="Times New Roman" w:hAnsi="Times New Roman"/>
        </w:rPr>
        <w:t xml:space="preserve"> úroky z vkladov v bankách by mali byť v prvom rade použité na úhradu nákladov spojených s vedení</w:t>
      </w:r>
      <w:r>
        <w:rPr>
          <w:rFonts w:ascii="Times New Roman" w:hAnsi="Times New Roman"/>
        </w:rPr>
        <w:t xml:space="preserve">m účtov v bankách.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sidRPr="00691AB7">
        <w:rPr>
          <w:rFonts w:ascii="Times New Roman" w:hAnsi="Times New Roman"/>
          <w:b/>
          <w:u w:val="single"/>
        </w:rPr>
        <w:t>K bodu 11:</w:t>
      </w:r>
    </w:p>
    <w:p w:rsidR="002716E1" w:rsidP="002716E1">
      <w:pPr>
        <w:bidi w:val="0"/>
        <w:jc w:val="both"/>
        <w:rPr>
          <w:rFonts w:ascii="Times New Roman" w:hAnsi="Times New Roman"/>
          <w:b/>
          <w:u w:val="single"/>
        </w:rPr>
      </w:pPr>
    </w:p>
    <w:p w:rsidR="002716E1" w:rsidP="0001365F">
      <w:pPr>
        <w:bidi w:val="0"/>
        <w:ind w:firstLine="720"/>
        <w:jc w:val="both"/>
        <w:rPr>
          <w:rFonts w:ascii="Times New Roman" w:hAnsi="Times New Roman"/>
        </w:rPr>
      </w:pPr>
      <w:r w:rsidRPr="00691AB7">
        <w:rPr>
          <w:rFonts w:ascii="Times New Roman" w:hAnsi="Times New Roman"/>
        </w:rPr>
        <w:t>Odstránenie štylistickej nepresnosti v súčasnom znení.</w:t>
      </w:r>
    </w:p>
    <w:p w:rsidR="0001365F" w:rsidRPr="0001365F" w:rsidP="0001365F">
      <w:pPr>
        <w:bidi w:val="0"/>
        <w:ind w:firstLine="720"/>
        <w:jc w:val="both"/>
        <w:rPr>
          <w:rFonts w:ascii="Times New Roman" w:hAnsi="Times New Roman"/>
        </w:rPr>
      </w:pPr>
    </w:p>
    <w:p w:rsidR="0001365F" w:rsidP="002716E1">
      <w:pPr>
        <w:bidi w:val="0"/>
        <w:jc w:val="both"/>
        <w:rPr>
          <w:rFonts w:ascii="Times New Roman" w:hAnsi="Times New Roman"/>
          <w:b/>
        </w:rPr>
      </w:pPr>
    </w:p>
    <w:p w:rsidR="002716E1" w:rsidRPr="00187008" w:rsidP="002716E1">
      <w:pPr>
        <w:bidi w:val="0"/>
        <w:jc w:val="both"/>
        <w:rPr>
          <w:rFonts w:ascii="Times New Roman" w:hAnsi="Times New Roman"/>
          <w:b/>
        </w:rPr>
      </w:pPr>
      <w:r w:rsidRPr="00187008">
        <w:rPr>
          <w:rFonts w:ascii="Times New Roman" w:hAnsi="Times New Roman"/>
          <w:b/>
        </w:rPr>
        <w:t>K čl. III</w:t>
      </w:r>
    </w:p>
    <w:p w:rsidR="002716E1" w:rsidP="002716E1">
      <w:pPr>
        <w:bidi w:val="0"/>
        <w:rPr>
          <w:rFonts w:ascii="Times New Roman" w:hAnsi="Times New Roman"/>
          <w:b/>
          <w:u w:val="single"/>
        </w:rPr>
      </w:pPr>
    </w:p>
    <w:p w:rsidR="002716E1" w:rsidP="002716E1">
      <w:pPr>
        <w:bidi w:val="0"/>
        <w:rPr>
          <w:rFonts w:ascii="Times New Roman" w:hAnsi="Times New Roman"/>
          <w:b/>
          <w:u w:val="single"/>
        </w:rPr>
      </w:pPr>
      <w:r>
        <w:rPr>
          <w:rFonts w:ascii="Times New Roman" w:hAnsi="Times New Roman"/>
          <w:b/>
          <w:u w:val="single"/>
        </w:rPr>
        <w:t>K bodu 1:</w:t>
      </w:r>
    </w:p>
    <w:p w:rsidR="002716E1" w:rsidP="002716E1">
      <w:pPr>
        <w:bidi w:val="0"/>
        <w:rPr>
          <w:rFonts w:ascii="Times New Roman" w:hAnsi="Times New Roman"/>
          <w:b/>
          <w:u w:val="single"/>
        </w:rPr>
      </w:pPr>
    </w:p>
    <w:p w:rsidR="002716E1" w:rsidRPr="00B47A7E" w:rsidP="002716E1">
      <w:pPr>
        <w:bidi w:val="0"/>
        <w:ind w:firstLine="708"/>
        <w:jc w:val="both"/>
        <w:rPr>
          <w:rFonts w:ascii="Times New Roman" w:hAnsi="Times New Roman"/>
        </w:rPr>
      </w:pPr>
      <w:r>
        <w:rPr>
          <w:rFonts w:ascii="Times New Roman" w:hAnsi="Times New Roman"/>
        </w:rPr>
        <w:t xml:space="preserve">Ide o legislatívno-technickú úpravu súvisiacu so zámerom ponechať v platnosti súčasný systém financovania verejnoprávneho vysielateľa. Zároveň sa navrhuje zmena názvu zmluvy so štátom.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K bodom 2, 4 až 18:</w:t>
      </w:r>
    </w:p>
    <w:p w:rsidR="002716E1" w:rsidP="002716E1">
      <w:pPr>
        <w:bidi w:val="0"/>
        <w:jc w:val="both"/>
        <w:rPr>
          <w:rFonts w:ascii="Times New Roman" w:hAnsi="Times New Roman"/>
          <w:b/>
          <w:u w:val="single"/>
        </w:rPr>
      </w:pPr>
    </w:p>
    <w:p w:rsidR="002716E1" w:rsidP="007C29BD">
      <w:pPr>
        <w:bidi w:val="0"/>
        <w:ind w:firstLine="708"/>
        <w:jc w:val="both"/>
        <w:rPr>
          <w:rFonts w:ascii="Times New Roman" w:hAnsi="Times New Roman"/>
        </w:rPr>
      </w:pPr>
      <w:r w:rsidRPr="00B47A7E">
        <w:rPr>
          <w:rFonts w:ascii="Times New Roman" w:hAnsi="Times New Roman"/>
        </w:rPr>
        <w:t xml:space="preserve">Ide o legislatívno-technickú úpravu </w:t>
      </w:r>
      <w:r>
        <w:rPr>
          <w:rFonts w:ascii="Times New Roman" w:hAnsi="Times New Roman"/>
        </w:rPr>
        <w:t xml:space="preserve">súvisiacu s cieľom ponechať v platnosti súčasný systém financovania verejnoprávneho vysielateľa založený na úhradách za služby verejnosti poskytované Rozhlasom a televíziou Slovenska a príspevku zo štátneho rozpočtu podľa zákona o štátnom rozpočte  na príslušný rozpočtový rok poskytovaného na základe zmluvy so štátom, ktorý je určený na uskutočnenie programov vo verejnom záujme, na uskutočnenie účelových investičných projektov alebo na úhradu výdavkov na zabezpečenie rozhlasového vysielania do zahraničia. </w:t>
      </w:r>
    </w:p>
    <w:p w:rsidR="002716E1" w:rsidP="002716E1">
      <w:pPr>
        <w:bidi w:val="0"/>
        <w:jc w:val="both"/>
        <w:rPr>
          <w:rFonts w:ascii="Times New Roman" w:hAnsi="Times New Roman"/>
        </w:rPr>
      </w:pPr>
    </w:p>
    <w:p w:rsidR="002716E1" w:rsidP="002716E1">
      <w:pPr>
        <w:bidi w:val="0"/>
        <w:jc w:val="both"/>
        <w:rPr>
          <w:rFonts w:ascii="Times New Roman" w:hAnsi="Times New Roman"/>
          <w:b/>
          <w:u w:val="single"/>
        </w:rPr>
      </w:pPr>
      <w:r>
        <w:rPr>
          <w:rFonts w:ascii="Times New Roman" w:hAnsi="Times New Roman"/>
          <w:b/>
          <w:u w:val="single"/>
        </w:rPr>
        <w:t>K bodu 3</w:t>
      </w:r>
      <w:r w:rsidRPr="00CA1A30">
        <w:rPr>
          <w:rFonts w:ascii="Times New Roman" w:hAnsi="Times New Roman"/>
          <w:b/>
          <w:u w:val="single"/>
        </w:rPr>
        <w:t>:</w:t>
      </w:r>
    </w:p>
    <w:p w:rsidR="002716E1" w:rsidP="002716E1">
      <w:pPr>
        <w:bidi w:val="0"/>
        <w:jc w:val="both"/>
        <w:rPr>
          <w:rFonts w:ascii="Times New Roman" w:hAnsi="Times New Roman"/>
          <w:b/>
          <w:u w:val="single"/>
        </w:rPr>
      </w:pPr>
    </w:p>
    <w:p w:rsidR="002716E1" w:rsidP="002716E1">
      <w:pPr>
        <w:bidi w:val="0"/>
        <w:ind w:firstLine="708"/>
        <w:jc w:val="both"/>
        <w:rPr>
          <w:rFonts w:ascii="Times New Roman" w:hAnsi="Times New Roman"/>
        </w:rPr>
      </w:pPr>
      <w:r w:rsidRPr="00CA1A30">
        <w:rPr>
          <w:rFonts w:ascii="Times New Roman" w:hAnsi="Times New Roman"/>
        </w:rPr>
        <w:t xml:space="preserve">Rozširuje sa okruh subjektov </w:t>
      </w:r>
      <w:r>
        <w:rPr>
          <w:rFonts w:ascii="Times New Roman" w:hAnsi="Times New Roman"/>
        </w:rPr>
        <w:t xml:space="preserve">oprávnených predkladať príslušnému výboru Národnej rady Slovenskej republiky návrhy kandidátov na členov rady Rozhlasu a televízie Slovenska. </w:t>
      </w:r>
    </w:p>
    <w:p w:rsidR="002716E1" w:rsidP="002716E1">
      <w:pPr>
        <w:bidi w:val="0"/>
        <w:jc w:val="both"/>
        <w:rPr>
          <w:rFonts w:ascii="Times New Roman" w:hAnsi="Times New Roman"/>
        </w:rPr>
      </w:pPr>
    </w:p>
    <w:p w:rsidR="00A76501" w:rsidP="002716E1">
      <w:pPr>
        <w:bidi w:val="0"/>
        <w:jc w:val="both"/>
        <w:rPr>
          <w:rFonts w:ascii="Times New Roman" w:hAnsi="Times New Roman"/>
          <w:b/>
          <w:u w:val="single"/>
        </w:rPr>
      </w:pPr>
    </w:p>
    <w:p w:rsidR="00A76501" w:rsidP="002716E1">
      <w:pPr>
        <w:bidi w:val="0"/>
        <w:jc w:val="both"/>
        <w:rPr>
          <w:rFonts w:ascii="Times New Roman" w:hAnsi="Times New Roman"/>
          <w:b/>
          <w:u w:val="single"/>
        </w:rPr>
      </w:pPr>
    </w:p>
    <w:p w:rsidR="00A76501" w:rsidP="002716E1">
      <w:pPr>
        <w:bidi w:val="0"/>
        <w:jc w:val="both"/>
        <w:rPr>
          <w:rFonts w:ascii="Times New Roman" w:hAnsi="Times New Roman"/>
          <w:b/>
          <w:u w:val="single"/>
        </w:rPr>
      </w:pPr>
    </w:p>
    <w:p w:rsidR="002716E1" w:rsidP="002716E1">
      <w:pPr>
        <w:bidi w:val="0"/>
        <w:jc w:val="both"/>
        <w:rPr>
          <w:rFonts w:ascii="Times New Roman" w:hAnsi="Times New Roman"/>
          <w:b/>
          <w:u w:val="single"/>
        </w:rPr>
      </w:pPr>
      <w:r w:rsidRPr="006C0F49">
        <w:rPr>
          <w:rFonts w:ascii="Times New Roman" w:hAnsi="Times New Roman"/>
          <w:b/>
          <w:u w:val="single"/>
        </w:rPr>
        <w:t>K bodu 19:</w:t>
      </w:r>
    </w:p>
    <w:p w:rsidR="002716E1" w:rsidP="002716E1">
      <w:pPr>
        <w:bidi w:val="0"/>
        <w:jc w:val="both"/>
        <w:rPr>
          <w:rFonts w:ascii="Times New Roman" w:hAnsi="Times New Roman"/>
          <w:b/>
          <w:u w:val="single"/>
        </w:rPr>
      </w:pPr>
    </w:p>
    <w:p w:rsidR="002716E1" w:rsidRPr="00CA63E1" w:rsidP="002716E1">
      <w:pPr>
        <w:bidi w:val="0"/>
        <w:ind w:firstLine="708"/>
        <w:jc w:val="both"/>
        <w:rPr>
          <w:rFonts w:ascii="Times New Roman" w:hAnsi="Times New Roman"/>
        </w:rPr>
      </w:pPr>
      <w:r>
        <w:rPr>
          <w:rFonts w:ascii="Times New Roman" w:hAnsi="Times New Roman"/>
        </w:rPr>
        <w:t xml:space="preserve">Ustanovenie § 27a sa vypúšťa. Ustanovenia § 27a súvisia so zrušením zákona č. 68/2008 Z. z. o úhrade za služby verejnosti poskytované Slovenskou televíziou a Slovenským rozhlasom a o zmene a doplnení niektorých zákonov v znení zákona č. 532/2010 Z. z. a preto by mali byť upravené v čl. I návrhu zákona. Zároveň sa vypúšťa poznámka pod čiarou k odkazu č. 45. </w:t>
      </w:r>
    </w:p>
    <w:p w:rsidR="002716E1" w:rsidP="002716E1">
      <w:pPr>
        <w:bidi w:val="0"/>
        <w:jc w:val="both"/>
        <w:rPr>
          <w:rFonts w:ascii="Times New Roman" w:hAnsi="Times New Roman"/>
          <w:b/>
          <w:u w:val="single"/>
        </w:rPr>
      </w:pPr>
    </w:p>
    <w:p w:rsidR="002716E1" w:rsidRPr="00B47A7E" w:rsidP="002716E1">
      <w:pPr>
        <w:bidi w:val="0"/>
        <w:jc w:val="both"/>
        <w:rPr>
          <w:rFonts w:ascii="Times New Roman" w:hAnsi="Times New Roman"/>
          <w:b/>
          <w:u w:val="single"/>
        </w:rPr>
      </w:pPr>
      <w:r>
        <w:rPr>
          <w:rFonts w:ascii="Times New Roman" w:hAnsi="Times New Roman"/>
          <w:b/>
          <w:u w:val="single"/>
        </w:rPr>
        <w:t>K čl. IV:</w:t>
      </w:r>
    </w:p>
    <w:p w:rsidR="002716E1" w:rsidP="002716E1">
      <w:pPr>
        <w:bidi w:val="0"/>
        <w:jc w:val="both"/>
        <w:rPr>
          <w:rFonts w:ascii="Times New Roman" w:hAnsi="Times New Roman"/>
        </w:rPr>
      </w:pPr>
    </w:p>
    <w:p w:rsidR="002716E1" w:rsidP="002716E1">
      <w:pPr>
        <w:bidi w:val="0"/>
        <w:ind w:firstLine="708"/>
        <w:jc w:val="both"/>
        <w:rPr>
          <w:rFonts w:ascii="Times New Roman" w:hAnsi="Times New Roman"/>
        </w:rPr>
      </w:pPr>
      <w:r>
        <w:rPr>
          <w:rFonts w:ascii="Times New Roman" w:hAnsi="Times New Roman"/>
        </w:rPr>
        <w:t xml:space="preserve">Navrhuje sa účinnosť zákona na 1. január 2013, okrem čl. III bodu 19, ktorý nadobúda účinnosť 31. decembra 2012.   </w:t>
      </w:r>
    </w:p>
    <w:p w:rsidR="002716E1" w:rsidP="002716E1">
      <w:pPr>
        <w:bidi w:val="0"/>
        <w:rPr>
          <w:rFonts w:ascii="Times New Roman" w:hAnsi="Times New Roman"/>
        </w:rPr>
      </w:pPr>
    </w:p>
    <w:p w:rsidR="00DC53FD" w:rsidP="002716E1">
      <w:pPr>
        <w:bidi w:val="0"/>
        <w:rPr>
          <w:rFonts w:ascii="Times New Roman" w:hAnsi="Times New Roman"/>
        </w:rPr>
      </w:pPr>
    </w:p>
    <w:p w:rsidR="00DC53FD" w:rsidP="002716E1">
      <w:pPr>
        <w:bidi w:val="0"/>
        <w:rPr>
          <w:rFonts w:ascii="Times New Roman" w:hAnsi="Times New Roman"/>
        </w:rPr>
      </w:pPr>
    </w:p>
    <w:p w:rsidR="00C12F91" w:rsidP="002716E1">
      <w:pPr>
        <w:bidi w:val="0"/>
        <w:rPr>
          <w:rFonts w:ascii="Times New Roman" w:hAnsi="Times New Roman"/>
        </w:rPr>
      </w:pPr>
    </w:p>
    <w:p w:rsidR="00DC53FD" w:rsidP="002716E1">
      <w:pPr>
        <w:bidi w:val="0"/>
        <w:rPr>
          <w:rFonts w:ascii="Times New Roman" w:hAnsi="Times New Roman"/>
          <w:b/>
          <w:bCs/>
          <w:color w:val="000000"/>
        </w:rPr>
      </w:pPr>
    </w:p>
    <w:p w:rsidR="002716E1" w:rsidRPr="005D52EE" w:rsidP="002716E1">
      <w:pPr>
        <w:bidi w:val="0"/>
        <w:rPr>
          <w:rFonts w:ascii="Times New Roman" w:hAnsi="Times New Roman"/>
        </w:rPr>
      </w:pPr>
      <w:r>
        <w:rPr>
          <w:rFonts w:ascii="Times New Roman" w:hAnsi="Times New Roman"/>
          <w:b/>
          <w:bCs/>
          <w:color w:val="000000"/>
        </w:rPr>
        <w:t xml:space="preserve"> </w:t>
      </w:r>
      <w:r w:rsidRPr="00EC4FCB" w:rsidR="00EC4FCB">
        <w:rPr>
          <w:rFonts w:ascii="Times New Roman" w:hAnsi="Times New Roman"/>
        </w:rPr>
        <w:t>Bratislava 22</w:t>
      </w:r>
      <w:r w:rsidRPr="00EC4FCB">
        <w:rPr>
          <w:rFonts w:ascii="Times New Roman" w:hAnsi="Times New Roman"/>
        </w:rPr>
        <w:t>. augusta 2012</w:t>
      </w:r>
    </w:p>
    <w:p w:rsidR="002716E1" w:rsidRPr="005D52EE" w:rsidP="002716E1">
      <w:pPr>
        <w:autoSpaceDE w:val="0"/>
        <w:autoSpaceDN w:val="0"/>
        <w:bidi w:val="0"/>
        <w:ind w:right="-288"/>
        <w:jc w:val="both"/>
        <w:rPr>
          <w:rFonts w:ascii="Times New Roman" w:hAnsi="Times New Roman"/>
        </w:rPr>
      </w:pPr>
    </w:p>
    <w:p w:rsidR="002716E1" w:rsidRPr="005D52EE" w:rsidP="002716E1">
      <w:pPr>
        <w:autoSpaceDE w:val="0"/>
        <w:autoSpaceDN w:val="0"/>
        <w:bidi w:val="0"/>
        <w:ind w:right="-288"/>
        <w:jc w:val="both"/>
        <w:rPr>
          <w:rFonts w:ascii="Times New Roman" w:hAnsi="Times New Roman"/>
        </w:rPr>
      </w:pPr>
    </w:p>
    <w:p w:rsidR="002716E1" w:rsidRPr="005D52EE" w:rsidP="002716E1">
      <w:pPr>
        <w:autoSpaceDE w:val="0"/>
        <w:autoSpaceDN w:val="0"/>
        <w:bidi w:val="0"/>
        <w:ind w:right="-288"/>
        <w:jc w:val="both"/>
        <w:rPr>
          <w:rFonts w:ascii="Times New Roman" w:hAnsi="Times New Roman"/>
        </w:rPr>
      </w:pPr>
    </w:p>
    <w:p w:rsidR="002716E1" w:rsidRPr="005D52EE" w:rsidP="002716E1">
      <w:pPr>
        <w:autoSpaceDE w:val="0"/>
        <w:autoSpaceDN w:val="0"/>
        <w:bidi w:val="0"/>
        <w:ind w:right="-288"/>
        <w:jc w:val="both"/>
        <w:rPr>
          <w:rFonts w:ascii="Times New Roman" w:hAnsi="Times New Roman"/>
        </w:rPr>
      </w:pPr>
      <w:r w:rsidRPr="005D52EE">
        <w:rPr>
          <w:rFonts w:ascii="Times New Roman" w:hAnsi="Times New Roman"/>
        </w:rPr>
        <w:t xml:space="preserve">                                                                        </w:t>
      </w:r>
    </w:p>
    <w:p w:rsidR="002716E1" w:rsidRPr="007C29BD" w:rsidP="002716E1">
      <w:pPr>
        <w:bidi w:val="0"/>
        <w:jc w:val="center"/>
        <w:rPr>
          <w:rFonts w:ascii="Times New Roman" w:hAnsi="Times New Roman"/>
        </w:rPr>
      </w:pPr>
      <w:r w:rsidRPr="007C29BD">
        <w:rPr>
          <w:rFonts w:ascii="Times New Roman" w:hAnsi="Times New Roman"/>
        </w:rPr>
        <w:t>Robert Fico</w:t>
      </w:r>
      <w:r w:rsidR="00DC6C1C">
        <w:rPr>
          <w:rFonts w:ascii="Times New Roman" w:hAnsi="Times New Roman"/>
        </w:rPr>
        <w:t xml:space="preserve">, v. r. </w:t>
      </w:r>
    </w:p>
    <w:p w:rsidR="002716E1" w:rsidRPr="007C29BD" w:rsidP="002716E1">
      <w:pPr>
        <w:bidi w:val="0"/>
        <w:jc w:val="center"/>
        <w:rPr>
          <w:rFonts w:ascii="Times New Roman" w:hAnsi="Times New Roman"/>
        </w:rPr>
      </w:pPr>
      <w:r w:rsidRPr="007C29BD">
        <w:rPr>
          <w:rFonts w:ascii="Times New Roman" w:hAnsi="Times New Roman"/>
        </w:rPr>
        <w:t>predseda vlády</w:t>
      </w:r>
    </w:p>
    <w:p w:rsidR="002716E1" w:rsidRPr="007C29BD" w:rsidP="002716E1">
      <w:pPr>
        <w:bidi w:val="0"/>
        <w:jc w:val="center"/>
        <w:rPr>
          <w:rFonts w:ascii="Times New Roman" w:hAnsi="Times New Roman"/>
        </w:rPr>
      </w:pPr>
      <w:r w:rsidRPr="007C29BD">
        <w:rPr>
          <w:rFonts w:ascii="Times New Roman" w:hAnsi="Times New Roman"/>
        </w:rPr>
        <w:t>Slovenskej republiky</w:t>
      </w:r>
    </w:p>
    <w:p w:rsidR="002716E1" w:rsidRPr="007C29BD" w:rsidP="002716E1">
      <w:pPr>
        <w:bidi w:val="0"/>
        <w:jc w:val="center"/>
        <w:rPr>
          <w:rFonts w:ascii="Times New Roman" w:hAnsi="Times New Roman"/>
        </w:rPr>
      </w:pPr>
    </w:p>
    <w:p w:rsidR="002716E1" w:rsidRPr="007C29BD" w:rsidP="002716E1">
      <w:pPr>
        <w:bidi w:val="0"/>
        <w:jc w:val="center"/>
        <w:rPr>
          <w:rFonts w:ascii="Times New Roman" w:hAnsi="Times New Roman"/>
        </w:rPr>
      </w:pPr>
    </w:p>
    <w:p w:rsidR="002716E1" w:rsidRPr="007C29BD" w:rsidP="002716E1">
      <w:pPr>
        <w:bidi w:val="0"/>
        <w:jc w:val="center"/>
        <w:rPr>
          <w:rFonts w:ascii="Times New Roman" w:hAnsi="Times New Roman"/>
        </w:rPr>
      </w:pPr>
    </w:p>
    <w:p w:rsidR="002716E1" w:rsidRPr="007C29BD" w:rsidP="002716E1">
      <w:pPr>
        <w:bidi w:val="0"/>
        <w:jc w:val="center"/>
        <w:rPr>
          <w:rFonts w:ascii="Times New Roman" w:hAnsi="Times New Roman"/>
        </w:rPr>
      </w:pPr>
      <w:r w:rsidRPr="007C29BD">
        <w:rPr>
          <w:rFonts w:ascii="Times New Roman" w:hAnsi="Times New Roman"/>
        </w:rPr>
        <w:t>Marek Maďarič</w:t>
      </w:r>
      <w:r w:rsidR="00DC6C1C">
        <w:rPr>
          <w:rFonts w:ascii="Times New Roman" w:hAnsi="Times New Roman"/>
        </w:rPr>
        <w:t xml:space="preserve">, v. r. </w:t>
      </w:r>
    </w:p>
    <w:p w:rsidR="002716E1" w:rsidRPr="007C29BD" w:rsidP="002716E1">
      <w:pPr>
        <w:bidi w:val="0"/>
        <w:jc w:val="center"/>
        <w:rPr>
          <w:rFonts w:ascii="Times New Roman" w:hAnsi="Times New Roman"/>
        </w:rPr>
      </w:pPr>
      <w:r w:rsidRPr="007C29BD">
        <w:rPr>
          <w:rFonts w:ascii="Times New Roman" w:hAnsi="Times New Roman"/>
        </w:rPr>
        <w:t>minister kultúry</w:t>
      </w:r>
    </w:p>
    <w:p w:rsidR="002716E1" w:rsidRPr="005D52EE" w:rsidP="002716E1">
      <w:pPr>
        <w:bidi w:val="0"/>
        <w:jc w:val="center"/>
        <w:rPr>
          <w:rFonts w:ascii="Times New Roman" w:hAnsi="Times New Roman"/>
        </w:rPr>
      </w:pPr>
      <w:r w:rsidRPr="007C29BD">
        <w:rPr>
          <w:rFonts w:ascii="Times New Roman" w:hAnsi="Times New Roman"/>
        </w:rPr>
        <w:t>Slovenskej republiky</w:t>
      </w:r>
    </w:p>
    <w:p w:rsidR="00580ADF" w:rsidRPr="008C36EF" w:rsidP="00580ADF">
      <w:pPr>
        <w:bidi w:val="0"/>
        <w:jc w:val="both"/>
        <w:rPr>
          <w:rFonts w:ascii="Times New Roman" w:hAnsi="Times New Roman"/>
          <w:b/>
          <w:bCs/>
          <w:color w:val="000000"/>
        </w:rPr>
      </w:pPr>
    </w:p>
    <w:p w:rsidR="00580ADF" w:rsidP="00580ADF">
      <w:pPr>
        <w:tabs>
          <w:tab w:val="left" w:pos="360"/>
        </w:tabs>
        <w:bidi w:val="0"/>
        <w:ind w:left="360"/>
        <w:rPr>
          <w:rFonts w:ascii="Times New Roman" w:hAnsi="Times New Roman"/>
        </w:rPr>
      </w:pPr>
    </w:p>
    <w:p w:rsidR="00580ADF" w:rsidP="00580ADF">
      <w:pPr>
        <w:tabs>
          <w:tab w:val="left" w:pos="360"/>
        </w:tabs>
        <w:bidi w:val="0"/>
        <w:ind w:left="360"/>
        <w:rPr>
          <w:rFonts w:ascii="Times New Roman" w:hAnsi="Times New Roman"/>
        </w:rPr>
      </w:pPr>
    </w:p>
    <w:p w:rsidR="00580ADF" w:rsidRPr="00580ADF" w:rsidP="00580ADF">
      <w:pPr>
        <w:tabs>
          <w:tab w:val="left" w:pos="360"/>
        </w:tabs>
        <w:bidi w:val="0"/>
        <w:ind w:left="360"/>
        <w:rPr>
          <w:rFonts w:ascii="Times New Roman" w:hAnsi="Times New Roman"/>
        </w:rPr>
      </w:pPr>
      <w:r w:rsidRPr="00580ADF">
        <w:rPr>
          <w:rFonts w:ascii="Times New Roman" w:hAnsi="Times New Roman"/>
        </w:rPr>
        <w:br/>
        <w:t> </w:t>
      </w:r>
    </w:p>
    <w:p w:rsidR="00580ADF" w:rsidRPr="00580ADF" w:rsidP="00580ADF">
      <w:pPr>
        <w:tabs>
          <w:tab w:val="left" w:pos="360"/>
        </w:tabs>
        <w:bidi w:val="0"/>
        <w:rPr>
          <w:rFonts w:ascii="Times New Roman" w:hAnsi="Times New Roman"/>
        </w:rPr>
      </w:pPr>
    </w:p>
    <w:p w:rsidR="00580ADF" w:rsidRPr="00580ADF" w:rsidP="00580ADF">
      <w:pPr>
        <w:bidi w:val="0"/>
        <w:rPr>
          <w:rFonts w:ascii="Times New Roman" w:hAnsi="Times New Roman"/>
        </w:rPr>
      </w:pPr>
    </w:p>
    <w:p w:rsidR="00580ADF" w:rsidRPr="00580ADF" w:rsidP="00580ADF">
      <w:pPr>
        <w:tabs>
          <w:tab w:val="left" w:pos="360"/>
        </w:tabs>
        <w:bidi w:val="0"/>
        <w:ind w:left="360"/>
        <w:rPr>
          <w:rFonts w:ascii="Times New Roman" w:hAnsi="Times New Roman"/>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580ADF">
      <w:pPr>
        <w:pStyle w:val="Header"/>
        <w:tabs>
          <w:tab w:val="clear" w:pos="4536"/>
          <w:tab w:val="clear" w:pos="9072"/>
        </w:tabs>
        <w:bidi w:val="0"/>
        <w:rPr>
          <w:rFonts w:ascii="Times New Roman" w:hAnsi="Times New Roman"/>
          <w:sz w:val="24"/>
          <w:szCs w:val="24"/>
          <w:lang w:val="sk-SK"/>
        </w:rPr>
      </w:pPr>
    </w:p>
    <w:p w:rsidR="00580ADF" w:rsidRPr="00580ADF" w:rsidP="004F0B1D">
      <w:pPr>
        <w:bidi w:val="0"/>
        <w:ind w:firstLine="720"/>
        <w:jc w:val="both"/>
        <w:rPr>
          <w:rStyle w:val="PlaceholderText"/>
        </w:rPr>
      </w:pPr>
    </w:p>
    <w:p w:rsidR="00580ADF" w:rsidRPr="00580ADF" w:rsidP="004F0B1D">
      <w:pPr>
        <w:bidi w:val="0"/>
        <w:ind w:firstLine="720"/>
        <w:jc w:val="both"/>
        <w:rPr>
          <w:rStyle w:val="PlaceholderText"/>
        </w:rPr>
      </w:pPr>
    </w:p>
    <w:sectPr>
      <w:footerReference w:type="even" r:id="rId8"/>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rsidP="00580AD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80AD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rsidP="00580AD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C6C1C">
      <w:rPr>
        <w:rStyle w:val="PageNumber"/>
        <w:rFonts w:ascii="Times New Roman" w:hAnsi="Times New Roman"/>
        <w:noProof/>
      </w:rPr>
      <w:t>11</w:t>
    </w:r>
    <w:r>
      <w:rPr>
        <w:rStyle w:val="PageNumber"/>
        <w:rFonts w:ascii="Times New Roman" w:hAnsi="Times New Roman"/>
      </w:rPr>
      <w:fldChar w:fldCharType="end"/>
    </w:r>
  </w:p>
  <w:p w:rsidR="00580ADF">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rsidP="00580ADF">
    <w:pPr>
      <w:pStyle w:val="Footer"/>
      <w:bidi w:val="0"/>
      <w:jc w:val="right"/>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rsidP="007B1A7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80ADF" w:rsidP="00CE049A">
    <w:pPr>
      <w:pStyle w:val="Footer"/>
      <w:bidi w:val="0"/>
      <w:ind w:right="36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rsidP="007B1A7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C6C1C">
      <w:rPr>
        <w:rStyle w:val="PageNumber"/>
        <w:rFonts w:ascii="Times New Roman" w:hAnsi="Times New Roman"/>
        <w:noProof/>
      </w:rPr>
      <w:t>23</w:t>
    </w:r>
    <w:r>
      <w:rPr>
        <w:rStyle w:val="PageNumber"/>
        <w:rFonts w:ascii="Times New Roman" w:hAnsi="Times New Roman"/>
      </w:rPr>
      <w:fldChar w:fldCharType="end"/>
    </w:r>
  </w:p>
  <w:p w:rsidR="00580ADF" w:rsidP="00CE049A">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ADF">
    <w:pPr>
      <w:pStyle w:val="Header"/>
      <w:bidi w:val="0"/>
      <w:jc w:val="right"/>
      <w:rPr>
        <w:rFonts w:ascii="Times New Roman" w:hAnsi="Times New Roman"/>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50C4"/>
    <w:multiLevelType w:val="hybridMultilevel"/>
    <w:tmpl w:val="6DAE2FE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151157F0"/>
    <w:multiLevelType w:val="hybridMultilevel"/>
    <w:tmpl w:val="CF44187E"/>
    <w:lvl w:ilvl="0">
      <w:start w:val="5"/>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nsid w:val="41F46BA4"/>
    <w:multiLevelType w:val="hybridMultilevel"/>
    <w:tmpl w:val="8DD0D8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64DF7F80"/>
    <w:multiLevelType w:val="hybridMultilevel"/>
    <w:tmpl w:val="3BE298E4"/>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737"/>
        </w:tabs>
        <w:ind w:left="737" w:hanging="38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4C12C8"/>
    <w:rsid w:val="00011626"/>
    <w:rsid w:val="0001365F"/>
    <w:rsid w:val="00026905"/>
    <w:rsid w:val="000558EA"/>
    <w:rsid w:val="00057327"/>
    <w:rsid w:val="00061D32"/>
    <w:rsid w:val="000A182C"/>
    <w:rsid w:val="000A2FC3"/>
    <w:rsid w:val="000B2C9F"/>
    <w:rsid w:val="000B2E2D"/>
    <w:rsid w:val="000B786F"/>
    <w:rsid w:val="000C4AC6"/>
    <w:rsid w:val="000C5360"/>
    <w:rsid w:val="000E5B48"/>
    <w:rsid w:val="000E7DCE"/>
    <w:rsid w:val="001575C6"/>
    <w:rsid w:val="0017704F"/>
    <w:rsid w:val="00187008"/>
    <w:rsid w:val="001945FE"/>
    <w:rsid w:val="00195112"/>
    <w:rsid w:val="00212CA1"/>
    <w:rsid w:val="00222B3C"/>
    <w:rsid w:val="0024623F"/>
    <w:rsid w:val="00255CB7"/>
    <w:rsid w:val="00257D05"/>
    <w:rsid w:val="002716E1"/>
    <w:rsid w:val="002853D5"/>
    <w:rsid w:val="002A2244"/>
    <w:rsid w:val="003142FB"/>
    <w:rsid w:val="00324188"/>
    <w:rsid w:val="003249C4"/>
    <w:rsid w:val="00353D48"/>
    <w:rsid w:val="00355A8B"/>
    <w:rsid w:val="00355B59"/>
    <w:rsid w:val="003722CC"/>
    <w:rsid w:val="003978B1"/>
    <w:rsid w:val="003F4FFF"/>
    <w:rsid w:val="003F6103"/>
    <w:rsid w:val="00413E89"/>
    <w:rsid w:val="00413EDE"/>
    <w:rsid w:val="00424A3A"/>
    <w:rsid w:val="004303FC"/>
    <w:rsid w:val="00453807"/>
    <w:rsid w:val="00471122"/>
    <w:rsid w:val="0048567A"/>
    <w:rsid w:val="00493739"/>
    <w:rsid w:val="004A32D3"/>
    <w:rsid w:val="004C12C8"/>
    <w:rsid w:val="004C4B65"/>
    <w:rsid w:val="004F0B1D"/>
    <w:rsid w:val="005060EE"/>
    <w:rsid w:val="005145E1"/>
    <w:rsid w:val="00542C8C"/>
    <w:rsid w:val="005626F6"/>
    <w:rsid w:val="00573AF0"/>
    <w:rsid w:val="00575712"/>
    <w:rsid w:val="00580ADF"/>
    <w:rsid w:val="00593907"/>
    <w:rsid w:val="005A1570"/>
    <w:rsid w:val="005B5FBB"/>
    <w:rsid w:val="005B779A"/>
    <w:rsid w:val="005C5DAE"/>
    <w:rsid w:val="005D453C"/>
    <w:rsid w:val="005D52EE"/>
    <w:rsid w:val="005D6BD4"/>
    <w:rsid w:val="00614235"/>
    <w:rsid w:val="006214F9"/>
    <w:rsid w:val="00630847"/>
    <w:rsid w:val="0063759F"/>
    <w:rsid w:val="0066000D"/>
    <w:rsid w:val="0067034F"/>
    <w:rsid w:val="00674D58"/>
    <w:rsid w:val="006865C4"/>
    <w:rsid w:val="00690C0B"/>
    <w:rsid w:val="00691AB7"/>
    <w:rsid w:val="006C0F49"/>
    <w:rsid w:val="0071444A"/>
    <w:rsid w:val="00717E7A"/>
    <w:rsid w:val="007653A9"/>
    <w:rsid w:val="00786E6D"/>
    <w:rsid w:val="007B1A7C"/>
    <w:rsid w:val="007C00C9"/>
    <w:rsid w:val="007C29BD"/>
    <w:rsid w:val="007D0D2B"/>
    <w:rsid w:val="007E31C9"/>
    <w:rsid w:val="00805C31"/>
    <w:rsid w:val="0081279C"/>
    <w:rsid w:val="00882794"/>
    <w:rsid w:val="008979CB"/>
    <w:rsid w:val="008A7064"/>
    <w:rsid w:val="008B7E25"/>
    <w:rsid w:val="008C36EF"/>
    <w:rsid w:val="008F6A86"/>
    <w:rsid w:val="00907640"/>
    <w:rsid w:val="0093765F"/>
    <w:rsid w:val="0096158D"/>
    <w:rsid w:val="009628F3"/>
    <w:rsid w:val="00970C2F"/>
    <w:rsid w:val="00976739"/>
    <w:rsid w:val="00984A0A"/>
    <w:rsid w:val="00994AAB"/>
    <w:rsid w:val="009B2657"/>
    <w:rsid w:val="009D07BD"/>
    <w:rsid w:val="009F43D1"/>
    <w:rsid w:val="00A4067B"/>
    <w:rsid w:val="00A601A4"/>
    <w:rsid w:val="00A76501"/>
    <w:rsid w:val="00A90092"/>
    <w:rsid w:val="00A96E81"/>
    <w:rsid w:val="00AA533F"/>
    <w:rsid w:val="00AB326C"/>
    <w:rsid w:val="00AC6A6E"/>
    <w:rsid w:val="00AD0F86"/>
    <w:rsid w:val="00AE4FBA"/>
    <w:rsid w:val="00B0275A"/>
    <w:rsid w:val="00B10D19"/>
    <w:rsid w:val="00B204AE"/>
    <w:rsid w:val="00B25796"/>
    <w:rsid w:val="00B31AAA"/>
    <w:rsid w:val="00B3466B"/>
    <w:rsid w:val="00B35E5D"/>
    <w:rsid w:val="00B370E3"/>
    <w:rsid w:val="00B47A7E"/>
    <w:rsid w:val="00B50BCA"/>
    <w:rsid w:val="00B53916"/>
    <w:rsid w:val="00B64E23"/>
    <w:rsid w:val="00BA0B09"/>
    <w:rsid w:val="00BC27A3"/>
    <w:rsid w:val="00BD08BE"/>
    <w:rsid w:val="00BE06B8"/>
    <w:rsid w:val="00BF30D0"/>
    <w:rsid w:val="00C12F91"/>
    <w:rsid w:val="00C277A7"/>
    <w:rsid w:val="00C41526"/>
    <w:rsid w:val="00C90B92"/>
    <w:rsid w:val="00C92F10"/>
    <w:rsid w:val="00CA1A30"/>
    <w:rsid w:val="00CA63E1"/>
    <w:rsid w:val="00CA7FA8"/>
    <w:rsid w:val="00CB1D98"/>
    <w:rsid w:val="00CB2D2C"/>
    <w:rsid w:val="00CE049A"/>
    <w:rsid w:val="00D24D10"/>
    <w:rsid w:val="00D45B6C"/>
    <w:rsid w:val="00D70D1D"/>
    <w:rsid w:val="00D71247"/>
    <w:rsid w:val="00D76336"/>
    <w:rsid w:val="00D93B44"/>
    <w:rsid w:val="00D94809"/>
    <w:rsid w:val="00D97E78"/>
    <w:rsid w:val="00DA2189"/>
    <w:rsid w:val="00DA314C"/>
    <w:rsid w:val="00DB427B"/>
    <w:rsid w:val="00DB4426"/>
    <w:rsid w:val="00DC53FD"/>
    <w:rsid w:val="00DC6C1C"/>
    <w:rsid w:val="00E17691"/>
    <w:rsid w:val="00E23D0A"/>
    <w:rsid w:val="00E43588"/>
    <w:rsid w:val="00E523EA"/>
    <w:rsid w:val="00E5564D"/>
    <w:rsid w:val="00E9231B"/>
    <w:rsid w:val="00EA047B"/>
    <w:rsid w:val="00EC4FCB"/>
    <w:rsid w:val="00EC5767"/>
    <w:rsid w:val="00EE092F"/>
    <w:rsid w:val="00F11C4F"/>
    <w:rsid w:val="00F2364D"/>
    <w:rsid w:val="00F245BF"/>
    <w:rsid w:val="00F31A08"/>
    <w:rsid w:val="00F659C7"/>
    <w:rsid w:val="00F72C61"/>
    <w:rsid w:val="00FA20B0"/>
    <w:rsid w:val="00FD193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F0B1D"/>
    <w:rPr>
      <w:rFonts w:ascii="Times New Roman" w:hAnsi="Times New Roman" w:cs="Times New Roman"/>
      <w:color w:val="808080"/>
      <w:rtl w:val="0"/>
      <w:cs w:val="0"/>
    </w:rPr>
  </w:style>
  <w:style w:type="paragraph" w:styleId="FootnoteText">
    <w:name w:val="footnote text"/>
    <w:basedOn w:val="Normal"/>
    <w:link w:val="TextpoznmkypodiarouChar"/>
    <w:uiPriority w:val="99"/>
    <w:semiHidden/>
    <w:rsid w:val="00CE049A"/>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CE049A"/>
    <w:rPr>
      <w:rFonts w:cs="Times New Roman"/>
      <w:vertAlign w:val="superscript"/>
      <w:rtl w:val="0"/>
      <w:cs w:val="0"/>
    </w:rPr>
  </w:style>
  <w:style w:type="paragraph" w:styleId="Footer">
    <w:name w:val="footer"/>
    <w:basedOn w:val="Normal"/>
    <w:link w:val="PtaChar"/>
    <w:uiPriority w:val="99"/>
    <w:rsid w:val="00CE049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E049A"/>
    <w:rPr>
      <w:rFonts w:cs="Times New Roman"/>
      <w:rtl w:val="0"/>
      <w:cs w:val="0"/>
    </w:rPr>
  </w:style>
  <w:style w:type="paragraph" w:styleId="Header">
    <w:name w:val="header"/>
    <w:basedOn w:val="Normal"/>
    <w:link w:val="HlavikaChar"/>
    <w:uiPriority w:val="99"/>
    <w:rsid w:val="00580ADF"/>
    <w:pPr>
      <w:tabs>
        <w:tab w:val="center" w:pos="4536"/>
        <w:tab w:val="right" w:pos="9072"/>
      </w:tabs>
      <w:overflowPunct w:val="0"/>
      <w:autoSpaceDE w:val="0"/>
      <w:autoSpaceDN w:val="0"/>
      <w:adjustRightInd w:val="0"/>
      <w:jc w:val="left"/>
      <w:textAlignment w:val="baseline"/>
    </w:pPr>
    <w:rPr>
      <w:sz w:val="22"/>
      <w:szCs w:val="20"/>
      <w:lang w:val="cs-CZ"/>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
    <w:name w:val="Body Text"/>
    <w:basedOn w:val="Normal"/>
    <w:link w:val="ZkladntextChar"/>
    <w:uiPriority w:val="99"/>
    <w:rsid w:val="00580ADF"/>
    <w:pPr>
      <w:overflowPunct w:val="0"/>
      <w:autoSpaceDE w:val="0"/>
      <w:autoSpaceDN w:val="0"/>
      <w:adjustRightInd w:val="0"/>
      <w:spacing w:after="120"/>
      <w:jc w:val="left"/>
      <w:textAlignment w:val="baseline"/>
    </w:pPr>
    <w:rPr>
      <w:sz w:val="22"/>
      <w:szCs w:val="22"/>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TotalTime>
  <Pages>23</Pages>
  <Words>7315</Words>
  <Characters>41701</Characters>
  <Application>Microsoft Office Word</Application>
  <DocSecurity>0</DocSecurity>
  <Lines>0</Lines>
  <Paragraphs>0</Paragraphs>
  <ScaleCrop>false</ScaleCrop>
  <Company>MKSR</Company>
  <LinksUpToDate>false</LinksUpToDate>
  <CharactersWithSpaces>48919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frankova</dc:creator>
  <cp:lastModifiedBy>Franková Marta</cp:lastModifiedBy>
  <cp:revision>13</cp:revision>
  <dcterms:created xsi:type="dcterms:W3CDTF">2012-08-20T13:48:00Z</dcterms:created>
  <dcterms:modified xsi:type="dcterms:W3CDTF">2012-08-22T09:30:00Z</dcterms:modified>
</cp:coreProperties>
</file>