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A7E" w:rsidRPr="009D6CB1" w:rsidP="003D203E">
      <w:pPr>
        <w:pStyle w:val="Heading1"/>
        <w:bidi w:val="0"/>
        <w:spacing w:before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Dôvodová správa</w:t>
      </w:r>
    </w:p>
    <w:p w:rsidR="00226A7E" w:rsidRPr="009D6CB1" w:rsidP="003D203E">
      <w:pPr>
        <w:pStyle w:val="Heading3"/>
        <w:bidi w:val="0"/>
        <w:spacing w:before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Všeobecná časť</w:t>
      </w:r>
    </w:p>
    <w:p w:rsidR="00296BA4" w:rsidRPr="009D6CB1" w:rsidP="003D203E">
      <w:pPr>
        <w:bidi w:val="0"/>
        <w:ind w:firstLine="539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Návrh zákona </w:t>
      </w:r>
      <w:r w:rsidR="00235E81">
        <w:rPr>
          <w:rStyle w:val="PlaceholderText1"/>
          <w:color w:val="auto"/>
        </w:rPr>
        <w:t>sa predkladá</w:t>
      </w:r>
      <w:r w:rsidRPr="009D6CB1">
        <w:rPr>
          <w:rStyle w:val="PlaceholderText1"/>
          <w:color w:val="auto"/>
        </w:rPr>
        <w:t xml:space="preserve"> z dôvodu potreby vykonať </w:t>
      </w:r>
    </w:p>
    <w:p w:rsidR="00296BA4" w:rsidRPr="009D6CB1" w:rsidP="003D203E">
      <w:pPr>
        <w:numPr>
          <w:numId w:val="7"/>
        </w:numPr>
        <w:tabs>
          <w:tab w:val="num" w:pos="900"/>
          <w:tab w:val="clear" w:pos="1260"/>
        </w:tabs>
        <w:bidi w:val="0"/>
        <w:adjustRightInd w:val="0"/>
        <w:ind w:left="0" w:firstLine="539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>nariadenie Európskeho parlamentu a Rady (EÚ) č. 261/2012 zo 14. marca 2012, ktorým sa mení a dopĺňa nariadenie Rady (ES) č. 1234/2007, pokiaľ ide o zmluvné vzťahy v sektore mlieka a mliečnych výrobkov (Ú. v. EÚ L 94, 30. 3. 2012),</w:t>
      </w:r>
    </w:p>
    <w:p w:rsidR="00296BA4" w:rsidRPr="006D6C54" w:rsidP="003D203E">
      <w:pPr>
        <w:numPr>
          <w:numId w:val="7"/>
        </w:numPr>
        <w:tabs>
          <w:tab w:val="num" w:pos="900"/>
          <w:tab w:val="clear" w:pos="1260"/>
        </w:tabs>
        <w:bidi w:val="0"/>
        <w:adjustRightInd w:val="0"/>
        <w:ind w:left="0" w:firstLine="539"/>
        <w:rPr>
          <w:rStyle w:val="PlaceholderText1"/>
          <w:color w:val="auto"/>
        </w:rPr>
      </w:pPr>
      <w:r w:rsidRPr="006D6C54">
        <w:rPr>
          <w:rFonts w:ascii="Times New Roman" w:hAnsi="Times New Roman"/>
        </w:rPr>
        <w:t xml:space="preserve">vykonávacie nariadenie </w:t>
      </w:r>
      <w:r w:rsidRPr="006D6C54" w:rsidR="00F31556">
        <w:rPr>
          <w:rFonts w:ascii="Times New Roman" w:hAnsi="Times New Roman"/>
        </w:rPr>
        <w:t>Komisie (EÚ) č. 511/2012 z 15. júna 2012 o oznámeniach týkajúcich sa organizácií výrobcov, medziodvetvových organizácií, zmluvných rokovaní a zmluvných vzťahov podľa nariadenia Rady (ES) č. 1234/2007 v sektore mlieka a mliečnych výrobkov</w:t>
      </w:r>
      <w:r w:rsidRPr="006D6C54">
        <w:rPr>
          <w:rStyle w:val="PlaceholderText1"/>
          <w:color w:val="auto"/>
        </w:rPr>
        <w:t xml:space="preserve">. </w:t>
      </w:r>
    </w:p>
    <w:p w:rsidR="00296BA4" w:rsidRPr="009D6CB1" w:rsidP="003D203E">
      <w:pPr>
        <w:bidi w:val="0"/>
        <w:ind w:firstLine="539"/>
        <w:rPr>
          <w:rStyle w:val="PlaceholderText1"/>
          <w:color w:val="auto"/>
        </w:rPr>
      </w:pPr>
      <w:r w:rsidRPr="006D6C54" w:rsidR="00B65A5E">
        <w:rPr>
          <w:rStyle w:val="PlaceholderText1"/>
          <w:color w:val="auto"/>
        </w:rPr>
        <w:t>Tieto právne záväzné</w:t>
      </w:r>
      <w:r w:rsidRPr="009D6CB1" w:rsidR="00B65A5E">
        <w:rPr>
          <w:rStyle w:val="PlaceholderText1"/>
          <w:color w:val="auto"/>
        </w:rPr>
        <w:t xml:space="preserve"> akty EÚ sa vykonávajú </w:t>
      </w:r>
      <w:r w:rsidR="00A8261D">
        <w:rPr>
          <w:rStyle w:val="PlaceholderText1"/>
          <w:color w:val="auto"/>
        </w:rPr>
        <w:t>aj</w:t>
      </w:r>
      <w:r w:rsidRPr="009D6CB1" w:rsidR="00B65A5E">
        <w:rPr>
          <w:rStyle w:val="PlaceholderText1"/>
          <w:color w:val="auto"/>
        </w:rPr>
        <w:t xml:space="preserve"> návrhom nariadenia vlády Slovenskej republiky o podmienkach vykonávania niektorých opatrení spoločnej organizácie trhu s mliekom a mliečnymi výrobkami, ktoré vypracoval</w:t>
      </w:r>
      <w:r w:rsidR="00A8261D">
        <w:rPr>
          <w:rStyle w:val="PlaceholderText1"/>
          <w:color w:val="auto"/>
        </w:rPr>
        <w:t>oMinisterstvo pôdohospodárstva a rozvoja vidieka SR</w:t>
      </w:r>
      <w:r w:rsidRPr="009D6CB1" w:rsidR="00B65A5E">
        <w:rPr>
          <w:rStyle w:val="PlaceholderText1"/>
          <w:color w:val="auto"/>
        </w:rPr>
        <w:t xml:space="preserve"> zároveň s týmto návrhom zákona. </w:t>
      </w:r>
      <w:r w:rsidRPr="009D6CB1">
        <w:rPr>
          <w:rStyle w:val="PlaceholderText1"/>
          <w:color w:val="auto"/>
        </w:rPr>
        <w:t xml:space="preserve">Viaceré ustanovenia </w:t>
      </w:r>
      <w:r w:rsidRPr="009D6CB1" w:rsidR="00B65A5E">
        <w:rPr>
          <w:rStyle w:val="PlaceholderText1"/>
          <w:color w:val="auto"/>
        </w:rPr>
        <w:t>citovaných</w:t>
      </w:r>
      <w:r w:rsidRPr="009D6CB1">
        <w:rPr>
          <w:rStyle w:val="PlaceholderText1"/>
          <w:color w:val="auto"/>
        </w:rPr>
        <w:t xml:space="preserve"> právne záväzných aktov EÚ vyžadujú</w:t>
      </w:r>
      <w:r w:rsidRPr="009D6CB1" w:rsidR="00B65A5E">
        <w:rPr>
          <w:rStyle w:val="PlaceholderText1"/>
          <w:color w:val="auto"/>
        </w:rPr>
        <w:t xml:space="preserve"> </w:t>
      </w:r>
      <w:r w:rsidRPr="009D6CB1">
        <w:rPr>
          <w:rStyle w:val="PlaceholderText1"/>
          <w:color w:val="auto"/>
        </w:rPr>
        <w:t>podrobnejšiu</w:t>
      </w:r>
      <w:r w:rsidRPr="009D6CB1" w:rsidR="00B65A5E">
        <w:rPr>
          <w:rStyle w:val="PlaceholderText1"/>
          <w:color w:val="auto"/>
        </w:rPr>
        <w:t xml:space="preserve"> zákonnú</w:t>
      </w:r>
      <w:r w:rsidRPr="009D6CB1">
        <w:rPr>
          <w:rStyle w:val="PlaceholderText1"/>
          <w:color w:val="auto"/>
        </w:rPr>
        <w:t xml:space="preserve"> úpravu, najmä pokiaľ ide o kontrolnú a sankčnú právomoc príslušných orgánov</w:t>
      </w:r>
      <w:r w:rsidR="00A8261D">
        <w:rPr>
          <w:rStyle w:val="PlaceholderText1"/>
          <w:color w:val="auto"/>
        </w:rPr>
        <w:t xml:space="preserve"> a ich konanie</w:t>
      </w:r>
      <w:r w:rsidRPr="009D6CB1">
        <w:rPr>
          <w:rStyle w:val="PlaceholderText1"/>
          <w:color w:val="auto"/>
        </w:rPr>
        <w:t xml:space="preserve">, </w:t>
      </w:r>
      <w:r w:rsidR="00A8261D">
        <w:rPr>
          <w:rStyle w:val="PlaceholderText1"/>
          <w:color w:val="auto"/>
        </w:rPr>
        <w:t>pričom</w:t>
      </w:r>
      <w:r w:rsidRPr="009D6CB1">
        <w:rPr>
          <w:rStyle w:val="PlaceholderText1"/>
          <w:color w:val="auto"/>
        </w:rPr>
        <w:t xml:space="preserve"> niektoré </w:t>
      </w:r>
      <w:r w:rsidRPr="009D6CB1" w:rsidR="00A8261D">
        <w:rPr>
          <w:rStyle w:val="PlaceholderText1"/>
          <w:color w:val="auto"/>
        </w:rPr>
        <w:t xml:space="preserve">ustanovenia citovaných právne záväzných aktov EÚ </w:t>
      </w:r>
      <w:r w:rsidRPr="009D6CB1">
        <w:rPr>
          <w:rStyle w:val="PlaceholderText1"/>
          <w:color w:val="auto"/>
        </w:rPr>
        <w:t>delegujú na členský štát právomoc upraviť niektoré otázky vlastným spôsobom, resp. ponechávajú mu možnosť upraviť ich odchýlne.</w:t>
      </w:r>
    </w:p>
    <w:p w:rsidR="00EC7868" w:rsidRPr="009D6CB1" w:rsidP="003D203E">
      <w:pPr>
        <w:bidi w:val="0"/>
        <w:ind w:firstLine="539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Uvedený návrh nariadenia vlády, ktorý bude upravovať podmienky </w:t>
      </w:r>
      <w:r w:rsidR="00A8261D">
        <w:rPr>
          <w:rStyle w:val="PlaceholderText1"/>
          <w:color w:val="auto"/>
        </w:rPr>
        <w:t xml:space="preserve">predkladania žiadostí o </w:t>
      </w:r>
      <w:r w:rsidRPr="009D6CB1">
        <w:rPr>
          <w:rStyle w:val="PlaceholderText1"/>
          <w:color w:val="auto"/>
        </w:rPr>
        <w:t>uznani</w:t>
      </w:r>
      <w:r w:rsidR="00A8261D">
        <w:rPr>
          <w:rStyle w:val="PlaceholderText1"/>
          <w:color w:val="auto"/>
        </w:rPr>
        <w:t>e</w:t>
      </w:r>
      <w:r w:rsidRPr="009D6CB1">
        <w:rPr>
          <w:rStyle w:val="PlaceholderText1"/>
          <w:color w:val="auto"/>
        </w:rPr>
        <w:t xml:space="preserve"> organizácie výrobcov, združení organizácií výrobcov a medziodvetvových organizácií</w:t>
      </w:r>
      <w:r w:rsidR="00A8261D">
        <w:rPr>
          <w:rStyle w:val="PlaceholderText1"/>
          <w:color w:val="auto"/>
        </w:rPr>
        <w:t xml:space="preserve"> v sektore trhu s mliekom a mliečnymi výrobkami</w:t>
      </w:r>
      <w:r w:rsidRPr="009D6CB1">
        <w:rPr>
          <w:rStyle w:val="PlaceholderText1"/>
          <w:color w:val="auto"/>
        </w:rPr>
        <w:t xml:space="preserve">, </w:t>
      </w:r>
      <w:r w:rsidR="00A8261D">
        <w:rPr>
          <w:rStyle w:val="PlaceholderText1"/>
          <w:color w:val="auto"/>
        </w:rPr>
        <w:t>bol prerokovaný v Legislatívnej rade vlády SR</w:t>
      </w:r>
      <w:r w:rsidRPr="009D6CB1">
        <w:rPr>
          <w:rStyle w:val="PlaceholderText1"/>
          <w:color w:val="auto"/>
        </w:rPr>
        <w:t xml:space="preserve">. </w:t>
      </w:r>
    </w:p>
    <w:p w:rsidR="00296BA4" w:rsidRPr="006D6C54" w:rsidP="003D203E">
      <w:pPr>
        <w:bidi w:val="0"/>
        <w:ind w:firstLine="539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Návrh zákona v čl. I dopĺňa § 10 ods. 1 zákona č. 491/2001 Z. z. o sektor mlieka a mliečnych výrobkov a vkladá § 10b </w:t>
      </w:r>
      <w:r w:rsidR="00A8261D">
        <w:rPr>
          <w:rStyle w:val="PlaceholderText1"/>
          <w:color w:val="auto"/>
        </w:rPr>
        <w:t xml:space="preserve">a 10c </w:t>
      </w:r>
      <w:r w:rsidRPr="009D6CB1">
        <w:rPr>
          <w:rStyle w:val="PlaceholderText1"/>
          <w:color w:val="auto"/>
        </w:rPr>
        <w:t xml:space="preserve">upravujúci postup </w:t>
      </w:r>
      <w:r w:rsidR="00A8261D">
        <w:rPr>
          <w:rStyle w:val="PlaceholderText1"/>
          <w:color w:val="auto"/>
        </w:rPr>
        <w:t xml:space="preserve">agentúry a </w:t>
      </w:r>
      <w:r w:rsidRPr="009D6CB1">
        <w:rPr>
          <w:rStyle w:val="PlaceholderText1"/>
          <w:color w:val="auto"/>
        </w:rPr>
        <w:t xml:space="preserve">ministerstva pri rozhodovaní o uznaní a o odňatí uznania organizácií, združení a medziodvetvových organizácií výrobcov v sektore mlieka a mliečnych výrobkov. </w:t>
      </w:r>
      <w:r w:rsidR="00A8261D">
        <w:rPr>
          <w:rStyle w:val="PlaceholderText1"/>
          <w:color w:val="auto"/>
        </w:rPr>
        <w:t xml:space="preserve">Ďalej sa v § 10d upravuje informačná a oznamovacia povinnosť agentúry vo vzťahu k EÚ a jej členským štátom. V § 10e sa upravuje informačná a oznamovacia povinnosť uznaných právnických osôb voči agentúre a v § 10f sa upravujú formálne a obsahové náležitosti zmluvy o dodávke surového mlieka. </w:t>
      </w:r>
      <w:r w:rsidRPr="009D6CB1">
        <w:rPr>
          <w:rStyle w:val="PlaceholderText1"/>
          <w:color w:val="auto"/>
        </w:rPr>
        <w:t>Návrh zákona v čl. II dopĺňa § 1</w:t>
      </w:r>
      <w:r w:rsidR="00A8261D">
        <w:rPr>
          <w:rStyle w:val="PlaceholderText1"/>
          <w:color w:val="auto"/>
        </w:rPr>
        <w:t>5</w:t>
      </w:r>
      <w:r w:rsidRPr="009D6CB1">
        <w:rPr>
          <w:rStyle w:val="PlaceholderText1"/>
          <w:color w:val="auto"/>
        </w:rPr>
        <w:t xml:space="preserve"> zákona č. 543/2007 Z. z. o kontrolnú a sankčnú právomoc Pôdohospodárskej a platobnej agentúry nad plnením podmienok uznania organizácií, združení a medziodvetvových organizácií v </w:t>
      </w:r>
      <w:r w:rsidRPr="006D6C54">
        <w:rPr>
          <w:rStyle w:val="PlaceholderText1"/>
          <w:color w:val="auto"/>
        </w:rPr>
        <w:t>sektore mlieka a mliečnych výrobkov a ich povinností.</w:t>
      </w:r>
    </w:p>
    <w:p w:rsidR="00296BA4" w:rsidRPr="009D6CB1" w:rsidP="003D203E">
      <w:pPr>
        <w:bidi w:val="0"/>
        <w:ind w:firstLine="539"/>
        <w:rPr>
          <w:rStyle w:val="PlaceholderText1"/>
          <w:color w:val="auto"/>
        </w:rPr>
      </w:pPr>
      <w:r w:rsidRPr="006D6C54">
        <w:rPr>
          <w:rStyle w:val="PlaceholderText1"/>
          <w:color w:val="auto"/>
        </w:rPr>
        <w:t xml:space="preserve">Navrhovaný dátum nadobudnutia účinnosti závisí jednak od dátumu, ktorým sa nariadenie Európskeho parlamentu a Rady (EÚ) č. 261/2012 uplatňuje v celom svojom rozsahu (3. október 2012), a jednak od dátumu uplatňovania vykonávacích nariadení Komisie, ktoré má Komisia vydať na základe nariadenia Európskeho parlamentu a Rady (EÚ) č. 261/2012 a ktoré </w:t>
      </w:r>
      <w:r w:rsidRPr="006D6C54" w:rsidR="006D6C54">
        <w:rPr>
          <w:rStyle w:val="PlaceholderText1"/>
          <w:color w:val="auto"/>
        </w:rPr>
        <w:t>v</w:t>
      </w:r>
      <w:r w:rsidRPr="006D6C54">
        <w:rPr>
          <w:rStyle w:val="PlaceholderText1"/>
          <w:color w:val="auto"/>
        </w:rPr>
        <w:t>ydala</w:t>
      </w:r>
      <w:r w:rsidRPr="006D6C54" w:rsidR="006D6C54">
        <w:rPr>
          <w:rStyle w:val="PlaceholderText1"/>
          <w:color w:val="auto"/>
        </w:rPr>
        <w:t xml:space="preserve"> až neskôr,</w:t>
      </w:r>
      <w:r w:rsidRPr="006D6C54">
        <w:rPr>
          <w:rStyle w:val="PlaceholderText1"/>
          <w:color w:val="auto"/>
        </w:rPr>
        <w:t xml:space="preserve"> </w:t>
      </w:r>
      <w:r w:rsidRPr="006D6C54" w:rsidR="009D6CB1">
        <w:rPr>
          <w:rStyle w:val="PlaceholderText1"/>
          <w:color w:val="auto"/>
        </w:rPr>
        <w:t>no</w:t>
      </w:r>
      <w:r w:rsidRPr="006D6C54">
        <w:rPr>
          <w:rStyle w:val="PlaceholderText1"/>
          <w:color w:val="auto"/>
        </w:rPr>
        <w:t xml:space="preserve"> bez ktorých nebolo možné nariadenie Európskeho parlamentu a Rady (EÚ) č. 261/2012 riadne vykonať už k dátumu jeho uplatňovania len v obmedzenom rozsahu (2. apríl 2012).</w:t>
      </w:r>
    </w:p>
    <w:p w:rsidR="00296BA4" w:rsidRPr="003D203E" w:rsidP="000A44CC">
      <w:pPr>
        <w:bidi w:val="0"/>
        <w:ind w:firstLine="540"/>
        <w:rPr>
          <w:rStyle w:val="PlaceholderText1"/>
          <w:color w:val="auto"/>
        </w:rPr>
      </w:pPr>
      <w:r w:rsidRPr="003D203E">
        <w:rPr>
          <w:rStyle w:val="PlaceholderText1"/>
          <w:color w:val="auto"/>
        </w:rPr>
        <w:t>Predložený návrh zákona nebude</w:t>
      </w:r>
      <w:r w:rsidRPr="003D203E">
        <w:rPr>
          <w:rFonts w:ascii="Times New Roman" w:hAnsi="Times New Roman"/>
        </w:rPr>
        <w:t xml:space="preserve"> mať dopad na </w:t>
      </w:r>
      <w:r w:rsidRPr="003D203E">
        <w:rPr>
          <w:rStyle w:val="PlaceholderText1"/>
          <w:color w:val="auto"/>
        </w:rPr>
        <w:t xml:space="preserve">štátny rozpočet ani na rozpočty vyšších územných celkov a rozpočty obcí, zamestnanosť, životné </w:t>
      </w:r>
      <w:r w:rsidRPr="003D203E">
        <w:rPr>
          <w:rFonts w:ascii="Times New Roman" w:hAnsi="Times New Roman"/>
        </w:rPr>
        <w:t>prostredie</w:t>
      </w:r>
      <w:r w:rsidRPr="003D203E">
        <w:rPr>
          <w:rStyle w:val="PlaceholderText1"/>
          <w:color w:val="auto"/>
        </w:rPr>
        <w:t xml:space="preserve"> a informatizáciu spoločnosti a na podnikateľské prostredie </w:t>
      </w:r>
      <w:r w:rsidRPr="003D203E" w:rsidR="003D203E">
        <w:rPr>
          <w:rStyle w:val="PlaceholderText1"/>
          <w:color w:val="auto"/>
        </w:rPr>
        <w:t>ne</w:t>
      </w:r>
      <w:r w:rsidRPr="003D203E">
        <w:rPr>
          <w:rStyle w:val="PlaceholderText1"/>
          <w:color w:val="auto"/>
        </w:rPr>
        <w:t>bude mať negatívny dopad.</w:t>
      </w:r>
    </w:p>
    <w:p w:rsidR="00296BA4" w:rsidRPr="003D203E" w:rsidP="000A44CC">
      <w:pPr>
        <w:bidi w:val="0"/>
        <w:ind w:firstLine="540"/>
        <w:rPr>
          <w:rStyle w:val="PlaceholderText1"/>
          <w:color w:val="auto"/>
        </w:rPr>
      </w:pPr>
      <w:r w:rsidRPr="003D203E">
        <w:rPr>
          <w:rStyle w:val="PlaceholderText1"/>
          <w:color w:val="auto"/>
        </w:rPr>
        <w:t>Návrh zákona je v súlade s Ústavou Slovenskej republiky, ústavnými zákonmi a ostatnými všeobecne záväznými právnymi predpismi, medzinárodnými zmluvami a inými medzinárodnými dokumentmi, ktorými je Slovenská republika viazaná, a s právom Európskej únie.</w:t>
      </w:r>
    </w:p>
    <w:p w:rsidR="00226A7E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  <w:b/>
        </w:rPr>
        <w:t>Osobitná časť</w:t>
      </w:r>
    </w:p>
    <w:p w:rsidR="00D64368" w:rsidRPr="009D6CB1" w:rsidP="000A44CC">
      <w:pPr>
        <w:bidi w:val="0"/>
        <w:rPr>
          <w:rFonts w:ascii="Times New Roman" w:hAnsi="Times New Roman"/>
          <w:b/>
          <w:u w:val="single"/>
        </w:rPr>
      </w:pPr>
      <w:r w:rsidRPr="009D6CB1" w:rsidR="00680FB1">
        <w:rPr>
          <w:rFonts w:ascii="Times New Roman" w:hAnsi="Times New Roman"/>
          <w:b/>
          <w:u w:val="single"/>
        </w:rPr>
        <w:t>K čl. I</w:t>
      </w:r>
      <w:r w:rsidRPr="009D6CB1">
        <w:rPr>
          <w:rFonts w:ascii="Times New Roman" w:hAnsi="Times New Roman"/>
          <w:b/>
          <w:u w:val="single"/>
        </w:rPr>
        <w:t xml:space="preserve"> </w:t>
      </w:r>
    </w:p>
    <w:p w:rsidR="00680FB1" w:rsidRPr="009D6CB1" w:rsidP="000A44CC">
      <w:pPr>
        <w:bidi w:val="0"/>
        <w:rPr>
          <w:rFonts w:ascii="Times New Roman" w:hAnsi="Times New Roman"/>
        </w:rPr>
      </w:pPr>
      <w:r w:rsidRPr="009D6CB1" w:rsidR="00D64368">
        <w:rPr>
          <w:rFonts w:ascii="Times New Roman" w:hAnsi="Times New Roman"/>
        </w:rPr>
        <w:t>(novela zákona č. 491/2001 Z. z.)</w:t>
      </w:r>
    </w:p>
    <w:p w:rsidR="00D64368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1</w:t>
      </w:r>
    </w:p>
    <w:p w:rsidR="00D64368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Pôsobnosť ustanovení o uznávaní organizácií, združení a medziodvetvových organizácií sa rozširuje i na sektor trhu s mliekom a mliečnymi výrobkami.</w:t>
      </w:r>
    </w:p>
    <w:p w:rsidR="00D64368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2</w:t>
      </w:r>
    </w:p>
    <w:p w:rsidR="00FC65AF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Gramatická oprava.</w:t>
      </w:r>
    </w:p>
    <w:p w:rsidR="00D64368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3</w:t>
      </w:r>
    </w:p>
    <w:p w:rsidR="00943C46" w:rsidRPr="009D6CB1" w:rsidP="00943C46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Upravuje sa kontrolná právomoc agentúry v sektore trhu s mliekom a mliečnymi výrobkami pokiaľ ide o plnenie povinností a podmienok na uznanie organizácií, združení a medziodvetvových organizácií, ktorá vyplýva z </w:t>
      </w:r>
      <w:r w:rsidRPr="009D6CB1">
        <w:rPr>
          <w:rStyle w:val="PlaceholderText1"/>
          <w:color w:val="auto"/>
        </w:rPr>
        <w:t>nariadenia Európskeho parlamentu a Rady (EÚ) č. 261/2012 [</w:t>
      </w:r>
      <w:r w:rsidRPr="009D6CB1">
        <w:rPr>
          <w:rFonts w:ascii="Times New Roman" w:hAnsi="Times New Roman"/>
        </w:rPr>
        <w:t>čl. 126a ods. 4 písm. b) a čl. 126b ods. 3 písm. b)</w:t>
      </w:r>
      <w:r w:rsidRPr="009D6CB1">
        <w:rPr>
          <w:rStyle w:val="PlaceholderText1"/>
          <w:color w:val="auto"/>
        </w:rPr>
        <w:t>] a z § 10 ods. 6 zákona č. 491/2001 Z. z</w:t>
      </w:r>
      <w:r w:rsidRPr="009D6CB1">
        <w:rPr>
          <w:rFonts w:ascii="Times New Roman" w:hAnsi="Times New Roman"/>
        </w:rPr>
        <w:t xml:space="preserve">. </w:t>
      </w:r>
    </w:p>
    <w:p w:rsidR="00943C46" w:rsidRPr="009D6CB1" w:rsidP="00943C46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Frekvencia vykonávania kontrol raz ročne vyplýva z ročnej periodicity plnenia oznamovacích povinností uznaných právnických osôb voči agentúre ako aj oznamovacích povinností agentúry voči komisii.</w:t>
      </w:r>
    </w:p>
    <w:p w:rsidR="00943C46" w:rsidRPr="009D6CB1" w:rsidP="000A44C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4</w:t>
      </w:r>
    </w:p>
    <w:p w:rsidR="00680FB1" w:rsidRPr="009D6CB1" w:rsidP="000A44CC">
      <w:pPr>
        <w:bidi w:val="0"/>
        <w:ind w:firstLine="720"/>
        <w:rPr>
          <w:rStyle w:val="PlaceholderText1"/>
          <w:color w:val="auto"/>
        </w:rPr>
      </w:pPr>
      <w:r w:rsidRPr="009D6CB1" w:rsidR="00FC65AF">
        <w:rPr>
          <w:rFonts w:ascii="Times New Roman" w:hAnsi="Times New Roman"/>
        </w:rPr>
        <w:t xml:space="preserve">Upravuje sa </w:t>
      </w:r>
      <w:r w:rsidRPr="009D6CB1" w:rsidR="00F40EBB">
        <w:rPr>
          <w:rFonts w:ascii="Times New Roman" w:hAnsi="Times New Roman"/>
        </w:rPr>
        <w:t xml:space="preserve">(§ 10b </w:t>
      </w:r>
      <w:r w:rsidR="00943C46">
        <w:rPr>
          <w:rFonts w:ascii="Times New Roman" w:hAnsi="Times New Roman"/>
        </w:rPr>
        <w:t>a 10c</w:t>
      </w:r>
      <w:r w:rsidRPr="009D6CB1" w:rsidR="00F40EBB">
        <w:rPr>
          <w:rFonts w:ascii="Times New Roman" w:hAnsi="Times New Roman"/>
        </w:rPr>
        <w:t xml:space="preserve">) </w:t>
      </w:r>
      <w:r w:rsidRPr="009D6CB1" w:rsidR="00FC65AF">
        <w:rPr>
          <w:rFonts w:ascii="Times New Roman" w:hAnsi="Times New Roman"/>
        </w:rPr>
        <w:t xml:space="preserve">podrobnejšie postup </w:t>
      </w:r>
      <w:r w:rsidR="00943C46">
        <w:rPr>
          <w:rFonts w:ascii="Times New Roman" w:hAnsi="Times New Roman"/>
        </w:rPr>
        <w:t xml:space="preserve">agentúry </w:t>
      </w:r>
      <w:r w:rsidRPr="009D6CB1" w:rsidR="00FC65AF">
        <w:rPr>
          <w:rFonts w:ascii="Times New Roman" w:hAnsi="Times New Roman"/>
        </w:rPr>
        <w:t>ministerstva pri uznávaní organizácií, združení a medziodvetvových organizácií v sektore trhu s mliekom a mliečnymi výrobkami</w:t>
      </w:r>
      <w:r w:rsidRPr="009D6CB1" w:rsidR="00082384">
        <w:rPr>
          <w:rFonts w:ascii="Times New Roman" w:hAnsi="Times New Roman"/>
        </w:rPr>
        <w:t xml:space="preserve"> </w:t>
      </w:r>
      <w:r w:rsidRPr="009D6CB1" w:rsidR="008D52C7">
        <w:rPr>
          <w:rFonts w:ascii="Times New Roman" w:hAnsi="Times New Roman"/>
        </w:rPr>
        <w:t>(</w:t>
      </w:r>
      <w:r w:rsidRPr="009D6CB1" w:rsidR="00082384">
        <w:rPr>
          <w:rFonts w:ascii="Times New Roman" w:hAnsi="Times New Roman"/>
        </w:rPr>
        <w:t>vrátane lehoty na rozhodnutie</w:t>
      </w:r>
      <w:r w:rsidRPr="009D6CB1" w:rsidR="008D52C7">
        <w:rPr>
          <w:rFonts w:ascii="Times New Roman" w:hAnsi="Times New Roman"/>
        </w:rPr>
        <w:t>)</w:t>
      </w:r>
      <w:r w:rsidRPr="009D6CB1" w:rsidR="00FC65AF">
        <w:rPr>
          <w:rFonts w:ascii="Times New Roman" w:hAnsi="Times New Roman"/>
        </w:rPr>
        <w:t xml:space="preserve">, ktorý vyplýva z </w:t>
      </w:r>
      <w:r w:rsidRPr="009D6CB1" w:rsidR="00FC65AF">
        <w:rPr>
          <w:rStyle w:val="PlaceholderText1"/>
          <w:color w:val="auto"/>
        </w:rPr>
        <w:t>nariadenia Európ</w:t>
      </w:r>
      <w:r w:rsidRPr="009D6CB1" w:rsidR="00082384">
        <w:rPr>
          <w:rStyle w:val="PlaceholderText1"/>
          <w:color w:val="auto"/>
        </w:rPr>
        <w:t>skeho parlamentu a Rady (EÚ) č. </w:t>
      </w:r>
      <w:r w:rsidRPr="009D6CB1" w:rsidR="00FC65AF">
        <w:rPr>
          <w:rStyle w:val="PlaceholderText1"/>
          <w:color w:val="auto"/>
        </w:rPr>
        <w:t>261/2012</w:t>
      </w:r>
      <w:r w:rsidRPr="009D6CB1" w:rsidR="00827DC5">
        <w:rPr>
          <w:rStyle w:val="PlaceholderText1"/>
          <w:color w:val="auto"/>
        </w:rPr>
        <w:t xml:space="preserve"> </w:t>
      </w:r>
      <w:r w:rsidRPr="009D6CB1" w:rsidR="00B870D7">
        <w:rPr>
          <w:rStyle w:val="PlaceholderText1"/>
          <w:color w:val="auto"/>
        </w:rPr>
        <w:t xml:space="preserve"> [</w:t>
      </w:r>
      <w:r w:rsidRPr="009D6CB1" w:rsidR="00B870D7">
        <w:rPr>
          <w:rFonts w:ascii="Times New Roman" w:hAnsi="Times New Roman"/>
        </w:rPr>
        <w:t xml:space="preserve">čl. 126a ods. 1 a 4 písm. a) a čl. 126b ods. 1 a ods. 3 písm. a)] </w:t>
      </w:r>
      <w:r w:rsidRPr="009D6CB1" w:rsidR="00827DC5">
        <w:rPr>
          <w:rStyle w:val="PlaceholderText1"/>
          <w:color w:val="auto"/>
        </w:rPr>
        <w:t>a z § 10 ods. 1 a 6</w:t>
      </w:r>
      <w:r w:rsidRPr="009D6CB1" w:rsidR="00FC65AF">
        <w:rPr>
          <w:rStyle w:val="PlaceholderText1"/>
          <w:color w:val="auto"/>
        </w:rPr>
        <w:t>.</w:t>
      </w:r>
    </w:p>
    <w:p w:rsidR="00943C46" w:rsidRPr="00943C46" w:rsidP="00943C46">
      <w:pPr>
        <w:bidi w:val="0"/>
        <w:ind w:firstLine="709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>Agentúra na základe kontroly splnenia podmienok žiadateľom podáva ministerstvu návrh rozhodnúť o uznaní alebo o neuznaní žiadateľa (čo vyplýva z § 10 ods. 6 zákona č. 491/2001 Z. z.); lehota na podanie návrhu je určená na tri mesiace odo dňa podania žiadosti, čo vyplýva z povinnosti členského štátu rozhodnúť o uznaní alebo neuznaní do štyroch mesiacov odo dňa podania žiadosti a z potreby dostatočne dlhej lehoty na posúdenie návrhu ministerstvom.</w:t>
      </w:r>
    </w:p>
    <w:p w:rsidR="00827DC5" w:rsidRPr="00865A3E" w:rsidP="000A44CC">
      <w:pPr>
        <w:bidi w:val="0"/>
        <w:ind w:firstLine="72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Upravuje sa postup ministerstva pri </w:t>
      </w:r>
      <w:r w:rsidR="00943C46">
        <w:rPr>
          <w:rStyle w:val="PlaceholderText1"/>
          <w:color w:val="auto"/>
        </w:rPr>
        <w:t xml:space="preserve">vydaní a pri </w:t>
      </w:r>
      <w:r w:rsidRPr="009D6CB1">
        <w:rPr>
          <w:rStyle w:val="PlaceholderText1"/>
          <w:color w:val="auto"/>
        </w:rPr>
        <w:t xml:space="preserve">zrušení rozhodnutia o uznaní na návrh agentúry v nadväznosti na </w:t>
      </w:r>
      <w:r w:rsidRPr="009D6CB1" w:rsidR="00082384">
        <w:rPr>
          <w:rStyle w:val="PlaceholderText1"/>
          <w:color w:val="auto"/>
        </w:rPr>
        <w:t xml:space="preserve">nové </w:t>
      </w:r>
      <w:r w:rsidRPr="009D6CB1">
        <w:rPr>
          <w:rStyle w:val="PlaceholderText1"/>
          <w:color w:val="auto"/>
        </w:rPr>
        <w:t xml:space="preserve">ustanovenia </w:t>
      </w:r>
      <w:r w:rsidRPr="009D6CB1" w:rsidR="00F40EBB">
        <w:rPr>
          <w:rStyle w:val="PlaceholderText1"/>
          <w:color w:val="auto"/>
        </w:rPr>
        <w:t xml:space="preserve">§ 15 ods. 4 </w:t>
      </w:r>
      <w:r w:rsidRPr="009D6CB1" w:rsidR="00082384">
        <w:rPr>
          <w:rStyle w:val="PlaceholderText1"/>
          <w:color w:val="auto"/>
        </w:rPr>
        <w:t>zákona č. 543/2007 Z. z. upravujúce</w:t>
      </w:r>
      <w:r w:rsidRPr="009D6CB1">
        <w:rPr>
          <w:rStyle w:val="PlaceholderText1"/>
          <w:color w:val="auto"/>
        </w:rPr>
        <w:t> sankčn</w:t>
      </w:r>
      <w:r w:rsidRPr="009D6CB1" w:rsidR="00082384">
        <w:rPr>
          <w:rStyle w:val="PlaceholderText1"/>
          <w:color w:val="auto"/>
        </w:rPr>
        <w:t>ú</w:t>
      </w:r>
      <w:r w:rsidRPr="009D6CB1">
        <w:rPr>
          <w:rStyle w:val="PlaceholderText1"/>
          <w:color w:val="auto"/>
        </w:rPr>
        <w:t xml:space="preserve"> právomoc agentúry v sektore mlieka a mliečnych výrobkov </w:t>
      </w:r>
      <w:r w:rsidRPr="009D6CB1" w:rsidR="00082384">
        <w:rPr>
          <w:rStyle w:val="PlaceholderText1"/>
          <w:color w:val="auto"/>
        </w:rPr>
        <w:t>a na § 10 ods. 6.</w:t>
      </w:r>
    </w:p>
    <w:p w:rsidR="00BF1C5A" w:rsidP="000A44CC">
      <w:pPr>
        <w:bidi w:val="0"/>
        <w:ind w:firstLine="720"/>
        <w:rPr>
          <w:rStyle w:val="PlaceholderText1"/>
          <w:color w:val="auto"/>
        </w:rPr>
      </w:pPr>
      <w:r w:rsidRPr="00865A3E">
        <w:rPr>
          <w:rStyle w:val="PlaceholderText1"/>
          <w:color w:val="auto"/>
        </w:rPr>
        <w:t xml:space="preserve">Upravuje sa povinnosť ministerstva oznámiť rozhodnutie o uznaní a rozhodnutie o zrušení uznania agentúre, ktorá tieto údaje potrebuje na </w:t>
      </w:r>
      <w:r w:rsidRPr="00943C46" w:rsidR="00943C46">
        <w:rPr>
          <w:rStyle w:val="PlaceholderText1"/>
          <w:color w:val="auto"/>
        </w:rPr>
        <w:t>účely</w:t>
      </w:r>
      <w:r w:rsidRPr="00865A3E" w:rsidR="00943C46">
        <w:rPr>
          <w:rStyle w:val="PlaceholderText1"/>
          <w:color w:val="auto"/>
        </w:rPr>
        <w:t xml:space="preserve"> </w:t>
      </w:r>
      <w:r w:rsidR="00943C46">
        <w:rPr>
          <w:rStyle w:val="PlaceholderText1"/>
          <w:color w:val="auto"/>
        </w:rPr>
        <w:t>svoj</w:t>
      </w:r>
      <w:r w:rsidRPr="00943C46" w:rsidR="00943C46">
        <w:rPr>
          <w:rStyle w:val="PlaceholderText1"/>
          <w:color w:val="auto"/>
        </w:rPr>
        <w:t xml:space="preserve">ej agendy a výkonu jej kontrolných činností ako aj informačných </w:t>
      </w:r>
      <w:r w:rsidR="00943C46">
        <w:rPr>
          <w:rStyle w:val="PlaceholderText1"/>
          <w:color w:val="auto"/>
        </w:rPr>
        <w:t>a oznamovacích úloh</w:t>
      </w:r>
      <w:r w:rsidRPr="00865A3E">
        <w:rPr>
          <w:rStyle w:val="PlaceholderText1"/>
          <w:color w:val="auto"/>
        </w:rPr>
        <w:t>.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>Zabezpečuje sa implementácia čl. 126d ods. 1 nariadenia (EÚ) č. 1234/2007 v platnom znení, ktorým sa zavádza možnosť členských štátov na základe žiadosti od oprávneného subjektu stanoviť na obmedzené obdobie záväzné pravidlá regulácie dodávky syra s chráneným označením pôvodu alebo s chráneným zemepisným označením, a určuje sa príslušný štátny orgán, v ktorého kompetencii bude prijať tieto záväzné pravidlá.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 xml:space="preserve">Ustanovujú sa informačné a oznamovacie povinnosti a úlohy Pôdohospodárskej platobnej agentúry pri organizácii trhu s mliekom a mliečnymi výrobkami, ktoré vyplývajú z nariadenia (EÚ) č. 1234/2007 v platnom znení a nariadenia (EÚ) č. 511/2012, jednak vo vzťahu k Protimonopolnému úradu SR a jednak vo vzťahu k Európskej komisii a ostatným členským štátom. 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>Upravujú sa niektoré podrobnosti o zmluvných rokovaniach uznaných organizácií a združení o dodávke surového mlieka, ktorých úprava je nariadením č. 1234/2007 v platnom znení delegovaná, resp. ponechaná na členský štát, a o informačnej a oznamovacej povinnosti týchto subjektov v súvislosti so zmluvnými rokovaniami.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>Na účely kontroly plnenia podmienky maximálneho objemu surového mlieka, ktorého sa môžu zmluvné rokovania týkať, na účely plnenia oznamovacej povinnosti SR voči Komisii a na účely ochrany trhu sú rokujúce organizácie a združenia povinné písomne oznámiť agentúre jednak celkový objem surového mlieka a jednak objem pripadajúci na jednotlivých členov, v ktorých mene sa rokuje, spolu s ich identifikačným číslom. To sa obdobne týka oznamovacej povinnosti organizácie a združenia, pokiaľ ide o objem surového mlieka skutočne dodaného na základe dohodnutých zmlúv. V prípade, že po podaní oznámenia sa v dôsledku zvýšenia alebo zníženia počtu členov organizácie alebo združenia, v ktorých mene sa rokuje, zvýši objem mlieka, o ktorom sa rokuje, je potrebné podať nové oznámenie, v ktorom sa zároveň aj uvedie dôvod a vysvetlenie, prečo sa toto nové oznámenie podáva.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>Rokujúce subjekty oznamujú agentúre údaje o plánovanom objeme surového mlieka, ktorého sa majú rokovania týkať, na účely kontroly a plnenia úloh agentúry a Protimonopolného úradu SR najneskôr 15 dní pred začatím rokovania.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 xml:space="preserve">Zmluvné rokovania sa môžu týkať len tých členov rokujúceho subjektu, za ktorých nerokuje zároveň aj iná organizácia alebo združenie, ako to vyplýva z čl. 126c ods. 2 písm. d) nariadenia 1234/2007). </w:t>
      </w:r>
    </w:p>
    <w:p w:rsidR="00943C46" w:rsidRP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>Upravuje sa požiadavka na písomnú formu zmluvy o dodávke surového mlieka s prvovýrobcom mlieka, ak z právne záväzného aktu EÚ nevyplýva, že takáto zmluva nie je potrebná. Ustanovuje sa pôsobnosť tejto zmluvy na všetky etapy dodávky surového mlieka od výrobcu až k spracovateľovi vrátane prevozu surového mlieka zberným strediskom mlieka. Zberným strediskom mlieka podľa definície uvedenej v právne záväznom akte EÚ je aj odbytové družstvo, ktorého je výrobca mlieka členom. To sa vzťahuje na všetkých výrobcov, spracovateľov a zberné strediská mlieka v sektore trhu s mliekom a mliečnymi výrobkami, nie iba na uznávané právnické osoby.</w:t>
      </w:r>
    </w:p>
    <w:p w:rsidR="00943C46" w:rsidP="00943C46">
      <w:pPr>
        <w:bidi w:val="0"/>
        <w:ind w:firstLine="720"/>
        <w:rPr>
          <w:rStyle w:val="PlaceholderText1"/>
          <w:color w:val="auto"/>
        </w:rPr>
      </w:pPr>
      <w:r w:rsidRPr="00943C46">
        <w:rPr>
          <w:rStyle w:val="PlaceholderText1"/>
          <w:color w:val="auto"/>
        </w:rPr>
        <w:t xml:space="preserve">Tieto ustanovenia o zmluvných vzťahoch pri dodávke surového mlieka vyplývajú z práva členského štátu túto právnu úpravu vykonať. Táto právna úprava má zabezpečiť predovšetkým jasné a prehľadné právne vzťahy medzi výrobcami mlieka a spracovateľmi. </w:t>
      </w:r>
    </w:p>
    <w:p w:rsidR="00627032" w:rsidP="00943C46">
      <w:pPr>
        <w:bidi w:val="0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</w:t>
      </w:r>
    </w:p>
    <w:p w:rsidR="00627032" w:rsidRPr="00627032" w:rsidP="00943C46">
      <w:pPr>
        <w:bidi w:val="0"/>
        <w:ind w:firstLine="720"/>
        <w:rPr>
          <w:rStyle w:val="PlaceholderText1"/>
          <w:color w:val="auto"/>
        </w:rPr>
      </w:pPr>
      <w:r w:rsidRPr="00872F08">
        <w:rPr>
          <w:rFonts w:ascii="Times New Roman" w:hAnsi="Times New Roman"/>
        </w:rPr>
        <w:t xml:space="preserve">Ustanovuje sa prechodné obdobie na prispôsobenie zmlúv uzavretých pred </w:t>
      </w:r>
      <w:r w:rsidRPr="00627032">
        <w:rPr>
          <w:rStyle w:val="PlaceholderText1"/>
          <w:color w:val="auto"/>
        </w:rPr>
        <w:t>účinnosťou</w:t>
      </w:r>
      <w:r w:rsidRPr="00872F08">
        <w:rPr>
          <w:rFonts w:ascii="Times New Roman" w:hAnsi="Times New Roman"/>
        </w:rPr>
        <w:t xml:space="preserve"> zákona a súvisiaceho nariadenia vlády.</w:t>
      </w:r>
    </w:p>
    <w:p w:rsidR="00943C46" w:rsidRPr="009D6CB1" w:rsidP="000A44CC">
      <w:pPr>
        <w:bidi w:val="0"/>
        <w:ind w:firstLine="720"/>
        <w:rPr>
          <w:rFonts w:ascii="Times New Roman" w:hAnsi="Times New Roman"/>
        </w:rPr>
      </w:pPr>
    </w:p>
    <w:p w:rsidR="00680FB1" w:rsidRPr="009D6CB1" w:rsidP="000A44CC">
      <w:pPr>
        <w:bidi w:val="0"/>
        <w:rPr>
          <w:rFonts w:ascii="Times New Roman" w:hAnsi="Times New Roman"/>
          <w:b/>
          <w:u w:val="single"/>
        </w:rPr>
      </w:pPr>
      <w:r w:rsidRPr="009D6CB1">
        <w:rPr>
          <w:rFonts w:ascii="Times New Roman" w:hAnsi="Times New Roman"/>
          <w:b/>
          <w:u w:val="single"/>
        </w:rPr>
        <w:t>K čl. II</w:t>
      </w:r>
    </w:p>
    <w:p w:rsidR="000A045E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(novela zákona č. 543/2007 Z. z.)</w:t>
      </w:r>
    </w:p>
    <w:p w:rsidR="000305D7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Úprava kontrolnej a sankčnej právomoci agentúry pri výkone niektorých opatrení spoločnej organizácie trhu s mliekom a mliečnymi výrobkami v zákone č. 543/2007 Z. z. je odôvodnená pôsobnosťou tohto zákona i na </w:t>
      </w:r>
      <w:r w:rsidRPr="009D6CB1" w:rsidR="000111C7">
        <w:rPr>
          <w:rFonts w:ascii="Times New Roman" w:hAnsi="Times New Roman"/>
        </w:rPr>
        <w:t>organizovanie trhu s výrobkami (§ 12 až 16).</w:t>
      </w:r>
    </w:p>
    <w:p w:rsidR="000A045E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1</w:t>
      </w:r>
    </w:p>
    <w:p w:rsidR="000A045E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4D7A5B">
        <w:rPr>
          <w:rFonts w:ascii="Times New Roman" w:hAnsi="Times New Roman"/>
        </w:rPr>
        <w:t>Upravuje sa sankčná právomoc agentúry v sektore trhu s mliekom a mliečnymi výrobkami pokiaľ ide o plnenie povinností a podmienok na uznanie organizácií, združení a medziodvetvových organizácií</w:t>
      </w:r>
      <w:r w:rsidRPr="009D6CB1" w:rsidR="00DA6F02">
        <w:rPr>
          <w:rFonts w:ascii="Times New Roman" w:hAnsi="Times New Roman"/>
        </w:rPr>
        <w:t xml:space="preserve">, ktorá vyplýva z </w:t>
      </w:r>
      <w:r w:rsidRPr="009D6CB1" w:rsidR="00DA6F02">
        <w:rPr>
          <w:rStyle w:val="PlaceholderText1"/>
          <w:color w:val="auto"/>
        </w:rPr>
        <w:t>nariadenia Európskeho parlamentu a Rady (EÚ) č. 261/2012</w:t>
      </w:r>
      <w:r w:rsidRPr="009D6CB1" w:rsidR="003D599E">
        <w:rPr>
          <w:rStyle w:val="PlaceholderText1"/>
          <w:color w:val="auto"/>
        </w:rPr>
        <w:t xml:space="preserve"> [</w:t>
      </w:r>
      <w:r w:rsidRPr="009D6CB1" w:rsidR="003D599E">
        <w:rPr>
          <w:rFonts w:ascii="Times New Roman" w:hAnsi="Times New Roman"/>
        </w:rPr>
        <w:t>Čl. 126c ods. 2 písm. f) a čl. 177a ods. 2</w:t>
      </w:r>
      <w:r w:rsidRPr="009D6CB1" w:rsidR="003D599E">
        <w:rPr>
          <w:rStyle w:val="PlaceholderText1"/>
          <w:color w:val="auto"/>
        </w:rPr>
        <w:t xml:space="preserve">] a z </w:t>
      </w:r>
      <w:r w:rsidRPr="009D6CB1" w:rsidR="003D599E">
        <w:rPr>
          <w:rFonts w:ascii="Times New Roman" w:hAnsi="Times New Roman"/>
        </w:rPr>
        <w:t xml:space="preserve">čl. 2 vykonávacieho </w:t>
      </w:r>
      <w:r w:rsidRPr="006D6C54" w:rsidR="003D599E">
        <w:rPr>
          <w:rFonts w:ascii="Times New Roman" w:hAnsi="Times New Roman"/>
        </w:rPr>
        <w:t xml:space="preserve">nariadenia </w:t>
      </w:r>
      <w:r w:rsidRPr="006D6C54" w:rsidR="00F31556">
        <w:rPr>
          <w:rFonts w:ascii="Times New Roman" w:hAnsi="Times New Roman"/>
        </w:rPr>
        <w:t>Komisie (EÚ) č. 511/2012</w:t>
      </w:r>
      <w:r w:rsidRPr="006D6C54" w:rsidR="009D6CB1">
        <w:rPr>
          <w:rFonts w:ascii="Times New Roman" w:hAnsi="Times New Roman"/>
        </w:rPr>
        <w:t>.</w:t>
      </w:r>
    </w:p>
    <w:p w:rsidR="004D7A5B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804E3A">
        <w:rPr>
          <w:rFonts w:ascii="Times New Roman" w:hAnsi="Times New Roman"/>
        </w:rPr>
        <w:t>Z</w:t>
      </w:r>
      <w:r w:rsidRPr="009D6CB1" w:rsidR="00DA6F02">
        <w:rPr>
          <w:rFonts w:ascii="Times New Roman" w:hAnsi="Times New Roman"/>
        </w:rPr>
        <w:t xml:space="preserve"> dôvodu potreby poskytnúť porušovateľovi povinnosti dodatočný čas na dobrovoľné splnenie povinnosti má </w:t>
      </w:r>
      <w:r w:rsidRPr="009D6CB1">
        <w:rPr>
          <w:rFonts w:ascii="Times New Roman" w:hAnsi="Times New Roman"/>
        </w:rPr>
        <w:t xml:space="preserve">pred uložením sankcie </w:t>
      </w:r>
      <w:r w:rsidRPr="009D6CB1" w:rsidR="00670770">
        <w:rPr>
          <w:rFonts w:ascii="Times New Roman" w:hAnsi="Times New Roman"/>
        </w:rPr>
        <w:t xml:space="preserve">prednosť </w:t>
      </w:r>
      <w:r w:rsidRPr="009D6CB1">
        <w:rPr>
          <w:rFonts w:ascii="Times New Roman" w:hAnsi="Times New Roman"/>
        </w:rPr>
        <w:t>opatreni</w:t>
      </w:r>
      <w:r w:rsidRPr="009D6CB1" w:rsidR="008B0832">
        <w:rPr>
          <w:rFonts w:ascii="Times New Roman" w:hAnsi="Times New Roman"/>
        </w:rPr>
        <w:t>e spočívajúce v uložení povinnosti</w:t>
      </w:r>
      <w:r w:rsidRPr="009D6CB1">
        <w:rPr>
          <w:rFonts w:ascii="Times New Roman" w:hAnsi="Times New Roman"/>
        </w:rPr>
        <w:t xml:space="preserve"> splniť v určenej lehote povinnosť, ktorú dotknutý subjekt nesplnil v lehote určenej všeobecne záväzným právnym predpisom</w:t>
      </w:r>
      <w:r w:rsidRPr="009D6CB1" w:rsidR="00DA6F02">
        <w:rPr>
          <w:rFonts w:ascii="Times New Roman" w:hAnsi="Times New Roman"/>
        </w:rPr>
        <w:t xml:space="preserve"> (odsek 2</w:t>
      </w:r>
      <w:r w:rsidRPr="009D6CB1" w:rsidR="00F40EBB">
        <w:rPr>
          <w:rFonts w:ascii="Times New Roman" w:hAnsi="Times New Roman"/>
        </w:rPr>
        <w:t>)</w:t>
      </w:r>
      <w:r w:rsidRPr="009D6CB1" w:rsidR="008B0832">
        <w:rPr>
          <w:rFonts w:ascii="Times New Roman" w:hAnsi="Times New Roman"/>
        </w:rPr>
        <w:t>. Až v prípade nesplnenia tejto povinnosti agentúra uloží sankciu v podobe pokuty</w:t>
      </w:r>
      <w:r w:rsidRPr="009D6CB1" w:rsidR="00DA6F02">
        <w:rPr>
          <w:rFonts w:ascii="Times New Roman" w:hAnsi="Times New Roman"/>
        </w:rPr>
        <w:t xml:space="preserve"> (odsek 3)</w:t>
      </w:r>
      <w:r w:rsidRPr="009D6CB1" w:rsidR="008B0832">
        <w:rPr>
          <w:rFonts w:ascii="Times New Roman" w:hAnsi="Times New Roman"/>
        </w:rPr>
        <w:t>. Výška pokuty je určená tak, aby mala účinok postihnutia subjektu, ktorý porušil svoje povinnosti</w:t>
      </w:r>
      <w:r w:rsidRPr="009D6CB1" w:rsidR="00804E3A">
        <w:rPr>
          <w:rFonts w:ascii="Times New Roman" w:hAnsi="Times New Roman"/>
        </w:rPr>
        <w:t>,</w:t>
      </w:r>
      <w:r w:rsidRPr="009D6CB1" w:rsidR="008B0832">
        <w:rPr>
          <w:rFonts w:ascii="Times New Roman" w:hAnsi="Times New Roman"/>
        </w:rPr>
        <w:t xml:space="preserve"> a aby mala aj výchovný a odstrašujúci účinok</w:t>
      </w:r>
      <w:r w:rsidRPr="00865A3E" w:rsidR="008B0832">
        <w:rPr>
          <w:rFonts w:ascii="Times New Roman" w:hAnsi="Times New Roman"/>
        </w:rPr>
        <w:t>, a to v záujme dodržovania ustanovení všeobecne záväzných právnych predpisov</w:t>
      </w:r>
      <w:r w:rsidRPr="00865A3E" w:rsidR="00BF1C5A">
        <w:rPr>
          <w:rFonts w:ascii="Times New Roman" w:hAnsi="Times New Roman"/>
        </w:rPr>
        <w:t>, no aby nemala príliš nepriaznivý alebo až likvidačný účinok</w:t>
      </w:r>
      <w:r w:rsidRPr="00865A3E" w:rsidR="008B0832">
        <w:rPr>
          <w:rFonts w:ascii="Times New Roman" w:hAnsi="Times New Roman"/>
        </w:rPr>
        <w:t>.</w:t>
      </w:r>
    </w:p>
    <w:p w:rsidR="00670770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Sankciou za neplnenie podmienok na uznanie uznanou právnickou osobou je zrušenie rozhodnutia o uznaní na návrh agentúry</w:t>
      </w:r>
      <w:r w:rsidRPr="009D6CB1" w:rsidR="00411E00">
        <w:rPr>
          <w:rFonts w:ascii="Times New Roman" w:hAnsi="Times New Roman"/>
        </w:rPr>
        <w:t xml:space="preserve"> (odsek 4)</w:t>
      </w:r>
      <w:r w:rsidRPr="009D6CB1">
        <w:rPr>
          <w:rFonts w:ascii="Times New Roman" w:hAnsi="Times New Roman"/>
        </w:rPr>
        <w:t xml:space="preserve">, čo vyplýva z </w:t>
      </w:r>
      <w:r w:rsidRPr="009D6CB1">
        <w:rPr>
          <w:rStyle w:val="PlaceholderText1"/>
          <w:color w:val="auto"/>
        </w:rPr>
        <w:t>nariadenia Európ</w:t>
      </w:r>
      <w:r w:rsidRPr="009D6CB1" w:rsidR="00804E3A">
        <w:rPr>
          <w:rStyle w:val="PlaceholderText1"/>
          <w:color w:val="auto"/>
        </w:rPr>
        <w:t>skeho parlamentu a </w:t>
      </w:r>
      <w:r w:rsidRPr="009D6CB1">
        <w:rPr>
          <w:rStyle w:val="PlaceholderText1"/>
          <w:color w:val="auto"/>
        </w:rPr>
        <w:t>Rady (EÚ) č. 261/2012</w:t>
      </w:r>
      <w:r w:rsidRPr="009D6CB1" w:rsidR="00411E00">
        <w:rPr>
          <w:rStyle w:val="PlaceholderText1"/>
          <w:color w:val="auto"/>
        </w:rPr>
        <w:t xml:space="preserve"> [</w:t>
      </w:r>
      <w:r w:rsidRPr="009D6CB1" w:rsidR="00411E00">
        <w:rPr>
          <w:rFonts w:ascii="Times New Roman" w:hAnsi="Times New Roman"/>
        </w:rPr>
        <w:t>čl. 126a ods. 4 písm. c) a čl. 126b ods. 3 písm. c) a d)</w:t>
      </w:r>
      <w:r w:rsidRPr="009D6CB1" w:rsidR="00411E00">
        <w:rPr>
          <w:rStyle w:val="PlaceholderText1"/>
          <w:color w:val="auto"/>
        </w:rPr>
        <w:t>]</w:t>
      </w:r>
      <w:r w:rsidRPr="009D6CB1">
        <w:rPr>
          <w:rStyle w:val="PlaceholderText1"/>
          <w:color w:val="auto"/>
        </w:rPr>
        <w:t xml:space="preserve"> a z § 10 ods. 6 zákona č. 491/2001 Z. z.</w:t>
      </w:r>
    </w:p>
    <w:p w:rsidR="000A045E" w:rsidRPr="009D6CB1" w:rsidP="000A44CC">
      <w:pPr>
        <w:bidi w:val="0"/>
        <w:rPr>
          <w:rFonts w:ascii="Times New Roman" w:hAnsi="Times New Roman"/>
        </w:rPr>
      </w:pPr>
      <w:r w:rsidR="00627032">
        <w:rPr>
          <w:rFonts w:ascii="Times New Roman" w:hAnsi="Times New Roman"/>
          <w:b/>
        </w:rPr>
        <w:t>K bodu 2</w:t>
      </w:r>
    </w:p>
    <w:p w:rsidR="00680FB1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436A5E">
        <w:rPr>
          <w:rFonts w:ascii="Times New Roman" w:hAnsi="Times New Roman"/>
        </w:rPr>
        <w:t xml:space="preserve">Ustanovuje sa subjektívna a objektívna lehota na začatie konania podľa odseku 2, a to v závislosti od ročnej periodicity plnenia </w:t>
      </w:r>
      <w:r w:rsidRPr="009D6CB1" w:rsidR="00804E3A">
        <w:rPr>
          <w:rFonts w:ascii="Times New Roman" w:hAnsi="Times New Roman"/>
        </w:rPr>
        <w:t xml:space="preserve">niektorých </w:t>
      </w:r>
      <w:r w:rsidRPr="009D6CB1" w:rsidR="00436A5E">
        <w:rPr>
          <w:rFonts w:ascii="Times New Roman" w:hAnsi="Times New Roman"/>
        </w:rPr>
        <w:t>oznamovacích povinností uznaných právnických osôb voči agentúre.</w:t>
      </w:r>
    </w:p>
    <w:p w:rsidR="00436A5E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  <w:b/>
        </w:rPr>
        <w:t xml:space="preserve">K bodu </w:t>
      </w:r>
      <w:r w:rsidR="00627032">
        <w:rPr>
          <w:rFonts w:ascii="Times New Roman" w:hAnsi="Times New Roman"/>
          <w:b/>
        </w:rPr>
        <w:t>3</w:t>
      </w:r>
    </w:p>
    <w:p w:rsidR="00680FB1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436A5E">
        <w:rPr>
          <w:rFonts w:ascii="Times New Roman" w:hAnsi="Times New Roman"/>
        </w:rPr>
        <w:t xml:space="preserve">Ustanovuje sa oprávnenie </w:t>
      </w:r>
      <w:r w:rsidRPr="009D6CB1" w:rsidR="00053D4B">
        <w:rPr>
          <w:rFonts w:ascii="Times New Roman" w:hAnsi="Times New Roman"/>
        </w:rPr>
        <w:t xml:space="preserve">agentúry ukladať </w:t>
      </w:r>
      <w:r w:rsidRPr="009D6CB1" w:rsidR="00436A5E">
        <w:rPr>
          <w:rFonts w:ascii="Times New Roman" w:hAnsi="Times New Roman"/>
        </w:rPr>
        <w:t>p</w:t>
      </w:r>
      <w:r w:rsidRPr="009D6CB1" w:rsidR="00053D4B">
        <w:rPr>
          <w:rFonts w:ascii="Times New Roman" w:hAnsi="Times New Roman"/>
        </w:rPr>
        <w:t>okutu podľa odseku 3 aj opakovane na účely dosiahnutia splnenia povinnosti uznanou právnickou osobou.</w:t>
      </w:r>
    </w:p>
    <w:p w:rsidR="00680FB1" w:rsidRPr="009D6CB1" w:rsidP="000A44CC">
      <w:pPr>
        <w:bidi w:val="0"/>
        <w:rPr>
          <w:rFonts w:ascii="Times New Roman" w:hAnsi="Times New Roman"/>
          <w:b/>
          <w:u w:val="single"/>
        </w:rPr>
      </w:pPr>
      <w:r w:rsidRPr="009D6CB1">
        <w:rPr>
          <w:rFonts w:ascii="Times New Roman" w:hAnsi="Times New Roman"/>
          <w:b/>
          <w:u w:val="single"/>
        </w:rPr>
        <w:t>K čl. III</w:t>
      </w:r>
    </w:p>
    <w:p w:rsidR="004377C5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Ustanovenie o</w:t>
      </w:r>
      <w:r w:rsidR="00235E81">
        <w:rPr>
          <w:rFonts w:ascii="Times New Roman" w:hAnsi="Times New Roman"/>
        </w:rPr>
        <w:t> </w:t>
      </w:r>
      <w:r w:rsidRPr="009D6CB1">
        <w:rPr>
          <w:rFonts w:ascii="Times New Roman" w:hAnsi="Times New Roman"/>
        </w:rPr>
        <w:t>účinnosti</w:t>
      </w:r>
      <w:r w:rsidR="00235E81">
        <w:rPr>
          <w:rFonts w:ascii="Times New Roman" w:hAnsi="Times New Roman"/>
        </w:rPr>
        <w:t>. Zákon nadobudne účinnosť</w:t>
      </w:r>
      <w:r w:rsidRPr="009D6CB1" w:rsidR="00434B48">
        <w:rPr>
          <w:rFonts w:ascii="Times New Roman" w:hAnsi="Times New Roman"/>
        </w:rPr>
        <w:t xml:space="preserve"> </w:t>
      </w:r>
      <w:r w:rsidRPr="009D6CB1" w:rsidR="00BF6ACB">
        <w:rPr>
          <w:rFonts w:ascii="Times New Roman" w:hAnsi="Times New Roman"/>
        </w:rPr>
        <w:t>3</w:t>
      </w:r>
      <w:r w:rsidR="00235E81">
        <w:rPr>
          <w:rFonts w:ascii="Times New Roman" w:hAnsi="Times New Roman"/>
        </w:rPr>
        <w:t>. októb</w:t>
      </w:r>
      <w:r w:rsidRPr="009D6CB1" w:rsidR="00434B48">
        <w:rPr>
          <w:rFonts w:ascii="Times New Roman" w:hAnsi="Times New Roman"/>
        </w:rPr>
        <w:t>r</w:t>
      </w:r>
      <w:r w:rsidR="00235E81">
        <w:rPr>
          <w:rFonts w:ascii="Times New Roman" w:hAnsi="Times New Roman"/>
        </w:rPr>
        <w:t>a</w:t>
      </w:r>
      <w:r w:rsidRPr="009D6CB1" w:rsidR="00434B48">
        <w:rPr>
          <w:rFonts w:ascii="Times New Roman" w:hAnsi="Times New Roman"/>
        </w:rPr>
        <w:t xml:space="preserve"> 2012</w:t>
      </w:r>
      <w:r w:rsidRPr="009D6CB1">
        <w:rPr>
          <w:rFonts w:ascii="Times New Roman" w:hAnsi="Times New Roman"/>
        </w:rPr>
        <w:t xml:space="preserve">. </w:t>
      </w:r>
    </w:p>
    <w:p w:rsidR="00FD4B10" w:rsidRPr="000A44CC" w:rsidP="000A44CC">
      <w:pPr>
        <w:bidi w:val="0"/>
        <w:ind w:firstLine="720"/>
        <w:rPr>
          <w:rFonts w:ascii="Times New Roman" w:hAnsi="Times New Roman"/>
        </w:rPr>
      </w:pPr>
      <w:r w:rsidRPr="006D6C54" w:rsidR="001B6F37">
        <w:rPr>
          <w:rFonts w:ascii="Times New Roman" w:hAnsi="Times New Roman"/>
        </w:rPr>
        <w:t>Navrhovaný</w:t>
      </w:r>
      <w:r w:rsidRPr="006D6C54" w:rsidR="001B6F37">
        <w:rPr>
          <w:rStyle w:val="PlaceholderText1"/>
          <w:color w:val="auto"/>
        </w:rPr>
        <w:t xml:space="preserve"> dátum nadobudnutia účinnosti je určený dátumom, od ktorého sa</w:t>
      </w:r>
      <w:r w:rsidR="000A44CC">
        <w:rPr>
          <w:rStyle w:val="PlaceholderText1"/>
          <w:color w:val="auto"/>
        </w:rPr>
        <w:t xml:space="preserve"> </w:t>
      </w:r>
      <w:r w:rsidRPr="006D6C54" w:rsidR="001B6F37">
        <w:rPr>
          <w:rStyle w:val="PlaceholderText1"/>
          <w:color w:val="auto"/>
        </w:rPr>
        <w:t xml:space="preserve">nariadenie Európskeho parlamentu a Rady (EÚ) č. 261/2012 uplatňuje v celom svojom rozsahu, t. j. vrátane </w:t>
      </w:r>
      <w:r w:rsidRPr="006D6C54" w:rsidR="001B6F37">
        <w:rPr>
          <w:rFonts w:ascii="Times New Roman" w:hAnsi="Times New Roman"/>
        </w:rPr>
        <w:t>článkov 126c, 126d, 185e a 185f</w:t>
      </w:r>
      <w:r w:rsidRPr="006D6C54" w:rsidR="001B6F37">
        <w:rPr>
          <w:rStyle w:val="PlaceholderText1"/>
          <w:color w:val="auto"/>
        </w:rPr>
        <w:t xml:space="preserve"> (3. október 2012), a nie už od dátumu, v ktorom sa začalo uplatňovať len v obmedzenom rozsahu (2. apríl 2012), a to z dôvodu oneskoreného vydania vykonávacích nariadení Komisie, ktoré mala Komisia vydať na základe nariadenia </w:t>
      </w:r>
      <w:r w:rsidRPr="006D6C54" w:rsidR="00434B48">
        <w:rPr>
          <w:rStyle w:val="PlaceholderText1"/>
          <w:color w:val="auto"/>
        </w:rPr>
        <w:t xml:space="preserve">Európskeho parlamentu a Rady (EÚ) č. 261/2012 </w:t>
      </w:r>
      <w:r w:rsidRPr="006D6C54" w:rsidR="002C0E8D">
        <w:rPr>
          <w:rStyle w:val="PlaceholderText1"/>
          <w:color w:val="auto"/>
        </w:rPr>
        <w:t>a </w:t>
      </w:r>
      <w:r w:rsidRPr="006D6C54" w:rsidR="001B6F37">
        <w:rPr>
          <w:rStyle w:val="PlaceholderText1"/>
          <w:color w:val="auto"/>
        </w:rPr>
        <w:t xml:space="preserve">bez ktorých nebolo možné nariadenie Európskeho parlamentu a Rady (EÚ) č. 261/2012 riadne vykonať už k dátumu jeho </w:t>
      </w:r>
      <w:r w:rsidRPr="006D6C54" w:rsidR="00434B48">
        <w:rPr>
          <w:rStyle w:val="PlaceholderText1"/>
          <w:color w:val="auto"/>
        </w:rPr>
        <w:t>obmedzeného uplatňovania (2. apríl 2012)</w:t>
      </w:r>
      <w:r w:rsidRPr="006D6C54" w:rsidR="00C33F30">
        <w:rPr>
          <w:rStyle w:val="PlaceholderText1"/>
          <w:color w:val="auto"/>
        </w:rPr>
        <w:t>.</w:t>
      </w:r>
    </w:p>
    <w:sectPr w:rsidSect="006F4015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pgNumType w:start="6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4015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95D0A"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4E4"/>
    <w:multiLevelType w:val="hybridMultilevel"/>
    <w:tmpl w:val="17B4BE5A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i w:val="0"/>
        <w:strike w:val="0"/>
        <w:spacing w:val="0"/>
        <w:w w:val="100"/>
        <w:kern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">
    <w:nsid w:val="20C441A0"/>
    <w:multiLevelType w:val="hybridMultilevel"/>
    <w:tmpl w:val="D45C6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74356C"/>
    <w:multiLevelType w:val="hybridMultilevel"/>
    <w:tmpl w:val="B2C27224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993507"/>
    <w:multiLevelType w:val="hybridMultilevel"/>
    <w:tmpl w:val="3FD8B27A"/>
    <w:lvl w:ilvl="0">
      <w:start w:val="1"/>
      <w:numFmt w:val="decimal"/>
      <w:pStyle w:val="a"/>
      <w:lvlText w:val="§ %1"/>
      <w:lvlJc w:val="center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371" w:firstLine="709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AFF1F97"/>
    <w:multiLevelType w:val="hybridMultilevel"/>
    <w:tmpl w:val="35E4D6F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2EE15EA"/>
    <w:multiLevelType w:val="hybridMultilevel"/>
    <w:tmpl w:val="63FC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center"/>
      <w:pPr>
        <w:tabs>
          <w:tab w:val="num" w:pos="2340"/>
        </w:tabs>
        <w:ind w:left="-18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EF6573"/>
    <w:multiLevelType w:val="hybridMultilevel"/>
    <w:tmpl w:val="980C8E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C20F54"/>
    <w:multiLevelType w:val="hybridMultilevel"/>
    <w:tmpl w:val="C85AE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9">
    <w:nsid w:val="78D90042"/>
    <w:multiLevelType w:val="hybridMultilevel"/>
    <w:tmpl w:val="42947736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A7E"/>
    <w:rsid w:val="000111C7"/>
    <w:rsid w:val="000131C1"/>
    <w:rsid w:val="00022CBC"/>
    <w:rsid w:val="0002368F"/>
    <w:rsid w:val="000305D7"/>
    <w:rsid w:val="00031C0C"/>
    <w:rsid w:val="00035C06"/>
    <w:rsid w:val="00040625"/>
    <w:rsid w:val="00042F73"/>
    <w:rsid w:val="00053D4B"/>
    <w:rsid w:val="00054CB3"/>
    <w:rsid w:val="00063BA4"/>
    <w:rsid w:val="00065014"/>
    <w:rsid w:val="00072899"/>
    <w:rsid w:val="00082384"/>
    <w:rsid w:val="000A045E"/>
    <w:rsid w:val="000A1128"/>
    <w:rsid w:val="000A1AC1"/>
    <w:rsid w:val="000A44CC"/>
    <w:rsid w:val="000A5566"/>
    <w:rsid w:val="000B53E9"/>
    <w:rsid w:val="000B5F3C"/>
    <w:rsid w:val="000C7342"/>
    <w:rsid w:val="000D1485"/>
    <w:rsid w:val="000D5692"/>
    <w:rsid w:val="000E00A3"/>
    <w:rsid w:val="000E480D"/>
    <w:rsid w:val="001172F7"/>
    <w:rsid w:val="00125C09"/>
    <w:rsid w:val="001260BF"/>
    <w:rsid w:val="001273BB"/>
    <w:rsid w:val="0013174F"/>
    <w:rsid w:val="00131EAE"/>
    <w:rsid w:val="0013421B"/>
    <w:rsid w:val="00156DF8"/>
    <w:rsid w:val="00163A6D"/>
    <w:rsid w:val="00165EC6"/>
    <w:rsid w:val="001668DB"/>
    <w:rsid w:val="001735B4"/>
    <w:rsid w:val="00173ABD"/>
    <w:rsid w:val="001A1CDE"/>
    <w:rsid w:val="001B6F37"/>
    <w:rsid w:val="001E41EA"/>
    <w:rsid w:val="001E5276"/>
    <w:rsid w:val="001E52AD"/>
    <w:rsid w:val="001F638B"/>
    <w:rsid w:val="001F75AE"/>
    <w:rsid w:val="00210D5C"/>
    <w:rsid w:val="002162D6"/>
    <w:rsid w:val="002211DF"/>
    <w:rsid w:val="00226A7E"/>
    <w:rsid w:val="00227824"/>
    <w:rsid w:val="00233865"/>
    <w:rsid w:val="00234370"/>
    <w:rsid w:val="00235E81"/>
    <w:rsid w:val="00246B70"/>
    <w:rsid w:val="0025336D"/>
    <w:rsid w:val="0026064F"/>
    <w:rsid w:val="00264D01"/>
    <w:rsid w:val="00266487"/>
    <w:rsid w:val="00274125"/>
    <w:rsid w:val="00275D2A"/>
    <w:rsid w:val="00283AA0"/>
    <w:rsid w:val="00286492"/>
    <w:rsid w:val="00293129"/>
    <w:rsid w:val="0029384F"/>
    <w:rsid w:val="00295F14"/>
    <w:rsid w:val="00296BA4"/>
    <w:rsid w:val="002B164C"/>
    <w:rsid w:val="002B520B"/>
    <w:rsid w:val="002C0A11"/>
    <w:rsid w:val="002C0E8D"/>
    <w:rsid w:val="002C56AE"/>
    <w:rsid w:val="002D4E5D"/>
    <w:rsid w:val="002E0B77"/>
    <w:rsid w:val="002E7CB1"/>
    <w:rsid w:val="00300E5D"/>
    <w:rsid w:val="00301342"/>
    <w:rsid w:val="00334889"/>
    <w:rsid w:val="00341ECF"/>
    <w:rsid w:val="003433F2"/>
    <w:rsid w:val="00355E47"/>
    <w:rsid w:val="003642A9"/>
    <w:rsid w:val="003737DC"/>
    <w:rsid w:val="00376AE4"/>
    <w:rsid w:val="003859E7"/>
    <w:rsid w:val="00390397"/>
    <w:rsid w:val="003C78BC"/>
    <w:rsid w:val="003D203E"/>
    <w:rsid w:val="003D599E"/>
    <w:rsid w:val="003D61DB"/>
    <w:rsid w:val="003E1F40"/>
    <w:rsid w:val="003E3711"/>
    <w:rsid w:val="003F18EA"/>
    <w:rsid w:val="00400EB8"/>
    <w:rsid w:val="00411BA7"/>
    <w:rsid w:val="00411E00"/>
    <w:rsid w:val="00421524"/>
    <w:rsid w:val="00434B48"/>
    <w:rsid w:val="00436A5E"/>
    <w:rsid w:val="004377C5"/>
    <w:rsid w:val="00440801"/>
    <w:rsid w:val="0044669D"/>
    <w:rsid w:val="00450622"/>
    <w:rsid w:val="004608EB"/>
    <w:rsid w:val="00462C77"/>
    <w:rsid w:val="0046356C"/>
    <w:rsid w:val="004713F0"/>
    <w:rsid w:val="00471B20"/>
    <w:rsid w:val="00474D42"/>
    <w:rsid w:val="00486EB2"/>
    <w:rsid w:val="00495848"/>
    <w:rsid w:val="00495D0A"/>
    <w:rsid w:val="004B693D"/>
    <w:rsid w:val="004D7A5B"/>
    <w:rsid w:val="00512595"/>
    <w:rsid w:val="00532D25"/>
    <w:rsid w:val="005375C8"/>
    <w:rsid w:val="0054579B"/>
    <w:rsid w:val="005463D6"/>
    <w:rsid w:val="00562F5D"/>
    <w:rsid w:val="00571FB1"/>
    <w:rsid w:val="00592CF9"/>
    <w:rsid w:val="005B4AA6"/>
    <w:rsid w:val="005C686D"/>
    <w:rsid w:val="005D4D86"/>
    <w:rsid w:val="005D4FE7"/>
    <w:rsid w:val="005E4456"/>
    <w:rsid w:val="005F0986"/>
    <w:rsid w:val="00607720"/>
    <w:rsid w:val="00614E0D"/>
    <w:rsid w:val="00627032"/>
    <w:rsid w:val="00630058"/>
    <w:rsid w:val="00651B3E"/>
    <w:rsid w:val="00662898"/>
    <w:rsid w:val="006637E8"/>
    <w:rsid w:val="00664AC3"/>
    <w:rsid w:val="00670770"/>
    <w:rsid w:val="00671D71"/>
    <w:rsid w:val="00672D1A"/>
    <w:rsid w:val="00673C1E"/>
    <w:rsid w:val="00680494"/>
    <w:rsid w:val="00680FB1"/>
    <w:rsid w:val="00681BFE"/>
    <w:rsid w:val="0069056F"/>
    <w:rsid w:val="0069554B"/>
    <w:rsid w:val="006A51EA"/>
    <w:rsid w:val="006B0705"/>
    <w:rsid w:val="006C5E41"/>
    <w:rsid w:val="006D2C7F"/>
    <w:rsid w:val="006D6C54"/>
    <w:rsid w:val="006E523D"/>
    <w:rsid w:val="006F3722"/>
    <w:rsid w:val="006F4015"/>
    <w:rsid w:val="007156F8"/>
    <w:rsid w:val="007158ED"/>
    <w:rsid w:val="00720B4A"/>
    <w:rsid w:val="0076362C"/>
    <w:rsid w:val="0076409A"/>
    <w:rsid w:val="00770CED"/>
    <w:rsid w:val="007816E2"/>
    <w:rsid w:val="00781EF0"/>
    <w:rsid w:val="0078363E"/>
    <w:rsid w:val="00784B13"/>
    <w:rsid w:val="007932C2"/>
    <w:rsid w:val="007A73F5"/>
    <w:rsid w:val="007B138F"/>
    <w:rsid w:val="007B4F46"/>
    <w:rsid w:val="007D4E2B"/>
    <w:rsid w:val="007F3E32"/>
    <w:rsid w:val="00804E3A"/>
    <w:rsid w:val="0081605D"/>
    <w:rsid w:val="00827DC5"/>
    <w:rsid w:val="008451A2"/>
    <w:rsid w:val="00846DFB"/>
    <w:rsid w:val="00850095"/>
    <w:rsid w:val="00851687"/>
    <w:rsid w:val="0085714F"/>
    <w:rsid w:val="00864CEA"/>
    <w:rsid w:val="00865A3E"/>
    <w:rsid w:val="00867665"/>
    <w:rsid w:val="0087007A"/>
    <w:rsid w:val="00872F08"/>
    <w:rsid w:val="008761C3"/>
    <w:rsid w:val="0087783D"/>
    <w:rsid w:val="008829FD"/>
    <w:rsid w:val="008839FA"/>
    <w:rsid w:val="00884C2C"/>
    <w:rsid w:val="00885309"/>
    <w:rsid w:val="008862AE"/>
    <w:rsid w:val="008A2A4A"/>
    <w:rsid w:val="008A2A8F"/>
    <w:rsid w:val="008A3B96"/>
    <w:rsid w:val="008B0832"/>
    <w:rsid w:val="008C24BE"/>
    <w:rsid w:val="008C592C"/>
    <w:rsid w:val="008D52C7"/>
    <w:rsid w:val="008E17E5"/>
    <w:rsid w:val="008E581B"/>
    <w:rsid w:val="00903C37"/>
    <w:rsid w:val="00903D25"/>
    <w:rsid w:val="00925E95"/>
    <w:rsid w:val="0093072A"/>
    <w:rsid w:val="00932BA5"/>
    <w:rsid w:val="0093788D"/>
    <w:rsid w:val="009421B9"/>
    <w:rsid w:val="00943C46"/>
    <w:rsid w:val="00944548"/>
    <w:rsid w:val="009521B0"/>
    <w:rsid w:val="00962D12"/>
    <w:rsid w:val="00964F94"/>
    <w:rsid w:val="00965620"/>
    <w:rsid w:val="00973E3A"/>
    <w:rsid w:val="00974C3D"/>
    <w:rsid w:val="009841FA"/>
    <w:rsid w:val="00990AE2"/>
    <w:rsid w:val="0099242C"/>
    <w:rsid w:val="009A6A37"/>
    <w:rsid w:val="009A7105"/>
    <w:rsid w:val="009D342A"/>
    <w:rsid w:val="009D5868"/>
    <w:rsid w:val="009D6CB1"/>
    <w:rsid w:val="009E0BBC"/>
    <w:rsid w:val="009E2E9B"/>
    <w:rsid w:val="009E4184"/>
    <w:rsid w:val="00A05168"/>
    <w:rsid w:val="00A06FBD"/>
    <w:rsid w:val="00A16F92"/>
    <w:rsid w:val="00A32E0D"/>
    <w:rsid w:val="00A3301C"/>
    <w:rsid w:val="00A37859"/>
    <w:rsid w:val="00A47010"/>
    <w:rsid w:val="00A5077D"/>
    <w:rsid w:val="00A5540E"/>
    <w:rsid w:val="00A81300"/>
    <w:rsid w:val="00A8261D"/>
    <w:rsid w:val="00A85F1F"/>
    <w:rsid w:val="00A9239F"/>
    <w:rsid w:val="00A95605"/>
    <w:rsid w:val="00A95C0C"/>
    <w:rsid w:val="00AA5ECB"/>
    <w:rsid w:val="00AA6E74"/>
    <w:rsid w:val="00AA79F5"/>
    <w:rsid w:val="00AE5FEF"/>
    <w:rsid w:val="00AF3C5C"/>
    <w:rsid w:val="00B008B2"/>
    <w:rsid w:val="00B0773E"/>
    <w:rsid w:val="00B10F92"/>
    <w:rsid w:val="00B132F7"/>
    <w:rsid w:val="00B17184"/>
    <w:rsid w:val="00B245A4"/>
    <w:rsid w:val="00B32805"/>
    <w:rsid w:val="00B351FD"/>
    <w:rsid w:val="00B357D2"/>
    <w:rsid w:val="00B52E85"/>
    <w:rsid w:val="00B52F7E"/>
    <w:rsid w:val="00B65A5E"/>
    <w:rsid w:val="00B707E0"/>
    <w:rsid w:val="00B870D7"/>
    <w:rsid w:val="00BC6568"/>
    <w:rsid w:val="00BD1E5A"/>
    <w:rsid w:val="00BE1B86"/>
    <w:rsid w:val="00BF1C5A"/>
    <w:rsid w:val="00BF36BA"/>
    <w:rsid w:val="00BF6ACB"/>
    <w:rsid w:val="00C1375F"/>
    <w:rsid w:val="00C24A64"/>
    <w:rsid w:val="00C25FD3"/>
    <w:rsid w:val="00C33F30"/>
    <w:rsid w:val="00C4405F"/>
    <w:rsid w:val="00C45C09"/>
    <w:rsid w:val="00C45F90"/>
    <w:rsid w:val="00C61170"/>
    <w:rsid w:val="00C76F21"/>
    <w:rsid w:val="00C8471B"/>
    <w:rsid w:val="00C85ACD"/>
    <w:rsid w:val="00C935D4"/>
    <w:rsid w:val="00CB1D5D"/>
    <w:rsid w:val="00CB385D"/>
    <w:rsid w:val="00CB6D05"/>
    <w:rsid w:val="00CB7FA0"/>
    <w:rsid w:val="00CC6115"/>
    <w:rsid w:val="00CE3481"/>
    <w:rsid w:val="00D05D05"/>
    <w:rsid w:val="00D073A6"/>
    <w:rsid w:val="00D12540"/>
    <w:rsid w:val="00D14F93"/>
    <w:rsid w:val="00D276CD"/>
    <w:rsid w:val="00D35BE3"/>
    <w:rsid w:val="00D363EA"/>
    <w:rsid w:val="00D465DD"/>
    <w:rsid w:val="00D561AD"/>
    <w:rsid w:val="00D63913"/>
    <w:rsid w:val="00D64368"/>
    <w:rsid w:val="00D92407"/>
    <w:rsid w:val="00D94B90"/>
    <w:rsid w:val="00DA307F"/>
    <w:rsid w:val="00DA6F02"/>
    <w:rsid w:val="00DB0A9E"/>
    <w:rsid w:val="00DB3C23"/>
    <w:rsid w:val="00DB4D74"/>
    <w:rsid w:val="00DC53D8"/>
    <w:rsid w:val="00DD1476"/>
    <w:rsid w:val="00DD35FE"/>
    <w:rsid w:val="00DD4C39"/>
    <w:rsid w:val="00DE13F0"/>
    <w:rsid w:val="00DE23DB"/>
    <w:rsid w:val="00DF15B4"/>
    <w:rsid w:val="00E009AB"/>
    <w:rsid w:val="00E10A4D"/>
    <w:rsid w:val="00E13B24"/>
    <w:rsid w:val="00E214EB"/>
    <w:rsid w:val="00E23502"/>
    <w:rsid w:val="00E26134"/>
    <w:rsid w:val="00E3678C"/>
    <w:rsid w:val="00E44134"/>
    <w:rsid w:val="00E44B90"/>
    <w:rsid w:val="00E75706"/>
    <w:rsid w:val="00E75EB4"/>
    <w:rsid w:val="00E82253"/>
    <w:rsid w:val="00E91FAB"/>
    <w:rsid w:val="00EB2647"/>
    <w:rsid w:val="00EC7868"/>
    <w:rsid w:val="00EE730F"/>
    <w:rsid w:val="00EF7F8B"/>
    <w:rsid w:val="00F31556"/>
    <w:rsid w:val="00F356B1"/>
    <w:rsid w:val="00F40EBB"/>
    <w:rsid w:val="00F44E1F"/>
    <w:rsid w:val="00F57205"/>
    <w:rsid w:val="00F60920"/>
    <w:rsid w:val="00F60A5F"/>
    <w:rsid w:val="00F63BA0"/>
    <w:rsid w:val="00F72544"/>
    <w:rsid w:val="00F732A4"/>
    <w:rsid w:val="00F75B9A"/>
    <w:rsid w:val="00F801FF"/>
    <w:rsid w:val="00F80E51"/>
    <w:rsid w:val="00F909F5"/>
    <w:rsid w:val="00F93369"/>
    <w:rsid w:val="00FA3324"/>
    <w:rsid w:val="00FB1183"/>
    <w:rsid w:val="00FC41C1"/>
    <w:rsid w:val="00FC65AF"/>
    <w:rsid w:val="00FD3A1B"/>
    <w:rsid w:val="00FD4B10"/>
    <w:rsid w:val="00FE0A7C"/>
    <w:rsid w:val="00FE110C"/>
    <w:rsid w:val="00FE3951"/>
    <w:rsid w:val="00FE75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540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540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540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12540"/>
    <w:pPr>
      <w:spacing w:before="12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aliases w:val="Char Char"/>
    <w:link w:val="Style"/>
    <w:uiPriority w:val="1"/>
    <w:locked/>
    <w:rsid w:val="004215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paragraph" w:styleId="Footer">
    <w:name w:val="footer"/>
    <w:basedOn w:val="Normal"/>
    <w:link w:val="FooterChar"/>
    <w:uiPriority w:val="99"/>
    <w:rsid w:val="00226A7E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26A7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226A7E"/>
    <w:pPr>
      <w:spacing w:before="100" w:beforeAutospacing="1" w:after="100" w:afterAutospacing="1"/>
      <w:jc w:val="both"/>
    </w:pPr>
  </w:style>
  <w:style w:type="paragraph" w:customStyle="1" w:styleId="a">
    <w:name w:val="§"/>
    <w:basedOn w:val="Normal"/>
    <w:next w:val="Heading2"/>
    <w:rsid w:val="00D12540"/>
    <w:pPr>
      <w:numPr>
        <w:numId w:val="4"/>
      </w:numPr>
      <w:tabs>
        <w:tab w:val="num" w:pos="0"/>
        <w:tab w:val="num" w:pos="720"/>
      </w:tabs>
      <w:spacing w:before="360" w:after="120"/>
      <w:ind w:left="720" w:hanging="360"/>
      <w:jc w:val="center"/>
    </w:pPr>
    <w:rPr>
      <w:b/>
      <w:color w:val="00000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FB1183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5D4FE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5D4FE7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4FE7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customStyle="1" w:styleId="adda">
    <w:name w:val="adda"/>
    <w:basedOn w:val="Normal"/>
    <w:rsid w:val="00D12540"/>
    <w:pPr>
      <w:numPr>
        <w:numId w:val="5"/>
      </w:numPr>
      <w:tabs>
        <w:tab w:val="num" w:pos="0"/>
        <w:tab w:val="num" w:pos="720"/>
      </w:tabs>
      <w:ind w:left="720" w:hanging="360"/>
      <w:jc w:val="both"/>
    </w:pPr>
    <w:rPr>
      <w:bCs/>
    </w:rPr>
  </w:style>
  <w:style w:type="paragraph" w:customStyle="1" w:styleId="odsek">
    <w:name w:val="odsek"/>
    <w:basedOn w:val="Normal"/>
    <w:rsid w:val="00D12540"/>
    <w:pPr>
      <w:ind w:firstLine="709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odsek1">
    <w:name w:val="odsek1"/>
    <w:basedOn w:val="Normal"/>
    <w:rsid w:val="00D12540"/>
    <w:pPr>
      <w:numPr>
        <w:numId w:val="6"/>
      </w:numPr>
      <w:tabs>
        <w:tab w:val="num" w:pos="0"/>
        <w:tab w:val="num" w:pos="1260"/>
      </w:tabs>
      <w:spacing w:before="120" w:after="120"/>
      <w:ind w:left="1260" w:hanging="360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tl1">
    <w:name w:val="Štýl1"/>
    <w:basedOn w:val="a"/>
    <w:rsid w:val="00D12540"/>
    <w:pPr>
      <w:numPr>
        <w:numId w:val="0"/>
      </w:numPr>
      <w:tabs>
        <w:tab w:val="clear" w:pos="0"/>
      </w:tabs>
      <w:ind w:firstLine="0"/>
      <w:jc w:val="center"/>
    </w:pPr>
  </w:style>
  <w:style w:type="paragraph" w:styleId="FootnoteText">
    <w:name w:val="footnote text"/>
    <w:basedOn w:val="Normal"/>
    <w:link w:val="FootnoteTextChar"/>
    <w:uiPriority w:val="99"/>
    <w:semiHidden/>
    <w:rsid w:val="00D12540"/>
    <w:pPr>
      <w:spacing w:before="0" w:after="0"/>
      <w:ind w:left="227" w:hanging="227"/>
      <w:jc w:val="both"/>
    </w:pPr>
    <w:rPr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D12540"/>
    <w:pPr>
      <w:jc w:val="both"/>
    </w:pPr>
    <w:rPr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ppp-input-value1">
    <w:name w:val="ppp-input-value1"/>
    <w:rsid w:val="00F93369"/>
    <w:rPr>
      <w:rFonts w:ascii="Tahoma" w:hAnsi="Tahoma" w:cs="Tahoma"/>
      <w:color w:val="837A73"/>
      <w:sz w:val="16"/>
    </w:rPr>
  </w:style>
  <w:style w:type="character" w:styleId="FootnoteReference">
    <w:name w:val="footnote reference"/>
    <w:basedOn w:val="DefaultParagraphFont"/>
    <w:uiPriority w:val="99"/>
    <w:semiHidden/>
    <w:rsid w:val="00C24A64"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FD4B10"/>
    <w:pPr>
      <w:spacing w:after="120"/>
      <w:ind w:left="28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Style">
    <w:name w:val="Style"/>
    <w:basedOn w:val="Normal"/>
    <w:link w:val="DefaultParagraphFont"/>
    <w:rsid w:val="00FD4B10"/>
    <w:pPr>
      <w:keepNext w:val="0"/>
      <w:spacing w:before="0"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PlaceholderText1">
    <w:name w:val="Placeholder Text1"/>
    <w:semiHidden/>
    <w:rsid w:val="006D2C7F"/>
    <w:rPr>
      <w:rFonts w:ascii="Times New Roman" w:hAnsi="Times New Roman" w:cs="Times New Roman"/>
      <w:color w:val="808080"/>
    </w:rPr>
  </w:style>
  <w:style w:type="paragraph" w:customStyle="1" w:styleId="CM1">
    <w:name w:val="CM1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harChar3CharChar">
    <w:name w:val="Char Char3 Char Char"/>
    <w:basedOn w:val="Normal"/>
    <w:rsid w:val="00627032"/>
    <w:pPr>
      <w:spacing w:before="0"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1743</Words>
  <Characters>9941</Characters>
  <Application>Microsoft Office Word</Application>
  <DocSecurity>0</DocSecurity>
  <Lines>0</Lines>
  <Paragraphs>0</Paragraphs>
  <ScaleCrop>false</ScaleCrop>
  <Company>MP SR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 Illáš</dc:creator>
  <cp:lastModifiedBy>Gašparíková, Jarmila</cp:lastModifiedBy>
  <cp:revision>3</cp:revision>
  <cp:lastPrinted>2012-08-22T15:16:00Z</cp:lastPrinted>
  <dcterms:created xsi:type="dcterms:W3CDTF">2012-08-24T10:05:00Z</dcterms:created>
  <dcterms:modified xsi:type="dcterms:W3CDTF">2012-08-24T10:07:00Z</dcterms:modified>
</cp:coreProperties>
</file>