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4FD4" w:rsidRPr="00CE0E74" w:rsidP="00CE0E74">
      <w:pPr>
        <w:pStyle w:val="Heading1"/>
        <w:rPr>
          <w:rFonts w:cs="Times New Roman"/>
          <w:szCs w:val="24"/>
        </w:rPr>
      </w:pPr>
      <w:r w:rsidRPr="00CE0E74" w:rsidR="00D73C47">
        <w:rPr>
          <w:rFonts w:cs="Times New Roman"/>
          <w:szCs w:val="24"/>
        </w:rPr>
        <w:t>Dôvodová správa</w:t>
      </w:r>
    </w:p>
    <w:p w:rsidR="00D73C47" w:rsidRPr="00CE0E74" w:rsidP="00CE0E74">
      <w:pPr>
        <w:pStyle w:val="Heading3"/>
        <w:rPr>
          <w:rFonts w:cs="Times New Roman"/>
          <w:szCs w:val="24"/>
        </w:rPr>
      </w:pPr>
      <w:r w:rsidRPr="00CE0E74">
        <w:rPr>
          <w:rFonts w:cs="Times New Roman"/>
          <w:szCs w:val="24"/>
        </w:rPr>
        <w:t>Všeobecná časť</w:t>
      </w:r>
    </w:p>
    <w:p w:rsidR="00D73C47" w:rsidRPr="00CE0E74" w:rsidP="00CE0E74">
      <w:pPr>
        <w:pStyle w:val="odsek"/>
      </w:pPr>
      <w:r w:rsidRPr="00CE0E74">
        <w:t>V období po zrušení Zákona Národnej rady Slovenskej republiky č. 140/2010 Z. z. o neprimeraných podmienkach v obchodných vzťahoch medzi odberateľom a dodávateľom tovaru, ktorým sú potraviny</w:t>
      </w:r>
      <w:r w:rsidRPr="00CE0E74" w:rsidR="00465029">
        <w:t xml:space="preserve"> (ďalej len „zákon č. 140/2010 Z. z.</w:t>
      </w:r>
      <w:r w:rsidRPr="00CE0E74" w:rsidR="00465029">
        <w:t>“)</w:t>
      </w:r>
      <w:r w:rsidRPr="00CE0E74">
        <w:t xml:space="preserve">, zaznamenalo Ministerstvo pôdohospodárstva a rozvoja vidieka </w:t>
      </w:r>
      <w:r w:rsidRPr="00CE0E74" w:rsidR="000D33B2">
        <w:t>Slo</w:t>
      </w:r>
      <w:r w:rsidR="0071526D">
        <w:t>venskej republiky (ďalej len „</w:t>
      </w:r>
      <w:r w:rsidRPr="00CE0E74" w:rsidR="000D33B2">
        <w:t xml:space="preserve">ministerstvo“) </w:t>
      </w:r>
      <w:r w:rsidRPr="00CE0E74">
        <w:t>a Slovenská poľnohospodárska a potravinárska komora mnohé podnety a poznatky z praxe, ktoré preukazovali, že vo vzťahoch medzi odberateľmi a dodávateľmi potravín na Slovensku dochádza opäť zo strany odberateľov dodávaných potravín k zneužívaniu ich ekonomického postavenia na vnútornom trhu.</w:t>
      </w:r>
      <w:r w:rsidRPr="00CE0E74" w:rsidR="00810114">
        <w:t xml:space="preserve"> Predložený návrh zákona reaguje v legislatívnej podobe na zistené poznatky a zamedzuje ich aplikovaniu.</w:t>
      </w:r>
    </w:p>
    <w:p w:rsidR="00AA69B1" w:rsidRPr="00CE0E74" w:rsidP="00CE0E74">
      <w:pPr>
        <w:pStyle w:val="odsek"/>
      </w:pPr>
      <w:r w:rsidRPr="00CE0E74" w:rsidR="00810114">
        <w:t xml:space="preserve">Cieľom uplatňovania navrhovaného zákona by malo byť presadzovanie opatrení, ktoré zamedzia zneužívaniu ekonomického postavenia </w:t>
      </w:r>
      <w:r w:rsidRPr="00CE0E74">
        <w:rPr>
          <w:rStyle w:val="ppp-input-value1"/>
          <w:rFonts w:ascii="Times New Roman" w:hAnsi="Times New Roman" w:cs="Times New Roman"/>
          <w:color w:val="auto"/>
          <w:sz w:val="24"/>
          <w:szCs w:val="24"/>
        </w:rPr>
        <w:t>odberateľa na vnútornom trhu s potravinami z hľadiska štruktúry tohto trhu a podielu</w:t>
      </w:r>
      <w:r w:rsidR="0071526D">
        <w:rPr>
          <w:rStyle w:val="ppp-input-value1"/>
          <w:rFonts w:ascii="Times New Roman" w:hAnsi="Times New Roman" w:cs="Times New Roman"/>
          <w:color w:val="auto"/>
          <w:sz w:val="24"/>
          <w:szCs w:val="24"/>
        </w:rPr>
        <w:t xml:space="preserve"> </w:t>
      </w:r>
      <w:r w:rsidRPr="00CE0E74">
        <w:rPr>
          <w:rStyle w:val="ppp-input-value1"/>
          <w:rFonts w:ascii="Times New Roman" w:hAnsi="Times New Roman" w:cs="Times New Roman"/>
          <w:color w:val="auto"/>
          <w:sz w:val="24"/>
          <w:szCs w:val="24"/>
        </w:rPr>
        <w:t>odberateľa a dodávateľa na tomto trhu, vyžadovan</w:t>
      </w:r>
      <w:r w:rsidRPr="00CE0E74">
        <w:rPr>
          <w:rStyle w:val="ppp-input-value1"/>
          <w:rFonts w:ascii="Times New Roman" w:hAnsi="Times New Roman" w:cs="Times New Roman"/>
          <w:color w:val="auto"/>
          <w:sz w:val="24"/>
          <w:szCs w:val="24"/>
        </w:rPr>
        <w:t>ím jednostranných výhodných obchodných podmienok</w:t>
      </w:r>
      <w:r w:rsidRPr="00CE0E74">
        <w:t>.</w:t>
      </w:r>
      <w:r w:rsidRPr="00CE0E74" w:rsidR="00810114">
        <w:t>,</w:t>
      </w:r>
      <w:r w:rsidR="0071526D">
        <w:t xml:space="preserve"> </w:t>
      </w:r>
    </w:p>
    <w:p w:rsidR="00465029" w:rsidRPr="00CE0E74" w:rsidP="00CE0E74">
      <w:pPr>
        <w:pStyle w:val="odsek"/>
        <w:rPr>
          <w:color w:val="4B4B4B"/>
        </w:rPr>
      </w:pPr>
      <w:r w:rsidRPr="00CE0E74">
        <w:rPr>
          <w:color w:val="000000"/>
        </w:rPr>
        <w:t xml:space="preserve">Predkladaný návrh v podstate nadväzuje na zákon č. 140/2010 Z. z. </w:t>
      </w:r>
      <w:r w:rsidRPr="00CE0E74">
        <w:t>Kým predchádzajúce legislatívne texty</w:t>
      </w:r>
      <w:r w:rsidRPr="00CE0E74" w:rsidR="0039782D">
        <w:t xml:space="preserve">(zákon č. </w:t>
      </w:r>
      <w:hyperlink r:id="rId4" w:tgtFrame="_blank" w:history="1">
        <w:r w:rsidRPr="00CE0E74" w:rsidR="0039782D">
          <w:t>172/2008 Z. z.</w:t>
        </w:r>
      </w:hyperlink>
      <w:r w:rsidRPr="00CE0E74" w:rsidR="0039782D">
        <w:t xml:space="preserve"> o</w:t>
      </w:r>
      <w:r w:rsidRPr="00CE0E74" w:rsidR="00CE0E74">
        <w:t> </w:t>
      </w:r>
      <w:r w:rsidRPr="00CE0E74" w:rsidR="0039782D">
        <w:t>neprimeraných</w:t>
      </w:r>
      <w:r w:rsidRPr="00CE0E74" w:rsidR="00CE0E74">
        <w:t xml:space="preserve"> </w:t>
      </w:r>
      <w:r w:rsidRPr="00CE0E74" w:rsidR="0039782D">
        <w:t>podmienkach v</w:t>
      </w:r>
      <w:r w:rsidR="0071526D">
        <w:t> </w:t>
      </w:r>
      <w:r w:rsidRPr="00CE0E74" w:rsidR="0039782D">
        <w:t>obchodných</w:t>
      </w:r>
      <w:r w:rsidR="0071526D">
        <w:t xml:space="preserve"> </w:t>
      </w:r>
      <w:r w:rsidRPr="00CE0E74" w:rsidR="0039782D">
        <w:t>vzťahoch a o doplnení zákona Slovenskej národnej rady č. 30/1992 Zb. o</w:t>
      </w:r>
      <w:r w:rsidR="0071526D">
        <w:t> </w:t>
      </w:r>
      <w:r w:rsidRPr="00CE0E74" w:rsidR="0039782D">
        <w:t>Slovenskej</w:t>
      </w:r>
      <w:r w:rsidR="0071526D">
        <w:t xml:space="preserve"> </w:t>
      </w:r>
      <w:r w:rsidRPr="00CE0E74" w:rsidR="0039782D">
        <w:t>poľnohospodárskej a potravinárskej komore v znení neskorších predpisov v</w:t>
      </w:r>
      <w:r w:rsidR="0071526D">
        <w:t> </w:t>
      </w:r>
      <w:r w:rsidRPr="00CE0E74" w:rsidR="0039782D">
        <w:t>znení</w:t>
      </w:r>
      <w:r w:rsidR="0071526D">
        <w:t xml:space="preserve"> </w:t>
      </w:r>
      <w:r w:rsidRPr="00CE0E74" w:rsidR="0039782D">
        <w:t>zákona č. 55/2009 Z. z.</w:t>
      </w:r>
      <w:bookmarkStart w:id="0" w:name="f_5443192"/>
      <w:bookmarkEnd w:id="0"/>
      <w:r w:rsidRPr="00CE0E74" w:rsidR="00D2539A">
        <w:t xml:space="preserve"> ( ďalej len</w:t>
      </w:r>
      <w:r w:rsidR="0071526D">
        <w:t xml:space="preserve"> </w:t>
      </w:r>
      <w:r w:rsidRPr="00CE0E74" w:rsidR="00D2539A">
        <w:t xml:space="preserve">„zákon č. </w:t>
      </w:r>
      <w:hyperlink r:id="rId4" w:tgtFrame="_blank" w:history="1">
        <w:r w:rsidRPr="00CE0E74" w:rsidR="00D2539A">
          <w:t>172/2008 Z. z.</w:t>
        </w:r>
      </w:hyperlink>
      <w:r w:rsidRPr="00CE0E74" w:rsidR="00D2539A">
        <w:t>“</w:t>
      </w:r>
      <w:r w:rsidRPr="00CE0E74" w:rsidR="0039782D">
        <w:t>)</w:t>
      </w:r>
      <w:r w:rsidRPr="00CE0E74">
        <w:t xml:space="preserve"> boli z rôznych dôvodov buď neprijateľné alebo nevykonateľné,</w:t>
      </w:r>
      <w:r w:rsidRPr="00CE0E74">
        <w:rPr>
          <w:color w:val="000000"/>
        </w:rPr>
        <w:t xml:space="preserve"> zákon č. 140/2010 Z. z. </w:t>
      </w:r>
      <w:r w:rsidRPr="00CE0E74">
        <w:t xml:space="preserve">bol koncipovaný tak, že nielen dobre vystihoval podstatu problému, ale prinášal i riešenia, ktoré zabezpečovali jeho vykonateľnosť. </w:t>
      </w:r>
      <w:r w:rsidRPr="00CE0E74" w:rsidR="000D33B2">
        <w:t>Ministerstvo na základe zákona</w:t>
      </w:r>
      <w:r w:rsidRPr="00CE0E74" w:rsidR="00D2539A">
        <w:t xml:space="preserve"> č. </w:t>
      </w:r>
      <w:hyperlink r:id="rId4" w:tgtFrame="_blank" w:history="1">
        <w:r w:rsidRPr="00CE0E74" w:rsidR="00D2539A">
          <w:t>172/2008 Z. z.</w:t>
        </w:r>
      </w:hyperlink>
      <w:r w:rsidRPr="00CE0E74" w:rsidR="000D33B2">
        <w:t xml:space="preserve"> </w:t>
      </w:r>
      <w:r w:rsidRPr="00CE0E74" w:rsidR="00D2539A">
        <w:t>začalo a následne podľa</w:t>
      </w:r>
      <w:r w:rsidR="0071526D">
        <w:t xml:space="preserve"> </w:t>
      </w:r>
      <w:r w:rsidRPr="00CE0E74" w:rsidR="00D2539A">
        <w:t xml:space="preserve">zákona </w:t>
      </w:r>
      <w:r w:rsidRPr="00CE0E74" w:rsidR="000D33B2">
        <w:t>č. 140/2010 Z. z</w:t>
      </w:r>
      <w:r w:rsidRPr="00CE0E74" w:rsidR="00D2539A">
        <w:t>.</w:t>
      </w:r>
      <w:r w:rsidR="0071526D">
        <w:t xml:space="preserve"> </w:t>
      </w:r>
      <w:r w:rsidRPr="00CE0E74" w:rsidR="00D2539A">
        <w:t>pokračovalo s výkonom kontrol v</w:t>
      </w:r>
      <w:r w:rsidR="0071526D">
        <w:t xml:space="preserve"> </w:t>
      </w:r>
      <w:r w:rsidRPr="00CE0E74" w:rsidR="00D2539A">
        <w:t>18 subjektoch</w:t>
      </w:r>
      <w:r w:rsidR="0071526D">
        <w:t xml:space="preserve"> </w:t>
      </w:r>
      <w:r w:rsidRPr="00CE0E74" w:rsidR="00D2539A">
        <w:t>z toho</w:t>
      </w:r>
      <w:r w:rsidR="0071526D">
        <w:t xml:space="preserve"> </w:t>
      </w:r>
      <w:r w:rsidRPr="00CE0E74" w:rsidR="00D2539A">
        <w:t>u</w:t>
      </w:r>
      <w:r w:rsidR="0071526D">
        <w:t xml:space="preserve"> </w:t>
      </w:r>
      <w:r w:rsidRPr="00CE0E74" w:rsidR="00D2539A">
        <w:t>2 odberateľov a u ich 16 odberateľov. Kontroly neboli ukončené z dôvodu zrušenia zákona č.</w:t>
      </w:r>
      <w:r w:rsidR="0071526D">
        <w:t> </w:t>
      </w:r>
      <w:r w:rsidRPr="00CE0E74" w:rsidR="00D2539A">
        <w:t>140/2010 Z. z.</w:t>
      </w:r>
    </w:p>
    <w:p w:rsidR="000C6921" w:rsidRPr="00CE0E74" w:rsidP="00AC36F8">
      <w:pPr>
        <w:shd w:val="clear" w:color="auto" w:fill="FFFFFF"/>
        <w:spacing w:after="120"/>
        <w:ind w:firstLine="709"/>
      </w:pPr>
      <w:r w:rsidRPr="00CE0E74" w:rsidR="00465029">
        <w:t xml:space="preserve">Jedným z mnohých skutočností z uplatňovania nekalých praktík vo vzťahu k tuzemským dodávateľom potravín do obchodnej siete na Slovensku je pokles podielu potravín od slovenských dodávateľov v obchodnej sieti v prospech dovážaných potravín. Vyplýva to nielen z oficiálnej zahranično-obchodnej bilancie, ale aj </w:t>
      </w:r>
      <w:r w:rsidRPr="00CE0E74">
        <w:t>z</w:t>
      </w:r>
      <w:r w:rsidRPr="00CE0E74">
        <w:t xml:space="preserve"> monitorovania ponuky a</w:t>
      </w:r>
      <w:r w:rsidR="0071526D">
        <w:t> </w:t>
      </w:r>
      <w:r w:rsidRPr="00CE0E74">
        <w:t>z</w:t>
      </w:r>
      <w:r w:rsidR="0071526D">
        <w:t> </w:t>
      </w:r>
      <w:r w:rsidRPr="00CE0E74">
        <w:t>prepočtov</w:t>
      </w:r>
      <w:r w:rsidR="0071526D">
        <w:t xml:space="preserve"> </w:t>
      </w:r>
      <w:r w:rsidRPr="00CE0E74">
        <w:t>podielu potravín vyrobených na Slovensku na pultoch slovenských predajní</w:t>
      </w:r>
      <w:r w:rsidRPr="00CE0E74" w:rsidR="00EC609F">
        <w:t xml:space="preserve">. Kým v roku 2008 bol podiel </w:t>
      </w:r>
      <w:r w:rsidRPr="00CE0E74" w:rsidR="00EA7777">
        <w:t>vybratých základných potravín na pultoch slovenských maloobchodných predajní približne 56</w:t>
      </w:r>
      <w:r w:rsidRPr="00CE0E74" w:rsidR="00CE0E74">
        <w:t> </w:t>
      </w:r>
      <w:r w:rsidRPr="00CE0E74" w:rsidR="00EA7777">
        <w:t xml:space="preserve">%, tak v roku 2011 to už bolo len približne 47 %. Takýto podiel nebol zaznamenaný nikde inde v okolitých krajinách. </w:t>
      </w:r>
      <w:r w:rsidRPr="00CE0E74" w:rsidR="00CD6624">
        <w:t xml:space="preserve">Pritom veľké obchodné systémy sú pre dodávateľov potravín akousi vstupnou bránou pre ich výrobky pre konečného spotrebiteľa. Dokumentuje je to aj vývoj podielu tržieb obchodných systémov na Slovensku za potraviny. Kým v roku 2003 tento podiel predstavoval približne 50 %, tak v posledných troch rokoch tento podiel stúpol na 80 % až 90 %. </w:t>
      </w:r>
      <w:r w:rsidRPr="00CE0E74">
        <w:t xml:space="preserve">Ide o skutočnosť, ktorá sa síce nedá pripísať iba na vrub uplatňovania nekalých praktík, ale </w:t>
      </w:r>
      <w:r w:rsidRPr="00CE0E74" w:rsidR="00CD6624">
        <w:t>určite</w:t>
      </w:r>
      <w:r w:rsidRPr="00CE0E74">
        <w:t xml:space="preserve"> </w:t>
      </w:r>
      <w:r w:rsidRPr="00CE0E74" w:rsidR="00CD6624">
        <w:t xml:space="preserve">do </w:t>
      </w:r>
      <w:r w:rsidRPr="00CE0E74">
        <w:t>značne</w:t>
      </w:r>
      <w:r w:rsidRPr="00CE0E74" w:rsidR="00CD6624">
        <w:t>j miery</w:t>
      </w:r>
      <w:r w:rsidRPr="00CE0E74">
        <w:t xml:space="preserve"> obmedzujú možnosti potenciálnych slovenských dodávateľov stať sa nimi i reálne. </w:t>
      </w:r>
      <w:r w:rsidRPr="00CE0E74" w:rsidR="00A04F1A">
        <w:t xml:space="preserve">Možno </w:t>
      </w:r>
      <w:r w:rsidRPr="00CE0E74" w:rsidR="00CD6624">
        <w:t>zjednodušene konštatovať</w:t>
      </w:r>
      <w:r w:rsidRPr="00CE0E74">
        <w:t xml:space="preserve">, že podmienkam obchodných reťazcov sa omnoho jednoduchšie prispôsobia nadnárodné potravinárske spoločnosti ako malé a stredné podniky, medzi ktoré patrí </w:t>
      </w:r>
      <w:r w:rsidRPr="00CE0E74" w:rsidR="00CD6624">
        <w:t>aj</w:t>
      </w:r>
      <w:r w:rsidRPr="00CE0E74">
        <w:t xml:space="preserve"> väčšina potenciálnych slovenských dodávateľov.</w:t>
      </w:r>
    </w:p>
    <w:p w:rsidR="00CD6624" w:rsidRPr="00CE0E74" w:rsidP="000C6921">
      <w:pPr>
        <w:spacing w:after="120"/>
        <w:ind w:firstLine="708"/>
        <w:rPr>
          <w:b/>
        </w:rPr>
      </w:pPr>
      <w:r w:rsidRPr="00CE0E74">
        <w:t xml:space="preserve">Vzhľadom na neúprosnú aktuálnosť podnikateľských vzťahov pri obchodovaní s potravinami, považujeme za najúčinnejšie riešiť danú problematiku právnou úpravou. </w:t>
      </w:r>
    </w:p>
    <w:p w:rsidR="00CD6624" w:rsidRPr="00CE0E74" w:rsidP="00CD6624">
      <w:pPr>
        <w:spacing w:after="120"/>
        <w:ind w:firstLine="709"/>
      </w:pPr>
      <w:r w:rsidRPr="00CE0E74">
        <w:t xml:space="preserve">Aj medzi členmi Európskej únie sú dnes viaceré krajiny, ktoré disponujú legislatívou </w:t>
      </w:r>
      <w:r w:rsidRPr="00CE0E74" w:rsidR="00A04F1A">
        <w:t xml:space="preserve">zameranou </w:t>
      </w:r>
      <w:r w:rsidRPr="00CE0E74">
        <w:t>na zamedzenie uplatňovania nekalých praktík. V „starých“ krajinách Európskej únie je to Francúzsko a Taliansko, v „nových“ krajinách je to Česká republika, Maďarsko, Rumunsko a Poľsko. Iné krajiny majú niektoré opatrenia obmedzujúce určité nekalé praktiky zabudované do iných zákonov. Niektoré ďalšie krajiny si zvolili cestu etických kódexov (Veľká Británia, Španielsko, Belgicko). Tu však prax však ukázala, že z princípu nevymáhateľnosti etické kódexy k ničomu nevedú a ich výsledok je odloženie skutočného riešenia na neskôr.</w:t>
      </w:r>
    </w:p>
    <w:p w:rsidR="006901A5" w:rsidRPr="00CE0E74" w:rsidP="00CE0E74">
      <w:pPr>
        <w:pStyle w:val="odsek"/>
      </w:pPr>
      <w:r w:rsidRPr="00CE0E74">
        <w:rPr>
          <w:rStyle w:val="ppp-input-value1"/>
          <w:rFonts w:ascii="Times New Roman" w:hAnsi="Times New Roman" w:cs="Times New Roman"/>
          <w:color w:val="auto"/>
          <w:sz w:val="24"/>
          <w:szCs w:val="24"/>
        </w:rPr>
        <w:t>Uskutočnilo sa mnoho rokovaní o znení etického kódexu, resp. memoranda o etike v</w:t>
      </w:r>
      <w:r w:rsidR="0071526D">
        <w:rPr>
          <w:rStyle w:val="ppp-input-value1"/>
          <w:rFonts w:ascii="Times New Roman" w:hAnsi="Times New Roman" w:cs="Times New Roman"/>
          <w:color w:val="auto"/>
          <w:sz w:val="24"/>
          <w:szCs w:val="24"/>
        </w:rPr>
        <w:t> </w:t>
      </w:r>
      <w:r w:rsidRPr="00CE0E74">
        <w:rPr>
          <w:rStyle w:val="ppp-input-value1"/>
          <w:rFonts w:ascii="Times New Roman" w:hAnsi="Times New Roman" w:cs="Times New Roman"/>
          <w:color w:val="auto"/>
          <w:sz w:val="24"/>
          <w:szCs w:val="24"/>
        </w:rPr>
        <w:t>obchodných</w:t>
      </w:r>
      <w:r w:rsidR="0071526D">
        <w:rPr>
          <w:rStyle w:val="ppp-input-value1"/>
          <w:rFonts w:ascii="Times New Roman" w:hAnsi="Times New Roman" w:cs="Times New Roman"/>
          <w:color w:val="auto"/>
          <w:sz w:val="24"/>
          <w:szCs w:val="24"/>
        </w:rPr>
        <w:t xml:space="preserve"> </w:t>
      </w:r>
      <w:r w:rsidRPr="00CE0E74">
        <w:rPr>
          <w:rStyle w:val="ppp-input-value1"/>
          <w:rFonts w:ascii="Times New Roman" w:hAnsi="Times New Roman" w:cs="Times New Roman"/>
          <w:color w:val="auto"/>
          <w:sz w:val="24"/>
          <w:szCs w:val="24"/>
        </w:rPr>
        <w:t>vzťahoch na trhu s</w:t>
      </w:r>
      <w:r w:rsidR="0071526D">
        <w:rPr>
          <w:rStyle w:val="ppp-input-value1"/>
          <w:rFonts w:ascii="Times New Roman" w:hAnsi="Times New Roman" w:cs="Times New Roman"/>
          <w:color w:val="auto"/>
          <w:sz w:val="24"/>
          <w:szCs w:val="24"/>
        </w:rPr>
        <w:t> </w:t>
      </w:r>
      <w:r w:rsidRPr="00CE0E74">
        <w:rPr>
          <w:rStyle w:val="ppp-input-value1"/>
          <w:rFonts w:ascii="Times New Roman" w:hAnsi="Times New Roman" w:cs="Times New Roman"/>
          <w:color w:val="auto"/>
          <w:sz w:val="24"/>
          <w:szCs w:val="24"/>
        </w:rPr>
        <w:t>poľnohospodárskymi</w:t>
      </w:r>
      <w:r w:rsidR="0071526D">
        <w:rPr>
          <w:rStyle w:val="ppp-input-value1"/>
          <w:rFonts w:ascii="Times New Roman" w:hAnsi="Times New Roman" w:cs="Times New Roman"/>
          <w:color w:val="auto"/>
          <w:sz w:val="24"/>
          <w:szCs w:val="24"/>
        </w:rPr>
        <w:t xml:space="preserve"> </w:t>
      </w:r>
      <w:r w:rsidRPr="00CE0E74">
        <w:rPr>
          <w:rStyle w:val="ppp-input-value1"/>
          <w:rFonts w:ascii="Times New Roman" w:hAnsi="Times New Roman" w:cs="Times New Roman"/>
          <w:color w:val="auto"/>
          <w:sz w:val="24"/>
          <w:szCs w:val="24"/>
        </w:rPr>
        <w:t>surovinami a</w:t>
      </w:r>
      <w:r w:rsidR="0071526D">
        <w:rPr>
          <w:rStyle w:val="ppp-input-value1"/>
          <w:rFonts w:ascii="Times New Roman" w:hAnsi="Times New Roman" w:cs="Times New Roman"/>
          <w:color w:val="auto"/>
          <w:sz w:val="24"/>
          <w:szCs w:val="24"/>
        </w:rPr>
        <w:t> </w:t>
      </w:r>
      <w:r w:rsidRPr="00CE0E74">
        <w:rPr>
          <w:rStyle w:val="ppp-input-value1"/>
          <w:rFonts w:ascii="Times New Roman" w:hAnsi="Times New Roman" w:cs="Times New Roman"/>
          <w:color w:val="auto"/>
          <w:sz w:val="24"/>
          <w:szCs w:val="24"/>
        </w:rPr>
        <w:t>potravin</w:t>
      </w:r>
      <w:r w:rsidRPr="00CE0E74">
        <w:rPr>
          <w:rStyle w:val="ppp-input-value1"/>
          <w:rFonts w:ascii="Times New Roman" w:hAnsi="Times New Roman" w:cs="Times New Roman"/>
          <w:color w:val="auto"/>
          <w:sz w:val="24"/>
          <w:szCs w:val="24"/>
        </w:rPr>
        <w:t>ami</w:t>
      </w:r>
      <w:r w:rsidR="0071526D">
        <w:rPr>
          <w:rStyle w:val="ppp-input-value1"/>
          <w:rFonts w:ascii="Times New Roman" w:hAnsi="Times New Roman" w:cs="Times New Roman"/>
          <w:color w:val="auto"/>
          <w:sz w:val="24"/>
          <w:szCs w:val="24"/>
        </w:rPr>
        <w:t xml:space="preserve"> </w:t>
      </w:r>
      <w:r w:rsidRPr="00CE0E74">
        <w:rPr>
          <w:rStyle w:val="ppp-input-value1"/>
          <w:rFonts w:ascii="Times New Roman" w:hAnsi="Times New Roman" w:cs="Times New Roman"/>
          <w:color w:val="auto"/>
          <w:sz w:val="24"/>
          <w:szCs w:val="24"/>
        </w:rPr>
        <w:t>v</w:t>
      </w:r>
      <w:r w:rsidR="0071526D">
        <w:rPr>
          <w:rStyle w:val="ppp-input-value1"/>
          <w:rFonts w:ascii="Times New Roman" w:hAnsi="Times New Roman" w:cs="Times New Roman"/>
          <w:color w:val="auto"/>
          <w:sz w:val="24"/>
          <w:szCs w:val="24"/>
        </w:rPr>
        <w:t> </w:t>
      </w:r>
      <w:r w:rsidRPr="00CE0E74">
        <w:rPr>
          <w:rStyle w:val="ppp-input-value1"/>
          <w:rFonts w:ascii="Times New Roman" w:hAnsi="Times New Roman" w:cs="Times New Roman"/>
          <w:color w:val="auto"/>
          <w:sz w:val="24"/>
          <w:szCs w:val="24"/>
        </w:rPr>
        <w:t>Slovenskej</w:t>
      </w:r>
      <w:r w:rsidR="0071526D">
        <w:rPr>
          <w:rStyle w:val="ppp-input-value1"/>
          <w:rFonts w:ascii="Times New Roman" w:hAnsi="Times New Roman" w:cs="Times New Roman"/>
          <w:color w:val="auto"/>
          <w:sz w:val="24"/>
          <w:szCs w:val="24"/>
        </w:rPr>
        <w:t xml:space="preserve"> </w:t>
      </w:r>
      <w:r w:rsidRPr="00CE0E74">
        <w:rPr>
          <w:rStyle w:val="ppp-input-value1"/>
          <w:rFonts w:ascii="Times New Roman" w:hAnsi="Times New Roman" w:cs="Times New Roman"/>
          <w:color w:val="auto"/>
          <w:sz w:val="24"/>
          <w:szCs w:val="24"/>
        </w:rPr>
        <w:t>republike na pôde Ministerstva hospodárstva SR. Zúčastnené zväzy podnikateľov na strane dodávateľov aj odberateľov potravín a potravinárskych surovín</w:t>
      </w:r>
      <w:r w:rsidR="0071526D">
        <w:rPr>
          <w:rStyle w:val="ppp-input-value1"/>
          <w:rFonts w:ascii="Times New Roman" w:hAnsi="Times New Roman" w:cs="Times New Roman"/>
          <w:color w:val="auto"/>
          <w:sz w:val="24"/>
          <w:szCs w:val="24"/>
        </w:rPr>
        <w:t xml:space="preserve"> </w:t>
      </w:r>
      <w:r w:rsidRPr="00CE0E74">
        <w:rPr>
          <w:rStyle w:val="ppp-input-value1"/>
          <w:rFonts w:ascii="Times New Roman" w:hAnsi="Times New Roman" w:cs="Times New Roman"/>
          <w:color w:val="auto"/>
          <w:sz w:val="24"/>
          <w:szCs w:val="24"/>
        </w:rPr>
        <w:t>sa však do dnešného dňa nezjednotili na konečnom znení dokumentu.</w:t>
      </w:r>
    </w:p>
    <w:p w:rsidR="00910B00" w:rsidRPr="00CE0E74" w:rsidP="00CE0E74">
      <w:pPr>
        <w:spacing w:before="360"/>
        <w:jc w:val="center"/>
        <w:rPr>
          <w:b/>
        </w:rPr>
      </w:pPr>
      <w:r w:rsidRPr="00CE0E74">
        <w:rPr>
          <w:b/>
        </w:rPr>
        <w:t>DOLOŽKA ZLUČITEĽNOSTI</w:t>
      </w:r>
    </w:p>
    <w:p w:rsidR="002B7EB0" w:rsidRPr="00CE0E74" w:rsidP="00910B00">
      <w:pPr>
        <w:jc w:val="center"/>
        <w:rPr>
          <w:b/>
        </w:rPr>
      </w:pPr>
      <w:r w:rsidRPr="00CE0E74" w:rsidR="00A77B05">
        <w:rPr>
          <w:b/>
        </w:rPr>
        <w:t>p</w:t>
      </w:r>
      <w:r w:rsidRPr="00CE0E74">
        <w:rPr>
          <w:b/>
        </w:rPr>
        <w:t>rávneho predpisu s právom</w:t>
      </w:r>
      <w:r w:rsidR="0071526D">
        <w:rPr>
          <w:b/>
        </w:rPr>
        <w:t xml:space="preserve"> </w:t>
      </w:r>
      <w:r w:rsidRPr="00CE0E74">
        <w:rPr>
          <w:b/>
        </w:rPr>
        <w:t>Európske</w:t>
      </w:r>
      <w:r w:rsidRPr="00CE0E74" w:rsidR="00A77B05">
        <w:rPr>
          <w:b/>
        </w:rPr>
        <w:t>j</w:t>
      </w:r>
      <w:r w:rsidRPr="00CE0E74">
        <w:rPr>
          <w:b/>
        </w:rPr>
        <w:t xml:space="preserve"> únie</w:t>
      </w:r>
    </w:p>
    <w:p w:rsidR="002B7EB0" w:rsidRPr="00CE0E74" w:rsidP="002B7EB0">
      <w:pPr>
        <w:rPr>
          <w:b/>
        </w:rPr>
      </w:pPr>
    </w:p>
    <w:p w:rsidR="0027604E" w:rsidRPr="00CE0E74" w:rsidP="0027604E">
      <w:pPr>
        <w:pStyle w:val="ListParagraph"/>
        <w:numPr>
          <w:ilvl w:val="0"/>
          <w:numId w:val="2"/>
        </w:numPr>
        <w:spacing w:after="120"/>
        <w:ind w:left="357" w:hanging="357"/>
        <w:rPr>
          <w:b/>
        </w:rPr>
      </w:pPr>
      <w:r>
        <w:rPr>
          <w:b/>
        </w:rPr>
        <w:t>Predkla</w:t>
      </w:r>
      <w:r w:rsidRPr="00CE0E74">
        <w:rPr>
          <w:b/>
        </w:rPr>
        <w:t>dateľ zákona:</w:t>
      </w:r>
    </w:p>
    <w:p w:rsidR="0027604E" w:rsidRPr="00CE0E74" w:rsidP="0027604E">
      <w:pPr>
        <w:spacing w:after="120"/>
        <w:ind w:left="708"/>
      </w:pPr>
      <w:r>
        <w:t>Vláda</w:t>
      </w:r>
      <w:r w:rsidRPr="00CE0E74">
        <w:t xml:space="preserve"> Slovenskej republiky</w:t>
      </w:r>
    </w:p>
    <w:p w:rsidR="002B7EB0" w:rsidRPr="00CE0E74" w:rsidP="0071526D">
      <w:pPr>
        <w:pStyle w:val="ListParagraph"/>
        <w:numPr>
          <w:ilvl w:val="0"/>
          <w:numId w:val="2"/>
        </w:numPr>
        <w:spacing w:after="120"/>
        <w:ind w:left="357" w:hanging="357"/>
        <w:rPr>
          <w:b/>
        </w:rPr>
      </w:pPr>
      <w:r w:rsidRPr="00CE0E74">
        <w:rPr>
          <w:b/>
        </w:rPr>
        <w:t>Názov návrhu zákona:</w:t>
      </w:r>
    </w:p>
    <w:p w:rsidR="002B7EB0" w:rsidRPr="00CE0E74" w:rsidP="0071526D">
      <w:pPr>
        <w:pStyle w:val="Heading2"/>
        <w:spacing w:before="120"/>
        <w:ind w:left="709"/>
        <w:jc w:val="both"/>
        <w:rPr>
          <w:rFonts w:cs="Times New Roman"/>
          <w:b w:val="0"/>
          <w:color w:val="000000"/>
          <w:szCs w:val="24"/>
        </w:rPr>
      </w:pPr>
      <w:r w:rsidRPr="00CE0E74">
        <w:rPr>
          <w:rFonts w:cs="Times New Roman"/>
          <w:b w:val="0"/>
          <w:color w:val="000000"/>
          <w:szCs w:val="24"/>
          <w:lang w:eastAsia="en-US"/>
        </w:rPr>
        <w:t xml:space="preserve">Zákon </w:t>
      </w:r>
      <w:r w:rsidRPr="00CE0E74">
        <w:rPr>
          <w:rFonts w:cs="Times New Roman"/>
          <w:b w:val="0"/>
          <w:color w:val="000000"/>
          <w:szCs w:val="24"/>
        </w:rPr>
        <w:t>o neprimeraných podmienkach v obchodných vzťahoch, ktorých predmetom sú potraviny</w:t>
      </w:r>
    </w:p>
    <w:p w:rsidR="00B058D5" w:rsidRPr="00CE0E74" w:rsidP="0071526D">
      <w:pPr>
        <w:pStyle w:val="ListParagraph"/>
        <w:numPr>
          <w:ilvl w:val="0"/>
          <w:numId w:val="2"/>
        </w:numPr>
        <w:spacing w:after="120"/>
        <w:ind w:left="357" w:hanging="357"/>
        <w:rPr>
          <w:b/>
          <w:color w:val="000000"/>
          <w:lang w:eastAsia="en-US"/>
        </w:rPr>
      </w:pPr>
      <w:r w:rsidRPr="00CE0E74" w:rsidR="002B7EB0">
        <w:rPr>
          <w:b/>
          <w:color w:val="000000"/>
          <w:lang w:eastAsia="en-US"/>
        </w:rPr>
        <w:t>Problematika návrhu zákona:</w:t>
      </w:r>
    </w:p>
    <w:p w:rsidR="004C1FDB" w:rsidRPr="0071526D" w:rsidP="00CE0E74">
      <w:pPr>
        <w:keepLines/>
        <w:spacing w:before="60" w:after="60"/>
        <w:ind w:left="709"/>
      </w:pPr>
      <w:r w:rsidRPr="0071526D">
        <w:t xml:space="preserve">Problematika návrhu právneho </w:t>
      </w:r>
      <w:r w:rsidRPr="0071526D">
        <w:t>predpisu:</w:t>
      </w:r>
    </w:p>
    <w:p w:rsidR="004C1FDB" w:rsidRPr="00CE0E74" w:rsidP="004C1FDB">
      <w:pPr>
        <w:keepLines/>
        <w:numPr>
          <w:ilvl w:val="1"/>
          <w:numId w:val="5"/>
        </w:numPr>
        <w:tabs>
          <w:tab w:val="num" w:pos="720"/>
        </w:tabs>
        <w:spacing w:before="60" w:after="60"/>
        <w:ind w:left="900" w:hanging="540"/>
      </w:pPr>
      <w:r w:rsidRPr="00CE0E74">
        <w:t>je upravená v práve Európskej únie</w:t>
      </w:r>
    </w:p>
    <w:p w:rsidR="004C1FDB" w:rsidRPr="00CE0E74" w:rsidP="004C1FDB">
      <w:pPr>
        <w:keepLines/>
        <w:tabs>
          <w:tab w:val="left" w:pos="1068"/>
        </w:tabs>
        <w:adjustRightInd w:val="0"/>
        <w:ind w:left="720"/>
        <w:rPr>
          <w:i/>
          <w:iCs/>
        </w:rPr>
      </w:pPr>
      <w:r w:rsidRPr="00CE0E74">
        <w:rPr>
          <w:i/>
          <w:iCs/>
        </w:rPr>
        <w:t>- primárnom</w:t>
      </w:r>
    </w:p>
    <w:p w:rsidR="004C1FDB" w:rsidRPr="00CE0E74" w:rsidP="004C1FDB">
      <w:pPr>
        <w:keepLines/>
        <w:tabs>
          <w:tab w:val="left" w:pos="1068"/>
        </w:tabs>
        <w:adjustRightInd w:val="0"/>
        <w:ind w:left="720"/>
      </w:pPr>
      <w:r w:rsidRPr="00CE0E74">
        <w:t xml:space="preserve">v tretej časti hlave VII kapitole 1 (Pravidlá hospodárskej súťaže) Zmluvy o fungovaní Európskej únie </w:t>
      </w:r>
    </w:p>
    <w:p w:rsidR="004C1FDB" w:rsidRPr="00CE0E74" w:rsidP="00D14671">
      <w:pPr>
        <w:keepLines/>
        <w:tabs>
          <w:tab w:val="left" w:pos="1068"/>
        </w:tabs>
        <w:adjustRightInd w:val="0"/>
        <w:ind w:left="1080" w:hanging="360"/>
      </w:pPr>
      <w:r w:rsidRPr="00CE0E74">
        <w:t xml:space="preserve">- </w:t>
      </w:r>
      <w:r w:rsidRPr="00CE0E74">
        <w:rPr>
          <w:i/>
          <w:iCs/>
        </w:rPr>
        <w:t>sekundárnom</w:t>
      </w:r>
      <w:r w:rsidR="00D14671">
        <w:rPr>
          <w:i/>
          <w:iCs/>
        </w:rPr>
        <w:t xml:space="preserve"> (prijatom pred nadobudnutím platnosti Lisabonskej zmluvy, ktorou sa mení a dopĺňa Zmluva o Európskej únii a Zmluva o založení Európskeho spoločenstva – do 30. novembra 2009)</w:t>
      </w:r>
    </w:p>
    <w:p w:rsidR="004C1FDB" w:rsidP="0071526D">
      <w:pPr>
        <w:ind w:left="709" w:firstLine="11"/>
        <w:rPr>
          <w:rStyle w:val="PlaceholderText"/>
          <w:color w:val="auto"/>
        </w:rPr>
      </w:pPr>
      <w:r w:rsidRPr="00CE0E74">
        <w:rPr>
          <w:rStyle w:val="PlaceholderText"/>
          <w:color w:val="auto"/>
        </w:rPr>
        <w:t xml:space="preserve">Nariadenie Rady (ES) č. 1/2003 zo 16. decembra 2002 o vykonávaní pravidiel hospodárskej súťaže stanovených v článkoch 81 a 82 Zmluvy </w:t>
      </w:r>
      <w:r w:rsidR="0027604E">
        <w:t>(Mimoriadne vydanie Ú. v. EÚ, ka</w:t>
      </w:r>
      <w:r w:rsidR="0027604E">
        <w:t>p. 8/zv. 2)</w:t>
      </w:r>
    </w:p>
    <w:p w:rsidR="00D14671" w:rsidP="00D14671">
      <w:pPr>
        <w:keepLines/>
        <w:tabs>
          <w:tab w:val="left" w:pos="1068"/>
        </w:tabs>
        <w:adjustRightInd w:val="0"/>
        <w:ind w:left="1080" w:hanging="360"/>
      </w:pPr>
    </w:p>
    <w:p w:rsidR="00D14671" w:rsidP="00D14671">
      <w:pPr>
        <w:keepLines/>
        <w:tabs>
          <w:tab w:val="left" w:pos="1068"/>
        </w:tabs>
        <w:adjustRightInd w:val="0"/>
        <w:ind w:left="1080" w:hanging="360"/>
        <w:rPr>
          <w:i/>
          <w:iCs/>
        </w:rPr>
      </w:pPr>
      <w:r w:rsidRPr="00CE0E74">
        <w:t xml:space="preserve">- </w:t>
      </w:r>
      <w:r w:rsidRPr="00CE0E74">
        <w:rPr>
          <w:i/>
          <w:iCs/>
        </w:rPr>
        <w:t>sekundárnom</w:t>
      </w:r>
      <w:r>
        <w:rPr>
          <w:i/>
          <w:iCs/>
        </w:rPr>
        <w:t xml:space="preserve"> (prijatom po nadobudnutí platnosti Lisabonskej zmluvy, ktorou sa mení a dopĺňa Zmluva o Európskej únii a Zmluva o založení Európskeho spoločenstva – po 30. novembri 2009)</w:t>
      </w:r>
    </w:p>
    <w:p w:rsidR="00D14671" w:rsidRPr="00CE0E74" w:rsidP="00D14671">
      <w:pPr>
        <w:keepLines/>
        <w:tabs>
          <w:tab w:val="left" w:pos="1068"/>
        </w:tabs>
        <w:adjustRightInd w:val="0"/>
        <w:ind w:left="1080" w:hanging="360"/>
      </w:pPr>
      <w:r>
        <w:t>1. legislatívne akty</w:t>
      </w:r>
    </w:p>
    <w:p w:rsidR="00991C9B" w:rsidRPr="00CE0E74" w:rsidP="0071526D">
      <w:pPr>
        <w:ind w:left="709" w:firstLine="11"/>
        <w:rPr>
          <w:rStyle w:val="PlaceholderText"/>
          <w:color w:val="auto"/>
        </w:rPr>
      </w:pPr>
      <w:r>
        <w:rPr>
          <w:lang w:eastAsia="x-none"/>
        </w:rPr>
        <w:t>Smernica Európskeho parlamentu a Rady</w:t>
      </w:r>
      <w:r>
        <w:rPr>
          <w:lang w:eastAsia="x-none"/>
        </w:rPr>
        <w:t xml:space="preserve"> 2011/7/EÚ zo 16. februára 2011 o boji proti oneskoreným platbám v obchodných transakciách (prepracované znenie) (Ú. v. EÚ L 48, 23.2.2011)</w:t>
      </w:r>
      <w:r w:rsidR="00D14671">
        <w:rPr>
          <w:lang w:eastAsia="x-none"/>
        </w:rPr>
        <w:t>,</w:t>
      </w:r>
    </w:p>
    <w:p w:rsidR="004C1FDB" w:rsidRPr="00CE0E74" w:rsidP="004C1FDB">
      <w:pPr>
        <w:keepLines/>
        <w:numPr>
          <w:ilvl w:val="1"/>
          <w:numId w:val="5"/>
        </w:numPr>
        <w:tabs>
          <w:tab w:val="num" w:pos="720"/>
        </w:tabs>
        <w:spacing w:before="60" w:after="60"/>
        <w:ind w:left="720"/>
      </w:pPr>
      <w:r w:rsidRPr="00CE0E74">
        <w:t>nie je obsiahnutá v judikatúre Súdneho dvora Európskej únie</w:t>
      </w:r>
      <w:r w:rsidR="0071526D">
        <w:t>.</w:t>
      </w:r>
    </w:p>
    <w:p w:rsidR="004C1FDB" w:rsidRPr="00CE0E74" w:rsidP="004C1FDB">
      <w:pPr>
        <w:keepLines/>
        <w:ind w:left="360" w:hanging="360"/>
        <w:rPr>
          <w:b/>
          <w:bCs/>
        </w:rPr>
      </w:pPr>
      <w:r w:rsidRPr="00CE0E74">
        <w:rPr>
          <w:b/>
          <w:bCs/>
        </w:rPr>
        <w:t>4.</w:t>
        <w:tab/>
        <w:t xml:space="preserve">Záväzky Slovenskej republiky vo vzťahu k Európskej únii: </w:t>
      </w:r>
    </w:p>
    <w:p w:rsidR="004C1FDB" w:rsidRPr="00CE0E74" w:rsidP="004C1FDB">
      <w:pPr>
        <w:keepLines/>
        <w:ind w:left="709" w:hanging="349"/>
      </w:pPr>
      <w:r w:rsidRPr="00CE0E74">
        <w:t>a)</w:t>
        <w:tab/>
        <w:t xml:space="preserve">lehota na prebratie smernice alebo na implementáciu nariadenia alebo rozhodnutia </w:t>
      </w:r>
    </w:p>
    <w:p w:rsidR="004C1FDB" w:rsidRPr="00CE0E74" w:rsidP="004C1FDB">
      <w:pPr>
        <w:keepLines/>
        <w:ind w:left="709" w:firstLine="11"/>
      </w:pPr>
      <w:r w:rsidR="00991C9B">
        <w:rPr>
          <w:rStyle w:val="PlaceholderText"/>
          <w:color w:val="auto"/>
        </w:rPr>
        <w:t>16.3.2013</w:t>
      </w:r>
    </w:p>
    <w:p w:rsidR="004C1FDB" w:rsidRPr="00CE0E74" w:rsidP="004C1FDB">
      <w:pPr>
        <w:keepLines/>
        <w:autoSpaceDE w:val="0"/>
        <w:autoSpaceDN w:val="0"/>
        <w:ind w:left="720" w:hanging="360"/>
      </w:pPr>
      <w:r w:rsidRPr="00CE0E74">
        <w:t>b)</w:t>
        <w:tab/>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4C1FDB" w:rsidRPr="00CE0E74" w:rsidP="004C1FDB">
      <w:pPr>
        <w:keepLines/>
        <w:ind w:left="709" w:firstLine="11"/>
      </w:pPr>
      <w:r w:rsidR="0027604E">
        <w:t>30. november 2012</w:t>
      </w:r>
    </w:p>
    <w:p w:rsidR="004C1FDB" w:rsidRPr="00CE0E74" w:rsidP="004C1FDB">
      <w:pPr>
        <w:keepLines/>
        <w:ind w:left="709" w:hanging="349"/>
      </w:pPr>
      <w:r w:rsidRPr="00CE0E74">
        <w:t>c) informácia o konaní začatom proti Slovenskej republike o porušení Zmluvy o fungovaní Európskej únie podľa čl. 258 až 260 Zmluvy o fungovaní Európskej únie v platnom znení</w:t>
      </w:r>
    </w:p>
    <w:p w:rsidR="004C1FDB" w:rsidRPr="00CE0E74" w:rsidP="004C1FDB">
      <w:pPr>
        <w:keepLines/>
        <w:ind w:left="709" w:firstLine="11"/>
      </w:pPr>
      <w:r w:rsidRPr="00CE0E74">
        <w:t xml:space="preserve">V oblasti, ktorú upravuje </w:t>
      </w:r>
      <w:r w:rsidR="0027604E">
        <w:t>návrh zákona</w:t>
      </w:r>
      <w:r w:rsidRPr="00CE0E74">
        <w:t>, nebolo začaté konanie proti Slovenskej republike o porušení Zmluvy o fungovaní Európskej únie podľa čl. 258 až 260</w:t>
      </w:r>
      <w:r w:rsidR="0071526D">
        <w:t xml:space="preserve"> </w:t>
      </w:r>
      <w:r w:rsidRPr="00CE0E74">
        <w:t>Zmluvy o fungovaní Európskej únie v platnom znení. </w:t>
      </w:r>
    </w:p>
    <w:p w:rsidR="004C1FDB" w:rsidRPr="00CE0E74" w:rsidP="004C1FDB">
      <w:pPr>
        <w:keepLines/>
        <w:ind w:left="709" w:hanging="349"/>
      </w:pPr>
      <w:r w:rsidRPr="00CE0E74">
        <w:t>d) informácia o právnych predpisoch, v ktorých sú preberané smernice už prebraté spolu s uvedením rozsahu tohto prebratia</w:t>
      </w:r>
    </w:p>
    <w:p w:rsidR="004C1FDB" w:rsidRPr="00CE0E74" w:rsidP="004C1FDB">
      <w:pPr>
        <w:keepLines/>
        <w:ind w:left="720"/>
      </w:pPr>
      <w:r w:rsidRPr="00CE0E74">
        <w:t>Bezpredmetné </w:t>
      </w:r>
    </w:p>
    <w:p w:rsidR="004C1FDB" w:rsidRPr="00CE0E74" w:rsidP="004C1FDB">
      <w:pPr>
        <w:keepLines/>
        <w:ind w:left="360" w:hanging="360"/>
        <w:rPr>
          <w:b/>
          <w:bCs/>
        </w:rPr>
      </w:pPr>
      <w:r w:rsidRPr="00CE0E74">
        <w:rPr>
          <w:b/>
          <w:bCs/>
        </w:rPr>
        <w:t>5.</w:t>
        <w:tab/>
        <w:t>Stupeň zlučiteľnosti návrhu právneho predpisu s právom Európskej únie:</w:t>
      </w:r>
    </w:p>
    <w:p w:rsidR="004C1FDB" w:rsidRPr="00CE0E74" w:rsidP="004C1FDB">
      <w:pPr>
        <w:keepLines/>
        <w:ind w:firstLine="360"/>
      </w:pPr>
      <w:r w:rsidRPr="00CE0E74">
        <w:t xml:space="preserve">Stupeň zlučiteľnosti - </w:t>
      </w:r>
      <w:r w:rsidR="00991C9B">
        <w:t>čiastočný</w:t>
      </w:r>
    </w:p>
    <w:p w:rsidR="004C1FDB" w:rsidRPr="00CE0E74" w:rsidP="004C1FDB">
      <w:pPr>
        <w:keepLines/>
        <w:ind w:left="360" w:hanging="360"/>
        <w:rPr>
          <w:b/>
          <w:bCs/>
        </w:rPr>
      </w:pPr>
      <w:r w:rsidRPr="00CE0E74">
        <w:rPr>
          <w:b/>
          <w:bCs/>
        </w:rPr>
        <w:t>6.</w:t>
        <w:tab/>
        <w:t xml:space="preserve">Gestor a spolupracujúce rezorty: </w:t>
      </w:r>
    </w:p>
    <w:p w:rsidR="004C1FDB" w:rsidRPr="00CE0E74" w:rsidP="004C1FDB">
      <w:pPr>
        <w:keepLines/>
        <w:tabs>
          <w:tab w:val="left" w:pos="360"/>
        </w:tabs>
        <w:ind w:left="360"/>
      </w:pPr>
      <w:r w:rsidRPr="00CE0E74">
        <w:t>Ministerstvo pôdohospodárstva Slovenskej republiky</w:t>
      </w:r>
    </w:p>
    <w:p w:rsidR="00910B00" w:rsidRPr="00CE0E74" w:rsidP="00CE0E74">
      <w:pPr>
        <w:spacing w:before="480"/>
        <w:jc w:val="center"/>
        <w:rPr>
          <w:b/>
          <w:bCs/>
          <w:caps/>
          <w:color w:val="000000"/>
          <w:spacing w:val="30"/>
        </w:rPr>
      </w:pPr>
      <w:r w:rsidRPr="00CE0E74">
        <w:rPr>
          <w:b/>
          <w:bCs/>
          <w:color w:val="000000"/>
        </w:rPr>
        <w:t>Doložka vybraných vplyvov</w:t>
      </w:r>
    </w:p>
    <w:p w:rsidR="00910B00" w:rsidRPr="00CE0E74" w:rsidP="00910B00">
      <w:pPr>
        <w:pStyle w:val="Heading2"/>
        <w:jc w:val="both"/>
        <w:rPr>
          <w:rFonts w:cs="Times New Roman"/>
          <w:color w:val="000000"/>
          <w:szCs w:val="24"/>
        </w:rPr>
      </w:pPr>
      <w:r w:rsidRPr="00CE0E74">
        <w:rPr>
          <w:rFonts w:cs="Times New Roman"/>
          <w:bCs w:val="0"/>
          <w:color w:val="000000"/>
          <w:szCs w:val="24"/>
        </w:rPr>
        <w:t>A.1. Názov materiálu</w:t>
      </w:r>
      <w:r w:rsidR="0071526D">
        <w:rPr>
          <w:rFonts w:cs="Times New Roman"/>
          <w:b w:val="0"/>
          <w:bCs w:val="0"/>
          <w:color w:val="000000"/>
          <w:szCs w:val="24"/>
        </w:rPr>
        <w:t xml:space="preserve">: </w:t>
      </w:r>
      <w:r w:rsidRPr="00CE0E74">
        <w:rPr>
          <w:rFonts w:cs="Times New Roman"/>
          <w:b w:val="0"/>
          <w:bCs w:val="0"/>
          <w:color w:val="000000"/>
          <w:szCs w:val="24"/>
        </w:rPr>
        <w:t>Návrh zákona o</w:t>
      </w:r>
      <w:r w:rsidRPr="00CE0E74">
        <w:rPr>
          <w:rFonts w:cs="Times New Roman"/>
          <w:b w:val="0"/>
          <w:szCs w:val="24"/>
        </w:rPr>
        <w:t xml:space="preserve"> </w:t>
      </w:r>
      <w:r w:rsidRPr="00CE0E74">
        <w:rPr>
          <w:rFonts w:cs="Times New Roman"/>
          <w:b w:val="0"/>
          <w:color w:val="000000"/>
          <w:szCs w:val="24"/>
        </w:rPr>
        <w:t>neprimeraných podmienkach v obchodných vzťahoch, ktorých predmetom sú potraviny</w:t>
      </w:r>
    </w:p>
    <w:p w:rsidR="00910B00" w:rsidRPr="00CE0E74" w:rsidP="00910B00">
      <w:pPr>
        <w:rPr>
          <w:color w:val="000000"/>
        </w:rPr>
      </w:pPr>
    </w:p>
    <w:p w:rsidR="00910B00" w:rsidRPr="00CE0E74" w:rsidP="00910B00">
      <w:pPr>
        <w:rPr>
          <w:color w:val="000000"/>
        </w:rPr>
      </w:pPr>
      <w:r w:rsidRPr="00CE0E74">
        <w:rPr>
          <w:b/>
          <w:bCs/>
          <w:color w:val="000000"/>
        </w:rPr>
        <w:t>Termín začatia a ukončenia PPK:</w:t>
      </w:r>
      <w:r w:rsidRPr="00CE0E74">
        <w:rPr>
          <w:color w:val="000000"/>
        </w:rPr>
        <w:t xml:space="preserve"> bezpredmetné</w:t>
      </w:r>
    </w:p>
    <w:p w:rsidR="00910B00" w:rsidRPr="00CE0E74" w:rsidP="00910B00">
      <w:pPr>
        <w:rPr>
          <w:b/>
          <w:bCs/>
          <w:color w:val="000000"/>
        </w:rPr>
      </w:pPr>
    </w:p>
    <w:p w:rsidR="00910B00" w:rsidRPr="00CE0E74" w:rsidP="00910B00">
      <w:pPr>
        <w:spacing w:after="120"/>
        <w:rPr>
          <w:b/>
          <w:bCs/>
          <w:color w:val="000000"/>
        </w:rPr>
      </w:pPr>
      <w:r w:rsidRPr="00CE0E74">
        <w:rPr>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000"/>
      </w:tblPr>
      <w:tblGrid>
        <w:gridCol w:w="5518"/>
        <w:gridCol w:w="1192"/>
        <w:gridCol w:w="1180"/>
        <w:gridCol w:w="1196"/>
      </w:tblGrid>
      <w:tr>
        <w:tblPrEx>
          <w:tblW w:w="5000" w:type="pct"/>
          <w:tblInd w:w="1"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000"/>
        </w:tblPrEx>
        <w:tc>
          <w:tcPr>
            <w:tcW w:w="5730" w:type="dxa"/>
            <w:tcBorders>
              <w:top w:val="outset" w:sz="6" w:space="0" w:color="auto"/>
              <w:bottom w:val="outset" w:sz="6" w:space="0" w:color="auto"/>
              <w:right w:val="outset" w:sz="6" w:space="0" w:color="auto"/>
            </w:tcBorders>
            <w:vAlign w:val="center"/>
          </w:tcPr>
          <w:p w:rsidR="00910B00" w:rsidRPr="00CE0E74" w:rsidP="005F4A2D">
            <w:pPr>
              <w:spacing w:line="280" w:lineRule="atLeast"/>
              <w:rPr>
                <w:color w:val="000000"/>
              </w:rPr>
            </w:pPr>
          </w:p>
        </w:tc>
        <w:tc>
          <w:tcPr>
            <w:tcW w:w="1200" w:type="dxa"/>
            <w:tcBorders>
              <w:top w:val="outset" w:sz="6" w:space="0" w:color="auto"/>
              <w:left w:val="outset" w:sz="6" w:space="0" w:color="auto"/>
              <w:bottom w:val="outset" w:sz="6" w:space="0" w:color="auto"/>
              <w:right w:val="outset" w:sz="6" w:space="0" w:color="auto"/>
            </w:tcBorders>
            <w:vAlign w:val="center"/>
          </w:tcPr>
          <w:p w:rsidR="00910B00" w:rsidRPr="00CE0E74" w:rsidP="005F4A2D">
            <w:pPr>
              <w:spacing w:line="280" w:lineRule="atLeast"/>
              <w:jc w:val="center"/>
              <w:rPr>
                <w:color w:val="000000"/>
              </w:rPr>
            </w:pPr>
            <w:r w:rsidRPr="00CE0E74">
              <w:rPr>
                <w:color w:val="000000"/>
              </w:rPr>
              <w:t> Pozitívne </w:t>
            </w:r>
          </w:p>
        </w:tc>
        <w:tc>
          <w:tcPr>
            <w:tcW w:w="1200" w:type="dxa"/>
            <w:tcBorders>
              <w:top w:val="outset" w:sz="6" w:space="0" w:color="auto"/>
              <w:left w:val="outset" w:sz="6" w:space="0" w:color="auto"/>
              <w:bottom w:val="outset" w:sz="6" w:space="0" w:color="auto"/>
              <w:right w:val="outset" w:sz="6" w:space="0" w:color="auto"/>
            </w:tcBorders>
            <w:vAlign w:val="center"/>
          </w:tcPr>
          <w:p w:rsidR="00910B00" w:rsidRPr="00CE0E74" w:rsidP="005F4A2D">
            <w:pPr>
              <w:spacing w:line="280" w:lineRule="atLeast"/>
              <w:jc w:val="center"/>
              <w:rPr>
                <w:color w:val="000000"/>
              </w:rPr>
            </w:pPr>
            <w:r w:rsidRPr="00CE0E74">
              <w:rPr>
                <w:color w:val="000000"/>
              </w:rPr>
              <w:t> Žiadne </w:t>
            </w:r>
          </w:p>
        </w:tc>
        <w:tc>
          <w:tcPr>
            <w:tcW w:w="1200" w:type="dxa"/>
            <w:tcBorders>
              <w:top w:val="outset" w:sz="6" w:space="0" w:color="auto"/>
              <w:left w:val="outset" w:sz="6" w:space="0" w:color="auto"/>
              <w:bottom w:val="outset" w:sz="6" w:space="0" w:color="auto"/>
            </w:tcBorders>
            <w:vAlign w:val="center"/>
          </w:tcPr>
          <w:p w:rsidR="00910B00" w:rsidRPr="00CE0E74" w:rsidP="005F4A2D">
            <w:pPr>
              <w:spacing w:line="280" w:lineRule="atLeast"/>
              <w:jc w:val="center"/>
              <w:rPr>
                <w:color w:val="000000"/>
              </w:rPr>
            </w:pPr>
            <w:r w:rsidRPr="00CE0E74">
              <w:rPr>
                <w:color w:val="000000"/>
              </w:rPr>
              <w:t> Negatívne </w:t>
            </w:r>
          </w:p>
        </w:tc>
      </w:tr>
      <w:tr>
        <w:tblPrEx>
          <w:tblW w:w="5000" w:type="pct"/>
          <w:tblInd w:w="1" w:type="dxa"/>
          <w:tblCellMar>
            <w:left w:w="0" w:type="dxa"/>
            <w:right w:w="0" w:type="dxa"/>
          </w:tblCellMar>
          <w:tblLook w:val="0000"/>
        </w:tblPrEx>
        <w:tc>
          <w:tcPr>
            <w:tcW w:w="5730" w:type="dxa"/>
            <w:tcBorders>
              <w:top w:val="outset" w:sz="6" w:space="0" w:color="auto"/>
              <w:bottom w:val="outset" w:sz="6" w:space="0" w:color="auto"/>
              <w:right w:val="outset" w:sz="6" w:space="0" w:color="auto"/>
            </w:tcBorders>
            <w:vAlign w:val="center"/>
          </w:tcPr>
          <w:p w:rsidR="00910B00" w:rsidRPr="00CE0E74" w:rsidP="005F4A2D">
            <w:pPr>
              <w:spacing w:line="280" w:lineRule="atLeast"/>
              <w:ind w:left="149"/>
              <w:rPr>
                <w:color w:val="000000"/>
              </w:rPr>
            </w:pPr>
            <w:r w:rsidRPr="00CE0E74">
              <w:rPr>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vAlign w:val="center"/>
          </w:tcPr>
          <w:p w:rsidR="00910B00" w:rsidRPr="00CE0E74" w:rsidP="005F4A2D">
            <w:pPr>
              <w:spacing w:line="280" w:lineRule="atLeast"/>
              <w:jc w:val="center"/>
              <w:rPr>
                <w:color w:val="000000"/>
              </w:rPr>
            </w:pPr>
            <w:r w:rsidRPr="00CE0E74" w:rsidR="00E34E7A">
              <w:rPr>
                <w:color w:val="000000"/>
              </w:rPr>
              <w:t>x</w:t>
            </w:r>
          </w:p>
        </w:tc>
        <w:tc>
          <w:tcPr>
            <w:tcW w:w="1200" w:type="dxa"/>
            <w:tcBorders>
              <w:top w:val="outset" w:sz="6" w:space="0" w:color="auto"/>
              <w:left w:val="outset" w:sz="6" w:space="0" w:color="auto"/>
              <w:bottom w:val="outset" w:sz="6" w:space="0" w:color="auto"/>
              <w:right w:val="outset" w:sz="6" w:space="0" w:color="auto"/>
            </w:tcBorders>
            <w:vAlign w:val="center"/>
          </w:tcPr>
          <w:p w:rsidR="00910B00" w:rsidRPr="00CE0E74" w:rsidP="005F4A2D">
            <w:pPr>
              <w:spacing w:line="280" w:lineRule="atLeast"/>
              <w:jc w:val="center"/>
              <w:rPr>
                <w:color w:val="000000"/>
              </w:rPr>
            </w:pPr>
          </w:p>
        </w:tc>
        <w:tc>
          <w:tcPr>
            <w:tcW w:w="1200" w:type="dxa"/>
            <w:tcBorders>
              <w:top w:val="outset" w:sz="6" w:space="0" w:color="auto"/>
              <w:left w:val="outset" w:sz="6" w:space="0" w:color="auto"/>
              <w:bottom w:val="outset" w:sz="6" w:space="0" w:color="auto"/>
            </w:tcBorders>
            <w:vAlign w:val="center"/>
          </w:tcPr>
          <w:p w:rsidR="00910B00" w:rsidRPr="00CE0E74" w:rsidP="005F4A2D">
            <w:pPr>
              <w:spacing w:line="280" w:lineRule="atLeast"/>
              <w:jc w:val="center"/>
              <w:rPr>
                <w:color w:val="000000"/>
              </w:rPr>
            </w:pPr>
          </w:p>
        </w:tc>
      </w:tr>
      <w:tr>
        <w:tblPrEx>
          <w:tblW w:w="5000" w:type="pct"/>
          <w:tblInd w:w="1" w:type="dxa"/>
          <w:tblCellMar>
            <w:left w:w="0" w:type="dxa"/>
            <w:right w:w="0" w:type="dxa"/>
          </w:tblCellMar>
          <w:tblLook w:val="0000"/>
        </w:tblPrEx>
        <w:tc>
          <w:tcPr>
            <w:tcW w:w="5730" w:type="dxa"/>
            <w:tcBorders>
              <w:top w:val="outset" w:sz="6" w:space="0" w:color="auto"/>
              <w:bottom w:val="outset" w:sz="6" w:space="0" w:color="auto"/>
              <w:right w:val="outset" w:sz="6" w:space="0" w:color="auto"/>
            </w:tcBorders>
            <w:vAlign w:val="center"/>
          </w:tcPr>
          <w:p w:rsidR="00910B00" w:rsidRPr="00CE0E74" w:rsidP="005F4A2D">
            <w:pPr>
              <w:spacing w:line="280" w:lineRule="atLeast"/>
              <w:ind w:left="149"/>
              <w:rPr>
                <w:color w:val="000000"/>
              </w:rPr>
            </w:pPr>
            <w:r w:rsidRPr="00CE0E74">
              <w:rPr>
                <w:color w:val="000000"/>
              </w:rPr>
              <w:t xml:space="preserve">2. Vplyvy na podnikateľské prostredie </w:t>
            </w:r>
          </w:p>
        </w:tc>
        <w:tc>
          <w:tcPr>
            <w:tcW w:w="1200" w:type="dxa"/>
            <w:tcBorders>
              <w:top w:val="outset" w:sz="6" w:space="0" w:color="auto"/>
              <w:left w:val="outset" w:sz="6" w:space="0" w:color="auto"/>
              <w:bottom w:val="outset" w:sz="6" w:space="0" w:color="auto"/>
              <w:right w:val="outset" w:sz="6" w:space="0" w:color="auto"/>
            </w:tcBorders>
            <w:vAlign w:val="center"/>
          </w:tcPr>
          <w:p w:rsidR="00910B00" w:rsidRPr="00CE0E74" w:rsidP="005F4A2D">
            <w:pPr>
              <w:spacing w:line="280" w:lineRule="atLeast"/>
              <w:jc w:val="center"/>
              <w:rPr>
                <w:color w:val="000000"/>
              </w:rPr>
            </w:pPr>
            <w:r w:rsidRPr="00CE0E74" w:rsidR="00CC3367">
              <w:rPr>
                <w:color w:val="000000"/>
              </w:rPr>
              <w:t>x</w:t>
            </w:r>
          </w:p>
        </w:tc>
        <w:tc>
          <w:tcPr>
            <w:tcW w:w="1200" w:type="dxa"/>
            <w:tcBorders>
              <w:top w:val="outset" w:sz="6" w:space="0" w:color="auto"/>
              <w:left w:val="outset" w:sz="6" w:space="0" w:color="auto"/>
              <w:bottom w:val="outset" w:sz="6" w:space="0" w:color="auto"/>
              <w:right w:val="outset" w:sz="6" w:space="0" w:color="auto"/>
            </w:tcBorders>
            <w:vAlign w:val="center"/>
          </w:tcPr>
          <w:p w:rsidR="00910B00" w:rsidRPr="00CE0E74" w:rsidP="005F4A2D">
            <w:pPr>
              <w:spacing w:line="280" w:lineRule="atLeast"/>
              <w:jc w:val="center"/>
              <w:rPr>
                <w:color w:val="000000"/>
              </w:rPr>
            </w:pPr>
          </w:p>
        </w:tc>
        <w:tc>
          <w:tcPr>
            <w:tcW w:w="1200" w:type="dxa"/>
            <w:tcBorders>
              <w:top w:val="outset" w:sz="6" w:space="0" w:color="auto"/>
              <w:left w:val="outset" w:sz="6" w:space="0" w:color="auto"/>
              <w:bottom w:val="outset" w:sz="6" w:space="0" w:color="auto"/>
            </w:tcBorders>
            <w:vAlign w:val="center"/>
          </w:tcPr>
          <w:p w:rsidR="00910B00" w:rsidRPr="00CE0E74" w:rsidP="005F4A2D">
            <w:pPr>
              <w:spacing w:line="280" w:lineRule="atLeast"/>
              <w:jc w:val="center"/>
              <w:rPr>
                <w:color w:val="000000"/>
              </w:rPr>
            </w:pPr>
            <w:r w:rsidRPr="00CE0E74" w:rsidR="00CC3367">
              <w:rPr>
                <w:color w:val="000000"/>
              </w:rPr>
              <w:t>x</w:t>
            </w:r>
          </w:p>
        </w:tc>
      </w:tr>
      <w:tr>
        <w:tblPrEx>
          <w:tblW w:w="5000" w:type="pct"/>
          <w:tblInd w:w="1" w:type="dxa"/>
          <w:tblCellMar>
            <w:left w:w="0" w:type="dxa"/>
            <w:right w:w="0" w:type="dxa"/>
          </w:tblCellMar>
          <w:tblLook w:val="0000"/>
        </w:tblPrEx>
        <w:tc>
          <w:tcPr>
            <w:tcW w:w="5730" w:type="dxa"/>
            <w:tcBorders>
              <w:top w:val="outset" w:sz="6" w:space="0" w:color="auto"/>
              <w:bottom w:val="outset" w:sz="6" w:space="0" w:color="auto"/>
              <w:right w:val="outset" w:sz="6" w:space="0" w:color="auto"/>
            </w:tcBorders>
            <w:vAlign w:val="center"/>
          </w:tcPr>
          <w:p w:rsidR="00910B00" w:rsidRPr="00CE0E74" w:rsidP="005F4A2D">
            <w:pPr>
              <w:spacing w:line="280" w:lineRule="atLeast"/>
              <w:ind w:left="149"/>
              <w:rPr>
                <w:color w:val="000000"/>
              </w:rPr>
            </w:pPr>
            <w:r w:rsidRPr="00CE0E74">
              <w:rPr>
                <w:color w:val="000000"/>
              </w:rPr>
              <w:t>3. Sociálne vplyvy</w:t>
            </w:r>
          </w:p>
        </w:tc>
        <w:tc>
          <w:tcPr>
            <w:tcW w:w="0" w:type="auto"/>
            <w:tcBorders>
              <w:top w:val="outset" w:sz="6" w:space="0" w:color="auto"/>
              <w:left w:val="outset" w:sz="6" w:space="0" w:color="auto"/>
              <w:bottom w:val="outset" w:sz="6" w:space="0" w:color="auto"/>
              <w:right w:val="outset" w:sz="6" w:space="0" w:color="auto"/>
            </w:tcBorders>
            <w:vAlign w:val="center"/>
          </w:tcPr>
          <w:p w:rsidR="00910B00" w:rsidRPr="00CE0E74" w:rsidP="005F4A2D">
            <w:pPr>
              <w:spacing w:line="280" w:lineRule="atLeast"/>
              <w:jc w:val="center"/>
              <w:rPr>
                <w:color w:val="000000"/>
              </w:rPr>
            </w:pPr>
          </w:p>
        </w:tc>
        <w:tc>
          <w:tcPr>
            <w:tcW w:w="0" w:type="auto"/>
            <w:tcBorders>
              <w:top w:val="outset" w:sz="6" w:space="0" w:color="auto"/>
              <w:left w:val="outset" w:sz="6" w:space="0" w:color="auto"/>
              <w:bottom w:val="outset" w:sz="6" w:space="0" w:color="auto"/>
              <w:right w:val="outset" w:sz="6" w:space="0" w:color="auto"/>
            </w:tcBorders>
            <w:vAlign w:val="center"/>
          </w:tcPr>
          <w:p w:rsidR="00910B00" w:rsidRPr="00CE0E74" w:rsidP="005F4A2D">
            <w:pPr>
              <w:spacing w:line="280" w:lineRule="atLeast"/>
              <w:jc w:val="center"/>
              <w:rPr>
                <w:color w:val="000000"/>
              </w:rPr>
            </w:pPr>
            <w:r w:rsidRPr="00CE0E74">
              <w:rPr>
                <w:color w:val="000000"/>
              </w:rPr>
              <w:t>x</w:t>
            </w:r>
          </w:p>
        </w:tc>
        <w:tc>
          <w:tcPr>
            <w:tcW w:w="0" w:type="auto"/>
            <w:tcBorders>
              <w:top w:val="outset" w:sz="6" w:space="0" w:color="auto"/>
              <w:left w:val="outset" w:sz="6" w:space="0" w:color="auto"/>
              <w:bottom w:val="outset" w:sz="6" w:space="0" w:color="auto"/>
            </w:tcBorders>
            <w:vAlign w:val="center"/>
          </w:tcPr>
          <w:p w:rsidR="00910B00" w:rsidRPr="00CE0E74" w:rsidP="005F4A2D">
            <w:pPr>
              <w:spacing w:line="280" w:lineRule="atLeast"/>
              <w:jc w:val="center"/>
              <w:rPr>
                <w:color w:val="000000"/>
              </w:rPr>
            </w:pPr>
          </w:p>
        </w:tc>
      </w:tr>
      <w:tr>
        <w:tblPrEx>
          <w:tblW w:w="5000" w:type="pct"/>
          <w:tblInd w:w="1" w:type="dxa"/>
          <w:tblCellMar>
            <w:left w:w="0" w:type="dxa"/>
            <w:right w:w="0" w:type="dxa"/>
          </w:tblCellMar>
          <w:tblLook w:val="0000"/>
        </w:tblPrEx>
        <w:tc>
          <w:tcPr>
            <w:tcW w:w="5730" w:type="dxa"/>
            <w:tcBorders>
              <w:top w:val="outset" w:sz="6" w:space="0" w:color="auto"/>
              <w:bottom w:val="outset" w:sz="6" w:space="0" w:color="auto"/>
              <w:right w:val="outset" w:sz="6" w:space="0" w:color="auto"/>
            </w:tcBorders>
            <w:vAlign w:val="center"/>
          </w:tcPr>
          <w:p w:rsidR="00910B00" w:rsidRPr="00CE0E74" w:rsidP="005F4A2D">
            <w:pPr>
              <w:spacing w:line="280" w:lineRule="atLeast"/>
              <w:ind w:left="149"/>
              <w:rPr>
                <w:color w:val="000000"/>
              </w:rPr>
            </w:pPr>
            <w:r w:rsidRPr="00CE0E74">
              <w:rPr>
                <w:color w:val="000000"/>
              </w:rPr>
              <w:t>– vplyvy na hospodárenie obyvateľstva,</w:t>
            </w:r>
          </w:p>
        </w:tc>
        <w:tc>
          <w:tcPr>
            <w:tcW w:w="1200" w:type="dxa"/>
            <w:tcBorders>
              <w:top w:val="outset" w:sz="6" w:space="0" w:color="auto"/>
              <w:left w:val="outset" w:sz="6" w:space="0" w:color="auto"/>
              <w:bottom w:val="outset" w:sz="6" w:space="0" w:color="auto"/>
              <w:right w:val="outset" w:sz="6" w:space="0" w:color="auto"/>
            </w:tcBorders>
            <w:vAlign w:val="center"/>
          </w:tcPr>
          <w:p w:rsidR="00910B00" w:rsidRPr="00CE0E74" w:rsidP="005F4A2D">
            <w:pPr>
              <w:spacing w:line="280" w:lineRule="atLeast"/>
              <w:jc w:val="center"/>
              <w:rPr>
                <w:color w:val="000000"/>
              </w:rPr>
            </w:pPr>
          </w:p>
        </w:tc>
        <w:tc>
          <w:tcPr>
            <w:tcW w:w="1200" w:type="dxa"/>
            <w:tcBorders>
              <w:top w:val="outset" w:sz="6" w:space="0" w:color="auto"/>
              <w:left w:val="outset" w:sz="6" w:space="0" w:color="auto"/>
              <w:bottom w:val="outset" w:sz="6" w:space="0" w:color="auto"/>
              <w:right w:val="outset" w:sz="6" w:space="0" w:color="auto"/>
            </w:tcBorders>
            <w:vAlign w:val="center"/>
          </w:tcPr>
          <w:p w:rsidR="00910B00" w:rsidRPr="00CE0E74" w:rsidP="005F4A2D">
            <w:pPr>
              <w:spacing w:line="280" w:lineRule="atLeast"/>
              <w:jc w:val="center"/>
              <w:rPr>
                <w:color w:val="000000"/>
              </w:rPr>
            </w:pPr>
          </w:p>
        </w:tc>
        <w:tc>
          <w:tcPr>
            <w:tcW w:w="1200" w:type="dxa"/>
            <w:tcBorders>
              <w:top w:val="outset" w:sz="6" w:space="0" w:color="auto"/>
              <w:left w:val="outset" w:sz="6" w:space="0" w:color="auto"/>
              <w:bottom w:val="outset" w:sz="6" w:space="0" w:color="auto"/>
            </w:tcBorders>
            <w:vAlign w:val="center"/>
          </w:tcPr>
          <w:p w:rsidR="00910B00" w:rsidRPr="00CE0E74" w:rsidP="005F4A2D">
            <w:pPr>
              <w:spacing w:line="280" w:lineRule="atLeast"/>
              <w:jc w:val="center"/>
              <w:rPr>
                <w:color w:val="000000"/>
              </w:rPr>
            </w:pPr>
          </w:p>
        </w:tc>
      </w:tr>
      <w:tr>
        <w:tblPrEx>
          <w:tblW w:w="5000" w:type="pct"/>
          <w:tblInd w:w="1" w:type="dxa"/>
          <w:tblCellMar>
            <w:left w:w="0" w:type="dxa"/>
            <w:right w:w="0" w:type="dxa"/>
          </w:tblCellMar>
          <w:tblLook w:val="0000"/>
        </w:tblPrEx>
        <w:tc>
          <w:tcPr>
            <w:tcW w:w="5730" w:type="dxa"/>
            <w:tcBorders>
              <w:top w:val="outset" w:sz="6" w:space="0" w:color="auto"/>
              <w:bottom w:val="outset" w:sz="6" w:space="0" w:color="auto"/>
              <w:right w:val="outset" w:sz="6" w:space="0" w:color="auto"/>
            </w:tcBorders>
            <w:vAlign w:val="center"/>
          </w:tcPr>
          <w:p w:rsidR="00910B00" w:rsidRPr="00CE0E74" w:rsidP="005F4A2D">
            <w:pPr>
              <w:spacing w:line="280" w:lineRule="atLeast"/>
              <w:ind w:left="149"/>
              <w:rPr>
                <w:color w:val="000000"/>
              </w:rPr>
            </w:pPr>
            <w:r w:rsidRPr="00CE0E74">
              <w:rPr>
                <w:color w:val="000000"/>
              </w:rPr>
              <w:t>– sociálnu exklúziu,</w:t>
            </w:r>
          </w:p>
        </w:tc>
        <w:tc>
          <w:tcPr>
            <w:tcW w:w="1200" w:type="dxa"/>
            <w:tcBorders>
              <w:top w:val="outset" w:sz="6" w:space="0" w:color="auto"/>
              <w:left w:val="outset" w:sz="6" w:space="0" w:color="auto"/>
              <w:bottom w:val="outset" w:sz="6" w:space="0" w:color="auto"/>
              <w:right w:val="outset" w:sz="6" w:space="0" w:color="auto"/>
            </w:tcBorders>
            <w:vAlign w:val="center"/>
          </w:tcPr>
          <w:p w:rsidR="00910B00" w:rsidRPr="00CE0E74" w:rsidP="005F4A2D">
            <w:pPr>
              <w:spacing w:line="280" w:lineRule="atLeast"/>
              <w:jc w:val="center"/>
              <w:rPr>
                <w:color w:val="000000"/>
              </w:rPr>
            </w:pPr>
          </w:p>
        </w:tc>
        <w:tc>
          <w:tcPr>
            <w:tcW w:w="1200" w:type="dxa"/>
            <w:tcBorders>
              <w:top w:val="outset" w:sz="6" w:space="0" w:color="auto"/>
              <w:left w:val="outset" w:sz="6" w:space="0" w:color="auto"/>
              <w:bottom w:val="outset" w:sz="6" w:space="0" w:color="auto"/>
              <w:right w:val="outset" w:sz="6" w:space="0" w:color="auto"/>
            </w:tcBorders>
            <w:vAlign w:val="center"/>
          </w:tcPr>
          <w:p w:rsidR="00910B00" w:rsidRPr="00CE0E74" w:rsidP="005F4A2D">
            <w:pPr>
              <w:spacing w:line="280" w:lineRule="atLeast"/>
              <w:jc w:val="center"/>
              <w:rPr>
                <w:color w:val="000000"/>
              </w:rPr>
            </w:pPr>
          </w:p>
        </w:tc>
        <w:tc>
          <w:tcPr>
            <w:tcW w:w="1200" w:type="dxa"/>
            <w:tcBorders>
              <w:top w:val="outset" w:sz="6" w:space="0" w:color="auto"/>
              <w:left w:val="outset" w:sz="6" w:space="0" w:color="auto"/>
              <w:bottom w:val="outset" w:sz="6" w:space="0" w:color="auto"/>
            </w:tcBorders>
            <w:vAlign w:val="center"/>
          </w:tcPr>
          <w:p w:rsidR="00910B00" w:rsidRPr="00CE0E74" w:rsidP="005F4A2D">
            <w:pPr>
              <w:spacing w:line="280" w:lineRule="atLeast"/>
              <w:jc w:val="center"/>
              <w:rPr>
                <w:color w:val="000000"/>
              </w:rPr>
            </w:pPr>
          </w:p>
        </w:tc>
      </w:tr>
      <w:tr>
        <w:tblPrEx>
          <w:tblW w:w="5000" w:type="pct"/>
          <w:tblInd w:w="1" w:type="dxa"/>
          <w:tblCellMar>
            <w:left w:w="0" w:type="dxa"/>
            <w:right w:w="0" w:type="dxa"/>
          </w:tblCellMar>
          <w:tblLook w:val="0000"/>
        </w:tblPrEx>
        <w:tc>
          <w:tcPr>
            <w:tcW w:w="5730" w:type="dxa"/>
            <w:tcBorders>
              <w:top w:val="outset" w:sz="6" w:space="0" w:color="auto"/>
              <w:bottom w:val="outset" w:sz="6" w:space="0" w:color="auto"/>
              <w:right w:val="outset" w:sz="6" w:space="0" w:color="auto"/>
            </w:tcBorders>
            <w:vAlign w:val="center"/>
          </w:tcPr>
          <w:p w:rsidR="00910B00" w:rsidRPr="00CE0E74" w:rsidP="005F4A2D">
            <w:pPr>
              <w:spacing w:line="280" w:lineRule="atLeast"/>
              <w:ind w:left="149"/>
              <w:rPr>
                <w:color w:val="000000"/>
              </w:rPr>
            </w:pPr>
            <w:r w:rsidRPr="00CE0E74">
              <w:rPr>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vAlign w:val="center"/>
          </w:tcPr>
          <w:p w:rsidR="00910B00" w:rsidRPr="00CE0E74" w:rsidP="005F4A2D">
            <w:pPr>
              <w:spacing w:line="280" w:lineRule="atLeast"/>
              <w:jc w:val="center"/>
              <w:rPr>
                <w:color w:val="000000"/>
              </w:rPr>
            </w:pPr>
          </w:p>
        </w:tc>
        <w:tc>
          <w:tcPr>
            <w:tcW w:w="1200" w:type="dxa"/>
            <w:tcBorders>
              <w:top w:val="outset" w:sz="6" w:space="0" w:color="auto"/>
              <w:left w:val="outset" w:sz="6" w:space="0" w:color="auto"/>
              <w:bottom w:val="outset" w:sz="6" w:space="0" w:color="auto"/>
              <w:right w:val="outset" w:sz="6" w:space="0" w:color="auto"/>
            </w:tcBorders>
            <w:vAlign w:val="center"/>
          </w:tcPr>
          <w:p w:rsidR="00910B00" w:rsidRPr="00CE0E74" w:rsidP="005F4A2D">
            <w:pPr>
              <w:spacing w:line="280" w:lineRule="atLeast"/>
              <w:jc w:val="center"/>
              <w:rPr>
                <w:color w:val="000000"/>
              </w:rPr>
            </w:pPr>
          </w:p>
        </w:tc>
        <w:tc>
          <w:tcPr>
            <w:tcW w:w="1200" w:type="dxa"/>
            <w:tcBorders>
              <w:top w:val="outset" w:sz="6" w:space="0" w:color="auto"/>
              <w:left w:val="outset" w:sz="6" w:space="0" w:color="auto"/>
              <w:bottom w:val="outset" w:sz="6" w:space="0" w:color="auto"/>
            </w:tcBorders>
            <w:vAlign w:val="center"/>
          </w:tcPr>
          <w:p w:rsidR="00910B00" w:rsidRPr="00CE0E74" w:rsidP="005F4A2D">
            <w:pPr>
              <w:spacing w:line="280" w:lineRule="atLeast"/>
              <w:jc w:val="center"/>
              <w:rPr>
                <w:color w:val="000000"/>
              </w:rPr>
            </w:pPr>
          </w:p>
        </w:tc>
      </w:tr>
      <w:tr>
        <w:tblPrEx>
          <w:tblW w:w="5000" w:type="pct"/>
          <w:tblInd w:w="1" w:type="dxa"/>
          <w:tblCellMar>
            <w:left w:w="0" w:type="dxa"/>
            <w:right w:w="0" w:type="dxa"/>
          </w:tblCellMar>
          <w:tblLook w:val="0000"/>
        </w:tblPrEx>
        <w:tc>
          <w:tcPr>
            <w:tcW w:w="5730" w:type="dxa"/>
            <w:tcBorders>
              <w:top w:val="outset" w:sz="6" w:space="0" w:color="auto"/>
              <w:bottom w:val="outset" w:sz="6" w:space="0" w:color="auto"/>
              <w:right w:val="outset" w:sz="6" w:space="0" w:color="auto"/>
            </w:tcBorders>
            <w:vAlign w:val="center"/>
          </w:tcPr>
          <w:p w:rsidR="00910B00" w:rsidRPr="00CE0E74" w:rsidP="005F4A2D">
            <w:pPr>
              <w:spacing w:line="280" w:lineRule="atLeast"/>
              <w:ind w:left="149"/>
              <w:rPr>
                <w:color w:val="000000"/>
              </w:rPr>
            </w:pPr>
            <w:r w:rsidRPr="00CE0E74">
              <w:rPr>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vAlign w:val="center"/>
          </w:tcPr>
          <w:p w:rsidR="00910B00" w:rsidRPr="00CE0E74" w:rsidP="005F4A2D">
            <w:pPr>
              <w:spacing w:line="280" w:lineRule="atLeast"/>
              <w:jc w:val="center"/>
              <w:rPr>
                <w:color w:val="000000"/>
              </w:rPr>
            </w:pPr>
          </w:p>
        </w:tc>
        <w:tc>
          <w:tcPr>
            <w:tcW w:w="1200" w:type="dxa"/>
            <w:tcBorders>
              <w:top w:val="outset" w:sz="6" w:space="0" w:color="auto"/>
              <w:left w:val="outset" w:sz="6" w:space="0" w:color="auto"/>
              <w:bottom w:val="outset" w:sz="6" w:space="0" w:color="auto"/>
              <w:right w:val="outset" w:sz="6" w:space="0" w:color="auto"/>
            </w:tcBorders>
            <w:vAlign w:val="center"/>
          </w:tcPr>
          <w:p w:rsidR="00910B00" w:rsidRPr="00CE0E74" w:rsidP="005F4A2D">
            <w:pPr>
              <w:spacing w:line="280" w:lineRule="atLeast"/>
              <w:jc w:val="center"/>
              <w:rPr>
                <w:color w:val="000000"/>
              </w:rPr>
            </w:pPr>
            <w:r w:rsidRPr="00CE0E74">
              <w:rPr>
                <w:color w:val="000000"/>
              </w:rPr>
              <w:t>x</w:t>
            </w:r>
          </w:p>
        </w:tc>
        <w:tc>
          <w:tcPr>
            <w:tcW w:w="1200" w:type="dxa"/>
            <w:tcBorders>
              <w:top w:val="outset" w:sz="6" w:space="0" w:color="auto"/>
              <w:left w:val="outset" w:sz="6" w:space="0" w:color="auto"/>
              <w:bottom w:val="outset" w:sz="6" w:space="0" w:color="auto"/>
            </w:tcBorders>
            <w:vAlign w:val="center"/>
          </w:tcPr>
          <w:p w:rsidR="00910B00" w:rsidRPr="00CE0E74" w:rsidP="005F4A2D">
            <w:pPr>
              <w:spacing w:line="280" w:lineRule="atLeast"/>
              <w:jc w:val="center"/>
              <w:rPr>
                <w:color w:val="000000"/>
              </w:rPr>
            </w:pPr>
          </w:p>
        </w:tc>
      </w:tr>
      <w:tr>
        <w:tblPrEx>
          <w:tblW w:w="5000" w:type="pct"/>
          <w:tblInd w:w="1" w:type="dxa"/>
          <w:tblCellMar>
            <w:left w:w="0" w:type="dxa"/>
            <w:right w:w="0" w:type="dxa"/>
          </w:tblCellMar>
          <w:tblLook w:val="0000"/>
        </w:tblPrEx>
        <w:tc>
          <w:tcPr>
            <w:tcW w:w="5730" w:type="dxa"/>
            <w:tcBorders>
              <w:top w:val="outset" w:sz="6" w:space="0" w:color="auto"/>
              <w:bottom w:val="outset" w:sz="6" w:space="0" w:color="auto"/>
              <w:right w:val="outset" w:sz="6" w:space="0" w:color="auto"/>
            </w:tcBorders>
            <w:vAlign w:val="center"/>
          </w:tcPr>
          <w:p w:rsidR="00910B00" w:rsidRPr="00CE0E74" w:rsidP="005F4A2D">
            <w:pPr>
              <w:spacing w:line="280" w:lineRule="atLeast"/>
              <w:ind w:left="149"/>
              <w:rPr>
                <w:color w:val="000000"/>
              </w:rPr>
            </w:pPr>
            <w:r w:rsidRPr="00CE0E74">
              <w:rPr>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vAlign w:val="center"/>
          </w:tcPr>
          <w:p w:rsidR="00910B00" w:rsidRPr="00CE0E74" w:rsidP="005F4A2D">
            <w:pPr>
              <w:spacing w:line="280" w:lineRule="atLeast"/>
              <w:jc w:val="center"/>
              <w:rPr>
                <w:color w:val="000000"/>
              </w:rPr>
            </w:pPr>
          </w:p>
        </w:tc>
        <w:tc>
          <w:tcPr>
            <w:tcW w:w="1200" w:type="dxa"/>
            <w:tcBorders>
              <w:top w:val="outset" w:sz="6" w:space="0" w:color="auto"/>
              <w:left w:val="outset" w:sz="6" w:space="0" w:color="auto"/>
              <w:bottom w:val="outset" w:sz="6" w:space="0" w:color="auto"/>
              <w:right w:val="outset" w:sz="6" w:space="0" w:color="auto"/>
            </w:tcBorders>
            <w:vAlign w:val="center"/>
          </w:tcPr>
          <w:p w:rsidR="00910B00" w:rsidRPr="00CE0E74" w:rsidP="005F4A2D">
            <w:pPr>
              <w:spacing w:line="280" w:lineRule="atLeast"/>
              <w:jc w:val="center"/>
              <w:rPr>
                <w:color w:val="000000"/>
              </w:rPr>
            </w:pPr>
            <w:r w:rsidRPr="00CE0E74">
              <w:rPr>
                <w:color w:val="000000"/>
              </w:rPr>
              <w:t>x</w:t>
            </w:r>
          </w:p>
        </w:tc>
        <w:tc>
          <w:tcPr>
            <w:tcW w:w="1200" w:type="dxa"/>
            <w:tcBorders>
              <w:top w:val="outset" w:sz="6" w:space="0" w:color="auto"/>
              <w:left w:val="outset" w:sz="6" w:space="0" w:color="auto"/>
              <w:bottom w:val="outset" w:sz="6" w:space="0" w:color="auto"/>
            </w:tcBorders>
            <w:vAlign w:val="center"/>
          </w:tcPr>
          <w:p w:rsidR="00910B00" w:rsidRPr="00CE0E74" w:rsidP="005F4A2D">
            <w:pPr>
              <w:spacing w:line="280" w:lineRule="atLeast"/>
              <w:jc w:val="center"/>
              <w:rPr>
                <w:color w:val="000000"/>
              </w:rPr>
            </w:pPr>
          </w:p>
        </w:tc>
      </w:tr>
    </w:tbl>
    <w:p w:rsidR="00910B00" w:rsidRPr="00CE0E74" w:rsidP="00910B00">
      <w:pPr>
        <w:spacing w:after="120"/>
        <w:rPr>
          <w:b/>
          <w:bCs/>
          <w:color w:val="000000"/>
        </w:rPr>
      </w:pPr>
    </w:p>
    <w:p w:rsidR="00910B00" w:rsidRPr="00CE0E74" w:rsidP="00910B00">
      <w:pPr>
        <w:spacing w:after="120" w:line="280" w:lineRule="atLeast"/>
        <w:rPr>
          <w:b/>
          <w:bCs/>
          <w:color w:val="000000"/>
        </w:rPr>
      </w:pPr>
      <w:r w:rsidRPr="00CE0E74">
        <w:rPr>
          <w:b/>
          <w:bCs/>
          <w:color w:val="000000"/>
        </w:rPr>
        <w:t>A.3. Poznámky</w:t>
      </w:r>
    </w:p>
    <w:p w:rsidR="00F551F7" w:rsidP="00F551F7">
      <w:pPr>
        <w:pStyle w:val="odsek"/>
      </w:pPr>
      <w:r>
        <w:t>Negatívny vplyv na podnikateľské prostredie bude v tom, že budú musieť zmluvy, v ktorých boli dohodnuté praktiky, ktoré sú týmto zákonom označené ako neprimerané prehodnotiť a podpísať nové zmluvy. Pozitívny vplyv bude na strane dodávateľov, ktorí nebudú musieť strpieť niektoré praktiky, ktoré sú dnes bežné a</w:t>
      </w:r>
      <w:r w:rsidR="0071526D">
        <w:t> budú v budúcnosti označené ako neprimerané.</w:t>
      </w:r>
    </w:p>
    <w:p w:rsidR="00CC3367" w:rsidRPr="00CE0E74" w:rsidP="00F551F7">
      <w:pPr>
        <w:pStyle w:val="odsek"/>
      </w:pPr>
      <w:r w:rsidRPr="00CE0E74" w:rsidR="00B32085">
        <w:t>Pozitívny v</w:t>
      </w:r>
      <w:r w:rsidRPr="00CE0E74">
        <w:t xml:space="preserve">plyv na </w:t>
      </w:r>
      <w:r w:rsidRPr="00CE0E74" w:rsidR="00B32085">
        <w:t>rozpočet verejnej správy nie je možné v etape schvaľ</w:t>
      </w:r>
      <w:r w:rsidRPr="00CE0E74">
        <w:t>ovania zákona vyčísliť.</w:t>
      </w:r>
      <w:r w:rsidRPr="00CE0E74" w:rsidR="00B32085">
        <w:t xml:space="preserve"> Nedá sa kvantifikovať aké budú výnosy z pokút vzhľadom na</w:t>
      </w:r>
      <w:r w:rsidRPr="00CE0E74">
        <w:t xml:space="preserve"> </w:t>
      </w:r>
      <w:r w:rsidR="00F551F7">
        <w:t xml:space="preserve">to, že nie je možné odhadnúť množstvo porušení </w:t>
      </w:r>
      <w:r w:rsidRPr="00CE0E74">
        <w:t xml:space="preserve">ustanovení </w:t>
      </w:r>
      <w:r w:rsidR="00F551F7">
        <w:t xml:space="preserve">tohto </w:t>
      </w:r>
      <w:r w:rsidRPr="00CE0E74">
        <w:t>zákona</w:t>
      </w:r>
      <w:r w:rsidRPr="00CE0E74" w:rsidR="00B32085">
        <w:t>.</w:t>
      </w:r>
    </w:p>
    <w:p w:rsidR="00910B00" w:rsidRPr="00CE0E74" w:rsidP="00910B00">
      <w:pPr>
        <w:spacing w:line="280" w:lineRule="atLeast"/>
        <w:rPr>
          <w:i/>
          <w:iCs/>
          <w:color w:val="000000"/>
        </w:rPr>
      </w:pPr>
    </w:p>
    <w:p w:rsidR="00910B00" w:rsidRPr="00CE0E74" w:rsidP="00910B00">
      <w:pPr>
        <w:spacing w:line="280" w:lineRule="atLeast"/>
        <w:rPr>
          <w:b/>
          <w:bCs/>
          <w:color w:val="000000"/>
        </w:rPr>
      </w:pPr>
      <w:r w:rsidRPr="00CE0E74">
        <w:rPr>
          <w:b/>
          <w:bCs/>
          <w:color w:val="000000"/>
        </w:rPr>
        <w:t>A.4. Alternatívne riešenia</w:t>
      </w:r>
    </w:p>
    <w:p w:rsidR="00910B00" w:rsidRPr="00CE0E74" w:rsidP="00910B00">
      <w:pPr>
        <w:spacing w:line="280" w:lineRule="atLeast"/>
        <w:rPr>
          <w:color w:val="000000"/>
        </w:rPr>
      </w:pPr>
      <w:r w:rsidRPr="00CE0E74">
        <w:rPr>
          <w:color w:val="000000"/>
        </w:rPr>
        <w:t>bezpredmetné</w:t>
      </w:r>
    </w:p>
    <w:p w:rsidR="00910B00" w:rsidRPr="00CE0E74" w:rsidP="00910B00">
      <w:pPr>
        <w:spacing w:line="280" w:lineRule="atLeast"/>
        <w:rPr>
          <w:b/>
          <w:bCs/>
          <w:color w:val="000000"/>
        </w:rPr>
      </w:pPr>
    </w:p>
    <w:p w:rsidR="00910B00" w:rsidRPr="00CE0E74" w:rsidP="00910B00">
      <w:pPr>
        <w:spacing w:after="120" w:line="280" w:lineRule="atLeast"/>
        <w:rPr>
          <w:b/>
          <w:bCs/>
          <w:color w:val="000000"/>
        </w:rPr>
      </w:pPr>
      <w:r w:rsidRPr="00CE0E74">
        <w:rPr>
          <w:b/>
          <w:bCs/>
          <w:color w:val="000000"/>
        </w:rPr>
        <w:t>A.5. Stanovisko gestorov</w:t>
      </w:r>
    </w:p>
    <w:p w:rsidR="00910B00" w:rsidRPr="00CE0E74" w:rsidP="00910B00">
      <w:pPr>
        <w:rPr>
          <w:bCs/>
        </w:rPr>
      </w:pPr>
      <w:r w:rsidR="00EF76CA">
        <w:rPr>
          <w:bCs/>
        </w:rPr>
        <w:t>bezpredmetné</w:t>
      </w:r>
      <w:r w:rsidRPr="00CE0E74">
        <w:rPr>
          <w:bCs/>
        </w:rPr>
        <w:t xml:space="preserve"> </w:t>
      </w:r>
    </w:p>
    <w:p w:rsidR="001D0F2C" w:rsidP="001D0F2C">
      <w:pPr>
        <w:pStyle w:val="Heading1"/>
        <w:rPr>
          <w:rFonts w:cs="Times New Roman"/>
          <w:szCs w:val="24"/>
        </w:rPr>
      </w:pPr>
      <w:bookmarkStart w:id="1" w:name="OLE_LINK1"/>
      <w:bookmarkEnd w:id="1"/>
      <w:r>
        <w:rPr>
          <w:rFonts w:cs="Times New Roman"/>
          <w:szCs w:val="24"/>
        </w:rPr>
        <w:t>Osobitná časť</w:t>
      </w:r>
    </w:p>
    <w:p w:rsidR="001D0F2C" w:rsidP="001D0F2C">
      <w:pPr>
        <w:pStyle w:val="Heading3"/>
      </w:pPr>
      <w:r>
        <w:t>K § 1</w:t>
      </w:r>
    </w:p>
    <w:p w:rsidR="001D0F2C" w:rsidP="001D0F2C">
      <w:pPr>
        <w:pStyle w:val="odsek"/>
      </w:pPr>
      <w:r>
        <w:t>Účelom zákona je upraviť posudzovanie, zamedzenie, kontrolu a konanie vo veciach uplatňovania neprimeraných obchodných podmienok v zmluvách medzi odberateľmi a dodávateľmi potravín.</w:t>
      </w:r>
    </w:p>
    <w:p w:rsidR="001D0F2C" w:rsidP="001D0F2C">
      <w:pPr>
        <w:pStyle w:val="Heading3"/>
      </w:pPr>
      <w:r>
        <w:t>K § 2</w:t>
      </w:r>
    </w:p>
    <w:p w:rsidR="001D0F2C" w:rsidP="001D0F2C">
      <w:pPr>
        <w:pStyle w:val="odsek"/>
      </w:pPr>
      <w:r>
        <w:t>Ustanovenie definuje niektoré pojmy, ktoré sú pre vymedzenie predmetu právnej úpravy nevyhnutné. Vymedzuje okruh podnikateľských subjektov, na ktorých sa zákon vzťahuje, vymedzuje peňažné a nepeňažné plnenie, obchodnú aktivitu, obchodný vzťah obchodné podmienky a lehotu na úhradu dodanej potraviny.</w:t>
      </w:r>
    </w:p>
    <w:p w:rsidR="001D0F2C" w:rsidP="001D0F2C">
      <w:pPr>
        <w:pStyle w:val="Heading3"/>
      </w:pPr>
      <w:r>
        <w:t>K § 3</w:t>
      </w:r>
    </w:p>
    <w:p w:rsidR="001D0F2C" w:rsidP="001D0F2C">
      <w:pPr>
        <w:pStyle w:val="odsek"/>
      </w:pPr>
      <w:r>
        <w:t>Ustanovuje náležitosti, ktoré musí mať zmluva medzi dodávateľom a odberateľom, ktoré, zakladajú zmluvný vzťah medzi odberateľom a dodávateľom potravín. Ďalej sa ustanovuje lehota na zaplatenie kúpnej ceny, aby nedochádzalo k neprimeranému úverovaniu odberateľa dodávateľom až na 90 až 120 dní.</w:t>
      </w:r>
    </w:p>
    <w:p w:rsidR="001D0F2C" w:rsidP="001D0F2C">
      <w:pPr>
        <w:pStyle w:val="Heading3"/>
      </w:pPr>
      <w:r>
        <w:t>K § 4</w:t>
      </w:r>
    </w:p>
    <w:p w:rsidR="001D0F2C" w:rsidP="001D0F2C">
      <w:pPr>
        <w:pStyle w:val="odsek"/>
      </w:pPr>
      <w:r>
        <w:t>Ustanovenie vymedzuje skutkové podstaty neprimeraných podmienok, ktoré budú v obchodnom vzťahu medzi odberateľom a dodávateľom potravín zakázané. Ide o taxatívny výpočet.</w:t>
      </w:r>
    </w:p>
    <w:p w:rsidR="001D0F2C" w:rsidP="001D0F2C">
      <w:pPr>
        <w:pStyle w:val="Heading3"/>
      </w:pPr>
      <w:r>
        <w:t>K § 5</w:t>
      </w:r>
    </w:p>
    <w:p w:rsidR="001D0F2C" w:rsidP="001D0F2C">
      <w:pPr>
        <w:pStyle w:val="odsek"/>
      </w:pPr>
      <w:r>
        <w:t>Toto ustanovenie sa týka kontroly neprimeraných podmienok v obchodnom vzťahu medzi odberateľom a dodávateľom potravín zakázané. Kontrolným orgánom je ustanovením určené Ministerstvo pôdohospodárstva a rozvoja vidieka SR a osoby, ktoré a za akých podmienok môžu svojim podnetom iniciovať kontrolu. P</w:t>
      </w:r>
      <w:r>
        <w:rPr>
          <w:color w:val="000000"/>
        </w:rPr>
        <w:t xml:space="preserve">redpokladom vykonania kontroly je predovšetkým </w:t>
      </w:r>
      <w:r>
        <w:t>povinnosť kontrolóra preukazovať sa poverením a služobným preukazom. Kontrola je ukončená buď záznamom o vykonanej kontrole alebo protokolom o vykonanej kontrole. Ak v  odsekoch 1 až 7 nie je ustanovené inak, na výkon kontroly sa primerane použijú ustanovenia § 8 až 15 zákona Národnej rady Slovenskej republiky č. 10/1996 Z. z. o kontrole v štátnej správe v znení neskorších predpisov.</w:t>
      </w:r>
    </w:p>
    <w:p w:rsidR="001D0F2C" w:rsidP="001D0F2C">
      <w:pPr>
        <w:pStyle w:val="Heading3"/>
      </w:pPr>
      <w:r>
        <w:t>K § 6</w:t>
      </w:r>
    </w:p>
    <w:p w:rsidR="001D0F2C" w:rsidP="001D0F2C">
      <w:pPr>
        <w:pStyle w:val="odsek"/>
      </w:pPr>
      <w:r>
        <w:t>Ustanovenie vymedzuje skutkové podstaty konania fyzickej osoby pri marení kontroly a v prípade ak sa ho fyzická osoba dopustí odkazuje pri uložení poriadkovej pokuty na postup podľa § 16 zákona Národnej rady Slovenskej republiky č. 10/1996 Z. z. o kontrole v štátnej správe v znení neskorších predpisov. Určuje sa splatnosť uloženej poriadkovej pokuty a výška poriadkovej pokuty za marenie výkonu kontroly, ktorú možno uložiť v blokovom konaní.</w:t>
      </w:r>
    </w:p>
    <w:p w:rsidR="001D0F2C" w:rsidP="001D0F2C">
      <w:pPr>
        <w:pStyle w:val="Heading3"/>
      </w:pPr>
      <w:r w:rsidR="00B12FBD">
        <w:br w:type="page"/>
      </w:r>
      <w:r>
        <w:t>K § 7</w:t>
      </w:r>
    </w:p>
    <w:p w:rsidR="001D0F2C" w:rsidP="001D0F2C">
      <w:pPr>
        <w:pStyle w:val="odsek"/>
      </w:pPr>
      <w:r>
        <w:t>Ak sa kontrolu zistí v obchodnom vzťahu medzi odberateľom a dodávateľom potravín neprimeraná podmienka, výsledkom bude Protokol z vykonanej kontroly (§ 5 ods. 7). Popri uloženej pokute ministerstvo v rozhodnutí ustanoví tiež lehotu na odstránenie zistených nedostatkov. Ustanovenie</w:t>
      </w:r>
      <w:r>
        <w:rPr>
          <w:color w:val="000000"/>
        </w:rPr>
        <w:t xml:space="preserve"> vymedzuje postup ministerstva pri uložení pokuty, výšky pokuty a opakovaného uloženia pokuty a prihliada na dané skutočnosti pri uložení pokuty. Určuje sa splatnosť uloženej pokuty, subjektívna a objektívna lehota na konanie o uložení pokuty a na konanie o uložení poriadkovej sa vzťahuje postup podľa </w:t>
      </w:r>
      <w:r>
        <w:t>zákona č. 71/1964 Zb. o správnom konaní v znení neskorších predpisov.</w:t>
      </w:r>
    </w:p>
    <w:p w:rsidR="001D0F2C" w:rsidP="001D0F2C">
      <w:pPr>
        <w:pStyle w:val="Heading3"/>
      </w:pPr>
      <w:r>
        <w:t>K § 8</w:t>
      </w:r>
    </w:p>
    <w:p w:rsidR="001D0F2C" w:rsidP="001D0F2C">
      <w:pPr>
        <w:pStyle w:val="odsek"/>
      </w:pPr>
      <w:r>
        <w:t>Ustanovenie vymedzuje obsah informácie o vykonaných kontrolách, ktoré ministerstvo zverejňuje na svojom webovom sídle.</w:t>
      </w:r>
    </w:p>
    <w:p w:rsidR="001D0F2C" w:rsidP="001D0F2C">
      <w:pPr>
        <w:pStyle w:val="Heading3"/>
      </w:pPr>
      <w:r>
        <w:t>K §</w:t>
      </w:r>
      <w:r>
        <w:rPr>
          <w:lang w:val="sk-SK"/>
        </w:rPr>
        <w:t xml:space="preserve"> </w:t>
      </w:r>
      <w:r>
        <w:t>9</w:t>
      </w:r>
    </w:p>
    <w:p w:rsidR="001D0F2C" w:rsidP="001D0F2C">
      <w:pPr>
        <w:pStyle w:val="odsek"/>
      </w:pPr>
      <w:r>
        <w:t>Transpozičné ustanovenie.</w:t>
      </w:r>
    </w:p>
    <w:p w:rsidR="001D0F2C" w:rsidRPr="001D0F2C" w:rsidP="001D0F2C">
      <w:pPr>
        <w:pStyle w:val="Heading3"/>
        <w:rPr>
          <w:lang w:val="sk-SK"/>
        </w:rPr>
      </w:pPr>
      <w:r>
        <w:rPr>
          <w:lang w:val="sk-SK"/>
        </w:rPr>
        <w:t>K § 10</w:t>
      </w:r>
    </w:p>
    <w:p w:rsidR="00910B00" w:rsidP="001D0F2C">
      <w:pPr>
        <w:pStyle w:val="odsek"/>
      </w:pPr>
      <w:r w:rsidR="001D0F2C">
        <w:t>Navrhuje sa účinnosť zákona.</w:t>
      </w:r>
    </w:p>
    <w:p w:rsidR="00EE6116" w:rsidP="00EE6116">
      <w:pPr>
        <w:pStyle w:val="odsek"/>
        <w:ind w:firstLine="0"/>
      </w:pPr>
    </w:p>
    <w:p w:rsidR="00EE6116" w:rsidP="00EE6116"/>
    <w:p w:rsidR="00EE6116" w:rsidP="00EE6116"/>
    <w:p w:rsidR="00EE6116" w:rsidRPr="009B3B04" w:rsidP="00EE6116">
      <w:r w:rsidR="007A579A">
        <w:t xml:space="preserve">Nové Sady, </w:t>
      </w:r>
      <w:r>
        <w:t>22. augusta 2012</w:t>
      </w:r>
    </w:p>
    <w:p w:rsidR="00EE6116" w:rsidP="00EE6116"/>
    <w:p w:rsidR="00EE6116" w:rsidP="00EE6116"/>
    <w:p w:rsidR="00EE6116" w:rsidP="00EE6116"/>
    <w:p w:rsidR="00EE6116" w:rsidP="00EE6116"/>
    <w:p w:rsidR="00EE6116" w:rsidP="00EE6116"/>
    <w:p w:rsidR="00EE6116" w:rsidRPr="00CB10DB" w:rsidP="00EE6116">
      <w:pPr>
        <w:jc w:val="center"/>
      </w:pPr>
      <w:r>
        <w:rPr>
          <w:bCs/>
        </w:rPr>
        <w:t>Robert Fico</w:t>
      </w:r>
      <w:r w:rsidR="00311D1B">
        <w:rPr>
          <w:bCs/>
        </w:rPr>
        <w:t xml:space="preserve"> v. r.</w:t>
      </w:r>
    </w:p>
    <w:p w:rsidR="00EE6116" w:rsidRPr="00CB10DB" w:rsidP="00EE6116">
      <w:pPr>
        <w:jc w:val="center"/>
      </w:pPr>
      <w:r>
        <w:t xml:space="preserve">predseda </w:t>
      </w:r>
      <w:r w:rsidRPr="00CB10DB">
        <w:t>vlády</w:t>
      </w:r>
    </w:p>
    <w:p w:rsidR="00EE6116" w:rsidRPr="00CB10DB" w:rsidP="00EE6116">
      <w:pPr>
        <w:jc w:val="center"/>
      </w:pPr>
      <w:r w:rsidRPr="00CB10DB">
        <w:t>Slovenskej republiky</w:t>
      </w:r>
    </w:p>
    <w:p w:rsidR="00EE6116" w:rsidP="00EE6116"/>
    <w:p w:rsidR="00EE6116" w:rsidP="00EE6116"/>
    <w:p w:rsidR="00EE6116" w:rsidRPr="00CB10DB" w:rsidP="00EE6116"/>
    <w:p w:rsidR="00EE6116" w:rsidRPr="00CB10DB" w:rsidP="00EE6116"/>
    <w:p w:rsidR="00EE6116" w:rsidRPr="00CB10DB" w:rsidP="00EE6116">
      <w:pPr>
        <w:jc w:val="center"/>
      </w:pPr>
      <w:r>
        <w:rPr>
          <w:bCs/>
        </w:rPr>
        <w:t>Ľubomír Jahnátek</w:t>
      </w:r>
      <w:r w:rsidR="00311D1B">
        <w:rPr>
          <w:bCs/>
        </w:rPr>
        <w:t xml:space="preserve"> v. r.</w:t>
      </w:r>
    </w:p>
    <w:p w:rsidR="00EE6116" w:rsidP="00EE6116">
      <w:pPr>
        <w:jc w:val="center"/>
      </w:pPr>
      <w:r w:rsidRPr="00CB10DB">
        <w:t xml:space="preserve">minister </w:t>
      </w:r>
      <w:r>
        <w:t xml:space="preserve">pôdohospodárstva </w:t>
      </w:r>
    </w:p>
    <w:p w:rsidR="00EE6116" w:rsidRPr="00CE6BB4" w:rsidP="00EE6116">
      <w:pPr>
        <w:jc w:val="center"/>
        <w:rPr>
          <w:rStyle w:val="PlaceholderText0"/>
          <w:b/>
        </w:rPr>
      </w:pPr>
      <w:r>
        <w:t>a rozvoja vidieka Slovenskej republiky</w:t>
      </w:r>
    </w:p>
    <w:p w:rsidR="00EE6116" w:rsidRPr="00CE0E74" w:rsidP="00EE6116">
      <w:pPr>
        <w:pStyle w:val="odsek"/>
        <w:ind w:firstLine="0"/>
      </w:pPr>
    </w:p>
    <w:sectPr w:rsidSect="00910B00">
      <w:footerReference w:type="even" r:id="rId5"/>
      <w:footerReference w:type="default" r:id="rId6"/>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0000000000000000000"/>
    <w:charset w:val="EE"/>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A2D" w:rsidP="005F4A2D">
    <w:pPr>
      <w:pStyle w:val="Footer"/>
      <w:framePr w:wrap="around" w:vAnchor="text" w:hAnchor="margin" w:xAlign="right" w:y="1"/>
      <w:rPr>
        <w:rStyle w:val="PageNumber"/>
      </w:rPr>
    </w:pPr>
    <w:r w:rsidR="00910B00">
      <w:rPr>
        <w:rStyle w:val="PageNumber"/>
      </w:rPr>
      <w:fldChar w:fldCharType="begin"/>
    </w:r>
    <w:r w:rsidR="00910B00">
      <w:rPr>
        <w:rStyle w:val="PageNumber"/>
      </w:rPr>
      <w:instrText xml:space="preserve">PAGE  </w:instrText>
    </w:r>
    <w:r w:rsidR="007A579A">
      <w:rPr>
        <w:rStyle w:val="PageNumber"/>
      </w:rPr>
      <w:fldChar w:fldCharType="separate"/>
    </w:r>
    <w:r w:rsidR="007A579A">
      <w:rPr>
        <w:rStyle w:val="PageNumber"/>
        <w:noProof/>
      </w:rPr>
      <w:t>5</w:t>
    </w:r>
    <w:r w:rsidR="00910B00">
      <w:rPr>
        <w:rStyle w:val="PageNumber"/>
      </w:rPr>
      <w:fldChar w:fldCharType="end"/>
    </w:r>
  </w:p>
  <w:p w:rsidR="005F4A2D" w:rsidP="005F4A2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A2D" w:rsidRPr="00CE0E74" w:rsidP="00CE0E74">
    <w:pPr>
      <w:pStyle w:val="Footer"/>
      <w:jc w:val="center"/>
      <w:rPr>
        <w:lang w:val="sk-SK"/>
      </w:rPr>
    </w:pPr>
    <w:r w:rsidR="00CE0E74">
      <w:fldChar w:fldCharType="begin"/>
    </w:r>
    <w:r w:rsidR="00CE0E74">
      <w:instrText>PAGE   \* MERGEFORMAT</w:instrText>
    </w:r>
    <w:r w:rsidR="00CE0E74">
      <w:fldChar w:fldCharType="separate"/>
    </w:r>
    <w:r w:rsidRPr="007A579A" w:rsidR="007A579A">
      <w:rPr>
        <w:noProof/>
        <w:lang w:val="sk-SK"/>
      </w:rPr>
      <w:t>5</w:t>
    </w:r>
    <w:r w:rsidR="00CE0E74">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C2855"/>
    <w:multiLevelType w:val="hybridMultilevel"/>
    <w:tmpl w:val="F3521904"/>
    <w:lvl w:ilvl="0">
      <w:start w:val="1"/>
      <w:numFmt w:val="lowerLetter"/>
      <w:lvlText w:val="%1)"/>
      <w:lvlJc w:val="left"/>
      <w:pPr>
        <w:ind w:left="1419" w:hanging="360"/>
      </w:pPr>
      <w:rPr>
        <w:rFonts w:ascii="Times New Roman" w:eastAsia="Calibri" w:hAnsi="Times New Roman" w:cs="Times New Roman"/>
      </w:rPr>
    </w:lvl>
    <w:lvl w:ilvl="1" w:tentative="1">
      <w:start w:val="1"/>
      <w:numFmt w:val="lowerLetter"/>
      <w:lvlText w:val="%2."/>
      <w:lvlJc w:val="left"/>
      <w:pPr>
        <w:ind w:left="2139" w:hanging="360"/>
      </w:pPr>
    </w:lvl>
    <w:lvl w:ilvl="2" w:tentative="1">
      <w:start w:val="1"/>
      <w:numFmt w:val="lowerRoman"/>
      <w:lvlText w:val="%3."/>
      <w:lvlJc w:val="right"/>
      <w:pPr>
        <w:ind w:left="2859" w:hanging="180"/>
      </w:pPr>
    </w:lvl>
    <w:lvl w:ilvl="3" w:tentative="1">
      <w:start w:val="1"/>
      <w:numFmt w:val="decimal"/>
      <w:lvlText w:val="%4."/>
      <w:lvlJc w:val="left"/>
      <w:pPr>
        <w:ind w:left="3579" w:hanging="360"/>
      </w:pPr>
    </w:lvl>
    <w:lvl w:ilvl="4" w:tentative="1">
      <w:start w:val="1"/>
      <w:numFmt w:val="lowerLetter"/>
      <w:lvlText w:val="%5."/>
      <w:lvlJc w:val="left"/>
      <w:pPr>
        <w:ind w:left="4299" w:hanging="360"/>
      </w:pPr>
    </w:lvl>
    <w:lvl w:ilvl="5" w:tentative="1">
      <w:start w:val="1"/>
      <w:numFmt w:val="lowerRoman"/>
      <w:lvlText w:val="%6."/>
      <w:lvlJc w:val="right"/>
      <w:pPr>
        <w:ind w:left="5019" w:hanging="180"/>
      </w:pPr>
    </w:lvl>
    <w:lvl w:ilvl="6" w:tentative="1">
      <w:start w:val="1"/>
      <w:numFmt w:val="decimal"/>
      <w:lvlText w:val="%7."/>
      <w:lvlJc w:val="left"/>
      <w:pPr>
        <w:ind w:left="5739" w:hanging="360"/>
      </w:pPr>
    </w:lvl>
    <w:lvl w:ilvl="7" w:tentative="1">
      <w:start w:val="1"/>
      <w:numFmt w:val="lowerLetter"/>
      <w:lvlText w:val="%8."/>
      <w:lvlJc w:val="left"/>
      <w:pPr>
        <w:ind w:left="6459" w:hanging="360"/>
      </w:pPr>
    </w:lvl>
    <w:lvl w:ilvl="8" w:tentative="1">
      <w:start w:val="1"/>
      <w:numFmt w:val="lowerRoman"/>
      <w:lvlText w:val="%9."/>
      <w:lvlJc w:val="right"/>
      <w:pPr>
        <w:ind w:left="7179" w:hanging="180"/>
      </w:pPr>
    </w:lvl>
  </w:abstractNum>
  <w:abstractNum w:abstractNumId="1">
    <w:nsid w:val="1F50090C"/>
    <w:multiLevelType w:val="hybridMultilevel"/>
    <w:tmpl w:val="028CEC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2B2CAF"/>
    <w:multiLevelType w:val="hybridMultilevel"/>
    <w:tmpl w:val="8E2A5CE4"/>
    <w:lvl w:ilvl="0">
      <w:start w:val="1"/>
      <w:numFmt w:val="lowerLetter"/>
      <w:lvlText w:val="%1)"/>
      <w:lvlJc w:val="left"/>
      <w:pPr>
        <w:ind w:left="1068" w:hanging="360"/>
      </w:pPr>
      <w:rPr>
        <w:rFonts w:ascii="Times New Roman" w:eastAsia="Times New Roman" w:hAnsi="Times New Roman" w:cs="Times New Roman"/>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3">
    <w:nsid w:val="2792445F"/>
    <w:multiLevelType w:val="hybridMultilevel"/>
    <w:tmpl w:val="BECE9846"/>
    <w:lvl w:ilvl="0">
      <w:start w:val="1"/>
      <w:numFmt w:val="decimal"/>
      <w:pStyle w:val="odsek1"/>
      <w:lvlText w:val="(%1)"/>
      <w:lvlJc w:val="left"/>
      <w:pPr>
        <w:ind w:left="1429" w:hanging="360"/>
      </w:pPr>
      <w:rPr>
        <w:rFonts w:ascii="Times New Roman" w:hAnsi="Times New Roman" w:hint="default"/>
        <w:b w:val="0"/>
        <w:i w:val="0"/>
        <w:caps w:val="0"/>
        <w:strike w:val="0"/>
        <w:dstrike w:val="0"/>
        <w:outline w:val="0"/>
        <w:shadow w:val="0"/>
        <w:emboss w:val="0"/>
        <w:imprint w:val="0"/>
        <w:vanish w:val="0"/>
        <w:sz w:val="24"/>
        <w:vertAlign w:val="baseline"/>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4">
    <w:nsid w:val="3EAF6D70"/>
    <w:multiLevelType w:val="hybridMultilevel"/>
    <w:tmpl w:val="917E1D04"/>
    <w:lvl w:ilvl="0">
      <w:start w:val="1"/>
      <w:numFmt w:val="lowerLetter"/>
      <w:pStyle w:val="adda"/>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077324C"/>
    <w:multiLevelType w:val="hybridMultilevel"/>
    <w:tmpl w:val="C1BAA55A"/>
    <w:lvl w:ilvl="0">
      <w:start w:val="1"/>
      <w:numFmt w:val="decimal"/>
      <w:lvlText w:val="%1."/>
      <w:lvlJc w:val="left"/>
      <w:pPr>
        <w:ind w:left="50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69C5FEE"/>
    <w:multiLevelType w:val="hybridMultilevel"/>
    <w:tmpl w:val="0470BA3C"/>
    <w:lvl w:ilvl="0">
      <w:start w:val="1"/>
      <w:numFmt w:val="decimal"/>
      <w:pStyle w:val="a"/>
      <w:lvlText w:val="§ %1"/>
      <w:lvlJc w:val="left"/>
      <w:pPr>
        <w:ind w:left="720" w:hanging="360"/>
      </w:pPr>
      <w:rPr>
        <w:rFonts w:ascii="Times New Roman" w:hAnsi="Times New Roman"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2EE15EA"/>
    <w:multiLevelType w:val="hybridMultilevel"/>
    <w:tmpl w:val="63FC24CE"/>
    <w:lvl w:ilvl="0">
      <w:start w:val="1"/>
      <w:numFmt w:val="decimal"/>
      <w:lvlText w:val="%1."/>
      <w:lvlJc w:val="left"/>
      <w:pPr>
        <w:tabs>
          <w:tab w:val="num" w:pos="720"/>
        </w:tabs>
        <w:ind w:left="720" w:hanging="360"/>
      </w:pPr>
    </w:lvl>
    <w:lvl w:ilvl="1">
      <w:start w:val="1"/>
      <w:numFmt w:val="lowerLetter"/>
      <w:lvlText w:val="%2)"/>
      <w:lvlJc w:val="left"/>
      <w:pPr>
        <w:tabs>
          <w:tab w:val="num" w:pos="786"/>
        </w:tabs>
        <w:ind w:left="786" w:hanging="360"/>
      </w:pPr>
    </w:lvl>
    <w:lvl w:ilvl="2">
      <w:start w:val="1"/>
      <w:numFmt w:val="decimal"/>
      <w:lvlText w:val="%3."/>
      <w:lvlJc w:val="center"/>
      <w:pPr>
        <w:tabs>
          <w:tab w:val="num" w:pos="2340"/>
        </w:tabs>
        <w:ind w:left="-180" w:firstLine="2160"/>
      </w:pPr>
      <w:rPr>
        <w:rFonts w:ascii="Times New Roman" w:hAnsi="Times New Roman" w:cs="Times New Roman" w:hint="default"/>
        <w:b w:val="0"/>
        <w:i w:val="0"/>
        <w:caps w:val="0"/>
        <w:strike w:val="0"/>
        <w:dstrike w:val="0"/>
        <w:outline w:val="0"/>
        <w:shadow w:val="0"/>
        <w:emboss w:val="0"/>
        <w:imprint w:val="0"/>
        <w:vanish w:val="0"/>
        <w:color w:val="auto"/>
        <w:sz w:val="24"/>
        <w:szCs w:val="24"/>
        <w:u w:val="none"/>
        <w:effect w:val="none"/>
        <w:vertAlign w:val="baseline"/>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0"/>
  </w:num>
  <w:num w:numId="4">
    <w:abstractNumId w:val="2"/>
  </w:num>
  <w:num w:numId="5">
    <w:abstractNumId w:val="7"/>
  </w:num>
  <w:num w:numId="6">
    <w:abstractNumId w:val="6"/>
  </w:num>
  <w:num w:numId="7">
    <w:abstractNumId w:val="3"/>
  </w:num>
  <w:num w:numId="8">
    <w:abstractNumId w:val="6"/>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36E33"/>
    <w:rsid w:val="000A3BFB"/>
    <w:rsid w:val="000C4FD4"/>
    <w:rsid w:val="000C6921"/>
    <w:rsid w:val="000D116E"/>
    <w:rsid w:val="000D33B2"/>
    <w:rsid w:val="000F5D45"/>
    <w:rsid w:val="001313CB"/>
    <w:rsid w:val="001538D5"/>
    <w:rsid w:val="00187F77"/>
    <w:rsid w:val="001A361A"/>
    <w:rsid w:val="001C774B"/>
    <w:rsid w:val="001D05C5"/>
    <w:rsid w:val="001D0F2C"/>
    <w:rsid w:val="001D3EDE"/>
    <w:rsid w:val="00234563"/>
    <w:rsid w:val="0023627D"/>
    <w:rsid w:val="002552F4"/>
    <w:rsid w:val="0027604E"/>
    <w:rsid w:val="00286DBE"/>
    <w:rsid w:val="002B7EB0"/>
    <w:rsid w:val="002F415A"/>
    <w:rsid w:val="00311D1B"/>
    <w:rsid w:val="00316240"/>
    <w:rsid w:val="003312FC"/>
    <w:rsid w:val="00333F1E"/>
    <w:rsid w:val="00336E33"/>
    <w:rsid w:val="00364FC0"/>
    <w:rsid w:val="00375A0B"/>
    <w:rsid w:val="0039782D"/>
    <w:rsid w:val="003E2BB0"/>
    <w:rsid w:val="00407270"/>
    <w:rsid w:val="004076D1"/>
    <w:rsid w:val="00423353"/>
    <w:rsid w:val="00465029"/>
    <w:rsid w:val="004C1FDB"/>
    <w:rsid w:val="00514637"/>
    <w:rsid w:val="005361DE"/>
    <w:rsid w:val="005550F3"/>
    <w:rsid w:val="00593CD7"/>
    <w:rsid w:val="005F4A2D"/>
    <w:rsid w:val="00640E54"/>
    <w:rsid w:val="006901A5"/>
    <w:rsid w:val="00694C1F"/>
    <w:rsid w:val="006D1685"/>
    <w:rsid w:val="006F01D3"/>
    <w:rsid w:val="0071526D"/>
    <w:rsid w:val="007A579A"/>
    <w:rsid w:val="007A5A70"/>
    <w:rsid w:val="00810114"/>
    <w:rsid w:val="00820D86"/>
    <w:rsid w:val="0082405D"/>
    <w:rsid w:val="00863ABA"/>
    <w:rsid w:val="00884103"/>
    <w:rsid w:val="00910B00"/>
    <w:rsid w:val="00941AE3"/>
    <w:rsid w:val="00991C9B"/>
    <w:rsid w:val="009B3B04"/>
    <w:rsid w:val="009D462B"/>
    <w:rsid w:val="00A04F1A"/>
    <w:rsid w:val="00A46FF3"/>
    <w:rsid w:val="00A77B05"/>
    <w:rsid w:val="00AA69B1"/>
    <w:rsid w:val="00AB298F"/>
    <w:rsid w:val="00AC36F8"/>
    <w:rsid w:val="00AE0A22"/>
    <w:rsid w:val="00B058D5"/>
    <w:rsid w:val="00B12FBD"/>
    <w:rsid w:val="00B32085"/>
    <w:rsid w:val="00B7379A"/>
    <w:rsid w:val="00BC4924"/>
    <w:rsid w:val="00C419B9"/>
    <w:rsid w:val="00C91BE8"/>
    <w:rsid w:val="00CB10DB"/>
    <w:rsid w:val="00CC3367"/>
    <w:rsid w:val="00CD6624"/>
    <w:rsid w:val="00CE0E74"/>
    <w:rsid w:val="00CE6BB4"/>
    <w:rsid w:val="00D14671"/>
    <w:rsid w:val="00D2539A"/>
    <w:rsid w:val="00D73C47"/>
    <w:rsid w:val="00E34E7A"/>
    <w:rsid w:val="00E705C5"/>
    <w:rsid w:val="00E903E9"/>
    <w:rsid w:val="00EA4102"/>
    <w:rsid w:val="00EA7777"/>
    <w:rsid w:val="00EC3518"/>
    <w:rsid w:val="00EC57BB"/>
    <w:rsid w:val="00EC609F"/>
    <w:rsid w:val="00EE6116"/>
    <w:rsid w:val="00EF4F87"/>
    <w:rsid w:val="00EF76CA"/>
    <w:rsid w:val="00F06ABF"/>
    <w:rsid w:val="00F4325B"/>
    <w:rsid w:val="00F551F7"/>
    <w:rsid w:val="00FC4A8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E0E74"/>
    <w:pPr>
      <w:keepNext/>
      <w:jc w:val="both"/>
    </w:pPr>
    <w:rPr>
      <w:sz w:val="24"/>
      <w:szCs w:val="24"/>
      <w:lang w:val="sk-SK" w:eastAsia="sk-SK" w:bidi="ar-SA"/>
    </w:rPr>
  </w:style>
  <w:style w:type="paragraph" w:styleId="Heading1">
    <w:name w:val="heading 1"/>
    <w:basedOn w:val="Normal"/>
    <w:next w:val="Normal"/>
    <w:link w:val="Nadpis1Char"/>
    <w:uiPriority w:val="9"/>
    <w:qFormat/>
    <w:rsid w:val="00CE0E74"/>
    <w:pPr>
      <w:keepLines/>
      <w:spacing w:before="360" w:after="120"/>
      <w:jc w:val="center"/>
      <w:outlineLvl w:val="0"/>
    </w:pPr>
    <w:rPr>
      <w:rFonts w:cs="Arial"/>
      <w:b/>
      <w:bCs/>
      <w:szCs w:val="28"/>
      <w:lang w:val="x-none" w:eastAsia="x-none"/>
    </w:rPr>
  </w:style>
  <w:style w:type="paragraph" w:styleId="Heading2">
    <w:name w:val="heading 2"/>
    <w:basedOn w:val="Normal"/>
    <w:next w:val="Normal"/>
    <w:link w:val="Nadpis2Char"/>
    <w:uiPriority w:val="9"/>
    <w:qFormat/>
    <w:rsid w:val="00CE0E74"/>
    <w:pPr>
      <w:keepLines/>
      <w:spacing w:before="240" w:after="120"/>
      <w:jc w:val="center"/>
      <w:outlineLvl w:val="1"/>
    </w:pPr>
    <w:rPr>
      <w:rFonts w:cs="Arial"/>
      <w:b/>
      <w:bCs/>
      <w:szCs w:val="26"/>
      <w:lang w:val="x-none" w:eastAsia="x-none"/>
    </w:rPr>
  </w:style>
  <w:style w:type="paragraph" w:styleId="Heading3">
    <w:name w:val="heading 3"/>
    <w:basedOn w:val="Normal"/>
    <w:next w:val="Normal"/>
    <w:link w:val="Nadpis3Char"/>
    <w:uiPriority w:val="9"/>
    <w:qFormat/>
    <w:rsid w:val="00CE0E74"/>
    <w:pPr>
      <w:keepLines/>
      <w:spacing w:before="120" w:after="120"/>
      <w:outlineLvl w:val="2"/>
    </w:pPr>
    <w:rPr>
      <w:rFonts w:cs="Arial"/>
      <w:b/>
      <w:b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extbublinyChar"/>
    <w:uiPriority w:val="99"/>
    <w:semiHidden/>
    <w:unhideWhenUsed/>
    <w:rsid w:val="00D73C47"/>
    <w:rPr>
      <w:rFonts w:ascii="Tahoma" w:hAnsi="Tahoma"/>
      <w:sz w:val="16"/>
      <w:szCs w:val="16"/>
      <w:lang w:val="x-none"/>
    </w:rPr>
  </w:style>
  <w:style w:type="character" w:customStyle="1" w:styleId="TextbublinyChar">
    <w:name w:val="Text bubliny Char"/>
    <w:link w:val="BalloonText"/>
    <w:uiPriority w:val="99"/>
    <w:semiHidden/>
    <w:rsid w:val="00D73C47"/>
    <w:rPr>
      <w:rFonts w:ascii="Tahoma" w:hAnsi="Tahoma" w:cs="Tahoma"/>
      <w:sz w:val="16"/>
      <w:szCs w:val="16"/>
      <w:lang w:eastAsia="sk-SK"/>
    </w:rPr>
  </w:style>
  <w:style w:type="paragraph" w:styleId="ListParagraph">
    <w:name w:val="List Paragraph"/>
    <w:basedOn w:val="Normal"/>
    <w:uiPriority w:val="34"/>
    <w:qFormat/>
    <w:rsid w:val="001C774B"/>
    <w:pPr>
      <w:ind w:left="720"/>
      <w:contextualSpacing/>
    </w:pPr>
  </w:style>
  <w:style w:type="character" w:customStyle="1" w:styleId="Nadpis1Char">
    <w:name w:val="Nadpis 1 Char"/>
    <w:link w:val="Heading1"/>
    <w:uiPriority w:val="9"/>
    <w:rsid w:val="00CE0E74"/>
    <w:rPr>
      <w:rFonts w:cs="Arial"/>
      <w:b/>
      <w:bCs/>
      <w:sz w:val="24"/>
      <w:szCs w:val="28"/>
      <w:lang w:val="x-none" w:eastAsia="x-none"/>
    </w:rPr>
  </w:style>
  <w:style w:type="character" w:customStyle="1" w:styleId="Nadpis2Char">
    <w:name w:val="Nadpis 2 Char"/>
    <w:link w:val="Heading2"/>
    <w:uiPriority w:val="9"/>
    <w:semiHidden/>
    <w:rsid w:val="00CE0E74"/>
    <w:rPr>
      <w:rFonts w:cs="Arial"/>
      <w:b/>
      <w:bCs/>
      <w:sz w:val="24"/>
      <w:szCs w:val="26"/>
      <w:lang w:val="x-none" w:eastAsia="x-none"/>
    </w:rPr>
  </w:style>
  <w:style w:type="paragraph" w:customStyle="1" w:styleId="adda">
    <w:name w:val="adda"/>
    <w:basedOn w:val="Normal"/>
    <w:qFormat/>
    <w:rsid w:val="00CE0E74"/>
    <w:pPr>
      <w:numPr>
        <w:ilvl w:val="0"/>
        <w:numId w:val="9"/>
      </w:numPr>
      <w:spacing w:before="60" w:after="60"/>
    </w:pPr>
  </w:style>
  <w:style w:type="paragraph" w:styleId="Footer">
    <w:name w:val="footer"/>
    <w:basedOn w:val="Normal"/>
    <w:link w:val="PtaChar"/>
    <w:uiPriority w:val="99"/>
    <w:rsid w:val="00910B00"/>
    <w:pPr>
      <w:tabs>
        <w:tab w:val="center" w:pos="4536"/>
        <w:tab w:val="right" w:pos="9072"/>
      </w:tabs>
    </w:pPr>
    <w:rPr>
      <w:rFonts w:ascii="Times New Roman" w:hAnsi="Times New Roman"/>
      <w:szCs w:val="24"/>
      <w:lang w:val="x-none"/>
    </w:rPr>
  </w:style>
  <w:style w:type="character" w:customStyle="1" w:styleId="PtaChar">
    <w:name w:val="Päta Char"/>
    <w:link w:val="Footer"/>
    <w:uiPriority w:val="99"/>
    <w:rsid w:val="00910B00"/>
    <w:rPr>
      <w:sz w:val="24"/>
      <w:szCs w:val="24"/>
      <w:lang w:eastAsia="sk-SK"/>
    </w:rPr>
  </w:style>
  <w:style w:type="character" w:styleId="PageNumber">
    <w:name w:val="page number"/>
    <w:uiPriority w:val="99"/>
    <w:rsid w:val="00910B00"/>
    <w:rPr>
      <w:rFonts w:cs="Times New Roman"/>
    </w:rPr>
  </w:style>
  <w:style w:type="paragraph" w:styleId="NormalWeb">
    <w:name w:val="Normal (Web)"/>
    <w:basedOn w:val="Normal"/>
    <w:uiPriority w:val="99"/>
    <w:rsid w:val="00910B00"/>
    <w:pPr>
      <w:spacing w:before="100" w:beforeAutospacing="1" w:after="100" w:afterAutospacing="1"/>
    </w:pPr>
    <w:rPr>
      <w:rFonts w:ascii="Times New Roman" w:hAnsi="Times New Roman"/>
      <w:szCs w:val="24"/>
    </w:rPr>
  </w:style>
  <w:style w:type="character" w:customStyle="1" w:styleId="ppp-input-value1">
    <w:name w:val="ppp-input-value1"/>
    <w:rsid w:val="006901A5"/>
    <w:rPr>
      <w:rFonts w:ascii="Tahoma" w:hAnsi="Tahoma" w:cs="Tahoma" w:hint="default"/>
      <w:color w:val="837A73"/>
      <w:sz w:val="16"/>
      <w:szCs w:val="16"/>
    </w:rPr>
  </w:style>
  <w:style w:type="character" w:customStyle="1" w:styleId="PlaceholderText">
    <w:name w:val="Placeholder Text"/>
    <w:semiHidden/>
    <w:rsid w:val="004C1FDB"/>
    <w:rPr>
      <w:rFonts w:ascii="Times New Roman" w:hAnsi="Times New Roman"/>
      <w:color w:val="808080"/>
    </w:rPr>
  </w:style>
  <w:style w:type="paragraph" w:customStyle="1" w:styleId="CM3">
    <w:name w:val="CM3"/>
    <w:basedOn w:val="Normal"/>
    <w:next w:val="Normal"/>
    <w:rsid w:val="004C1FDB"/>
    <w:pPr>
      <w:autoSpaceDE w:val="0"/>
      <w:autoSpaceDN w:val="0"/>
      <w:adjustRightInd w:val="0"/>
    </w:pPr>
    <w:rPr>
      <w:rFonts w:ascii="EUAlbertina" w:hAnsi="EUAlbertina"/>
      <w:szCs w:val="24"/>
    </w:rPr>
  </w:style>
  <w:style w:type="character" w:styleId="Emphasis">
    <w:name w:val="Emphasis"/>
    <w:uiPriority w:val="20"/>
    <w:qFormat/>
    <w:rsid w:val="004C1FDB"/>
    <w:rPr>
      <w:i/>
      <w:iCs/>
    </w:rPr>
  </w:style>
  <w:style w:type="paragraph" w:customStyle="1" w:styleId="a">
    <w:name w:val="§"/>
    <w:basedOn w:val="Normal"/>
    <w:qFormat/>
    <w:rsid w:val="00CE0E74"/>
    <w:pPr>
      <w:numPr>
        <w:ilvl w:val="0"/>
        <w:numId w:val="8"/>
      </w:numPr>
      <w:tabs>
        <w:tab w:val="left" w:pos="425"/>
      </w:tabs>
      <w:spacing w:before="240" w:after="120"/>
      <w:jc w:val="center"/>
    </w:pPr>
  </w:style>
  <w:style w:type="paragraph" w:customStyle="1" w:styleId="odsek">
    <w:name w:val="odsek"/>
    <w:basedOn w:val="Normal"/>
    <w:qFormat/>
    <w:rsid w:val="00CE0E74"/>
    <w:pPr>
      <w:ind w:firstLine="709"/>
    </w:pPr>
  </w:style>
  <w:style w:type="paragraph" w:customStyle="1" w:styleId="odsek1">
    <w:name w:val="odsek1"/>
    <w:basedOn w:val="odsek"/>
    <w:qFormat/>
    <w:rsid w:val="00CE0E74"/>
    <w:pPr>
      <w:numPr>
        <w:ilvl w:val="0"/>
        <w:numId w:val="10"/>
      </w:numPr>
      <w:spacing w:before="120" w:after="120"/>
    </w:pPr>
  </w:style>
  <w:style w:type="paragraph" w:customStyle="1" w:styleId="Poznmkapodiarou">
    <w:name w:val="Poznámka pod čiarou"/>
    <w:basedOn w:val="FootnoteText"/>
    <w:qFormat/>
    <w:rsid w:val="00CE0E74"/>
    <w:rPr>
      <w:szCs w:val="24"/>
    </w:rPr>
  </w:style>
  <w:style w:type="paragraph" w:styleId="FootnoteText">
    <w:name w:val="footnote text"/>
    <w:basedOn w:val="Normal"/>
    <w:link w:val="TextpoznmkypodiarouChar"/>
    <w:semiHidden/>
    <w:unhideWhenUsed/>
    <w:qFormat/>
    <w:rsid w:val="00CE0E74"/>
    <w:pPr>
      <w:ind w:left="227" w:hanging="227"/>
    </w:pPr>
    <w:rPr>
      <w:sz w:val="20"/>
      <w:szCs w:val="20"/>
      <w:lang w:val="x-none" w:eastAsia="x-none"/>
    </w:rPr>
  </w:style>
  <w:style w:type="character" w:customStyle="1" w:styleId="TextpoznmkypodiarouChar">
    <w:name w:val="Text poznámky pod čiarou Char"/>
    <w:link w:val="FootnoteText"/>
    <w:semiHidden/>
    <w:rsid w:val="00CE0E74"/>
    <w:rPr>
      <w:lang w:val="x-none" w:eastAsia="x-none"/>
    </w:rPr>
  </w:style>
  <w:style w:type="character" w:customStyle="1" w:styleId="Nadpis3Char">
    <w:name w:val="Nadpis 3 Char"/>
    <w:link w:val="Heading3"/>
    <w:uiPriority w:val="9"/>
    <w:rsid w:val="00CE0E74"/>
    <w:rPr>
      <w:rFonts w:cs="Arial"/>
      <w:b/>
      <w:bCs/>
      <w:sz w:val="24"/>
      <w:lang w:val="x-none" w:eastAsia="x-none"/>
    </w:rPr>
  </w:style>
  <w:style w:type="paragraph" w:styleId="TOCHeading">
    <w:name w:val="TOC Heading"/>
    <w:basedOn w:val="Heading1"/>
    <w:next w:val="Normal"/>
    <w:uiPriority w:val="39"/>
    <w:qFormat/>
    <w:rsid w:val="00CE0E74"/>
    <w:pPr>
      <w:spacing w:before="480" w:after="0"/>
      <w:jc w:val="both"/>
      <w:outlineLvl w:val="9"/>
    </w:pPr>
    <w:rPr>
      <w:rFonts w:ascii="Cambria" w:eastAsia="Times New Roman" w:hAnsi="Cambria" w:cs="Times New Roman"/>
      <w:color w:val="365F91"/>
      <w:sz w:val="28"/>
      <w:lang w:eastAsia="en-US"/>
    </w:rPr>
  </w:style>
  <w:style w:type="paragraph" w:styleId="Header">
    <w:name w:val="header"/>
    <w:basedOn w:val="Normal"/>
    <w:link w:val="HlavikaChar"/>
    <w:uiPriority w:val="99"/>
    <w:unhideWhenUsed/>
    <w:rsid w:val="00CE0E74"/>
    <w:pPr>
      <w:tabs>
        <w:tab w:val="center" w:pos="4536"/>
        <w:tab w:val="right" w:pos="9072"/>
      </w:tabs>
    </w:pPr>
  </w:style>
  <w:style w:type="character" w:customStyle="1" w:styleId="HlavikaChar">
    <w:name w:val="Hlavička Char"/>
    <w:link w:val="Header"/>
    <w:uiPriority w:val="99"/>
    <w:rsid w:val="00CE0E74"/>
    <w:rPr>
      <w:sz w:val="24"/>
      <w:szCs w:val="24"/>
    </w:rPr>
  </w:style>
  <w:style w:type="character" w:styleId="PlaceholderText0">
    <w:name w:val="Placeholder Text"/>
    <w:uiPriority w:val="99"/>
    <w:semiHidden/>
    <w:rsid w:val="00EE6116"/>
    <w:rPr>
      <w:rFonts w:ascii="Times New Roman" w:hAnsi="Times New Roman" w:cs="Times New Roman"/>
      <w:color w:val="808080"/>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pi.sk/Main/Default.aspx?Template=~/Main/TArticles.ascx&amp;zzsrlnkid=11003942&amp;phContent=~/ZzSR/ShowRule.ascx&amp;RuleId=32249&amp;FragmentId1=0&amp;FragmentId2=0"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8</TotalTime>
  <Pages>5</Pages>
  <Words>1782</Words>
  <Characters>10159</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Dôvodová správa</vt:lpstr>
    </vt:vector>
  </TitlesOfParts>
  <Company/>
  <LinksUpToDate>false</LinksUpToDate>
  <CharactersWithSpaces>11918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Pocci Ján</dc:creator>
  <cp:lastModifiedBy>Ňuňuk Pavol</cp:lastModifiedBy>
  <cp:revision>8</cp:revision>
  <cp:lastPrinted>2012-08-22T12:36:00Z</cp:lastPrinted>
  <dcterms:created xsi:type="dcterms:W3CDTF">2012-08-15T11:33:00Z</dcterms:created>
  <dcterms:modified xsi:type="dcterms:W3CDTF">2012-08-22T12:36:00Z</dcterms:modified>
</cp:coreProperties>
</file>