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266D6" w:rsidRPr="00F9528E" w:rsidP="00E266D6">
      <w:pPr>
        <w:jc w:val="center"/>
        <w:rPr>
          <w:rStyle w:val="DefaultParagraphFont"/>
          <w:rFonts w:cs="Calibri"/>
          <w:b/>
          <w:caps/>
          <w:color w:val="000000"/>
          <w:spacing w:val="30"/>
        </w:rPr>
      </w:pPr>
      <w:r w:rsidRPr="00F9528E">
        <w:rPr>
          <w:rStyle w:val="DefaultParagraphFont"/>
          <w:rFonts w:cs="Calibri"/>
          <w:b/>
          <w:caps/>
          <w:color w:val="000000"/>
          <w:spacing w:val="30"/>
        </w:rPr>
        <w:t>Predkladacia správa</w:t>
      </w:r>
    </w:p>
    <w:p w:rsidR="00856250" w:rsidRPr="00F9528E" w:rsidP="00181754">
      <w:pPr>
        <w:jc w:val="both"/>
        <w:rPr>
          <w:rStyle w:val="DefaultParagraphFont"/>
          <w:rFonts w:cs="Calibri"/>
          <w:color w:val="000000"/>
        </w:rPr>
      </w:pPr>
    </w:p>
    <w:p w:rsidR="00E266D6" w:rsidRPr="00F9528E" w:rsidP="00181754">
      <w:pPr>
        <w:jc w:val="both"/>
        <w:rPr>
          <w:rStyle w:val="DefaultParagraphFont"/>
          <w:rFonts w:cs="Calibri"/>
          <w:color w:val="000000"/>
        </w:rPr>
      </w:pPr>
    </w:p>
    <w:p w:rsidR="00E266D6" w:rsidRPr="00F9528E">
      <w:pPr>
        <w:spacing w:after="280" w:afterAutospacing="1"/>
        <w:ind w:firstLine="708"/>
        <w:jc w:val="both"/>
        <w:rPr>
          <w:rStyle w:val="DefaultParagraphFont"/>
          <w:rFonts w:cs="Calibri"/>
          <w:color w:val="000000"/>
        </w:rPr>
      </w:pPr>
      <w:r w:rsidR="006C5DD0">
        <w:rPr>
          <w:rStyle w:val="PlaceholderText"/>
          <w:rFonts w:cs="Calibri"/>
          <w:color w:val="000000"/>
        </w:rPr>
        <w:t>Ministerstvo spravodlivosti Slovenskej republiky predkladá na rokovanie vlády Slovenskej republiky návrh zákona, ktorým sa mení a dopĺňa zákon č. 330/2007 Z. z. o registri trestov a o zmene a doplnení niektorých zákonov v znení neskorších predpisov, a ktorým sa menia a dopĺňajú niektoré zákony.</w:t>
      </w:r>
    </w:p>
    <w:p w:rsidR="006C5DD0">
      <w:pPr>
        <w:spacing w:after="280" w:afterAutospacing="1"/>
        <w:ind w:firstLine="708"/>
        <w:jc w:val="both"/>
        <w:rPr>
          <w:rStyle w:val="PlaceholderText"/>
          <w:rFonts w:cs="Calibri"/>
          <w:color w:val="000000"/>
        </w:rPr>
      </w:pPr>
      <w:r>
        <w:rPr>
          <w:rStyle w:val="PlaceholderText"/>
          <w:rFonts w:cs="Calibri"/>
          <w:color w:val="000000"/>
        </w:rPr>
        <w:t> Návrh zákona bol vypracovaný v súlade s navrhovaným Plánom Legislatívnych úloh vlády Slovenskej republiky na rok 2012.</w:t>
      </w:r>
    </w:p>
    <w:p w:rsidR="006C5DD0">
      <w:pPr>
        <w:spacing w:after="280" w:afterAutospacing="1"/>
        <w:ind w:firstLine="708"/>
        <w:jc w:val="both"/>
        <w:rPr>
          <w:rStyle w:val="PlaceholderText"/>
          <w:rFonts w:cs="Calibri"/>
          <w:color w:val="000000"/>
        </w:rPr>
      </w:pPr>
      <w:r>
        <w:rPr>
          <w:rStyle w:val="PlaceholderText"/>
          <w:rFonts w:cs="Calibri"/>
          <w:color w:val="000000"/>
        </w:rPr>
        <w:t> </w:t>
      </w:r>
      <w:r>
        <w:rPr>
          <w:rStyle w:val="PlaceholderText"/>
          <w:rFonts w:cs="Calibri"/>
          <w:color w:val="000000"/>
        </w:rPr>
        <w:t>Účelom návrhu zákona je zabezpečiť transpozíciu Rámcového rozhodnutia 2009/315/SVV</w:t>
      </w:r>
      <w:r>
        <w:rPr>
          <w:rStyle w:val="PlaceholderText"/>
          <w:rFonts w:cs="Calibri"/>
          <w:color w:val="000000"/>
        </w:rPr>
        <w:t xml:space="preserve">  </w:t>
      </w:r>
      <w:r>
        <w:rPr>
          <w:rStyle w:val="PlaceholderText"/>
          <w:rFonts w:cs="Calibri"/>
          <w:color w:val="000000"/>
        </w:rPr>
        <w:t>z 26. februára 2009 o organizácii a obsahu výmeny informácií z registra trestov medzi členskými štátmi ako aj súvisiacu transpozíciu Rámcového rozhodnutia Rady 2008/675/SVV z 24. júla 2008 o zohľadnení odsúdení v členských štátoch Európskej únie v novom trestnom konaní.</w:t>
      </w:r>
    </w:p>
    <w:p w:rsidR="006C5DD0">
      <w:pPr>
        <w:spacing w:after="280" w:afterAutospacing="1"/>
        <w:ind w:firstLine="708"/>
        <w:jc w:val="both"/>
        <w:rPr>
          <w:rStyle w:val="PlaceholderText"/>
          <w:rFonts w:cs="Calibri"/>
          <w:color w:val="000000"/>
        </w:rPr>
      </w:pPr>
      <w:r>
        <w:rPr>
          <w:rStyle w:val="PlaceholderText"/>
          <w:rFonts w:cs="Calibri"/>
          <w:color w:val="000000"/>
        </w:rPr>
        <w:t> V súvislosti s vyššie uvedeným účelom návrh zákona vymedzuje podmienky na zavedenie nového mechanizmu výmeny informácií z registrov trestov medzi členskými štátmi Európskej únie v elektronickej forme prostredníctvom Európskeho informačného systému registrov trestov, ktorého technické využívanie priamo vyplýva z Rozhodnutia Rady 2009/316/SVV zo 6. apríla 2009 o zriadení Európskeho informačného systému registrov trestov (ECRIS) podľa článku 11 rámcového rozhodnutia 2009/315/SVV. Zároveň sa stanovujú postupy registra trestov vyplývajúce z požiadaviek rámcového rozhodnutia 2009/315/SVV ohľadne centrálnej evidencie odsúdení osôb podľa ich štátnej príslušnosti, žiadostí o zaslanie informácií o odsúdeniach medzi členskými štátmi Európskej únie a odpovedí na ne vrátane podmienok ich použitia, ako aj možností uchovávania biometrických údajov osôb odsúdených v cudzine, ktoré sú zasielané registru trestov. Ďalšie čiastkové zmeny zákona o registri trestov vyplývajú najmä zo zavedenia integrovaných obslužných miest na podanie žiadosti o výpis z registra trestov, ako aj z nálezu Ústavného súdu Slovenskej republiky č. PL. ÚS 15/2006 z 20. mája 2009, ktorým sa vylučuje možnosť žiadať o odpis registra trestov pre účely vydania zbrojného preukazu a zbrojnej licencie. Navrhované zmeny a doplnenia Trestného zákona a Trestného poriadku vyplývajú z požiadavky transpozície Rámcového rozhodnutia Rady 2008/675/SVV, ktorej účelom je zabezpečiť, aby právoplatné odsúdenia vynesené voči slovenských občanom súdmi iných členských štátov Európskej únie boli v trestnom konaní náležite zohľadnené, ak sa jedná o čin trestný aj podľa právneho poriadku Slovenskej republiky.</w:t>
      </w:r>
    </w:p>
    <w:p w:rsidR="006C5DD0">
      <w:pPr>
        <w:spacing w:after="280" w:afterAutospacing="1"/>
        <w:ind w:firstLine="708"/>
        <w:jc w:val="both"/>
        <w:rPr>
          <w:rStyle w:val="PlaceholderText"/>
          <w:rFonts w:cs="Calibri"/>
          <w:color w:val="000000"/>
        </w:rPr>
      </w:pPr>
      <w:r>
        <w:rPr>
          <w:rStyle w:val="PlaceholderText"/>
          <w:rFonts w:cs="Calibri"/>
          <w:color w:val="000000"/>
        </w:rPr>
        <w:t> </w:t>
      </w:r>
      <w:r>
        <w:rPr>
          <w:rStyle w:val="PlaceholderText"/>
          <w:rFonts w:cs="Calibri"/>
          <w:color w:val="000000"/>
        </w:rPr>
        <w:t>Predkladateľ si je vedomý prekročenia lehôt na transpozíciu vyššie uvedených rámcových rozhodnutí, avšak aplikácia nových postupov vyplývajúcich z obidvoch z nich je čiastočne prepojená, zatiaľ čo technické požiadavky na prevádzku Európskeho informačného systému registrov trestov vyplývajúce z Rozhodnutia Rady 2009/316/SVV boli naplnené až začiatkom roku 2012. Samotný legislatívny proces súvisiaci s návrhom tohto zákona bol navyše oddialený aj uskutočnením predčasných parlamentných volieb v marci 2012 a následným ustanovením novej vlády Slovenskej republiky do jej funkcie.</w:t>
      </w:r>
    </w:p>
    <w:p w:rsidR="006C5DD0">
      <w:pPr>
        <w:spacing w:after="280" w:afterAutospacing="1"/>
        <w:ind w:firstLine="708"/>
        <w:jc w:val="both"/>
        <w:rPr>
          <w:rStyle w:val="PlaceholderText"/>
          <w:rFonts w:cs="Calibri"/>
          <w:color w:val="000000"/>
        </w:rPr>
      </w:pPr>
      <w:r>
        <w:rPr>
          <w:rStyle w:val="PlaceholderText"/>
          <w:rFonts w:cs="Calibri"/>
          <w:color w:val="000000"/>
        </w:rPr>
        <w:t> Návrh zákona je v súlade s Ústavou, ústavnými zákonmi, medzinárodnými zmluvami, ktorými je Slovenská republika viazaná, zákonmi, ako aj s právom Európskej únie.</w:t>
      </w:r>
    </w:p>
    <w:p w:rsidR="006C5DD0">
      <w:pPr>
        <w:spacing w:after="280" w:afterAutospacing="1"/>
        <w:ind w:firstLine="708"/>
        <w:jc w:val="both"/>
        <w:rPr>
          <w:rStyle w:val="PlaceholderText"/>
          <w:rFonts w:cs="Calibri"/>
          <w:color w:val="000000"/>
        </w:rPr>
      </w:pPr>
      <w:r>
        <w:rPr>
          <w:rStyle w:val="PlaceholderText"/>
          <w:rFonts w:cs="Calibri"/>
          <w:color w:val="000000"/>
        </w:rPr>
        <w:t>Predkladaný návrh zákona nezakladá vplyvy na rozpočet verejnej správy, životné prostredie, ani na informatizáciu spoločnosti. Návrh zákona má pozitívne sociálne vplyvy ako aj pozitívny vplyv na podnikateľské prostredie, pretože zjednodušuje prístup obyvateľstva k informáciám v registri trestov vďaka možnosti požiadať o výpis z registra trestov prostredníctvom integrovaných obslužných miest.</w:t>
      </w:r>
    </w:p>
    <w:p w:rsidR="006C5DD0">
      <w:pPr>
        <w:spacing w:after="280" w:afterAutospacing="1"/>
        <w:ind w:firstLine="708"/>
        <w:jc w:val="both"/>
        <w:rPr>
          <w:rStyle w:val="PlaceholderText"/>
          <w:rFonts w:cs="Calibri"/>
          <w:color w:val="000000"/>
        </w:rPr>
      </w:pPr>
      <w:r>
        <w:rPr>
          <w:rStyle w:val="PlaceholderText"/>
          <w:rFonts w:cs="Calibri"/>
          <w:color w:val="000000"/>
        </w:rPr>
        <w:t>Nakoľko ide o vykonanie právne záväzného aktu Európskej únie, v súlade s čl. 12 ods. 3 Legislatívnych pravidiel vlády Slovenskej republiky sa predbežné pripomienkové konanie nevykonalo.</w:t>
      </w:r>
    </w:p>
    <w:p w:rsidR="006C5DD0">
      <w:pPr>
        <w:spacing w:after="280" w:afterAutospacing="1"/>
        <w:ind w:firstLine="708"/>
        <w:jc w:val="both"/>
        <w:rPr>
          <w:rStyle w:val="PlaceholderText"/>
          <w:rFonts w:cs="Calibri"/>
          <w:color w:val="000000"/>
        </w:rPr>
      </w:pPr>
      <w:r>
        <w:rPr>
          <w:rStyle w:val="PlaceholderText"/>
          <w:rFonts w:cs="Calibri"/>
          <w:color w:val="000000"/>
        </w:rPr>
        <w:t>Materiál bol predmetom riadneho pripomienkového konania a na rokovanie vlády Slovenskej republiky sa predkladá bez rozporov.</w:t>
      </w:r>
    </w:p>
    <w:p w:rsidR="006C5DD0">
      <w:pPr>
        <w:spacing w:after="280" w:afterAutospacing="1"/>
        <w:rPr>
          <w:rStyle w:val="PlaceholderText"/>
          <w:rFonts w:cs="Calibri"/>
          <w:color w:val="000000"/>
        </w:rPr>
      </w:pPr>
      <w:r>
        <w:rPr>
          <w:rStyle w:val="PlaceholderText"/>
          <w:rFonts w:cs="Calibri"/>
          <w:color w:val="000000"/>
        </w:rPr>
        <w:t> </w:t>
      </w:r>
    </w:p>
    <w:sectPr>
      <w:pgSz w:w="12240" w:h="15840"/>
      <w:pgMar w:top="1440" w:right="1440" w:bottom="1440" w:left="1440" w:header="708" w:footer="708"/>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Cambria Math">
    <w:panose1 w:val="02040503050406030204"/>
    <w:charset w:val="00"/>
    <w:family w:val="roman"/>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ambria">
    <w:panose1 w:val="02040503050406030204"/>
    <w:charset w:val="00"/>
    <w:family w:val="roman"/>
    <w:pitch w:val="variable"/>
    <w:sig w:usb0="00000000" w:usb1="00000000" w:usb2="00000000" w:usb3="00000000" w:csb0="00000001" w:csb1="00000000"/>
  </w:font>
  <w:font w:name="Calibri">
    <w:panose1 w:val="020F050202020403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doNotUseIndentAsNumberingTabStop/>
    <w:allowSpaceOfSameStyleInTable/>
    <w:splitPgBreakAndParaMark/>
    <w:useAnsiKerningPairs/>
  </w:compat>
  <w:rsids>
    <w:rsidRoot w:val="00000000"/>
    <w:rsid w:val="00181754"/>
    <w:rsid w:val="006C5DD0"/>
    <w:rsid w:val="00856250"/>
    <w:rsid w:val="00E266D6"/>
    <w:rsid w:val="00F9528E"/>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6D6"/>
    <w:pPr>
      <w:widowControl w:val="0"/>
      <w:autoSpaceDE/>
      <w:autoSpaceDN/>
      <w:bidi w:val="0"/>
      <w:adjustRightInd w:val="0"/>
      <w:ind w:left="0" w:right="0"/>
      <w:jc w:val="left"/>
      <w:textAlignment w:val="auto"/>
    </w:pPr>
    <w:rPr>
      <w:rFonts w:ascii="Times New Roman" w:hAnsi="Times New Roman"/>
      <w:sz w:val="24"/>
      <w:szCs w:val="24"/>
      <w:rtl w:val="0"/>
      <w:lang w:val="sk-SK" w:eastAsia="sk-SK" w:bidi="ar-SA"/>
    </w:rPr>
  </w:style>
  <w:style w:type="character" w:default="1" w:styleId="DefaultParagraphFont">
    <w:name w:val="Default Paragraph Font"/>
    <w:uiPriority w:val="1"/>
    <w:semiHidden/>
    <w:unhideWhenUsed/>
  </w:style>
  <w:style w:type="character" w:styleId="PlaceholderText">
    <w:name w:val="Placeholder Text"/>
    <w:basedOn w:val="DefaultParagraphFont"/>
    <w:uiPriority w:val="99"/>
    <w:semiHidden/>
    <w:rsid w:val="00E266D6"/>
    <w:rPr>
      <w:rFonts w:ascii="Times New Roman" w:hAnsi="Times New Roman"/>
      <w:color w:val="808080"/>
      <w:rtl w:val="0"/>
    </w:rPr>
  </w:style>
  <w:style w:type="paragraph" w:styleId="BalloonText">
    <w:name w:val="Balloon Text"/>
    <w:basedOn w:val="Normal"/>
    <w:link w:val="TextbublinyChar"/>
    <w:uiPriority w:val="99"/>
    <w:semiHidden/>
    <w:unhideWhenUsed/>
    <w:rsid w:val="00E266D6"/>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E266D6"/>
    <w:rPr>
      <w:rFonts w:ascii="Tahoma" w:hAnsi="Tahoma" w:cs="Tahoma"/>
      <w:sz w:val="16"/>
      <w:szCs w:val="16"/>
      <w:rtl w:val="0"/>
      <w:lang w:val="sk-SK"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3</Words>
  <Characters>45</Characters>
  <Application>Microsoft Office Word</Application>
  <DocSecurity>0</DocSecurity>
  <Lines>0</Lines>
  <Paragraphs>0</Paragraphs>
  <ScaleCrop>false</ScaleCrop>
  <Company>Abyss</Company>
  <LinksUpToDate>false</LinksUpToDate>
  <CharactersWithSpaces>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viktoria.radvanska</cp:lastModifiedBy>
  <cp:revision>5</cp:revision>
  <dcterms:created xsi:type="dcterms:W3CDTF">2007-05-29T20:24:00Z</dcterms:created>
  <dcterms:modified xsi:type="dcterms:W3CDTF">2008-11-19T11:22:00Z</dcterms:modified>
</cp:coreProperties>
</file>