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490CD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490CDA">
        <w:t>1129</w:t>
      </w:r>
      <w:r w:rsidR="003D6EDC">
        <w:t>/</w:t>
      </w:r>
      <w:r w:rsidR="009F1034">
        <w:t>20</w:t>
      </w:r>
      <w:r w:rsidR="00CD2A22">
        <w:t>1</w:t>
      </w:r>
      <w:r w:rsidR="00490CDA">
        <w:t>2</w:t>
      </w:r>
      <w:r>
        <w:tab/>
        <w:tab/>
        <w:tab/>
        <w:tab/>
      </w:r>
    </w:p>
    <w:p w:rsidR="00233A93"/>
    <w:p w:rsidR="00E63E78"/>
    <w:p w:rsidR="00D57D3E"/>
    <w:p w:rsidR="00233A93" w:rsidP="0085353E">
      <w:pPr>
        <w:jc w:val="center"/>
        <w:rPr>
          <w:b/>
          <w:bCs/>
          <w:sz w:val="28"/>
        </w:rPr>
      </w:pPr>
      <w:r w:rsidR="00490CDA">
        <w:rPr>
          <w:b/>
          <w:bCs/>
          <w:sz w:val="28"/>
        </w:rPr>
        <w:t>76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B91D98" w:rsidP="00B91D98">
      <w:pPr>
        <w:jc w:val="both"/>
        <w:rPr>
          <w:b/>
        </w:rPr>
      </w:pPr>
      <w:r w:rsidRPr="00B91D98" w:rsidR="001856F2">
        <w:rPr>
          <w:b/>
        </w:rPr>
        <w:t>výborov</w:t>
      </w:r>
      <w:r w:rsidRPr="00B91D98">
        <w:rPr>
          <w:b/>
        </w:rPr>
        <w:t xml:space="preserve"> Národnej rady Sl</w:t>
      </w:r>
      <w:r w:rsidRPr="00B91D98" w:rsidR="00401761">
        <w:rPr>
          <w:b/>
        </w:rPr>
        <w:t xml:space="preserve">ovenskej republiky </w:t>
      </w:r>
      <w:r w:rsidRPr="00B91D98">
        <w:rPr>
          <w:b/>
        </w:rPr>
        <w:t>o výsledku prerok</w:t>
      </w:r>
      <w:r w:rsidRPr="00B91D98">
        <w:rPr>
          <w:b/>
        </w:rPr>
        <w:t>ovania</w:t>
      </w:r>
      <w:r w:rsidRPr="00B91D98" w:rsidR="004C6DA5">
        <w:rPr>
          <w:b/>
        </w:rPr>
        <w:t xml:space="preserve"> </w:t>
      </w:r>
      <w:r w:rsidRPr="00490CDA" w:rsidR="00490CDA">
        <w:rPr>
          <w:b/>
          <w:bCs/>
          <w:iCs/>
          <w:noProof/>
        </w:rPr>
        <w:t xml:space="preserve">vládneho návrhu zákona o osobitnom odvode z podnikania v regulovaných odvetviach a o zmene a doplnení niektorých zákonov </w:t>
      </w:r>
      <w:r w:rsidRPr="00490CDA" w:rsidR="00490CDA">
        <w:rPr>
          <w:b/>
          <w:bCs/>
          <w:iCs/>
        </w:rPr>
        <w:t>(tlač 76)</w:t>
      </w:r>
      <w:r w:rsidR="00490CDA">
        <w:rPr>
          <w:bCs/>
          <w:iCs/>
        </w:rPr>
        <w:t xml:space="preserve"> </w:t>
      </w:r>
      <w:r w:rsidRPr="00B91D98">
        <w:rPr>
          <w:b/>
        </w:rPr>
        <w:t>v</w:t>
      </w:r>
      <w:r w:rsidRPr="00B91D98" w:rsidR="00D57D3E">
        <w:rPr>
          <w:b/>
        </w:rPr>
        <w:t xml:space="preserve">o výboroch Národnej rady Slovenskej republiky v </w:t>
      </w:r>
      <w:r w:rsidRPr="00B91D98">
        <w:rPr>
          <w:b/>
        </w:rPr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</w:t>
      </w:r>
      <w:r w:rsidRPr="00846B8E">
        <w:rPr>
          <w:b/>
        </w:rPr>
        <w:t>_____________________</w:t>
      </w:r>
      <w:r w:rsidR="00873586">
        <w:rPr>
          <w:b/>
        </w:rPr>
        <w:t>____</w:t>
      </w:r>
    </w:p>
    <w:p w:rsidR="00233A93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D57D3E">
        <w:t xml:space="preserve">vládneho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63094F">
      <w:pPr>
        <w:jc w:val="center"/>
        <w:rPr>
          <w:b/>
          <w:bCs/>
        </w:rPr>
      </w:pPr>
    </w:p>
    <w:p w:rsidR="00233A93">
      <w:pPr>
        <w:jc w:val="center"/>
        <w:rPr>
          <w:b/>
          <w:bCs/>
        </w:rPr>
      </w:pPr>
    </w:p>
    <w:p w:rsidR="00233A93" w:rsidRPr="00B91D98" w:rsidP="0091798A">
      <w:pPr>
        <w:jc w:val="both"/>
      </w:pPr>
      <w:r w:rsidRPr="0091798A">
        <w:t>Národná rada Sl</w:t>
      </w:r>
      <w:r w:rsidRPr="0091798A" w:rsidR="00680EDA">
        <w:t xml:space="preserve">ovenskej republiky </w:t>
      </w:r>
      <w:r w:rsidRPr="0091798A" w:rsidR="0018539F">
        <w:t>uznesením</w:t>
      </w:r>
      <w:r w:rsidRPr="0091798A" w:rsidR="00CE5AB9">
        <w:t xml:space="preserve"> </w:t>
      </w:r>
      <w:r w:rsidRPr="0091798A" w:rsidR="000965A1">
        <w:t>č.</w:t>
      </w:r>
      <w:r w:rsidR="00490CDA">
        <w:t xml:space="preserve"> 66</w:t>
      </w:r>
      <w:r w:rsidRPr="0091798A" w:rsidR="00737319">
        <w:t xml:space="preserve"> </w:t>
      </w:r>
      <w:r w:rsidRPr="0091798A">
        <w:t>z</w:t>
      </w:r>
      <w:r w:rsidRPr="0091798A" w:rsidR="00893F40">
        <w:t xml:space="preserve"> </w:t>
      </w:r>
      <w:r w:rsidR="00490CDA">
        <w:t>26</w:t>
      </w:r>
      <w:r w:rsidRPr="0091798A">
        <w:t xml:space="preserve">. </w:t>
      </w:r>
      <w:r w:rsidR="00490CDA">
        <w:t>jún</w:t>
      </w:r>
      <w:r w:rsidR="00490CDA">
        <w:t>a</w:t>
      </w:r>
      <w:r w:rsidR="00CD2A22">
        <w:t xml:space="preserve"> </w:t>
      </w:r>
      <w:r w:rsidRPr="0091798A">
        <w:t>20</w:t>
      </w:r>
      <w:r w:rsidR="00CD2A22">
        <w:t>1</w:t>
      </w:r>
      <w:r w:rsidR="00490CDA">
        <w:t>2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Pr="00490CDA" w:rsidR="00490CDA">
        <w:rPr>
          <w:bCs/>
          <w:iCs/>
          <w:noProof/>
        </w:rPr>
        <w:t xml:space="preserve">vládny návrh zákona o osobitnom odvode z podnikania v regulovaných odvetviach a o zmene a doplnení niektorých zákonov </w:t>
      </w:r>
      <w:r w:rsidRPr="00490CDA" w:rsidR="00490CDA">
        <w:rPr>
          <w:bCs/>
          <w:iCs/>
        </w:rPr>
        <w:t>(tlač 76)</w:t>
      </w:r>
      <w:r w:rsidR="00490CDA">
        <w:rPr>
          <w:b/>
          <w:bCs/>
          <w:iCs/>
        </w:rPr>
        <w:t xml:space="preserve"> </w:t>
      </w:r>
      <w:r w:rsidRPr="00DF21AE">
        <w:t>týmto výborom Národnej rady Slovenskej republiky</w:t>
      </w:r>
      <w:r w:rsidRPr="00DF21AE" w:rsidR="00184003">
        <w:t xml:space="preserve"> </w:t>
      </w:r>
      <w:r w:rsidRPr="00DF21AE">
        <w:t>:</w:t>
      </w:r>
    </w:p>
    <w:p w:rsidR="00EA71B8">
      <w:pPr>
        <w:pStyle w:val="BodyText2"/>
        <w:jc w:val="left"/>
      </w:pP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63094F" w:rsidP="00227BF3">
      <w:pPr>
        <w:pStyle w:val="BodyText2"/>
        <w:numPr>
          <w:ilvl w:val="0"/>
          <w:numId w:val="1"/>
        </w:numPr>
      </w:pPr>
      <w:r>
        <w:t>Výboru Národnej rady Slovenskej republiky pre</w:t>
      </w:r>
      <w:r w:rsidR="00DE27DF">
        <w:t xml:space="preserve"> </w:t>
      </w:r>
      <w:r w:rsidR="000B5C31">
        <w:t>hospodárske záležitosti</w:t>
      </w:r>
    </w:p>
    <w:p w:rsidR="0063094F" w:rsidP="004F7FF6">
      <w:pPr>
        <w:pStyle w:val="BodyText2"/>
        <w:ind w:left="705"/>
      </w:pPr>
    </w:p>
    <w:p w:rsidR="00E63E78" w:rsidP="004F7FF6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>Uvedené výbory prerokovali predmetný ná</w:t>
      </w:r>
      <w:r w:rsidR="00B057B4">
        <w:t>vrh zá</w:t>
      </w:r>
      <w:r w:rsidR="002B2710">
        <w:t>kona v stanovenom termíne.</w:t>
      </w:r>
    </w:p>
    <w:p w:rsidR="000965A1">
      <w:pPr>
        <w:pStyle w:val="BodyText2"/>
        <w:rPr>
          <w:b/>
          <w:sz w:val="28"/>
        </w:rPr>
      </w:pPr>
    </w:p>
    <w:p w:rsidR="00737319">
      <w:pPr>
        <w:pStyle w:val="BodyText2"/>
        <w:rPr>
          <w:b/>
          <w:sz w:val="28"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5B4301">
      <w:pPr>
        <w:tabs>
          <w:tab w:val="left" w:pos="5040"/>
        </w:tabs>
        <w:jc w:val="both"/>
      </w:pPr>
      <w:r>
        <w:t>Gestorský výbor nedostal do začatia ro</w:t>
      </w:r>
      <w:r>
        <w:t>kovania</w:t>
      </w:r>
      <w:r w:rsidR="00AF0941">
        <w:t xml:space="preserve"> o</w:t>
      </w:r>
      <w:r w:rsidRPr="00B057C9" w:rsidR="00B057C9">
        <w:t xml:space="preserve"> </w:t>
      </w:r>
      <w:r w:rsidRPr="00490CDA" w:rsidR="00490CDA">
        <w:rPr>
          <w:bCs/>
          <w:iCs/>
          <w:noProof/>
        </w:rPr>
        <w:t>vládn</w:t>
      </w:r>
      <w:r w:rsidR="00490CDA">
        <w:rPr>
          <w:bCs/>
          <w:iCs/>
          <w:noProof/>
        </w:rPr>
        <w:t>om</w:t>
      </w:r>
      <w:r w:rsidRPr="00490CDA" w:rsidR="00490CDA">
        <w:rPr>
          <w:bCs/>
          <w:iCs/>
          <w:noProof/>
        </w:rPr>
        <w:t xml:space="preserve"> návrh</w:t>
      </w:r>
      <w:r w:rsidR="00490CDA">
        <w:rPr>
          <w:bCs/>
          <w:iCs/>
          <w:noProof/>
        </w:rPr>
        <w:t>u</w:t>
      </w:r>
      <w:r w:rsidRPr="00490CDA" w:rsidR="00490CDA">
        <w:rPr>
          <w:bCs/>
          <w:iCs/>
          <w:noProof/>
        </w:rPr>
        <w:t xml:space="preserve"> zákona o osobitnom odvode z podnikania v regulovaných odvetviach a o zmene a doplnení niektorých zákonov </w:t>
      </w:r>
      <w:r w:rsidRPr="00490CDA" w:rsidR="00490CDA">
        <w:rPr>
          <w:bCs/>
          <w:iCs/>
        </w:rPr>
        <w:t>(tlač 76)</w:t>
      </w:r>
      <w:r w:rsidR="00490CDA">
        <w:rPr>
          <w:bCs/>
          <w:iCs/>
        </w:rPr>
        <w:t xml:space="preserve"> </w:t>
      </w:r>
      <w:r>
        <w:t>stanoviská  poslancov Národnej rady Slovenskej republiky podané v súlade s § 75 ods. 2 zákona NR SR č. 350/1996 Z. z</w:t>
      </w:r>
      <w:r>
        <w:t>. o rokovacom poriadku Národnej rady Slovenskej republiky v znení neskorších predpisov.</w:t>
      </w:r>
    </w:p>
    <w:p w:rsidR="00173451" w:rsidP="00324934">
      <w:pPr>
        <w:jc w:val="both"/>
      </w:pPr>
    </w:p>
    <w:p w:rsidR="00353558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E24C65">
      <w:pPr>
        <w:pStyle w:val="BodyText2"/>
        <w:ind w:firstLine="720"/>
      </w:pPr>
    </w:p>
    <w:p w:rsidR="00301D8C" w:rsidP="008E39AD">
      <w:pPr>
        <w:pStyle w:val="BodyText2"/>
        <w:numPr>
          <w:ilvl w:val="0"/>
          <w:numId w:val="3"/>
        </w:numPr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 pozmeňujúcim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a doplňujúcim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24051E">
        <w:rPr>
          <w:b/>
          <w:bCs/>
        </w:rPr>
        <w:t>i</w:t>
      </w:r>
    </w:p>
    <w:p w:rsidR="0063094F" w:rsidP="0063094F">
      <w:pPr>
        <w:pStyle w:val="BodyText2"/>
        <w:ind w:left="720"/>
        <w:rPr>
          <w:b/>
          <w:bCs/>
        </w:rPr>
      </w:pPr>
    </w:p>
    <w:p w:rsidR="0085353E" w:rsidP="0085353E">
      <w:pPr>
        <w:pStyle w:val="BodyText2"/>
        <w:numPr>
          <w:ilvl w:val="0"/>
          <w:numId w:val="1"/>
        </w:numPr>
      </w:pPr>
      <w:r>
        <w:t xml:space="preserve">Výbor Národnej rady Slovenskej republiky pre financie a rozpočet (uzn. č. </w:t>
      </w:r>
      <w:r w:rsidR="00D5366B">
        <w:t>47</w:t>
      </w:r>
      <w:r>
        <w:t xml:space="preserve"> zo dňa </w:t>
      </w:r>
      <w:r w:rsidR="00490CDA">
        <w:t>19</w:t>
      </w:r>
      <w:r w:rsidR="00B91D98">
        <w:t xml:space="preserve">. </w:t>
      </w:r>
      <w:r w:rsidR="004B7828">
        <w:t>j</w:t>
      </w:r>
      <w:r w:rsidR="00490CDA">
        <w:t>úla</w:t>
      </w:r>
      <w:r>
        <w:t xml:space="preserve"> 201</w:t>
      </w:r>
      <w:r w:rsidR="004B7828">
        <w:t>2</w:t>
      </w:r>
      <w:r>
        <w:t>)</w:t>
      </w:r>
    </w:p>
    <w:p w:rsidR="004B7828" w:rsidP="004B7828">
      <w:pPr>
        <w:pStyle w:val="BodyText2"/>
        <w:ind w:left="1080"/>
        <w:rPr>
          <w:b/>
          <w:bCs/>
        </w:rPr>
      </w:pPr>
    </w:p>
    <w:p w:rsidR="0063094F" w:rsidP="0063094F">
      <w:pPr>
        <w:pStyle w:val="BodyText2"/>
        <w:numPr>
          <w:ilvl w:val="0"/>
          <w:numId w:val="1"/>
        </w:numPr>
      </w:pPr>
      <w:r>
        <w:t>Ústavnoprávny výbor Národnej rady Slovenskej republiky</w:t>
      </w:r>
      <w:r w:rsidRPr="00DF21AE">
        <w:t xml:space="preserve"> </w:t>
      </w:r>
      <w:r w:rsidR="0085353E">
        <w:t xml:space="preserve">(uzn. č. </w:t>
      </w:r>
      <w:r w:rsidR="000B0D61">
        <w:t>40</w:t>
      </w:r>
      <w:r w:rsidR="008D24E7">
        <w:t xml:space="preserve"> </w:t>
      </w:r>
      <w:r>
        <w:t xml:space="preserve">zo dňa </w:t>
      </w:r>
      <w:r w:rsidR="00490CDA">
        <w:t>17</w:t>
      </w:r>
      <w:r>
        <w:t xml:space="preserve">. </w:t>
      </w:r>
      <w:r w:rsidR="004B7828">
        <w:t>j</w:t>
      </w:r>
      <w:r w:rsidR="00490CDA">
        <w:t>úla</w:t>
      </w:r>
      <w:r>
        <w:t xml:space="preserve"> 201</w:t>
      </w:r>
      <w:r w:rsidR="004B7828">
        <w:t>2</w:t>
      </w:r>
      <w:r>
        <w:t>)</w:t>
      </w:r>
    </w:p>
    <w:p w:rsidR="004B7828" w:rsidP="0067563F">
      <w:pPr>
        <w:pStyle w:val="BodyText2"/>
        <w:ind w:left="1065"/>
      </w:pPr>
    </w:p>
    <w:p w:rsidR="00097515" w:rsidRPr="00C54C30" w:rsidP="00097515">
      <w:pPr>
        <w:pStyle w:val="BodyTextIndent2"/>
        <w:numPr>
          <w:ilvl w:val="0"/>
          <w:numId w:val="3"/>
        </w:numPr>
        <w:jc w:val="both"/>
      </w:pPr>
      <w:r w:rsidR="004B7828">
        <w:t>Výbor Národnej rad</w:t>
      </w:r>
      <w:r w:rsidR="004B7828">
        <w:t xml:space="preserve">y Slovenskej republiky pre </w:t>
      </w:r>
      <w:r w:rsidR="000B5C31">
        <w:t>hospodárske záležitosti</w:t>
      </w:r>
      <w:r w:rsidR="004B7828">
        <w:t xml:space="preserve"> </w:t>
      </w:r>
      <w:r w:rsidRPr="00C54C30">
        <w:rPr>
          <w:b/>
        </w:rPr>
        <w:t>neprijal</w:t>
      </w:r>
      <w:r w:rsidRPr="00C54C30">
        <w:t xml:space="preserve"> platné uznesenie, nakoľko </w:t>
      </w:r>
      <w:r>
        <w:t>nebol schopný uznášať sa v súlade s § 52 ods. 2</w:t>
      </w:r>
      <w:r w:rsidRPr="00C54C30">
        <w:t xml:space="preserve"> zákona NR SR č. 350/1996 Z. z. o rokovacom poriadku v znení neskorších predpisov a čl. 84</w:t>
      </w:r>
      <w:r>
        <w:t xml:space="preserve"> ods. 1</w:t>
      </w:r>
      <w:r w:rsidRPr="00C54C30">
        <w:t xml:space="preserve"> Ústavy SR v znení neskorších predpisov (celkový počet 1</w:t>
      </w:r>
      <w:r>
        <w:t>3 poslancov bolo prítomných 6 poslancov</w:t>
      </w:r>
      <w:r w:rsidRPr="00C54C30">
        <w:t>)</w:t>
      </w:r>
    </w:p>
    <w:p w:rsidR="004B7828" w:rsidP="00097515">
      <w:pPr>
        <w:pStyle w:val="BodyText2"/>
        <w:ind w:left="1080"/>
      </w:pPr>
    </w:p>
    <w:p w:rsidR="00097515" w:rsidP="00097515">
      <w:pPr>
        <w:pStyle w:val="BodyText2"/>
        <w:ind w:left="1080"/>
      </w:pPr>
    </w:p>
    <w:p w:rsidR="00DE27DF" w:rsidP="00F73FD9">
      <w:pPr>
        <w:pStyle w:val="BodyText2"/>
        <w:ind w:left="1065"/>
      </w:pPr>
      <w:r w:rsidR="004B7828">
        <w:t xml:space="preserve"> </w:t>
      </w: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uzn</w:t>
      </w:r>
      <w:r w:rsidR="00E37D6A">
        <w:t>esen</w:t>
      </w:r>
      <w:r w:rsidR="0085353E">
        <w:t>í</w:t>
      </w:r>
      <w:r w:rsidRPr="00AC16EF">
        <w:t xml:space="preserve"> výbor</w:t>
      </w:r>
      <w:r w:rsidR="0085353E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85353E">
        <w:t>uvedených</w:t>
      </w:r>
      <w:r w:rsidRPr="00AC16EF">
        <w:t xml:space="preserve"> pod bodom</w:t>
      </w:r>
      <w:r w:rsidR="00F2536F">
        <w:t xml:space="preserve"> III. tejto správy vyplynul</w:t>
      </w:r>
      <w:r w:rsidR="00F53C66">
        <w:t>i</w:t>
      </w:r>
      <w:r>
        <w:t xml:space="preserve"> </w:t>
      </w:r>
      <w:r w:rsidR="003D7154">
        <w:t>t</w:t>
      </w:r>
      <w:r w:rsidR="00F53C66">
        <w:t>i</w:t>
      </w:r>
      <w:r w:rsidR="003D7154">
        <w:t>eto</w:t>
      </w:r>
      <w:r>
        <w:t xml:space="preserve"> </w:t>
      </w:r>
      <w:r w:rsidR="00115AB5">
        <w:t>p</w:t>
      </w:r>
      <w:r w:rsidR="00D3131A">
        <w:t>ozmeňujúc</w:t>
      </w:r>
      <w:r w:rsidR="00F53C66">
        <w:t>e</w:t>
      </w:r>
      <w:r w:rsidR="00D3131A">
        <w:t xml:space="preserve"> </w:t>
      </w:r>
      <w:r w:rsidR="003D7154">
        <w:t>a doplňujúc</w:t>
      </w:r>
      <w:r w:rsidR="00F53C66">
        <w:t>e</w:t>
      </w:r>
      <w:r w:rsidR="003D7154">
        <w:t xml:space="preserve"> </w:t>
      </w:r>
      <w:r w:rsidR="00D3131A">
        <w:t>návrh</w:t>
      </w:r>
      <w:r w:rsidR="00F53C66">
        <w:t>y</w:t>
      </w:r>
      <w:r w:rsidR="00E6496B">
        <w:t>.</w:t>
      </w:r>
    </w:p>
    <w:p w:rsidR="0047486C" w:rsidP="000B0D61">
      <w:pPr>
        <w:jc w:val="both"/>
      </w:pPr>
    </w:p>
    <w:p w:rsidR="005D1DF8" w:rsidRPr="005D1DF8" w:rsidP="005D1DF8">
      <w:pPr>
        <w:numPr>
          <w:ilvl w:val="0"/>
          <w:numId w:val="32"/>
        </w:numPr>
        <w:autoSpaceDE w:val="0"/>
        <w:autoSpaceDN w:val="0"/>
        <w:adjustRightInd w:val="0"/>
        <w:ind w:left="357" w:hanging="357"/>
        <w:jc w:val="both"/>
        <w:rPr>
          <w:bCs/>
        </w:rPr>
      </w:pPr>
      <w:r w:rsidRPr="005D1DF8">
        <w:rPr>
          <w:bCs/>
        </w:rPr>
        <w:t>V čl. I § 2 sa slová „sa rozumie odvodovým obdobím“ nahrádzajú slovami „sa za odvodové obdobie považuje“.</w:t>
      </w:r>
    </w:p>
    <w:p w:rsidR="005D1DF8" w:rsidRPr="005D1DF8" w:rsidP="005D1DF8">
      <w:pPr>
        <w:spacing w:line="360" w:lineRule="auto"/>
        <w:jc w:val="both"/>
        <w:rPr>
          <w:bCs/>
        </w:rPr>
      </w:pPr>
      <w:r w:rsidRPr="005D1DF8">
        <w:rPr>
          <w:bCs/>
        </w:rPr>
        <w:t xml:space="preserve">                                               Navrhuje sa terminologické zosúladenie (§ 13 ods. 1).</w:t>
      </w:r>
    </w:p>
    <w:p w:rsidR="005D1DF8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5D1DF8" w:rsidP="005D1DF8">
      <w:pPr>
        <w:ind w:left="1844" w:firstLine="708"/>
        <w:jc w:val="both"/>
        <w:rPr>
          <w:b/>
        </w:rPr>
      </w:pPr>
      <w:r>
        <w:rPr>
          <w:b/>
        </w:rPr>
        <w:t xml:space="preserve">     </w:t>
      </w:r>
      <w:r w:rsidRPr="000B0D61">
        <w:rPr>
          <w:b/>
        </w:rPr>
        <w:t xml:space="preserve">Ústavnoprávny výbor NR SR 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rPr>
          <w:b/>
        </w:rPr>
      </w:pPr>
    </w:p>
    <w:p w:rsidR="005D1DF8" w:rsidRPr="005D1DF8" w:rsidP="005D1DF8">
      <w:pPr>
        <w:rPr>
          <w:b/>
        </w:rPr>
      </w:pPr>
    </w:p>
    <w:p w:rsidR="005D1DF8" w:rsidRPr="005D1DF8" w:rsidP="005D1DF8">
      <w:pPr>
        <w:numPr>
          <w:ilvl w:val="0"/>
          <w:numId w:val="32"/>
        </w:numPr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>V čl. I § 3 ods. 1 sa v uvádzacej vete  slová „právnická osoba“ nahrádzajú slovami „osoba alebo organizačná zložka zahraničnej osoby“.</w:t>
      </w:r>
    </w:p>
    <w:p w:rsidR="005D1DF8" w:rsidRPr="005D1DF8" w:rsidP="005D1DF8">
      <w:pPr>
        <w:tabs>
          <w:tab w:val="left" w:pos="2835"/>
        </w:tabs>
        <w:ind w:left="851"/>
        <w:jc w:val="both"/>
      </w:pPr>
      <w:r w:rsidRPr="005D1DF8">
        <w:tab/>
      </w:r>
    </w:p>
    <w:p w:rsidR="005D1DF8" w:rsidRPr="005D1DF8" w:rsidP="005D1DF8">
      <w:pPr>
        <w:tabs>
          <w:tab w:val="left" w:pos="2835"/>
        </w:tabs>
        <w:ind w:left="2832"/>
        <w:jc w:val="both"/>
      </w:pPr>
      <w:r w:rsidRPr="005D1DF8">
        <w:tab/>
        <w:t>Navrhuje sa, aby regulovanými osobami boli všetky subjekty, ktoré na Slovensku vykonávajú podnikateľskú činnosť v regulovaných oblastiach, čím sa zrovnoprávni postavenie všetkých subjektov vykonávajúcich činnosť v regulovaných oblastiach.</w:t>
      </w:r>
    </w:p>
    <w:p w:rsidR="005D1DF8" w:rsidP="005D1DF8">
      <w:pPr>
        <w:ind w:left="2124" w:firstLine="708"/>
        <w:jc w:val="both"/>
        <w:rPr>
          <w:b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ind w:left="360"/>
        <w:contextualSpacing/>
        <w:jc w:val="both"/>
        <w:rPr>
          <w:rFonts w:cs="Iskoola Pota"/>
          <w:lang w:eastAsia="en-US"/>
        </w:rPr>
      </w:pPr>
    </w:p>
    <w:p w:rsidR="005D1DF8" w:rsidRPr="005D1DF8" w:rsidP="005D1DF8">
      <w:pPr>
        <w:numPr>
          <w:ilvl w:val="0"/>
          <w:numId w:val="32"/>
        </w:numPr>
        <w:tabs>
          <w:tab w:val="num" w:pos="360"/>
        </w:tabs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 xml:space="preserve">V čl. I § 3 ods. 1 písm. a) štvrtom bode sa slová „povolenia vydaného“  nahrádzajú slovami „všeobecného povolenia alebo individuálneho práva na používanie čísel alebo frekvencií udeleného“. </w:t>
      </w:r>
    </w:p>
    <w:p w:rsidR="005D1DF8" w:rsidRPr="005D1DF8" w:rsidP="005D1DF8">
      <w:pPr>
        <w:tabs>
          <w:tab w:val="left" w:pos="2835"/>
        </w:tabs>
        <w:ind w:left="851"/>
        <w:jc w:val="both"/>
        <w:rPr>
          <w:b/>
          <w:bCs/>
        </w:rPr>
      </w:pPr>
      <w:r w:rsidRPr="005D1DF8">
        <w:rPr>
          <w:b/>
          <w:bCs/>
        </w:rPr>
        <w:tab/>
      </w:r>
    </w:p>
    <w:p w:rsidR="005D1DF8" w:rsidRPr="005D1DF8" w:rsidP="005D1DF8">
      <w:pPr>
        <w:tabs>
          <w:tab w:val="left" w:pos="2835"/>
        </w:tabs>
        <w:ind w:left="2832"/>
        <w:jc w:val="both"/>
      </w:pPr>
      <w:r w:rsidRPr="005D1DF8">
        <w:tab/>
        <w:t>Ide o vecné spresnenie ustanovenia upravujúceho osobný rozsah uvedeného zákona.</w:t>
      </w:r>
    </w:p>
    <w:p w:rsidR="005D1DF8" w:rsidP="005D1DF8">
      <w:pPr>
        <w:ind w:left="2124" w:firstLine="708"/>
        <w:jc w:val="both"/>
        <w:rPr>
          <w:b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tabs>
          <w:tab w:val="left" w:pos="2835"/>
        </w:tabs>
        <w:ind w:left="2832"/>
        <w:jc w:val="both"/>
      </w:pPr>
    </w:p>
    <w:p w:rsidR="005D1DF8" w:rsidRPr="005D1DF8" w:rsidP="005D1DF8">
      <w:pPr>
        <w:numPr>
          <w:ilvl w:val="0"/>
          <w:numId w:val="32"/>
        </w:numPr>
        <w:tabs>
          <w:tab w:val="num" w:pos="360"/>
        </w:tabs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5D1DF8">
        <w:rPr>
          <w:color w:val="000000"/>
          <w:lang w:eastAsia="en-US"/>
        </w:rPr>
        <w:t>V č</w:t>
      </w:r>
      <w:r w:rsidRPr="005D1DF8">
        <w:rPr>
          <w:rFonts w:cs="Iskoola Pota"/>
          <w:color w:val="000000"/>
          <w:lang w:eastAsia="en-US"/>
        </w:rPr>
        <w:t xml:space="preserve">l. I § 3 ods. 1 písm. a) </w:t>
      </w:r>
      <w:r w:rsidRPr="005D1DF8">
        <w:rPr>
          <w:color w:val="000000"/>
          <w:lang w:eastAsia="en-US"/>
        </w:rPr>
        <w:t>piatom bode sa slová „zaobchádzania s liekmi“ nahrádzajú slovom „farmácie“ a za slová „Slovenskej republiky“ sa vkladajú slová „alebo samosprávnym krajom“.</w:t>
      </w:r>
    </w:p>
    <w:p w:rsidR="005D1DF8" w:rsidRPr="005D1DF8" w:rsidP="005D1DF8">
      <w:pPr>
        <w:tabs>
          <w:tab w:val="left" w:pos="2835"/>
        </w:tabs>
        <w:ind w:left="360"/>
        <w:contextualSpacing/>
        <w:jc w:val="both"/>
        <w:rPr>
          <w:rFonts w:cs="Iskoola Pota"/>
          <w:b/>
          <w:bCs/>
          <w:lang w:eastAsia="en-US"/>
        </w:rPr>
      </w:pPr>
      <w:r w:rsidRPr="005D1DF8">
        <w:rPr>
          <w:rFonts w:cs="Iskoola Pota"/>
          <w:b/>
          <w:bCs/>
          <w:lang w:eastAsia="en-US"/>
        </w:rPr>
        <w:t xml:space="preserve">                     </w:t>
      </w:r>
      <w:r w:rsidRPr="005D1DF8">
        <w:rPr>
          <w:rFonts w:cs="Iskoola Pota"/>
          <w:b/>
          <w:bCs/>
          <w:lang w:eastAsia="en-US"/>
        </w:rPr>
        <w:t xml:space="preserve">                  </w:t>
      </w:r>
    </w:p>
    <w:p w:rsidR="005D1DF8" w:rsidRPr="005D1DF8" w:rsidP="005D1DF8">
      <w:pPr>
        <w:tabs>
          <w:tab w:val="left" w:pos="2835"/>
        </w:tabs>
        <w:ind w:left="2835"/>
        <w:jc w:val="both"/>
      </w:pPr>
      <w:r w:rsidRPr="005D1DF8">
        <w:t>Ide o vecné spresnenie ustanovenia upravujúceho osobný rozsah                 uvedeného zákona.</w:t>
      </w:r>
    </w:p>
    <w:p w:rsidR="005D1DF8" w:rsidP="005D1DF8">
      <w:pPr>
        <w:tabs>
          <w:tab w:val="left" w:pos="2835"/>
        </w:tabs>
        <w:jc w:val="both"/>
        <w:rPr>
          <w:b/>
          <w:bCs/>
        </w:rPr>
      </w:pPr>
      <w:r w:rsidRPr="005D1DF8">
        <w:rPr>
          <w:b/>
          <w:bCs/>
        </w:rPr>
        <w:tab/>
      </w: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tabs>
          <w:tab w:val="left" w:pos="2835"/>
        </w:tabs>
        <w:jc w:val="both"/>
      </w:pPr>
    </w:p>
    <w:p w:rsidR="005D1DF8" w:rsidRPr="005D1DF8" w:rsidP="005D1DF8">
      <w:pPr>
        <w:numPr>
          <w:ilvl w:val="0"/>
          <w:numId w:val="32"/>
        </w:numPr>
        <w:tabs>
          <w:tab w:val="num" w:pos="360"/>
        </w:tabs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5D1DF8">
        <w:rPr>
          <w:color w:val="000000"/>
          <w:lang w:eastAsia="en-US"/>
        </w:rPr>
        <w:t xml:space="preserve">V poznámke pod čiarou k odkazu 7 sa za slová „§ 7 ods. 1 písm. a)“ </w:t>
      </w:r>
      <w:r w:rsidRPr="005D1DF8">
        <w:rPr>
          <w:color w:val="000000"/>
          <w:lang w:eastAsia="en-US"/>
        </w:rPr>
        <w:t>vkladajú slová „a  b)“.</w:t>
      </w:r>
    </w:p>
    <w:p w:rsidR="005D1DF8" w:rsidRPr="005D1DF8" w:rsidP="005D1DF8">
      <w:pPr>
        <w:tabs>
          <w:tab w:val="left" w:pos="2835"/>
        </w:tabs>
        <w:ind w:left="360"/>
        <w:contextualSpacing/>
        <w:jc w:val="both"/>
        <w:rPr>
          <w:rFonts w:cs="Iskoola Pota"/>
          <w:b/>
          <w:bCs/>
          <w:lang w:eastAsia="en-US"/>
        </w:rPr>
      </w:pPr>
      <w:r w:rsidRPr="005D1DF8">
        <w:rPr>
          <w:rFonts w:cs="Iskoola Pota"/>
          <w:b/>
          <w:bCs/>
          <w:lang w:eastAsia="en-US"/>
        </w:rPr>
        <w:t xml:space="preserve">                                        </w:t>
      </w:r>
    </w:p>
    <w:p w:rsidR="005D1DF8" w:rsidRPr="005D1DF8" w:rsidP="005D1DF8">
      <w:pPr>
        <w:tabs>
          <w:tab w:val="left" w:pos="2835"/>
        </w:tabs>
        <w:ind w:left="2835" w:hanging="2475"/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 xml:space="preserve">                                         Ide o úpravu nadväzujúcu na  vecné spresnenie ustanovenia upravujúceho osobný rozsah  uvedeného zákona.</w:t>
      </w:r>
    </w:p>
    <w:p w:rsidR="005D1DF8" w:rsidRPr="005D1DF8" w:rsidP="005D1DF8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</w:p>
    <w:p w:rsidR="005D1DF8" w:rsidRPr="005D1DF8" w:rsidP="005D1DF8">
      <w:pPr>
        <w:numPr>
          <w:ilvl w:val="0"/>
          <w:numId w:val="32"/>
        </w:numPr>
        <w:tabs>
          <w:tab w:val="num" w:pos="360"/>
        </w:tabs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5D1DF8">
        <w:rPr>
          <w:color w:val="000000"/>
          <w:lang w:eastAsia="en-US"/>
        </w:rPr>
        <w:t>V č</w:t>
      </w:r>
      <w:r w:rsidRPr="005D1DF8">
        <w:rPr>
          <w:rFonts w:cs="Iskoola Pota"/>
          <w:color w:val="000000"/>
          <w:lang w:eastAsia="en-US"/>
        </w:rPr>
        <w:t xml:space="preserve">l. I § 3 ods. 1 písm. a) šiestom bode sa </w:t>
      </w:r>
      <w:r w:rsidRPr="005D1DF8">
        <w:rPr>
          <w:color w:val="000000"/>
          <w:lang w:eastAsia="en-US"/>
        </w:rPr>
        <w:t xml:space="preserve">za slová „na základe“ vkladajú slová „všeobecného povolenia alebo poštovej“. </w:t>
      </w:r>
    </w:p>
    <w:p w:rsidR="005D1DF8" w:rsidRPr="005D1DF8" w:rsidP="005D1DF8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</w:p>
    <w:p w:rsidR="005D1DF8" w:rsidRPr="005D1DF8" w:rsidP="005D1DF8">
      <w:pPr>
        <w:tabs>
          <w:tab w:val="left" w:pos="2835"/>
        </w:tabs>
        <w:ind w:left="2832"/>
        <w:jc w:val="both"/>
      </w:pPr>
      <w:r w:rsidRPr="005D1DF8">
        <w:rPr>
          <w:b/>
          <w:bCs/>
        </w:rPr>
        <w:tab/>
      </w:r>
      <w:r w:rsidRPr="005D1DF8">
        <w:t>Ide o vecné spresnenie ustanovenia upravujúceho osobný rozsah uvedeného zákona.</w:t>
      </w:r>
    </w:p>
    <w:p w:rsidR="005D1DF8" w:rsidP="005D1DF8">
      <w:pPr>
        <w:ind w:left="2124" w:firstLine="708"/>
        <w:jc w:val="both"/>
        <w:rPr>
          <w:b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ind w:left="360"/>
        <w:contextualSpacing/>
        <w:jc w:val="both"/>
        <w:rPr>
          <w:rFonts w:cs="Iskoola Pota"/>
          <w:lang w:eastAsia="en-US"/>
        </w:rPr>
      </w:pPr>
    </w:p>
    <w:p w:rsidR="005D1DF8" w:rsidRPr="005D1DF8" w:rsidP="005D1DF8">
      <w:pPr>
        <w:ind w:left="360"/>
        <w:contextualSpacing/>
        <w:jc w:val="both"/>
        <w:rPr>
          <w:rFonts w:cs="Iskoola Pota"/>
          <w:lang w:eastAsia="en-US"/>
        </w:rPr>
      </w:pPr>
    </w:p>
    <w:p w:rsidR="005D1DF8" w:rsidRPr="005D1DF8" w:rsidP="005D1DF8">
      <w:pPr>
        <w:numPr>
          <w:ilvl w:val="0"/>
          <w:numId w:val="32"/>
        </w:numPr>
        <w:tabs>
          <w:tab w:val="num" w:pos="360"/>
        </w:tabs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>V čl. I § 3 ods. 1 písm. a) ôsmom bode sa  slovo „alebo“ nahrádza čiarkou.</w:t>
      </w:r>
    </w:p>
    <w:p w:rsidR="005D1DF8" w:rsidRPr="005D1DF8" w:rsidP="005D1DF8">
      <w:pPr>
        <w:tabs>
          <w:tab w:val="left" w:pos="2835"/>
        </w:tabs>
        <w:ind w:left="851"/>
        <w:jc w:val="both"/>
      </w:pPr>
      <w:r w:rsidRPr="005D1DF8">
        <w:tab/>
      </w:r>
    </w:p>
    <w:p w:rsidR="005D1DF8" w:rsidRPr="005D1DF8" w:rsidP="005D1DF8">
      <w:pPr>
        <w:tabs>
          <w:tab w:val="left" w:pos="2835"/>
        </w:tabs>
        <w:ind w:left="851"/>
        <w:jc w:val="both"/>
      </w:pPr>
      <w:r w:rsidRPr="005D1DF8">
        <w:tab/>
        <w:t>Ide o legislatívno – technickú úpravu súvisiacu s bodom 9.</w:t>
      </w:r>
    </w:p>
    <w:p w:rsidR="005D1DF8" w:rsidRPr="005D1DF8" w:rsidP="005D1DF8">
      <w:pPr>
        <w:tabs>
          <w:tab w:val="left" w:pos="2835"/>
        </w:tabs>
        <w:ind w:left="2832"/>
        <w:jc w:val="both"/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</w:t>
      </w:r>
      <w:r>
        <w:rPr>
          <w:b/>
        </w:rPr>
        <w:t>.</w:t>
      </w:r>
    </w:p>
    <w:p w:rsidR="005D1DF8" w:rsidRPr="005D1DF8" w:rsidP="005D1DF8">
      <w:pPr>
        <w:ind w:left="360"/>
        <w:contextualSpacing/>
        <w:jc w:val="both"/>
        <w:rPr>
          <w:rFonts w:cs="Iskoola Pota"/>
          <w:lang w:eastAsia="en-US"/>
        </w:rPr>
      </w:pPr>
    </w:p>
    <w:p w:rsidR="005D1DF8" w:rsidRPr="005D1DF8" w:rsidP="005D1DF8">
      <w:pPr>
        <w:numPr>
          <w:ilvl w:val="0"/>
          <w:numId w:val="32"/>
        </w:numPr>
        <w:tabs>
          <w:tab w:val="num" w:pos="360"/>
        </w:tabs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>V čl. I § 3 ods. 1 písm. a) deviatom bode sa  na konci slovo „a“ nahrádza čiarkou.</w:t>
      </w:r>
    </w:p>
    <w:p w:rsidR="005D1DF8" w:rsidRPr="005D1DF8" w:rsidP="005D1DF8">
      <w:pPr>
        <w:tabs>
          <w:tab w:val="left" w:pos="2835"/>
        </w:tabs>
        <w:jc w:val="both"/>
        <w:rPr>
          <w:b/>
          <w:bCs/>
        </w:rPr>
      </w:pPr>
      <w:r w:rsidRPr="005D1DF8">
        <w:rPr>
          <w:b/>
          <w:bCs/>
        </w:rPr>
        <w:tab/>
      </w:r>
    </w:p>
    <w:p w:rsidR="005D1DF8" w:rsidRPr="005D1DF8" w:rsidP="005D1DF8">
      <w:pPr>
        <w:tabs>
          <w:tab w:val="left" w:pos="2835"/>
        </w:tabs>
        <w:jc w:val="both"/>
        <w:rPr>
          <w:rFonts w:cs="Iskoola Pota"/>
          <w:lang w:eastAsia="en-US"/>
        </w:rPr>
      </w:pPr>
      <w:r w:rsidRPr="005D1DF8">
        <w:rPr>
          <w:b/>
          <w:bCs/>
        </w:rPr>
        <w:tab/>
      </w:r>
      <w:r w:rsidRPr="005D1DF8">
        <w:rPr>
          <w:rFonts w:cs="Iskoola Pota"/>
          <w:lang w:eastAsia="en-US"/>
        </w:rPr>
        <w:t>Ide o legislatívno – technickú úpravu súvisiacu s bodom 9.</w:t>
      </w:r>
    </w:p>
    <w:p w:rsidR="005D1DF8" w:rsidP="005D1DF8">
      <w:pPr>
        <w:ind w:left="2832"/>
        <w:contextualSpacing/>
        <w:jc w:val="both"/>
        <w:rPr>
          <w:rFonts w:cs="Iskoola Pota"/>
          <w:lang w:eastAsia="en-US"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ind w:left="2832"/>
        <w:contextualSpacing/>
        <w:jc w:val="both"/>
        <w:rPr>
          <w:rFonts w:cs="Iskoola Pota"/>
          <w:lang w:eastAsia="en-US"/>
        </w:rPr>
      </w:pPr>
    </w:p>
    <w:p w:rsidR="005D1DF8" w:rsidRPr="005D1DF8" w:rsidP="005D1DF8">
      <w:pPr>
        <w:numPr>
          <w:ilvl w:val="0"/>
          <w:numId w:val="32"/>
        </w:numPr>
        <w:tabs>
          <w:tab w:val="num" w:pos="360"/>
        </w:tabs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>V čl. I § 3 ods. 1 písmeno a) sa dopĺňa bodmi 10 a 11, ktoré znejú:</w:t>
      </w:r>
    </w:p>
    <w:p w:rsidR="005D1DF8" w:rsidRPr="005D1DF8" w:rsidP="005D1DF8">
      <w:pPr>
        <w:ind w:left="360"/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>„10. poskytovania zdravotnej starostlivosti na základe povolenia vydaného podľa osobitného predpisu</w:t>
      </w:r>
      <w:r w:rsidRPr="005D1DF8">
        <w:rPr>
          <w:rFonts w:cs="Iskoola Pota"/>
          <w:vertAlign w:val="superscript"/>
          <w:lang w:eastAsia="en-US"/>
        </w:rPr>
        <w:t>12</w:t>
      </w:r>
      <w:r w:rsidRPr="005D1DF8">
        <w:rPr>
          <w:rFonts w:cs="Iskoola Pota"/>
          <w:lang w:eastAsia="en-US"/>
        </w:rPr>
        <w:t>) alebo</w:t>
      </w:r>
    </w:p>
    <w:p w:rsidR="005D1DF8" w:rsidRPr="005D1DF8" w:rsidP="005D1DF8">
      <w:pPr>
        <w:ind w:left="360"/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 xml:space="preserve">11. uvedenej v prvom až desiatom bode na základe povolenia vydaného v inom členskom štáte Európskej únie a štáte, </w:t>
      </w:r>
      <w:r w:rsidRPr="005D1DF8">
        <w:rPr>
          <w:rFonts w:cs="Iskoola Pota"/>
          <w:lang w:eastAsia="en-US"/>
        </w:rPr>
        <w:t>ktorý je zmluvnou stranou Dohody o Európskom hospodárskom priestore a“.</w:t>
      </w:r>
    </w:p>
    <w:p w:rsidR="005D1DF8" w:rsidRPr="005D1DF8" w:rsidP="005D1DF8">
      <w:pPr>
        <w:ind w:left="360"/>
        <w:contextualSpacing/>
        <w:jc w:val="both"/>
        <w:rPr>
          <w:rFonts w:cs="Iskoola Pota"/>
          <w:lang w:eastAsia="en-US"/>
        </w:rPr>
      </w:pPr>
    </w:p>
    <w:p w:rsidR="005D1DF8" w:rsidRPr="005D1DF8" w:rsidP="005D1DF8">
      <w:pPr>
        <w:ind w:left="360"/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 xml:space="preserve"> Poznámka pod čiarou k odkazu 12 znie:</w:t>
      </w:r>
    </w:p>
    <w:p w:rsidR="005D1DF8" w:rsidRPr="005D1DF8" w:rsidP="005D1DF8">
      <w:pPr>
        <w:ind w:left="360"/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>„</w:t>
      </w:r>
      <w:r w:rsidRPr="005D1DF8">
        <w:rPr>
          <w:rFonts w:cs="Iskoola Pota"/>
          <w:vertAlign w:val="superscript"/>
          <w:lang w:eastAsia="en-US"/>
        </w:rPr>
        <w:t>12</w:t>
      </w:r>
      <w:r w:rsidRPr="005D1DF8">
        <w:rPr>
          <w:rFonts w:cs="Iskoola Pota"/>
          <w:lang w:eastAsia="en-US"/>
        </w:rPr>
        <w:t>) § 11 ods. 1 písm. a) zákona č. 578/2004 Z. z. o poskytovateľoch zdravotnej starostlivosti, zdravotníckych pracovníkoch, stavovských organiz</w:t>
      </w:r>
      <w:r w:rsidRPr="005D1DF8">
        <w:rPr>
          <w:rFonts w:cs="Iskoola Pota"/>
          <w:lang w:eastAsia="en-US"/>
        </w:rPr>
        <w:t>áciách v zdravotníctve a o zmene a doplnení niektorých zákonov v znení neskorších predpisov.“.</w:t>
      </w:r>
    </w:p>
    <w:p w:rsidR="005D1DF8" w:rsidRPr="005D1DF8" w:rsidP="005D1DF8">
      <w:pPr>
        <w:ind w:left="360"/>
        <w:contextualSpacing/>
        <w:jc w:val="both"/>
        <w:rPr>
          <w:rFonts w:cs="Iskoola Pota"/>
          <w:color w:val="000000"/>
          <w:lang w:eastAsia="en-US" w:bidi="si-LK"/>
        </w:rPr>
      </w:pPr>
      <w:r w:rsidRPr="005D1DF8">
        <w:rPr>
          <w:rFonts w:cs="Iskoola Pota"/>
          <w:color w:val="000000"/>
          <w:lang w:eastAsia="en-US" w:bidi="si-LK"/>
        </w:rPr>
        <w:t>Doterajšie odkazy sa primerane prečíslujú.</w:t>
      </w:r>
    </w:p>
    <w:p w:rsidR="005D1DF8" w:rsidRPr="005D1DF8" w:rsidP="005D1DF8">
      <w:pPr>
        <w:tabs>
          <w:tab w:val="left" w:pos="2835"/>
        </w:tabs>
        <w:ind w:left="851"/>
        <w:jc w:val="both"/>
        <w:rPr>
          <w:b/>
          <w:bCs/>
        </w:rPr>
      </w:pPr>
      <w:r w:rsidRPr="005D1DF8">
        <w:rPr>
          <w:b/>
          <w:bCs/>
        </w:rPr>
        <w:tab/>
        <w:tab/>
      </w:r>
    </w:p>
    <w:p w:rsidR="005D1DF8" w:rsidRPr="005D1DF8" w:rsidP="005D1DF8">
      <w:pPr>
        <w:tabs>
          <w:tab w:val="left" w:pos="2835"/>
        </w:tabs>
        <w:ind w:left="2832"/>
        <w:jc w:val="both"/>
      </w:pPr>
      <w:r w:rsidRPr="005D1DF8">
        <w:tab/>
        <w:t>Medzi regulované osoby sa navrhujú doplniť aj poskytovatelia zdravotnej starostlivosti. Rovnako sa navrhuje, aby regulovanými osobami boli všetky subjekty, ktoré na Slovensku vykonávajú podnikateľskú činnosť v regulovaných oblastiach.</w:t>
      </w:r>
    </w:p>
    <w:p w:rsidR="005D1DF8" w:rsidRPr="005D1DF8" w:rsidP="005D1DF8">
      <w:pPr>
        <w:tabs>
          <w:tab w:val="left" w:pos="2835"/>
        </w:tabs>
        <w:jc w:val="both"/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tabs>
          <w:tab w:val="left" w:pos="2835"/>
        </w:tabs>
        <w:jc w:val="both"/>
      </w:pPr>
    </w:p>
    <w:p w:rsidR="005D1DF8" w:rsidRPr="005D1DF8" w:rsidP="005D1DF8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5D1DF8">
        <w:t>V čl. I § 3 ods. 2 písm. c) sa za slovo „odhad“ vkladajú slová</w:t>
      </w:r>
      <w:r w:rsidRPr="005D1DF8">
        <w:t xml:space="preserve"> „predpokladaného výsledku hospodárenia“.</w:t>
      </w:r>
    </w:p>
    <w:p w:rsidR="005D1DF8" w:rsidRPr="005D1DF8" w:rsidP="005D1DF8">
      <w:pPr>
        <w:jc w:val="both"/>
        <w:rPr>
          <w:bCs/>
        </w:rPr>
      </w:pPr>
      <w:r w:rsidRPr="005D1DF8">
        <w:rPr>
          <w:bCs/>
        </w:rPr>
        <w:t xml:space="preserve">                                              Navrhuje sa terminologické zosúladenie (§ 4 ods. 1).</w:t>
      </w:r>
    </w:p>
    <w:p w:rsidR="005D1DF8" w:rsidP="005D1DF8">
      <w:pPr>
        <w:ind w:left="2124" w:firstLine="708"/>
        <w:jc w:val="both"/>
        <w:rPr>
          <w:b/>
        </w:rPr>
      </w:pPr>
    </w:p>
    <w:p w:rsidR="005D1DF8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5D1DF8" w:rsidP="005D1DF8">
      <w:pPr>
        <w:ind w:left="1844" w:firstLine="708"/>
        <w:jc w:val="both"/>
        <w:rPr>
          <w:b/>
        </w:rPr>
      </w:pPr>
      <w:r>
        <w:rPr>
          <w:b/>
        </w:rPr>
        <w:t xml:space="preserve">     </w:t>
      </w:r>
      <w:r w:rsidRPr="000B0D61">
        <w:rPr>
          <w:b/>
        </w:rPr>
        <w:t xml:space="preserve">Ústavnoprávny výbor NR SR 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tabs>
          <w:tab w:val="left" w:pos="2835"/>
        </w:tabs>
        <w:jc w:val="both"/>
      </w:pPr>
    </w:p>
    <w:p w:rsidR="005D1DF8" w:rsidRPr="005D1DF8" w:rsidP="005D1DF8">
      <w:pPr>
        <w:numPr>
          <w:ilvl w:val="0"/>
          <w:numId w:val="32"/>
        </w:numPr>
        <w:tabs>
          <w:tab w:val="num" w:pos="360"/>
          <w:tab w:val="left" w:pos="2835"/>
        </w:tabs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>V čl. I § 3 sa dopĺňa odsekmi 3 a 4, ktoré znejú:</w:t>
      </w:r>
    </w:p>
    <w:p w:rsidR="005D1DF8" w:rsidRPr="005D1DF8" w:rsidP="005D1DF8">
      <w:pPr>
        <w:ind w:left="360"/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 xml:space="preserve">„(3) Osoba alebo organizačná zložka zahraničnej osoby, </w:t>
      </w:r>
      <w:r w:rsidRPr="005D1DF8">
        <w:rPr>
          <w:rFonts w:cs="Iskoola Pota"/>
          <w:color w:val="000000"/>
          <w:lang w:eastAsia="en-US" w:bidi="si-LK"/>
        </w:rPr>
        <w:t xml:space="preserve">ktorá má oprávnenie na výkon činnosti podľa odseku 1 písm. a) je </w:t>
      </w:r>
      <w:r w:rsidRPr="005D1DF8">
        <w:rPr>
          <w:rFonts w:cs="Iskoola Pota"/>
          <w:lang w:eastAsia="en-US"/>
        </w:rPr>
        <w:t xml:space="preserve"> regulovanou osobou za všetky odvodové obdobia v účtovnom období, v ktorom jej </w:t>
      </w:r>
      <w:r w:rsidRPr="005D1DF8">
        <w:rPr>
          <w:rFonts w:cs="Iskoola Pota"/>
          <w:color w:val="000000"/>
          <w:lang w:eastAsia="en-US" w:bidi="si-LK"/>
        </w:rPr>
        <w:t xml:space="preserve">výnosy z činnosti v oblasti podľa odseku 1 písm. a) </w:t>
      </w:r>
      <w:r w:rsidRPr="005D1DF8">
        <w:rPr>
          <w:rFonts w:cs="Iskoola Pota"/>
          <w:lang w:eastAsia="en-US"/>
        </w:rPr>
        <w:t>dosiahnu aspoň 50 % celkových výnosov tohto účtovného obdobia, a to aj ak ne</w:t>
      </w:r>
      <w:r w:rsidRPr="005D1DF8">
        <w:rPr>
          <w:rFonts w:cs="Iskoola Pota"/>
          <w:color w:val="000000"/>
          <w:lang w:eastAsia="en-US" w:bidi="si-LK"/>
        </w:rPr>
        <w:t>predpokladala, že jej výnosy z činnosti v oblasti podľa odseku 1 písm. a) za toto účtovné obdobie dosiahnu aspoň 50 % celkových výnosov tohto účtovného obdobia alebo ak výnosy z činnosti podľa odseku 1 písm. a) za účtovné obdobie podľa § 13 ods. 1 ne</w:t>
      </w:r>
      <w:r w:rsidRPr="005D1DF8">
        <w:rPr>
          <w:rFonts w:cs="Iskoola Pota"/>
          <w:lang w:eastAsia="en-US"/>
        </w:rPr>
        <w:t xml:space="preserve">dosiahli aspoň 50 % celkových výnosov tohto účtovného obdobia; túto skutočnosť je regulovaná osoba povinná oznámiť správcovi odvodu najneskôr v lehote na podanie daňového priznania k dani z príjmov. </w:t>
      </w:r>
    </w:p>
    <w:p w:rsidR="005D1DF8" w:rsidRPr="005D1DF8" w:rsidP="005D1DF8">
      <w:pPr>
        <w:ind w:left="360"/>
        <w:contextualSpacing/>
        <w:jc w:val="both"/>
        <w:rPr>
          <w:rFonts w:cs="Iskoola Pota"/>
          <w:color w:val="000000"/>
          <w:lang w:eastAsia="en-US" w:bidi="si-LK"/>
        </w:rPr>
      </w:pPr>
      <w:r w:rsidRPr="005D1DF8">
        <w:rPr>
          <w:rFonts w:cs="Iskoola Pota"/>
          <w:lang w:eastAsia="en-US"/>
        </w:rPr>
        <w:t xml:space="preserve">(4) Ak sa </w:t>
      </w:r>
      <w:r w:rsidRPr="005D1DF8">
        <w:rPr>
          <w:rFonts w:cs="Iskoola Pota"/>
          <w:color w:val="000000"/>
          <w:lang w:eastAsia="en-US" w:bidi="si-LK"/>
        </w:rPr>
        <w:t xml:space="preserve">osoba </w:t>
      </w:r>
      <w:r w:rsidRPr="005D1DF8">
        <w:rPr>
          <w:rFonts w:cs="Iskoola Pota"/>
          <w:lang w:eastAsia="en-US"/>
        </w:rPr>
        <w:t xml:space="preserve">alebo organizačná zložka zahraničnej osoby stala regulovanou osobou, neprestane byť regulovanou osobou, ani ak jej </w:t>
      </w:r>
      <w:r w:rsidRPr="005D1DF8">
        <w:rPr>
          <w:rFonts w:cs="Iskoola Pota"/>
          <w:color w:val="000000"/>
          <w:lang w:eastAsia="en-US" w:bidi="si-LK"/>
        </w:rPr>
        <w:t>výnosy z činnosti v oblasti podľa odseku 1 písm. a) za účtovné obdobie, v ktorom má oprávnenie na výkon činnosti podľa odseku 1 písm. a), nedosiahnu  50 % celkových výnosov tohto účtovného obdobia.“.</w:t>
      </w:r>
    </w:p>
    <w:p w:rsidR="005D1DF8" w:rsidRPr="005D1DF8" w:rsidP="005D1DF8">
      <w:pPr>
        <w:tabs>
          <w:tab w:val="left" w:pos="2835"/>
        </w:tabs>
        <w:ind w:left="851"/>
        <w:jc w:val="both"/>
        <w:rPr>
          <w:color w:val="000000"/>
          <w:lang w:bidi="si-LK"/>
        </w:rPr>
      </w:pPr>
      <w:r w:rsidRPr="005D1DF8">
        <w:rPr>
          <w:color w:val="000000"/>
          <w:lang w:bidi="si-LK"/>
        </w:rPr>
        <w:t xml:space="preserve">                                </w:t>
      </w:r>
    </w:p>
    <w:p w:rsidR="005D1DF8" w:rsidRPr="005D1DF8" w:rsidP="005D1DF8">
      <w:pPr>
        <w:tabs>
          <w:tab w:val="left" w:pos="2835"/>
        </w:tabs>
        <w:ind w:left="2835"/>
        <w:jc w:val="both"/>
      </w:pPr>
      <w:r w:rsidRPr="005D1DF8">
        <w:t>Navrhuje sa, aby sa regulovanou osobou stali všetky subjekty, ktoré vykonávajú podnikateľskú činnosť v regulovaných oblastiach a ktorých výnosy z tejto činnosti dosiahli aspoň 50 % celkových výnosov, a to aj ak nepredpokladali, že ich výnosy z regulovanej činnosti dosiahnu túto hranicu a túto skutočnosť zistia až po zostavení účtovnej závierky za uplynu</w:t>
      </w:r>
      <w:r w:rsidRPr="005D1DF8">
        <w:t>lé účtovné obdobie. Ďalej sa navrhuje zachovať statusovú kontinuitu regulovanej osoby, a to aj napriek zmene pomeru výnosov z regulovanej činnosti k celkovým výnosom.</w:t>
      </w:r>
    </w:p>
    <w:p w:rsidR="005D1DF8" w:rsidP="005D1DF8">
      <w:pPr>
        <w:ind w:left="2124" w:firstLine="708"/>
        <w:jc w:val="both"/>
        <w:rPr>
          <w:b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jc w:val="both"/>
      </w:pPr>
    </w:p>
    <w:p w:rsidR="005D1DF8" w:rsidRPr="005D1DF8" w:rsidP="005D1DF8">
      <w:pPr>
        <w:numPr>
          <w:ilvl w:val="0"/>
          <w:numId w:val="32"/>
        </w:numPr>
        <w:tabs>
          <w:tab w:val="num" w:pos="644"/>
        </w:tabs>
        <w:ind w:left="644"/>
        <w:contextualSpacing/>
        <w:jc w:val="both"/>
        <w:rPr>
          <w:rFonts w:cs="Iskoola Pota"/>
          <w:bCs/>
          <w:lang w:eastAsia="en-US"/>
        </w:rPr>
      </w:pPr>
      <w:r w:rsidRPr="005D1DF8">
        <w:rPr>
          <w:rFonts w:cs="Iskoola Pota"/>
          <w:bCs/>
          <w:lang w:eastAsia="en-US"/>
        </w:rPr>
        <w:t>V čl. I § 4 ods. 1 sa za slová „výsledok hospodárenia“ vkladajú slová „alebo rozdiel medzi príjmami a výdavkami, ak účtuje v sústave jednoduchého účtovníctva (ďalej len „výsledok hospodárenia“),“.</w:t>
      </w:r>
    </w:p>
    <w:p w:rsidR="005D1DF8" w:rsidRPr="005D1DF8" w:rsidP="005D1DF8">
      <w:pPr>
        <w:tabs>
          <w:tab w:val="left" w:pos="2835"/>
        </w:tabs>
        <w:ind w:left="360"/>
        <w:contextualSpacing/>
        <w:jc w:val="both"/>
        <w:rPr>
          <w:rFonts w:cs="Iskoola Pota"/>
          <w:b/>
          <w:bCs/>
          <w:lang w:eastAsia="en-US"/>
        </w:rPr>
      </w:pPr>
      <w:r w:rsidRPr="005D1DF8">
        <w:rPr>
          <w:rFonts w:cs="Iskoola Pota"/>
          <w:b/>
          <w:bCs/>
          <w:lang w:eastAsia="en-US"/>
        </w:rPr>
        <w:t xml:space="preserve">                                      </w:t>
      </w:r>
    </w:p>
    <w:p w:rsidR="005D1DF8" w:rsidRPr="005D1DF8" w:rsidP="005D1DF8">
      <w:pPr>
        <w:ind w:left="2832"/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>Dopĺňa sa úprava aj pre osoby, ktoré účtujú v sústave                      jednoduchého účtovníctva.</w:t>
      </w:r>
    </w:p>
    <w:p w:rsidR="005D1DF8" w:rsidRPr="005D1DF8" w:rsidP="005D1DF8">
      <w:pPr>
        <w:jc w:val="both"/>
        <w:rPr>
          <w:bCs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jc w:val="both"/>
        <w:rPr>
          <w:bCs/>
        </w:rPr>
      </w:pPr>
    </w:p>
    <w:p w:rsidR="005D1DF8" w:rsidRPr="005D1DF8" w:rsidP="005D1DF8">
      <w:pPr>
        <w:numPr>
          <w:ilvl w:val="0"/>
          <w:numId w:val="32"/>
        </w:numPr>
        <w:tabs>
          <w:tab w:val="num" w:pos="644"/>
        </w:tabs>
        <w:ind w:left="644"/>
        <w:contextualSpacing/>
        <w:jc w:val="both"/>
        <w:rPr>
          <w:rFonts w:cs="Iskoola Pota"/>
          <w:bCs/>
          <w:lang w:eastAsia="en-US"/>
        </w:rPr>
      </w:pPr>
      <w:r w:rsidRPr="005D1DF8">
        <w:rPr>
          <w:rFonts w:cs="Iskoola Pota"/>
          <w:bCs/>
          <w:lang w:eastAsia="en-US"/>
        </w:rPr>
        <w:t>V čl. I § 4 sa vypúšťa odsek 4.</w:t>
      </w:r>
    </w:p>
    <w:p w:rsidR="005D1DF8" w:rsidRPr="005D1DF8" w:rsidP="005D1DF8">
      <w:pPr>
        <w:ind w:left="360"/>
        <w:jc w:val="both"/>
        <w:rPr>
          <w:rFonts w:cs="Iskoola Pota"/>
          <w:bCs/>
          <w:lang w:eastAsia="en-US"/>
        </w:rPr>
      </w:pPr>
      <w:r w:rsidRPr="005D1DF8">
        <w:rPr>
          <w:rFonts w:cs="Iskoola Pota"/>
          <w:bCs/>
          <w:lang w:eastAsia="en-US"/>
        </w:rPr>
        <w:t xml:space="preserve">     Doterajšie odseky 5 až 7 sa označujú ako odseky 4 až 6.</w:t>
      </w:r>
    </w:p>
    <w:p w:rsidR="005D1DF8" w:rsidRPr="005D1DF8" w:rsidP="005D1DF8">
      <w:pPr>
        <w:tabs>
          <w:tab w:val="left" w:pos="2835"/>
        </w:tabs>
        <w:jc w:val="both"/>
        <w:rPr>
          <w:b/>
          <w:bCs/>
        </w:rPr>
      </w:pPr>
      <w:r w:rsidRPr="005D1DF8">
        <w:t xml:space="preserve">                                               </w:t>
      </w:r>
    </w:p>
    <w:p w:rsidR="005D1DF8" w:rsidRPr="005D1DF8" w:rsidP="005D1DF8">
      <w:pPr>
        <w:ind w:left="2832"/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>Ustanovenia sa vypúšťa  ako obsolentné z dôvodu navrhovanej úpravy v bode  21.</w:t>
      </w:r>
    </w:p>
    <w:p w:rsidR="005D1DF8" w:rsidRPr="005D1DF8" w:rsidP="005D1DF8">
      <w:pPr>
        <w:ind w:left="360"/>
        <w:contextualSpacing/>
        <w:jc w:val="both"/>
        <w:rPr>
          <w:rFonts w:cs="Iskoola Pota"/>
          <w:color w:val="000000"/>
          <w:lang w:eastAsia="en-US" w:bidi="si-LK"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ind w:left="360"/>
        <w:contextualSpacing/>
        <w:jc w:val="both"/>
        <w:rPr>
          <w:rFonts w:cs="Iskoola Pota"/>
          <w:color w:val="000000"/>
          <w:lang w:eastAsia="en-US" w:bidi="si-LK"/>
        </w:rPr>
      </w:pPr>
    </w:p>
    <w:p w:rsidR="005D1DF8" w:rsidRPr="005D1DF8" w:rsidP="005D1DF8">
      <w:pPr>
        <w:numPr>
          <w:ilvl w:val="0"/>
          <w:numId w:val="32"/>
        </w:numPr>
        <w:tabs>
          <w:tab w:val="num" w:pos="644"/>
        </w:tabs>
        <w:ind w:left="644"/>
        <w:contextualSpacing/>
        <w:jc w:val="both"/>
        <w:rPr>
          <w:rFonts w:cs="Iskoola Pota"/>
          <w:bCs/>
          <w:lang w:eastAsia="en-US"/>
        </w:rPr>
      </w:pPr>
      <w:r w:rsidRPr="005D1DF8">
        <w:rPr>
          <w:rFonts w:cs="Iskoola Pota"/>
          <w:bCs/>
          <w:lang w:eastAsia="en-US"/>
        </w:rPr>
        <w:t>V čl. I § 4 doterajšom odseku 6 sa slová „právnickej osobe“ nahrádzajú slovami „osobe alebo organizačnej zložke zahraničnej osoby“.</w:t>
      </w:r>
    </w:p>
    <w:p w:rsidR="005D1DF8" w:rsidRPr="005D1DF8" w:rsidP="005D1DF8">
      <w:pPr>
        <w:tabs>
          <w:tab w:val="left" w:pos="2835"/>
        </w:tabs>
        <w:ind w:left="360"/>
        <w:contextualSpacing/>
        <w:jc w:val="both"/>
        <w:rPr>
          <w:rFonts w:cs="Iskoola Pota"/>
          <w:b/>
          <w:bCs/>
          <w:lang w:eastAsia="en-US"/>
        </w:rPr>
      </w:pPr>
      <w:r w:rsidRPr="005D1DF8">
        <w:rPr>
          <w:rFonts w:cs="Iskoola Pota"/>
          <w:b/>
          <w:bCs/>
          <w:lang w:eastAsia="en-US"/>
        </w:rPr>
        <w:t xml:space="preserve">                                          </w:t>
      </w:r>
    </w:p>
    <w:p w:rsidR="005D1DF8" w:rsidRPr="005D1DF8" w:rsidP="005D1DF8">
      <w:pPr>
        <w:tabs>
          <w:tab w:val="left" w:pos="2835"/>
        </w:tabs>
        <w:ind w:left="360"/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b/>
          <w:bCs/>
          <w:lang w:eastAsia="en-US"/>
        </w:rPr>
        <w:t xml:space="preserve">                                          </w:t>
      </w:r>
      <w:r w:rsidRPr="005D1DF8">
        <w:rPr>
          <w:rFonts w:cs="Iskoola Pota"/>
          <w:lang w:eastAsia="en-US"/>
        </w:rPr>
        <w:t xml:space="preserve">Ide o legislatívno – technickú úpravu súvisiacu s bodom 1. </w:t>
      </w:r>
    </w:p>
    <w:p w:rsidR="005D1DF8" w:rsidRPr="005D1DF8" w:rsidP="005D1DF8">
      <w:pPr>
        <w:ind w:left="644"/>
        <w:contextualSpacing/>
        <w:jc w:val="both"/>
        <w:rPr>
          <w:rFonts w:cs="Iskoola Pota"/>
          <w:bCs/>
          <w:lang w:eastAsia="en-US"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ind w:left="644"/>
        <w:contextualSpacing/>
        <w:jc w:val="both"/>
        <w:rPr>
          <w:rFonts w:cs="Iskoola Pota"/>
          <w:bCs/>
          <w:lang w:eastAsia="en-US"/>
        </w:rPr>
      </w:pPr>
    </w:p>
    <w:p w:rsidR="005D1DF8" w:rsidRPr="005D1DF8" w:rsidP="005D1DF8">
      <w:pPr>
        <w:numPr>
          <w:ilvl w:val="0"/>
          <w:numId w:val="32"/>
        </w:numPr>
        <w:tabs>
          <w:tab w:val="num" w:pos="644"/>
        </w:tabs>
        <w:ind w:left="644"/>
        <w:contextualSpacing/>
        <w:jc w:val="both"/>
        <w:rPr>
          <w:rFonts w:cs="Iskoola Pota"/>
          <w:bCs/>
          <w:lang w:eastAsia="en-US"/>
        </w:rPr>
      </w:pPr>
      <w:r w:rsidRPr="005D1DF8">
        <w:rPr>
          <w:rFonts w:cs="Iskoola Pota"/>
          <w:lang w:eastAsia="en-US"/>
        </w:rPr>
        <w:t>V čl. I</w:t>
      </w:r>
      <w:r w:rsidRPr="005D1DF8">
        <w:rPr>
          <w:rFonts w:cs="Iskoola Pota"/>
          <w:color w:val="000000"/>
          <w:lang w:eastAsia="en-US" w:bidi="si-LK"/>
        </w:rPr>
        <w:t> doterajšie znenie § 4 sa dopĺňa odsekom 8, ktorý znie:</w:t>
      </w:r>
      <w:r w:rsidRPr="005D1DF8">
        <w:rPr>
          <w:rFonts w:cs="Iskoola Pota"/>
          <w:bCs/>
          <w:lang w:eastAsia="en-US"/>
        </w:rPr>
        <w:t xml:space="preserve"> </w:t>
      </w:r>
    </w:p>
    <w:p w:rsidR="005D1DF8" w:rsidRPr="005D1DF8" w:rsidP="005D1DF8">
      <w:pPr>
        <w:ind w:left="644"/>
        <w:contextualSpacing/>
        <w:jc w:val="both"/>
        <w:rPr>
          <w:rFonts w:cs="Iskoola Pota"/>
          <w:color w:val="000000"/>
          <w:lang w:eastAsia="en-US" w:bidi="si-LK"/>
        </w:rPr>
      </w:pPr>
      <w:r w:rsidRPr="005D1DF8">
        <w:rPr>
          <w:rFonts w:cs="Iskoola Pota"/>
          <w:bCs/>
          <w:lang w:eastAsia="en-US"/>
        </w:rPr>
        <w:t>„(8) Ak regulovanej osobe nevznikla povinnosť platiť odvod podľa odseku 1, § 13 ods. 1 alebo 4, vzniká jej povinnosť</w:t>
      </w:r>
      <w:r w:rsidRPr="005D1DF8">
        <w:rPr>
          <w:rFonts w:cs="Iskoola Pota"/>
          <w:color w:val="000000"/>
          <w:lang w:eastAsia="en-US" w:bidi="si-LK"/>
        </w:rPr>
        <w:t xml:space="preserve"> platiť odvod počnúc prvým odvodovým obdobím účtovného obdobia, za ktoré jej výsledok hospodárenia dosiahne aspoň sumu základu odvodu podľa odseku 2, najskôr však odvodovým obdobím, ktorým je september 2012.“.</w:t>
      </w:r>
    </w:p>
    <w:p w:rsidR="005D1DF8" w:rsidRPr="005D1DF8" w:rsidP="005D1DF8">
      <w:pPr>
        <w:tabs>
          <w:tab w:val="left" w:pos="2835"/>
        </w:tabs>
        <w:ind w:left="360"/>
        <w:contextualSpacing/>
        <w:jc w:val="both"/>
        <w:rPr>
          <w:rFonts w:cs="Iskoola Pota"/>
          <w:b/>
          <w:bCs/>
          <w:lang w:eastAsia="en-US"/>
        </w:rPr>
      </w:pPr>
      <w:r w:rsidRPr="005D1DF8">
        <w:rPr>
          <w:rFonts w:cs="Iskoola Pota"/>
          <w:b/>
          <w:bCs/>
          <w:lang w:eastAsia="en-US"/>
        </w:rPr>
        <w:tab/>
      </w:r>
    </w:p>
    <w:p w:rsidR="005D1DF8" w:rsidRPr="005D1DF8" w:rsidP="005D1DF8">
      <w:pPr>
        <w:ind w:left="2832"/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>Vzhľadom na to, že odvod sa platí z reálne vykázaného výsledku hospodárenia, navrhuje sa, aby  povinnosť platiť odvod vznikla aj v prípade, ak sa zistí splnenie podmienok vzniku tejto povinnosti až po predložení účtovnej závierky za príslušné účtovné obdobie.</w:t>
      </w:r>
    </w:p>
    <w:p w:rsidR="005D1DF8" w:rsidRPr="005D1DF8" w:rsidP="005D1DF8">
      <w:pPr>
        <w:ind w:left="360"/>
        <w:contextualSpacing/>
        <w:jc w:val="both"/>
        <w:rPr>
          <w:rFonts w:cs="Iskoola Pota"/>
          <w:color w:val="000000"/>
          <w:lang w:eastAsia="en-US" w:bidi="si-LK"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ind w:left="360"/>
        <w:contextualSpacing/>
        <w:jc w:val="both"/>
        <w:rPr>
          <w:rFonts w:cs="Iskoola Pota"/>
          <w:color w:val="000000"/>
          <w:lang w:eastAsia="en-US" w:bidi="si-LK"/>
        </w:rPr>
      </w:pPr>
    </w:p>
    <w:p w:rsidR="005D1DF8" w:rsidRPr="005D1DF8" w:rsidP="005D1DF8">
      <w:pPr>
        <w:numPr>
          <w:ilvl w:val="0"/>
          <w:numId w:val="32"/>
        </w:numPr>
        <w:tabs>
          <w:tab w:val="num" w:pos="360"/>
        </w:tabs>
        <w:contextualSpacing/>
        <w:jc w:val="both"/>
        <w:rPr>
          <w:rFonts w:cs="Iskoola Pota"/>
          <w:color w:val="000000"/>
          <w:lang w:eastAsia="en-US" w:bidi="si-LK"/>
        </w:rPr>
      </w:pPr>
      <w:r w:rsidRPr="005D1DF8">
        <w:rPr>
          <w:rFonts w:cs="Iskoola Pota"/>
          <w:lang w:eastAsia="en-US"/>
        </w:rPr>
        <w:t xml:space="preserve">V čl. I </w:t>
      </w:r>
      <w:r w:rsidRPr="005D1DF8">
        <w:rPr>
          <w:rFonts w:cs="Iskoola Pota"/>
          <w:color w:val="000000"/>
          <w:lang w:eastAsia="en-US" w:bidi="si-LK"/>
        </w:rPr>
        <w:t xml:space="preserve"> § 5 ods. 1 sa za slovom „</w:t>
      </w:r>
      <w:r w:rsidRPr="005D1DF8">
        <w:rPr>
          <w:rFonts w:cs="Iskoola Pota"/>
          <w:lang w:eastAsia="en-US"/>
        </w:rPr>
        <w:t>hospodárenia“</w:t>
      </w:r>
      <w:r w:rsidRPr="005D1DF8">
        <w:rPr>
          <w:rFonts w:cs="Iskoola Pota"/>
          <w:color w:val="000000"/>
          <w:lang w:eastAsia="en-US" w:bidi="si-LK"/>
        </w:rPr>
        <w:t xml:space="preserve"> vypúšťa odkaz 12.</w:t>
      </w:r>
    </w:p>
    <w:p w:rsidR="005D1DF8" w:rsidRPr="005D1DF8" w:rsidP="005D1DF8">
      <w:pPr>
        <w:ind w:left="360"/>
        <w:contextualSpacing/>
        <w:jc w:val="both"/>
        <w:rPr>
          <w:rFonts w:cs="Iskoola Pota"/>
          <w:color w:val="000000"/>
          <w:lang w:eastAsia="en-US" w:bidi="si-LK"/>
        </w:rPr>
      </w:pPr>
      <w:r w:rsidRPr="005D1DF8">
        <w:rPr>
          <w:rFonts w:cs="Iskoola Pota"/>
          <w:color w:val="000000"/>
          <w:lang w:eastAsia="en-US" w:bidi="si-LK"/>
        </w:rPr>
        <w:t>Poznámka pod čiarou k odkazu 12 sa vypúšťa.</w:t>
      </w:r>
    </w:p>
    <w:p w:rsidR="005D1DF8" w:rsidRPr="005D1DF8" w:rsidP="005D1DF8">
      <w:pPr>
        <w:ind w:left="360"/>
        <w:contextualSpacing/>
        <w:jc w:val="both"/>
        <w:rPr>
          <w:rFonts w:cs="Iskoola Pota"/>
          <w:color w:val="000000"/>
          <w:lang w:eastAsia="en-US" w:bidi="si-LK"/>
        </w:rPr>
      </w:pPr>
      <w:r w:rsidRPr="005D1DF8">
        <w:rPr>
          <w:rFonts w:cs="Iskoola Pota"/>
          <w:color w:val="000000"/>
          <w:lang w:eastAsia="en-US" w:bidi="si-LK"/>
        </w:rPr>
        <w:t>Doterajšie odkazy sa primerane prečíslujú.</w:t>
      </w:r>
    </w:p>
    <w:p w:rsidR="005D1DF8" w:rsidRPr="005D1DF8" w:rsidP="005D1DF8">
      <w:pPr>
        <w:ind w:left="360"/>
        <w:contextualSpacing/>
        <w:jc w:val="both"/>
        <w:rPr>
          <w:rFonts w:cs="Iskoola Pota"/>
          <w:color w:val="000000"/>
          <w:lang w:eastAsia="en-US" w:bidi="si-LK"/>
        </w:rPr>
      </w:pPr>
    </w:p>
    <w:p w:rsidR="005D1DF8" w:rsidRPr="005D1DF8" w:rsidP="005D1DF8">
      <w:pPr>
        <w:tabs>
          <w:tab w:val="left" w:pos="2835"/>
        </w:tabs>
        <w:ind w:left="2832"/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b/>
          <w:bCs/>
          <w:lang w:eastAsia="en-US"/>
        </w:rPr>
        <w:tab/>
      </w:r>
      <w:r w:rsidRPr="005D1DF8">
        <w:rPr>
          <w:rFonts w:cs="Iskoola Pota"/>
          <w:lang w:eastAsia="en-US"/>
        </w:rPr>
        <w:t>Navrhovanou úpravou sa za základ odvodu bude považovať výsledok hospodárenia pred zdanením.</w:t>
      </w:r>
    </w:p>
    <w:p w:rsidR="005D1DF8" w:rsidRPr="005D1DF8" w:rsidP="005D1DF8">
      <w:pPr>
        <w:ind w:left="360"/>
        <w:contextualSpacing/>
        <w:jc w:val="both"/>
        <w:rPr>
          <w:rFonts w:cs="Iskoola Pota"/>
          <w:color w:val="000000"/>
          <w:lang w:eastAsia="en-US" w:bidi="si-LK"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ind w:left="360"/>
        <w:contextualSpacing/>
        <w:jc w:val="both"/>
        <w:rPr>
          <w:rFonts w:cs="Iskoola Pota"/>
          <w:color w:val="000000"/>
          <w:lang w:eastAsia="en-US" w:bidi="si-LK"/>
        </w:rPr>
      </w:pPr>
    </w:p>
    <w:p w:rsidR="005D1DF8" w:rsidRPr="005D1DF8" w:rsidP="005D1DF8">
      <w:pPr>
        <w:numPr>
          <w:ilvl w:val="0"/>
          <w:numId w:val="32"/>
        </w:numPr>
        <w:tabs>
          <w:tab w:val="num" w:pos="426"/>
        </w:tabs>
        <w:ind w:left="644" w:hanging="644"/>
        <w:contextualSpacing/>
        <w:jc w:val="both"/>
        <w:rPr>
          <w:rFonts w:cs="Iskoola Pota"/>
          <w:color w:val="000000"/>
          <w:lang w:eastAsia="en-US" w:bidi="si-LK"/>
        </w:rPr>
      </w:pPr>
      <w:r w:rsidRPr="005D1DF8">
        <w:rPr>
          <w:rFonts w:cs="Iskoola Pota"/>
          <w:color w:val="000000"/>
          <w:lang w:eastAsia="en-US" w:bidi="si-LK"/>
        </w:rPr>
        <w:t>V čl. I sa v poznámke pod čiarou k doterajšiemu odkazu 13  slová „§ 4 ods. 2 zákona“</w:t>
      </w:r>
    </w:p>
    <w:p w:rsidR="005D1DF8" w:rsidRPr="005D1DF8" w:rsidP="005D1DF8">
      <w:pPr>
        <w:contextualSpacing/>
        <w:jc w:val="both"/>
        <w:rPr>
          <w:rFonts w:cs="Iskoola Pota"/>
          <w:color w:val="000000"/>
          <w:lang w:eastAsia="en-US" w:bidi="si-LK"/>
        </w:rPr>
      </w:pPr>
      <w:r w:rsidRPr="005D1DF8">
        <w:rPr>
          <w:rFonts w:cs="Iskoola Pota"/>
          <w:color w:val="000000"/>
          <w:lang w:eastAsia="en-US" w:bidi="si-LK"/>
        </w:rPr>
        <w:t xml:space="preserve">        nahrádzajú slovom „Zákon“.</w:t>
      </w:r>
    </w:p>
    <w:p w:rsidR="005D1DF8" w:rsidRPr="005D1DF8" w:rsidP="005D1DF8">
      <w:pPr>
        <w:ind w:left="644"/>
        <w:contextualSpacing/>
        <w:jc w:val="both"/>
        <w:rPr>
          <w:rFonts w:cs="Iskoola Pota"/>
          <w:color w:val="000000"/>
          <w:lang w:eastAsia="en-US" w:bidi="si-LK"/>
        </w:rPr>
      </w:pPr>
    </w:p>
    <w:p w:rsidR="005D1DF8" w:rsidRPr="005D1DF8" w:rsidP="005D1DF8">
      <w:pPr>
        <w:tabs>
          <w:tab w:val="left" w:pos="2835"/>
        </w:tabs>
        <w:ind w:left="360"/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color w:val="000000"/>
          <w:lang w:eastAsia="en-US" w:bidi="si-LK"/>
        </w:rPr>
        <w:t xml:space="preserve">                                         </w:t>
      </w:r>
      <w:r w:rsidRPr="005D1DF8">
        <w:rPr>
          <w:rFonts w:cs="Iskoola Pota"/>
          <w:lang w:eastAsia="en-US"/>
        </w:rPr>
        <w:t>Ide o legislatívno- technickú úpravu súvisiacu s bodom 12.</w:t>
      </w:r>
    </w:p>
    <w:p w:rsidR="005D1DF8" w:rsidRPr="005D1DF8" w:rsidP="005D1DF8">
      <w:pPr>
        <w:ind w:left="360"/>
        <w:contextualSpacing/>
        <w:jc w:val="both"/>
        <w:rPr>
          <w:rFonts w:cs="Iskoola Pota"/>
          <w:color w:val="000000"/>
          <w:lang w:eastAsia="en-US" w:bidi="si-LK"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P="005D1DF8">
      <w:pPr>
        <w:ind w:left="360"/>
        <w:contextualSpacing/>
        <w:jc w:val="both"/>
        <w:rPr>
          <w:rFonts w:cs="Iskoola Pota"/>
          <w:color w:val="000000"/>
          <w:lang w:eastAsia="en-US" w:bidi="si-LK"/>
        </w:rPr>
      </w:pPr>
    </w:p>
    <w:p w:rsidR="005D1DF8" w:rsidRPr="005D1DF8" w:rsidP="005D1DF8">
      <w:pPr>
        <w:ind w:left="360"/>
        <w:contextualSpacing/>
        <w:jc w:val="both"/>
        <w:rPr>
          <w:rFonts w:cs="Iskoola Pota"/>
          <w:color w:val="000000"/>
          <w:lang w:eastAsia="en-US" w:bidi="si-LK"/>
        </w:rPr>
      </w:pPr>
    </w:p>
    <w:p w:rsidR="005D1DF8" w:rsidRPr="005D1DF8" w:rsidP="005D1DF8">
      <w:pPr>
        <w:numPr>
          <w:ilvl w:val="0"/>
          <w:numId w:val="32"/>
        </w:numPr>
        <w:tabs>
          <w:tab w:val="num" w:pos="360"/>
        </w:tabs>
        <w:contextualSpacing/>
        <w:jc w:val="both"/>
        <w:rPr>
          <w:rFonts w:cs="Iskoola Pota"/>
          <w:color w:val="000000"/>
          <w:lang w:eastAsia="en-US" w:bidi="si-LK"/>
        </w:rPr>
      </w:pPr>
      <w:r w:rsidRPr="005D1DF8">
        <w:rPr>
          <w:rFonts w:cs="Iskoola Pota"/>
          <w:lang w:eastAsia="en-US"/>
        </w:rPr>
        <w:t xml:space="preserve">V čl. I </w:t>
      </w:r>
      <w:r w:rsidRPr="005D1DF8">
        <w:rPr>
          <w:rFonts w:cs="Iskoola Pota"/>
          <w:color w:val="000000"/>
          <w:lang w:eastAsia="en-US" w:bidi="si-LK"/>
        </w:rPr>
        <w:t> § 5 ods. 3 a 4 sa za slová „</w:t>
      </w:r>
      <w:r w:rsidRPr="005D1DF8">
        <w:rPr>
          <w:rFonts w:cs="Iskoola Pota"/>
          <w:lang w:eastAsia="en-US" w:bidi="si-LK"/>
        </w:rPr>
        <w:t>sa použije výsledok hospodárenia“ vkladajú slová „pred zdanením“.</w:t>
      </w:r>
    </w:p>
    <w:p w:rsidR="005D1DF8" w:rsidRPr="005D1DF8" w:rsidP="005D1DF8">
      <w:pPr>
        <w:tabs>
          <w:tab w:val="left" w:pos="2835"/>
        </w:tabs>
        <w:ind w:left="360"/>
        <w:contextualSpacing/>
        <w:jc w:val="both"/>
        <w:rPr>
          <w:rFonts w:cs="Iskoola Pota"/>
          <w:b/>
          <w:bCs/>
          <w:lang w:eastAsia="en-US"/>
        </w:rPr>
      </w:pPr>
      <w:r w:rsidRPr="005D1DF8">
        <w:rPr>
          <w:rFonts w:cs="Iskoola Pota"/>
          <w:b/>
          <w:bCs/>
          <w:lang w:eastAsia="en-US"/>
        </w:rPr>
        <w:tab/>
      </w:r>
    </w:p>
    <w:p w:rsidR="005D1DF8" w:rsidRPr="005D1DF8" w:rsidP="005D1DF8">
      <w:pPr>
        <w:ind w:left="2832"/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>Navrhovanou úpravou sa za základ odvodu bude považovať výsledok hospodárenia pred zdanením.</w:t>
      </w:r>
    </w:p>
    <w:p w:rsidR="005D1DF8" w:rsidP="005D1DF8">
      <w:pPr>
        <w:ind w:left="2124" w:firstLine="708"/>
        <w:jc w:val="both"/>
        <w:rPr>
          <w:b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ind w:left="2484" w:firstLine="348"/>
        <w:contextualSpacing/>
        <w:jc w:val="both"/>
        <w:rPr>
          <w:rFonts w:cs="Iskoola Pota"/>
          <w:color w:val="000000"/>
          <w:lang w:eastAsia="en-US" w:bidi="si-LK"/>
        </w:rPr>
      </w:pPr>
    </w:p>
    <w:p w:rsidR="005D1DF8" w:rsidRPr="005D1DF8" w:rsidP="005D1DF8">
      <w:pPr>
        <w:ind w:left="2484" w:firstLine="348"/>
        <w:contextualSpacing/>
        <w:jc w:val="both"/>
        <w:rPr>
          <w:rFonts w:cs="Iskoola Pota"/>
          <w:color w:val="000000"/>
          <w:lang w:eastAsia="en-US" w:bidi="si-LK"/>
        </w:rPr>
      </w:pPr>
    </w:p>
    <w:p w:rsidR="005D1DF8" w:rsidRPr="005D1DF8" w:rsidP="005D1DF8">
      <w:pPr>
        <w:numPr>
          <w:ilvl w:val="0"/>
          <w:numId w:val="32"/>
        </w:numPr>
        <w:tabs>
          <w:tab w:val="num" w:pos="360"/>
        </w:tabs>
        <w:contextualSpacing/>
        <w:jc w:val="both"/>
        <w:rPr>
          <w:rFonts w:cs="Iskoola Pota"/>
          <w:color w:val="000000"/>
          <w:lang w:eastAsia="en-US" w:bidi="si-LK"/>
        </w:rPr>
      </w:pPr>
      <w:r w:rsidRPr="005D1DF8">
        <w:rPr>
          <w:rFonts w:cs="Iskoola Pota"/>
          <w:lang w:eastAsia="en-US"/>
        </w:rPr>
        <w:t xml:space="preserve">V čl. I </w:t>
      </w:r>
      <w:r w:rsidRPr="005D1DF8">
        <w:rPr>
          <w:rFonts w:cs="Iskoola Pota"/>
          <w:color w:val="000000"/>
          <w:lang w:eastAsia="en-US" w:bidi="si-LK"/>
        </w:rPr>
        <w:t>§ 5 sa dopĺňa odsekom 5, ktorý znie:</w:t>
      </w:r>
    </w:p>
    <w:p w:rsidR="005D1DF8" w:rsidRPr="005D1DF8" w:rsidP="005D1DF8">
      <w:pPr>
        <w:ind w:left="360"/>
        <w:contextualSpacing/>
        <w:jc w:val="both"/>
        <w:rPr>
          <w:rFonts w:cs="Iskoola Pota"/>
          <w:color w:val="000000"/>
          <w:lang w:eastAsia="en-US" w:bidi="si-LK"/>
        </w:rPr>
      </w:pPr>
      <w:r w:rsidRPr="005D1DF8">
        <w:rPr>
          <w:rFonts w:cs="Iskoola Pota"/>
          <w:color w:val="000000"/>
          <w:lang w:eastAsia="en-US" w:bidi="si-LK"/>
        </w:rPr>
        <w:t>„(5) Základ odvodu podľa odseku 1 sa znižuje o nárok na podiel na zisku od inej regulovanej osoby zaúčtovaný v účtovníctve podľa osobitného predpisu</w:t>
      </w:r>
      <w:r w:rsidRPr="005D1DF8">
        <w:rPr>
          <w:rFonts w:cs="Iskoola Pota"/>
          <w:color w:val="000000"/>
          <w:vertAlign w:val="superscript"/>
          <w:lang w:eastAsia="en-US" w:bidi="si-LK"/>
        </w:rPr>
        <w:t>13</w:t>
      </w:r>
      <w:r w:rsidRPr="005D1DF8">
        <w:rPr>
          <w:rFonts w:cs="Iskoola Pota"/>
          <w:color w:val="000000"/>
          <w:lang w:eastAsia="en-US" w:bidi="si-LK"/>
        </w:rPr>
        <w:t>) za predpokladu, ak táto iná regulovaná osoba zaplatila odvod z výsledku hospodárenia, z ktorého sa tieto podiely na zisku vypočítali.“.</w:t>
      </w:r>
    </w:p>
    <w:p w:rsidR="005D1DF8" w:rsidRPr="005D1DF8" w:rsidP="005D1DF8">
      <w:pPr>
        <w:tabs>
          <w:tab w:val="left" w:pos="2835"/>
        </w:tabs>
        <w:ind w:left="360"/>
        <w:contextualSpacing/>
        <w:jc w:val="both"/>
        <w:rPr>
          <w:rFonts w:cs="Iskoola Pota"/>
          <w:b/>
          <w:bCs/>
          <w:lang w:eastAsia="en-US"/>
        </w:rPr>
      </w:pPr>
      <w:r w:rsidRPr="005D1DF8">
        <w:rPr>
          <w:rFonts w:cs="Iskoola Pota"/>
          <w:b/>
          <w:bCs/>
          <w:lang w:eastAsia="en-US"/>
        </w:rPr>
        <w:tab/>
        <w:tab/>
      </w:r>
    </w:p>
    <w:p w:rsidR="005D1DF8" w:rsidRPr="005D1DF8" w:rsidP="005D1DF8">
      <w:pPr>
        <w:tabs>
          <w:tab w:val="left" w:pos="2835"/>
        </w:tabs>
        <w:ind w:left="2832"/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ab/>
        <w:t xml:space="preserve">Navrhovanou úpravou sa zabezpečuje, že vyplatené dividendy budú iba raz zaťažené odvodom u regulovanej osoby, t.j. ak dividendy boli zahrnuté do výsledku hospodárenia pred zdanením, z ktorého regulovaná účtovná jednotka vypočítala odvod a plynuli materskej spoločnosti alebo spoločnosti s podstatným vplyvom, tieto ho následne z výsledku hospodárenia na účely výpočtu odvodu vylúčia. </w:t>
      </w:r>
    </w:p>
    <w:p w:rsidR="005D1DF8" w:rsidRPr="005D1DF8" w:rsidP="005D1DF8">
      <w:pPr>
        <w:ind w:left="360"/>
        <w:contextualSpacing/>
        <w:jc w:val="both"/>
        <w:rPr>
          <w:rFonts w:cs="Iskoola Pota"/>
          <w:lang w:eastAsia="en-US"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ind w:left="360"/>
        <w:contextualSpacing/>
        <w:jc w:val="both"/>
        <w:rPr>
          <w:rFonts w:cs="Iskoola Pota"/>
          <w:lang w:eastAsia="en-US"/>
        </w:rPr>
      </w:pPr>
    </w:p>
    <w:p w:rsidR="005D1DF8" w:rsidRPr="005D1DF8" w:rsidP="005D1DF8">
      <w:pPr>
        <w:numPr>
          <w:ilvl w:val="0"/>
          <w:numId w:val="32"/>
        </w:numPr>
        <w:tabs>
          <w:tab w:val="num" w:pos="426"/>
        </w:tabs>
        <w:ind w:left="644" w:hanging="644"/>
        <w:contextualSpacing/>
        <w:jc w:val="both"/>
        <w:rPr>
          <w:rFonts w:cs="Iskoola Pota"/>
          <w:color w:val="000000"/>
          <w:lang w:eastAsia="en-US" w:bidi="si-LK"/>
        </w:rPr>
      </w:pPr>
      <w:r w:rsidRPr="005D1DF8">
        <w:rPr>
          <w:rFonts w:cs="Iskoola Pota"/>
          <w:color w:val="000000"/>
          <w:lang w:eastAsia="en-US" w:bidi="si-LK"/>
        </w:rPr>
        <w:t>V čl. I § 6  sa číslo „0,00351“ nahrádza číslom „0,00363“.</w:t>
      </w:r>
    </w:p>
    <w:p w:rsidR="005D1DF8" w:rsidRPr="005D1DF8" w:rsidP="005D1DF8">
      <w:pPr>
        <w:ind w:firstLine="284"/>
        <w:jc w:val="both"/>
        <w:rPr>
          <w:b/>
          <w:bCs/>
        </w:rPr>
      </w:pPr>
      <w:r w:rsidRPr="005D1DF8">
        <w:rPr>
          <w:b/>
          <w:bCs/>
        </w:rPr>
        <w:t xml:space="preserve">                                       </w:t>
      </w:r>
    </w:p>
    <w:p w:rsidR="005D1DF8" w:rsidRPr="005D1DF8" w:rsidP="005D1DF8">
      <w:pPr>
        <w:ind w:left="2835"/>
        <w:jc w:val="both"/>
        <w:rPr>
          <w:bCs/>
        </w:rPr>
      </w:pPr>
      <w:r w:rsidRPr="005D1DF8">
        <w:rPr>
          <w:bCs/>
        </w:rPr>
        <w:t>Upravuje sa sadzba odvodu vzhľadom na skutočnosť, že odvod                     sa bude platiť len zo sumy prevyšujúcej 3 mil. eur.</w:t>
      </w:r>
    </w:p>
    <w:p w:rsidR="005D1DF8" w:rsidP="005D1DF8">
      <w:pPr>
        <w:ind w:left="2124" w:firstLine="708"/>
        <w:jc w:val="both"/>
        <w:rPr>
          <w:b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jc w:val="both"/>
      </w:pPr>
    </w:p>
    <w:p w:rsidR="005D1DF8" w:rsidRPr="005D1DF8" w:rsidP="005D1DF8">
      <w:pPr>
        <w:jc w:val="both"/>
      </w:pPr>
    </w:p>
    <w:p w:rsidR="005D1DF8" w:rsidRPr="005D1DF8" w:rsidP="005D1DF8">
      <w:pPr>
        <w:numPr>
          <w:ilvl w:val="0"/>
          <w:numId w:val="32"/>
        </w:numPr>
        <w:tabs>
          <w:tab w:val="num" w:pos="426"/>
        </w:tabs>
        <w:ind w:left="644" w:hanging="644"/>
        <w:jc w:val="both"/>
      </w:pPr>
      <w:r w:rsidRPr="005D1DF8">
        <w:t>V čl. I § 7 vrátane nadpisu znie:</w:t>
      </w:r>
    </w:p>
    <w:p w:rsidR="005D1DF8" w:rsidRPr="005D1DF8" w:rsidP="005D1DF8">
      <w:pPr>
        <w:jc w:val="center"/>
      </w:pPr>
      <w:r w:rsidRPr="005D1DF8">
        <w:t>„§ 7</w:t>
      </w:r>
    </w:p>
    <w:p w:rsidR="005D1DF8" w:rsidRPr="005D1DF8" w:rsidP="005D1DF8">
      <w:pPr>
        <w:jc w:val="center"/>
      </w:pPr>
      <w:r w:rsidRPr="005D1DF8">
        <w:t>Výpočet odvodu</w:t>
      </w:r>
    </w:p>
    <w:p w:rsidR="005D1DF8" w:rsidRPr="005D1DF8" w:rsidP="005D1DF8">
      <w:pPr>
        <w:jc w:val="center"/>
      </w:pPr>
    </w:p>
    <w:p w:rsidR="005D1DF8" w:rsidRPr="005D1DF8" w:rsidP="005D1DF8">
      <w:pPr>
        <w:ind w:left="540"/>
        <w:jc w:val="both"/>
      </w:pPr>
      <w:r w:rsidRPr="005D1DF8">
        <w:t>Odvod sa vypočíta ako súčin sadzby odvodu a sumy základu odvodu, ktorá prevyšuje  sumu základu odvodu podľa § 4 ods. 2.“.</w:t>
      </w:r>
    </w:p>
    <w:p w:rsidR="005D1DF8" w:rsidRPr="005D1DF8" w:rsidP="005D1DF8">
      <w:pPr>
        <w:ind w:firstLine="284"/>
        <w:jc w:val="both"/>
        <w:rPr>
          <w:b/>
          <w:bCs/>
        </w:rPr>
      </w:pPr>
      <w:r w:rsidRPr="005D1DF8">
        <w:rPr>
          <w:b/>
          <w:bCs/>
        </w:rPr>
        <w:t xml:space="preserve">                                       </w:t>
      </w:r>
    </w:p>
    <w:p w:rsidR="005D1DF8" w:rsidRPr="005D1DF8" w:rsidP="005D1DF8">
      <w:pPr>
        <w:ind w:left="2835"/>
        <w:jc w:val="both"/>
        <w:rPr>
          <w:bCs/>
        </w:rPr>
      </w:pPr>
      <w:r w:rsidRPr="005D1DF8">
        <w:rPr>
          <w:bCs/>
        </w:rPr>
        <w:t xml:space="preserve">Navrhuje sa, aby sa odvod platil len zo sumy, ktorá prevyšuje minimálnu hranicu určenú pre vznik povinnosti platiť odvod. </w:t>
      </w:r>
    </w:p>
    <w:p w:rsidR="005D1DF8" w:rsidRPr="005D1DF8" w:rsidP="005D1DF8">
      <w:pPr>
        <w:tabs>
          <w:tab w:val="left" w:pos="2835"/>
        </w:tabs>
        <w:jc w:val="both"/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P="005D1DF8">
      <w:pPr>
        <w:tabs>
          <w:tab w:val="left" w:pos="2835"/>
        </w:tabs>
        <w:jc w:val="both"/>
      </w:pPr>
    </w:p>
    <w:p w:rsidR="00097515" w:rsidP="005D1DF8">
      <w:pPr>
        <w:tabs>
          <w:tab w:val="left" w:pos="2835"/>
        </w:tabs>
        <w:jc w:val="both"/>
      </w:pPr>
    </w:p>
    <w:p w:rsidR="00097515" w:rsidP="005D1DF8">
      <w:pPr>
        <w:tabs>
          <w:tab w:val="left" w:pos="2835"/>
        </w:tabs>
        <w:jc w:val="both"/>
      </w:pPr>
    </w:p>
    <w:p w:rsidR="00097515" w:rsidP="005D1DF8">
      <w:pPr>
        <w:tabs>
          <w:tab w:val="left" w:pos="2835"/>
        </w:tabs>
        <w:jc w:val="both"/>
      </w:pPr>
    </w:p>
    <w:p w:rsidR="00097515" w:rsidP="005D1DF8">
      <w:pPr>
        <w:tabs>
          <w:tab w:val="left" w:pos="2835"/>
        </w:tabs>
        <w:jc w:val="both"/>
      </w:pPr>
    </w:p>
    <w:p w:rsidR="005D1DF8" w:rsidRPr="005D1DF8" w:rsidP="005D1DF8">
      <w:pPr>
        <w:tabs>
          <w:tab w:val="left" w:pos="2835"/>
        </w:tabs>
        <w:jc w:val="both"/>
      </w:pPr>
    </w:p>
    <w:p w:rsidR="005D1DF8" w:rsidRPr="005D1DF8" w:rsidP="005D1DF8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</w:rPr>
      </w:pPr>
      <w:r w:rsidRPr="005D1DF8">
        <w:rPr>
          <w:bCs/>
        </w:rPr>
        <w:t>V čl. I § 8 ods. 3 písm. a) sa vypúšťajú slová „výsledok hospodárenia“ za slovom „alebo“.</w:t>
      </w:r>
    </w:p>
    <w:p w:rsidR="005D1DF8" w:rsidRPr="005D1DF8" w:rsidP="005D1DF8">
      <w:pPr>
        <w:tabs>
          <w:tab w:val="left" w:pos="426"/>
        </w:tabs>
        <w:jc w:val="both"/>
        <w:rPr>
          <w:bCs/>
        </w:rPr>
      </w:pPr>
      <w:r w:rsidRPr="005D1DF8">
        <w:rPr>
          <w:bCs/>
        </w:rPr>
        <w:tab/>
        <w:tab/>
        <w:tab/>
        <w:tab/>
        <w:tab/>
      </w:r>
    </w:p>
    <w:p w:rsidR="005D1DF8" w:rsidRPr="005D1DF8" w:rsidP="005D1DF8">
      <w:pPr>
        <w:tabs>
          <w:tab w:val="left" w:pos="426"/>
        </w:tabs>
        <w:jc w:val="both"/>
        <w:rPr>
          <w:bCs/>
        </w:rPr>
      </w:pPr>
      <w:r w:rsidRPr="005D1DF8">
        <w:rPr>
          <w:bCs/>
        </w:rPr>
        <w:t xml:space="preserve">                                             Ide o legislatívno-technickú úpravu.</w:t>
      </w:r>
    </w:p>
    <w:p w:rsidR="005D1DF8" w:rsidRPr="005D1DF8" w:rsidP="005D1DF8">
      <w:pPr>
        <w:tabs>
          <w:tab w:val="left" w:pos="2835"/>
        </w:tabs>
        <w:jc w:val="both"/>
      </w:pPr>
    </w:p>
    <w:p w:rsidR="005D1DF8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5D1DF8" w:rsidP="005D1DF8">
      <w:pPr>
        <w:ind w:left="1844" w:firstLine="708"/>
        <w:jc w:val="both"/>
        <w:rPr>
          <w:b/>
        </w:rPr>
      </w:pPr>
      <w:r>
        <w:rPr>
          <w:b/>
        </w:rPr>
        <w:t xml:space="preserve">     </w:t>
      </w:r>
      <w:r w:rsidRPr="000B0D61">
        <w:rPr>
          <w:b/>
        </w:rPr>
        <w:t xml:space="preserve">Ústavnoprávny výbor NR SR 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tabs>
          <w:tab w:val="left" w:pos="2835"/>
        </w:tabs>
        <w:jc w:val="both"/>
      </w:pPr>
    </w:p>
    <w:p w:rsidR="005D1DF8" w:rsidRPr="005D1DF8" w:rsidP="005D1DF8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bCs/>
        </w:rPr>
      </w:pPr>
      <w:r w:rsidRPr="005D1DF8">
        <w:rPr>
          <w:bCs/>
        </w:rPr>
        <w:t>V čl. I § 8 ods. 4 sa slová „ods. 4“ nahrádzajú slovami „ods. 5“.</w:t>
      </w:r>
    </w:p>
    <w:p w:rsidR="005D1DF8" w:rsidRPr="005D1DF8" w:rsidP="005D1DF8">
      <w:pPr>
        <w:jc w:val="both"/>
        <w:rPr>
          <w:bCs/>
        </w:rPr>
      </w:pPr>
    </w:p>
    <w:p w:rsidR="005D1DF8" w:rsidRPr="005D1DF8" w:rsidP="005D1DF8">
      <w:pPr>
        <w:ind w:left="2832" w:firstLine="3"/>
        <w:jc w:val="both"/>
        <w:rPr>
          <w:bCs/>
        </w:rPr>
      </w:pPr>
      <w:r w:rsidRPr="005D1DF8">
        <w:rPr>
          <w:bCs/>
        </w:rPr>
        <w:t xml:space="preserve">Ide o  úpravu vnútorného odkazu na nesprávny odsek 4. </w:t>
      </w:r>
    </w:p>
    <w:p w:rsidR="005D1DF8" w:rsidRPr="005D1DF8" w:rsidP="005D1DF8">
      <w:pPr>
        <w:tabs>
          <w:tab w:val="left" w:pos="2835"/>
        </w:tabs>
        <w:jc w:val="both"/>
      </w:pPr>
    </w:p>
    <w:p w:rsidR="005D1DF8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5D1DF8" w:rsidP="005D1DF8">
      <w:pPr>
        <w:ind w:left="1844" w:firstLine="708"/>
        <w:jc w:val="both"/>
        <w:rPr>
          <w:b/>
        </w:rPr>
      </w:pPr>
      <w:r>
        <w:rPr>
          <w:b/>
        </w:rPr>
        <w:t xml:space="preserve">     </w:t>
      </w:r>
      <w:r w:rsidRPr="000B0D61">
        <w:rPr>
          <w:b/>
        </w:rPr>
        <w:t xml:space="preserve">Ústavnoprávny výbor NR SR 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tabs>
          <w:tab w:val="left" w:pos="2835"/>
        </w:tabs>
        <w:jc w:val="both"/>
      </w:pPr>
    </w:p>
    <w:p w:rsidR="005D1DF8" w:rsidRPr="005D1DF8" w:rsidP="005D1DF8">
      <w:pPr>
        <w:numPr>
          <w:ilvl w:val="0"/>
          <w:numId w:val="32"/>
        </w:numPr>
        <w:tabs>
          <w:tab w:val="num" w:pos="360"/>
        </w:tabs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>V čl. I § 8 ods. 4 sa na konci pripája táto veta: „Regulovaná osoba je povinná platiť odvod na základe rozhodnutia podľa prvej vety počnúc odvodovým obdobím nasledujúcim po  kalendárnom mesiaci, v ktorom jej bolo rozhodnutie doručené.“.</w:t>
      </w:r>
    </w:p>
    <w:p w:rsidR="005D1DF8" w:rsidRPr="005D1DF8" w:rsidP="005D1DF8">
      <w:pPr>
        <w:tabs>
          <w:tab w:val="left" w:pos="2835"/>
        </w:tabs>
        <w:ind w:left="851"/>
        <w:jc w:val="both"/>
        <w:rPr>
          <w:b/>
          <w:bCs/>
        </w:rPr>
      </w:pPr>
      <w:r w:rsidRPr="005D1DF8">
        <w:rPr>
          <w:b/>
          <w:bCs/>
        </w:rPr>
        <w:tab/>
      </w:r>
    </w:p>
    <w:p w:rsidR="005D1DF8" w:rsidRPr="005D1DF8" w:rsidP="005D1DF8">
      <w:pPr>
        <w:tabs>
          <w:tab w:val="left" w:pos="2835"/>
        </w:tabs>
        <w:ind w:left="2835"/>
        <w:jc w:val="both"/>
      </w:pPr>
      <w:r w:rsidRPr="005D1DF8">
        <w:t>Dopĺňa sa odvodové obdobie, od ktorého je regulovaná osoba povinná platiť odvod na základe rozhodnutia.</w:t>
      </w:r>
    </w:p>
    <w:p w:rsidR="005D1DF8" w:rsidRPr="005D1DF8" w:rsidP="005D1DF8">
      <w:pPr>
        <w:contextualSpacing/>
        <w:jc w:val="both"/>
        <w:rPr>
          <w:rFonts w:cs="Iskoola Pota"/>
          <w:lang w:eastAsia="en-US"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contextualSpacing/>
        <w:jc w:val="both"/>
        <w:rPr>
          <w:rFonts w:cs="Iskoola Pota"/>
          <w:lang w:eastAsia="en-US"/>
        </w:rPr>
      </w:pPr>
    </w:p>
    <w:p w:rsidR="005D1DF8" w:rsidRPr="005D1DF8" w:rsidP="005D1DF8">
      <w:pPr>
        <w:numPr>
          <w:ilvl w:val="0"/>
          <w:numId w:val="32"/>
        </w:numPr>
        <w:tabs>
          <w:tab w:val="num" w:pos="360"/>
        </w:tabs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>V čl. I § 8 ods. 6 sa za slová „len proti“ vkladajú slová „základu odvodu,“.</w:t>
      </w:r>
    </w:p>
    <w:p w:rsidR="005D1DF8" w:rsidRPr="005D1DF8" w:rsidP="005D1DF8">
      <w:pPr>
        <w:tabs>
          <w:tab w:val="left" w:pos="2835"/>
        </w:tabs>
        <w:ind w:left="851"/>
        <w:jc w:val="both"/>
        <w:rPr>
          <w:b/>
          <w:bCs/>
        </w:rPr>
      </w:pPr>
      <w:r w:rsidRPr="005D1DF8">
        <w:rPr>
          <w:b/>
          <w:bCs/>
        </w:rPr>
        <w:t xml:space="preserve">                             </w:t>
        <w:tab/>
      </w:r>
    </w:p>
    <w:p w:rsidR="005D1DF8" w:rsidRPr="005D1DF8" w:rsidP="005D1DF8">
      <w:pPr>
        <w:ind w:left="2835" w:hanging="2475"/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 xml:space="preserve">                                          Navrhuje sa možnosť podať námietku aj proti sume základu                    odvodu.</w:t>
      </w:r>
    </w:p>
    <w:p w:rsidR="005D1DF8" w:rsidRPr="005D1DF8" w:rsidP="005D1DF8">
      <w:pPr>
        <w:ind w:left="2835" w:hanging="2475"/>
        <w:contextualSpacing/>
        <w:jc w:val="both"/>
        <w:rPr>
          <w:rFonts w:cs="Iskoola Pota"/>
          <w:lang w:eastAsia="en-US"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ind w:left="2835" w:hanging="2475"/>
        <w:contextualSpacing/>
        <w:jc w:val="both"/>
        <w:rPr>
          <w:rFonts w:cs="Iskoola Pota"/>
          <w:lang w:eastAsia="en-US"/>
        </w:rPr>
      </w:pPr>
    </w:p>
    <w:p w:rsidR="005D1DF8" w:rsidRPr="005D1DF8" w:rsidP="005D1DF8">
      <w:pPr>
        <w:numPr>
          <w:ilvl w:val="0"/>
          <w:numId w:val="32"/>
        </w:numPr>
        <w:tabs>
          <w:tab w:val="num" w:pos="360"/>
        </w:tabs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>V čl. I § 9 ods. 1 sa za slová „podľa § 8“ vkladajú slová „alebo odvody, ktoré mali byť zaplatené,“.</w:t>
      </w:r>
    </w:p>
    <w:p w:rsidR="005D1DF8" w:rsidRPr="005D1DF8" w:rsidP="005D1DF8">
      <w:pPr>
        <w:tabs>
          <w:tab w:val="left" w:pos="2835"/>
        </w:tabs>
        <w:jc w:val="both"/>
        <w:rPr>
          <w:b/>
          <w:bCs/>
        </w:rPr>
      </w:pPr>
      <w:r w:rsidRPr="005D1DF8">
        <w:rPr>
          <w:b/>
          <w:bCs/>
        </w:rPr>
        <w:tab/>
      </w:r>
    </w:p>
    <w:p w:rsidR="005D1DF8" w:rsidRPr="005D1DF8" w:rsidP="005D1DF8">
      <w:pPr>
        <w:tabs>
          <w:tab w:val="left" w:pos="2835"/>
        </w:tabs>
        <w:ind w:left="2832"/>
        <w:jc w:val="both"/>
      </w:pPr>
      <w:r w:rsidRPr="005D1DF8">
        <w:tab/>
        <w:t>Navrhovanou úpravou sa dopĺňa zúčtovanie nezaplatených odvodov za tie odvodové obdobia, kedy regulovaná osoba mala povinnosť platiť odvod.</w:t>
      </w:r>
    </w:p>
    <w:p w:rsidR="005D1DF8" w:rsidRPr="005D1DF8" w:rsidP="005D1DF8">
      <w:pPr>
        <w:ind w:left="2832"/>
        <w:contextualSpacing/>
        <w:jc w:val="both"/>
        <w:rPr>
          <w:rFonts w:cs="Iskoola Pota"/>
          <w:lang w:eastAsia="en-US"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5D1DF8" w:rsidRPr="005D1DF8" w:rsidP="005D1DF8">
      <w:pPr>
        <w:ind w:left="2832"/>
        <w:contextualSpacing/>
        <w:jc w:val="both"/>
        <w:rPr>
          <w:rFonts w:cs="Iskoola Pota"/>
          <w:lang w:eastAsia="en-US"/>
        </w:rPr>
      </w:pPr>
    </w:p>
    <w:p w:rsidR="005D1DF8" w:rsidRPr="005D1DF8" w:rsidP="005D1DF8">
      <w:pPr>
        <w:numPr>
          <w:ilvl w:val="0"/>
          <w:numId w:val="32"/>
        </w:numPr>
        <w:tabs>
          <w:tab w:val="num" w:pos="360"/>
        </w:tabs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 xml:space="preserve">V čl. I § 13 ods. 1 a 3  sa slová „právnická osoba“ nahrádzajú slovami „osoba alebo organizačná zložka zahraničnej osoby“.  </w:t>
      </w:r>
    </w:p>
    <w:p w:rsidR="005D1DF8" w:rsidRPr="005D1DF8" w:rsidP="005D1DF8">
      <w:pPr>
        <w:tabs>
          <w:tab w:val="left" w:pos="2835"/>
        </w:tabs>
        <w:ind w:left="360"/>
        <w:contextualSpacing/>
        <w:jc w:val="both"/>
        <w:rPr>
          <w:rFonts w:cs="Iskoola Pota"/>
          <w:b/>
          <w:bCs/>
          <w:lang w:eastAsia="en-US"/>
        </w:rPr>
      </w:pPr>
      <w:r w:rsidRPr="005D1DF8">
        <w:rPr>
          <w:rFonts w:cs="Iskoola Pota"/>
          <w:b/>
          <w:bCs/>
          <w:lang w:eastAsia="en-US"/>
        </w:rPr>
        <w:t xml:space="preserve">                                                                                 </w:t>
      </w:r>
    </w:p>
    <w:p w:rsidR="005D1DF8" w:rsidRPr="005D1DF8" w:rsidP="005D1DF8">
      <w:pPr>
        <w:tabs>
          <w:tab w:val="left" w:pos="2835"/>
        </w:tabs>
        <w:ind w:left="2835" w:hanging="2475"/>
        <w:contextualSpacing/>
        <w:jc w:val="both"/>
        <w:rPr>
          <w:rFonts w:cs="Iskoola Pota"/>
          <w:lang w:eastAsia="en-US"/>
        </w:rPr>
      </w:pPr>
      <w:r w:rsidRPr="005D1DF8">
        <w:rPr>
          <w:rFonts w:cs="Iskoola Pota"/>
          <w:lang w:eastAsia="en-US"/>
        </w:rPr>
        <w:t xml:space="preserve">                                          Ide o legislatívno – technickú úpravu súvisiacu s bodom 2. </w:t>
      </w:r>
    </w:p>
    <w:p w:rsidR="005D1DF8" w:rsidRPr="005D1DF8" w:rsidP="005D1DF8">
      <w:pPr>
        <w:tabs>
          <w:tab w:val="left" w:pos="2835"/>
        </w:tabs>
        <w:ind w:left="2835" w:hanging="2475"/>
        <w:contextualSpacing/>
        <w:jc w:val="both"/>
        <w:rPr>
          <w:rFonts w:cs="Iskoola Pota"/>
          <w:lang w:eastAsia="en-US"/>
        </w:rPr>
      </w:pPr>
    </w:p>
    <w:p w:rsidR="005D1DF8" w:rsidRPr="0085353E" w:rsidP="005D1DF8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5D1DF8" w:rsidP="005D1DF8">
      <w:pPr>
        <w:ind w:left="2124" w:firstLine="708"/>
        <w:jc w:val="both"/>
      </w:pPr>
      <w:r>
        <w:rPr>
          <w:b/>
        </w:rPr>
        <w:t>Gestorský výbor odporúča schváliť.</w:t>
      </w:r>
    </w:p>
    <w:p w:rsidR="000B0D61" w:rsidP="000B0D61">
      <w:pPr>
        <w:ind w:left="1844" w:firstLine="708"/>
        <w:jc w:val="both"/>
      </w:pPr>
    </w:p>
    <w:p w:rsidR="009802DB" w:rsidP="008D24E7">
      <w:pPr>
        <w:ind w:left="2124"/>
        <w:jc w:val="both"/>
        <w:rPr>
          <w:b/>
        </w:rPr>
      </w:pPr>
      <w:r>
        <w:rPr>
          <w:b/>
        </w:rPr>
        <w:t xml:space="preserve">      </w:t>
      </w:r>
      <w:r w:rsidRPr="0024051E" w:rsidR="0024051E">
        <w:rPr>
          <w:b/>
        </w:rPr>
        <w:t xml:space="preserve"> </w:t>
      </w:r>
    </w:p>
    <w:p w:rsidR="00097515" w:rsidP="008D24E7">
      <w:pPr>
        <w:ind w:left="2124"/>
        <w:jc w:val="both"/>
        <w:rPr>
          <w:b/>
        </w:rPr>
      </w:pPr>
    </w:p>
    <w:p w:rsidR="00097515" w:rsidP="008D24E7">
      <w:pPr>
        <w:ind w:left="2124"/>
        <w:jc w:val="both"/>
        <w:rPr>
          <w:b/>
        </w:rPr>
      </w:pPr>
    </w:p>
    <w:p w:rsidR="00097515" w:rsidP="008D24E7">
      <w:pPr>
        <w:ind w:left="2124"/>
        <w:jc w:val="both"/>
      </w:pPr>
    </w:p>
    <w:p w:rsidR="00445EE1" w:rsidP="00445EE1">
      <w:pPr>
        <w:pStyle w:val="BodyText2"/>
        <w:ind w:firstLine="708"/>
      </w:pPr>
      <w:r>
        <w:t xml:space="preserve">Gestorský </w:t>
      </w:r>
      <w:r w:rsidR="008D24E7">
        <w:t>výbor odporúča o návrhoch výborov</w:t>
      </w:r>
      <w:r>
        <w:t xml:space="preserve"> Národnej rady Slovenskej republiky, ktoré sú uvedené v spoločnej správe hlasovať takto :</w:t>
      </w:r>
    </w:p>
    <w:p w:rsidR="00445EE1" w:rsidP="00445EE1">
      <w:pPr>
        <w:pStyle w:val="BodyText2"/>
      </w:pPr>
    </w:p>
    <w:p w:rsidR="00445EE1" w:rsidP="00490CDA">
      <w:pPr>
        <w:pStyle w:val="BodyText2"/>
        <w:spacing w:line="276" w:lineRule="auto"/>
        <w:ind w:firstLine="708"/>
      </w:pPr>
      <w:r w:rsidR="00740C06">
        <w:t>O bodoch spoločnej správy č.</w:t>
      </w:r>
      <w:r w:rsidR="00C6436A">
        <w:t xml:space="preserve"> </w:t>
      </w:r>
      <w:r w:rsidR="00097515">
        <w:t>1,2,3,4,5,6,7,8,9,10,11,12,13,14,15,16, 17,18,19,20,21,22,23,24,25,26,27</w:t>
      </w:r>
      <w:r w:rsidR="00490CDA">
        <w:t xml:space="preserve"> 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41108E" w:rsidP="00445EE1">
      <w:pPr>
        <w:pStyle w:val="BodyText2"/>
        <w:ind w:firstLine="708"/>
      </w:pPr>
    </w:p>
    <w:p w:rsidR="00363905" w:rsidP="00301D8C"/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490CDA" w:rsidP="002A75EF">
      <w:pPr>
        <w:tabs>
          <w:tab w:val="left" w:pos="5040"/>
        </w:tabs>
        <w:jc w:val="both"/>
      </w:pPr>
      <w:r w:rsidRPr="00791F4B" w:rsidR="00233A93">
        <w:t>Gestorský výbor na základe stanovísk výborov k</w:t>
      </w:r>
      <w:r w:rsidRPr="00490CDA">
        <w:rPr>
          <w:bCs/>
          <w:iCs/>
          <w:noProof/>
        </w:rPr>
        <w:t xml:space="preserve"> vládn</w:t>
      </w:r>
      <w:r>
        <w:rPr>
          <w:bCs/>
          <w:iCs/>
          <w:noProof/>
        </w:rPr>
        <w:t>emu</w:t>
      </w:r>
      <w:r w:rsidRPr="00490CDA">
        <w:rPr>
          <w:bCs/>
          <w:iCs/>
          <w:noProof/>
        </w:rPr>
        <w:t xml:space="preserve"> návrh</w:t>
      </w:r>
      <w:r>
        <w:rPr>
          <w:bCs/>
          <w:iCs/>
          <w:noProof/>
        </w:rPr>
        <w:t>u</w:t>
      </w:r>
      <w:r w:rsidRPr="00490CDA">
        <w:rPr>
          <w:bCs/>
          <w:iCs/>
          <w:noProof/>
        </w:rPr>
        <w:t xml:space="preserve"> zákona o osobitnom odvode z podnikania v regulovaných odvetviach a o zmene a doplnení niektorých zákonov </w:t>
      </w:r>
      <w:r w:rsidRPr="00490CDA">
        <w:rPr>
          <w:bCs/>
          <w:iCs/>
        </w:rPr>
        <w:t>(tlač 76)</w:t>
      </w:r>
    </w:p>
    <w:p w:rsidR="00233A93" w:rsidRPr="00791F4B" w:rsidP="002A75EF">
      <w:pPr>
        <w:tabs>
          <w:tab w:val="left" w:pos="5040"/>
        </w:tabs>
        <w:jc w:val="both"/>
      </w:pPr>
      <w:r w:rsidR="004B7828">
        <w:t xml:space="preserve">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3D7154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5E3EE5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B40188" w:rsidP="0085353E">
      <w:pPr>
        <w:tabs>
          <w:tab w:val="left" w:pos="720"/>
        </w:tabs>
        <w:jc w:val="both"/>
        <w:rPr>
          <w:b/>
          <w:bCs/>
        </w:rPr>
      </w:pPr>
      <w:r w:rsidR="0085353E">
        <w:tab/>
      </w:r>
      <w:r w:rsidRPr="00490CDA" w:rsidR="00490CDA">
        <w:rPr>
          <w:bCs/>
          <w:iCs/>
          <w:noProof/>
        </w:rPr>
        <w:t>vládn</w:t>
      </w:r>
      <w:r w:rsidR="00490CDA">
        <w:rPr>
          <w:bCs/>
          <w:iCs/>
          <w:noProof/>
        </w:rPr>
        <w:t>y</w:t>
      </w:r>
      <w:r w:rsidRPr="00490CDA" w:rsidR="00490CDA">
        <w:rPr>
          <w:bCs/>
          <w:iCs/>
          <w:noProof/>
        </w:rPr>
        <w:t xml:space="preserve"> návrh zákona o osobitnom odvode z podnikania v regulovaných odvetviach a o zmene a doplnení niektorých zákonov </w:t>
      </w:r>
      <w:r w:rsidRPr="00490CDA" w:rsidR="00490CDA">
        <w:rPr>
          <w:bCs/>
          <w:iCs/>
        </w:rPr>
        <w:t>(tlač 76)</w:t>
      </w:r>
      <w:r w:rsidR="00490CDA">
        <w:rPr>
          <w:bCs/>
          <w:iCs/>
        </w:rPr>
        <w:t xml:space="preserve"> </w:t>
      </w:r>
      <w:r w:rsidR="00A92513">
        <w:rPr>
          <w:b/>
          <w:bCs/>
        </w:rPr>
        <w:t>schváliť</w:t>
      </w:r>
      <w:r w:rsidR="008E39AD">
        <w:rPr>
          <w:b/>
          <w:bCs/>
        </w:rPr>
        <w:t xml:space="preserve"> s </w:t>
      </w:r>
      <w:r w:rsidR="008D6B7B">
        <w:rPr>
          <w:b/>
          <w:bCs/>
        </w:rPr>
        <w:t>pozmeňujúcim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a </w:t>
      </w:r>
      <w:r w:rsidR="008D6B7B">
        <w:rPr>
          <w:b/>
          <w:bCs/>
        </w:rPr>
        <w:t>doplňujúcim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363905">
        <w:rPr>
          <w:b/>
          <w:bCs/>
        </w:rPr>
        <w:t>i</w:t>
      </w:r>
      <w:r w:rsidR="008E39AD">
        <w:rPr>
          <w:b/>
          <w:bCs/>
        </w:rPr>
        <w:t>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445EE1" w:rsidP="00E6496B">
      <w:pPr>
        <w:tabs>
          <w:tab w:val="left" w:pos="720"/>
        </w:tabs>
      </w:pPr>
    </w:p>
    <w:p w:rsidR="00233A93" w:rsidP="002A75EF">
      <w:pPr>
        <w:tabs>
          <w:tab w:val="left" w:pos="5040"/>
        </w:tabs>
        <w:jc w:val="both"/>
      </w:pPr>
      <w:r>
        <w:t>Predmetná správa výborov Národnej rady Slovenskej republiky o</w:t>
      </w:r>
      <w:r w:rsidR="00791F4B">
        <w:t> </w:t>
      </w:r>
      <w:r w:rsidRPr="00490CDA" w:rsidR="00490CDA">
        <w:rPr>
          <w:bCs/>
          <w:iCs/>
          <w:noProof/>
        </w:rPr>
        <w:t>vládn</w:t>
      </w:r>
      <w:r w:rsidR="00490CDA">
        <w:rPr>
          <w:bCs/>
          <w:iCs/>
          <w:noProof/>
        </w:rPr>
        <w:t>om</w:t>
      </w:r>
      <w:r w:rsidRPr="00490CDA" w:rsidR="00490CDA">
        <w:rPr>
          <w:bCs/>
          <w:iCs/>
          <w:noProof/>
        </w:rPr>
        <w:t xml:space="preserve"> návrh</w:t>
      </w:r>
      <w:r w:rsidR="00490CDA">
        <w:rPr>
          <w:bCs/>
          <w:iCs/>
          <w:noProof/>
        </w:rPr>
        <w:t>u</w:t>
      </w:r>
      <w:r w:rsidRPr="00490CDA" w:rsidR="00490CDA">
        <w:rPr>
          <w:bCs/>
          <w:iCs/>
          <w:noProof/>
        </w:rPr>
        <w:t xml:space="preserve"> zákona o osobitnom odvode z podnikania v regulovaných odvetviach a o zmene a doplnení niektorých zákonov </w:t>
      </w:r>
      <w:r w:rsidRPr="00490CDA" w:rsidR="00490CDA">
        <w:rPr>
          <w:bCs/>
          <w:iCs/>
        </w:rPr>
        <w:t>(tlač 76</w:t>
      </w:r>
      <w:r w:rsidR="00490CDA">
        <w:rPr>
          <w:bCs/>
          <w:iCs/>
        </w:rPr>
        <w:t>a</w:t>
      </w:r>
      <w:r w:rsidRPr="00490CDA" w:rsidR="00490CDA">
        <w:rPr>
          <w:bCs/>
          <w:iCs/>
        </w:rPr>
        <w:t>)</w:t>
      </w:r>
      <w:r w:rsidR="00490CDA">
        <w:rPr>
          <w:bCs/>
          <w:iCs/>
        </w:rPr>
        <w:t xml:space="preserve"> </w:t>
      </w:r>
      <w:r>
        <w:t>bola schválená uznesením gestorského výboru č.</w:t>
      </w:r>
      <w:r w:rsidR="004E1881">
        <w:t xml:space="preserve"> </w:t>
      </w:r>
      <w:r w:rsidR="002B0F66">
        <w:t>56</w:t>
      </w:r>
      <w:r w:rsidR="0005018A">
        <w:t xml:space="preserve"> </w:t>
      </w:r>
      <w:r>
        <w:t>z</w:t>
      </w:r>
      <w:r w:rsidR="004B7828">
        <w:t> </w:t>
      </w:r>
      <w:r w:rsidR="00516A55">
        <w:t>23</w:t>
      </w:r>
      <w:r w:rsidR="00B91D98">
        <w:t xml:space="preserve">. </w:t>
      </w:r>
      <w:r w:rsidR="00490CDA">
        <w:t>júla</w:t>
      </w:r>
      <w:r w:rsidR="00D365D2">
        <w:t xml:space="preserve"> 20</w:t>
      </w:r>
      <w:r w:rsidR="0020341D">
        <w:t>1</w:t>
      </w:r>
      <w:r w:rsidR="004B7828">
        <w:t>2</w:t>
      </w:r>
      <w:r w:rsidR="0020341D">
        <w:t>. Výbor určil poslan</w:t>
      </w:r>
      <w:r w:rsidR="00490CDA">
        <w:t xml:space="preserve">kyňu </w:t>
      </w:r>
      <w:r w:rsidRPr="00490CDA" w:rsidR="00490CDA">
        <w:rPr>
          <w:b/>
        </w:rPr>
        <w:t>Evu Hufkovú</w:t>
      </w:r>
      <w:r w:rsidR="007F1816">
        <w:t xml:space="preserve"> </w:t>
      </w:r>
      <w:r w:rsidR="00363905">
        <w:rPr>
          <w:b/>
        </w:rPr>
        <w:t xml:space="preserve"> </w:t>
      </w:r>
      <w:r>
        <w:t>za spoločn</w:t>
      </w:r>
      <w:r w:rsidR="00490CDA">
        <w:t>ú</w:t>
      </w:r>
      <w:r>
        <w:t xml:space="preserve"> spravodaj</w:t>
      </w:r>
      <w:r w:rsidR="00490CDA">
        <w:t>kyňu</w:t>
      </w:r>
      <w:r>
        <w:t xml:space="preserve"> výborov.</w:t>
      </w:r>
    </w:p>
    <w:p w:rsidR="005D15B1">
      <w:pPr>
        <w:pStyle w:val="BodyText2"/>
      </w:pPr>
      <w:r w:rsidR="000106DD">
        <w:t xml:space="preserve"> </w:t>
      </w:r>
    </w:p>
    <w:p w:rsidR="00A34F3D">
      <w:pPr>
        <w:pStyle w:val="BodyText2"/>
      </w:pPr>
    </w:p>
    <w:p w:rsidR="00233A93" w:rsidP="004047A9">
      <w:pPr>
        <w:pStyle w:val="BodyText2"/>
      </w:pPr>
      <w:r w:rsidR="00F35587">
        <w:t xml:space="preserve">Súčasne </w:t>
      </w:r>
      <w:r w:rsidR="00490CDA">
        <w:t>ju</w:t>
      </w:r>
      <w:r>
        <w:t xml:space="preserve"> poveril</w:t>
      </w:r>
    </w:p>
    <w:p w:rsidR="005D15B1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897D95" w:rsidRPr="00897D95" w:rsidP="00A233D0">
      <w:pPr>
        <w:pStyle w:val="BodyText3"/>
        <w:numPr>
          <w:ilvl w:val="0"/>
          <w:numId w:val="4"/>
        </w:numPr>
        <w:rPr>
          <w:lang w:val="sk-SK"/>
        </w:rPr>
      </w:pPr>
      <w:r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lang w:val="sk-SK"/>
        </w:rPr>
        <w:t xml:space="preserve">(§ 83 ods. 2, § 84 ods. 2 a § 86 zákona č. 350/1996 Z. z.). </w:t>
      </w:r>
    </w:p>
    <w:p w:rsidR="00EC31D8" w:rsidP="00897D95">
      <w:pPr>
        <w:pStyle w:val="BodyText3"/>
        <w:ind w:left="720"/>
        <w:rPr>
          <w:lang w:val="sk-SK"/>
        </w:rPr>
      </w:pPr>
    </w:p>
    <w:p w:rsidR="008D24E7" w:rsidP="00897D95">
      <w:pPr>
        <w:pStyle w:val="BodyText3"/>
        <w:ind w:left="720"/>
        <w:rPr>
          <w:lang w:val="sk-SK"/>
        </w:rPr>
      </w:pPr>
    </w:p>
    <w:p w:rsidR="00A34F3D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516A55">
        <w:t>23</w:t>
      </w:r>
      <w:r w:rsidR="00490CDA">
        <w:t>. júla</w:t>
      </w:r>
      <w:r w:rsidR="004B7828">
        <w:t xml:space="preserve"> 2012</w:t>
      </w:r>
    </w:p>
    <w:p w:rsidR="00B94345">
      <w:pPr>
        <w:pStyle w:val="BodyText2"/>
      </w:pPr>
    </w:p>
    <w:p w:rsidR="00613A37">
      <w:pPr>
        <w:pStyle w:val="BodyText2"/>
      </w:pPr>
    </w:p>
    <w:p w:rsidR="008D24E7">
      <w:pPr>
        <w:pStyle w:val="BodyText2"/>
      </w:pPr>
    </w:p>
    <w:p w:rsidR="008D24E7">
      <w:pPr>
        <w:pStyle w:val="BodyText2"/>
      </w:pPr>
    </w:p>
    <w:p w:rsidR="008D24E7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4B1341">
        <w:rPr>
          <w:b/>
          <w:bCs/>
        </w:rPr>
        <w:t>Daniel  D u c h o ň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54E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92B">
      <w:rPr>
        <w:rStyle w:val="PageNumber"/>
        <w:noProof/>
      </w:rPr>
      <w:t>8</w:t>
    </w:r>
    <w:r>
      <w:rPr>
        <w:rStyle w:val="PageNumber"/>
      </w:rPr>
      <w:fldChar w:fldCharType="end"/>
    </w:r>
  </w:p>
  <w:p w:rsidR="00A54EE9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BE8"/>
    <w:multiLevelType w:val="hybridMultilevel"/>
    <w:tmpl w:val="CDB8B33C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40E4E"/>
    <w:multiLevelType w:val="hybridMultilevel"/>
    <w:tmpl w:val="93662B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82315"/>
    <w:multiLevelType w:val="hybridMultilevel"/>
    <w:tmpl w:val="BFBC1244"/>
    <w:lvl w:ilvl="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9" w:hanging="360"/>
      </w:pPr>
    </w:lvl>
    <w:lvl w:ilvl="2" w:tentative="1">
      <w:start w:val="1"/>
      <w:numFmt w:val="lowerRoman"/>
      <w:lvlText w:val="%3."/>
      <w:lvlJc w:val="right"/>
      <w:pPr>
        <w:ind w:left="1809" w:hanging="180"/>
      </w:pPr>
    </w:lvl>
    <w:lvl w:ilvl="3" w:tentative="1">
      <w:start w:val="1"/>
      <w:numFmt w:val="decimal"/>
      <w:lvlText w:val="%4."/>
      <w:lvlJc w:val="left"/>
      <w:pPr>
        <w:ind w:left="2529" w:hanging="360"/>
      </w:pPr>
    </w:lvl>
    <w:lvl w:ilvl="4" w:tentative="1">
      <w:start w:val="1"/>
      <w:numFmt w:val="lowerLetter"/>
      <w:lvlText w:val="%5."/>
      <w:lvlJc w:val="left"/>
      <w:pPr>
        <w:ind w:left="3249" w:hanging="360"/>
      </w:pPr>
    </w:lvl>
    <w:lvl w:ilvl="5" w:tentative="1">
      <w:start w:val="1"/>
      <w:numFmt w:val="lowerRoman"/>
      <w:lvlText w:val="%6."/>
      <w:lvlJc w:val="right"/>
      <w:pPr>
        <w:ind w:left="3969" w:hanging="180"/>
      </w:pPr>
    </w:lvl>
    <w:lvl w:ilvl="6" w:tentative="1">
      <w:start w:val="1"/>
      <w:numFmt w:val="decimal"/>
      <w:lvlText w:val="%7."/>
      <w:lvlJc w:val="left"/>
      <w:pPr>
        <w:ind w:left="4689" w:hanging="360"/>
      </w:pPr>
    </w:lvl>
    <w:lvl w:ilvl="7" w:tentative="1">
      <w:start w:val="1"/>
      <w:numFmt w:val="lowerLetter"/>
      <w:lvlText w:val="%8."/>
      <w:lvlJc w:val="left"/>
      <w:pPr>
        <w:ind w:left="5409" w:hanging="360"/>
      </w:pPr>
    </w:lvl>
    <w:lvl w:ilvl="8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09A36F70"/>
    <w:multiLevelType w:val="hybridMultilevel"/>
    <w:tmpl w:val="CD64F9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u w:val="none" w:color="auto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">
    <w:nsid w:val="0A4F3128"/>
    <w:multiLevelType w:val="hybridMultilevel"/>
    <w:tmpl w:val="89D89CB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Iskoola Pot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437A77"/>
    <w:multiLevelType w:val="hybridMultilevel"/>
    <w:tmpl w:val="2E70E0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5E2C32"/>
    <w:multiLevelType w:val="hybridMultilevel"/>
    <w:tmpl w:val="4D6A543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BE2384"/>
    <w:multiLevelType w:val="hybridMultilevel"/>
    <w:tmpl w:val="CC58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F86058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E9B4CD4"/>
    <w:multiLevelType w:val="hybridMultilevel"/>
    <w:tmpl w:val="F07A17F2"/>
    <w:lvl w:ilvl="0">
      <w:start w:val="9"/>
      <w:numFmt w:val="decimal"/>
      <w:lvlText w:val="%1."/>
      <w:lvlJc w:val="left"/>
      <w:pPr>
        <w:ind w:left="7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9" w:hanging="360"/>
      </w:pPr>
    </w:lvl>
    <w:lvl w:ilvl="2" w:tentative="1">
      <w:start w:val="1"/>
      <w:numFmt w:val="lowerRoman"/>
      <w:lvlText w:val="%3."/>
      <w:lvlJc w:val="right"/>
      <w:pPr>
        <w:ind w:left="2169" w:hanging="180"/>
      </w:pPr>
    </w:lvl>
    <w:lvl w:ilvl="3" w:tentative="1">
      <w:start w:val="1"/>
      <w:numFmt w:val="decimal"/>
      <w:lvlText w:val="%4."/>
      <w:lvlJc w:val="left"/>
      <w:pPr>
        <w:ind w:left="2889" w:hanging="360"/>
      </w:pPr>
    </w:lvl>
    <w:lvl w:ilvl="4" w:tentative="1">
      <w:start w:val="1"/>
      <w:numFmt w:val="lowerLetter"/>
      <w:lvlText w:val="%5."/>
      <w:lvlJc w:val="left"/>
      <w:pPr>
        <w:ind w:left="3609" w:hanging="360"/>
      </w:pPr>
    </w:lvl>
    <w:lvl w:ilvl="5" w:tentative="1">
      <w:start w:val="1"/>
      <w:numFmt w:val="lowerRoman"/>
      <w:lvlText w:val="%6."/>
      <w:lvlJc w:val="right"/>
      <w:pPr>
        <w:ind w:left="4329" w:hanging="180"/>
      </w:pPr>
    </w:lvl>
    <w:lvl w:ilvl="6" w:tentative="1">
      <w:start w:val="1"/>
      <w:numFmt w:val="decimal"/>
      <w:lvlText w:val="%7."/>
      <w:lvlJc w:val="left"/>
      <w:pPr>
        <w:ind w:left="5049" w:hanging="360"/>
      </w:pPr>
    </w:lvl>
    <w:lvl w:ilvl="7" w:tentative="1">
      <w:start w:val="1"/>
      <w:numFmt w:val="lowerLetter"/>
      <w:lvlText w:val="%8."/>
      <w:lvlJc w:val="left"/>
      <w:pPr>
        <w:ind w:left="5769" w:hanging="360"/>
      </w:pPr>
    </w:lvl>
    <w:lvl w:ilvl="8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>
    <w:nsid w:val="25420055"/>
    <w:multiLevelType w:val="hybridMultilevel"/>
    <w:tmpl w:val="39C478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AC10D6"/>
    <w:multiLevelType w:val="hybridMultilevel"/>
    <w:tmpl w:val="CA581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19194F"/>
    <w:multiLevelType w:val="hybridMultilevel"/>
    <w:tmpl w:val="1306284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E5653E"/>
    <w:multiLevelType w:val="hybridMultilevel"/>
    <w:tmpl w:val="7E3405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B0396"/>
    <w:multiLevelType w:val="hybridMultilevel"/>
    <w:tmpl w:val="CF7445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BB4F33"/>
    <w:multiLevelType w:val="hybridMultilevel"/>
    <w:tmpl w:val="E7D09B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3D61AB"/>
    <w:multiLevelType w:val="hybridMultilevel"/>
    <w:tmpl w:val="6E3A1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1">
    <w:nsid w:val="544D55AE"/>
    <w:multiLevelType w:val="hybridMultilevel"/>
    <w:tmpl w:val="691252D0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D75FB"/>
    <w:multiLevelType w:val="hybridMultilevel"/>
    <w:tmpl w:val="5DE22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A296D95"/>
    <w:multiLevelType w:val="hybridMultilevel"/>
    <w:tmpl w:val="687A6F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BF5F98"/>
    <w:multiLevelType w:val="hybridMultilevel"/>
    <w:tmpl w:val="C5DAE2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E43A84"/>
    <w:multiLevelType w:val="hybridMultilevel"/>
    <w:tmpl w:val="78DAB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6F7A18"/>
    <w:multiLevelType w:val="hybridMultilevel"/>
    <w:tmpl w:val="832CB902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753C5115"/>
    <w:multiLevelType w:val="hybridMultilevel"/>
    <w:tmpl w:val="CDBE7240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  <w:lvlOverride w:ilvl="0"/>
  </w:num>
  <w:num w:numId="2">
    <w:abstractNumId w:val="20"/>
    <w:lvlOverride w:ilvl="0">
      <w:startOverride w:val="1"/>
    </w:lvlOverride>
  </w:num>
  <w:num w:numId="3">
    <w:abstractNumId w:val="25"/>
  </w:num>
  <w:num w:numId="4">
    <w:abstractNumId w:val="22"/>
  </w:num>
  <w:num w:numId="5">
    <w:abstractNumId w:val="16"/>
  </w:num>
  <w:num w:numId="6">
    <w:abstractNumId w:val="8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8"/>
  </w:num>
  <w:num w:numId="11">
    <w:abstractNumId w:val="31"/>
  </w:num>
  <w:num w:numId="12">
    <w:abstractNumId w:val="3"/>
  </w:num>
  <w:num w:numId="13">
    <w:abstractNumId w:val="21"/>
  </w:num>
  <w:num w:numId="14">
    <w:abstractNumId w:val="1"/>
  </w:num>
  <w:num w:numId="15">
    <w:abstractNumId w:val="13"/>
  </w:num>
  <w:num w:numId="16">
    <w:abstractNumId w:val="19"/>
  </w:num>
  <w:num w:numId="17">
    <w:abstractNumId w:val="26"/>
  </w:num>
  <w:num w:numId="18">
    <w:abstractNumId w:val="23"/>
  </w:num>
  <w:num w:numId="19">
    <w:abstractNumId w:val="2"/>
  </w:num>
  <w:num w:numId="20">
    <w:abstractNumId w:val="17"/>
  </w:num>
  <w:num w:numId="21">
    <w:abstractNumId w:val="15"/>
  </w:num>
  <w:num w:numId="22">
    <w:abstractNumId w:val="14"/>
  </w:num>
  <w:num w:numId="23">
    <w:abstractNumId w:val="5"/>
  </w:num>
  <w:num w:numId="24">
    <w:abstractNumId w:val="30"/>
  </w:num>
  <w:num w:numId="25">
    <w:abstractNumId w:val="29"/>
  </w:num>
  <w:num w:numId="26">
    <w:abstractNumId w:val="27"/>
  </w:num>
  <w:num w:numId="27">
    <w:abstractNumId w:val="6"/>
  </w:num>
  <w:num w:numId="28">
    <w:abstractNumId w:val="12"/>
  </w:num>
  <w:num w:numId="29">
    <w:abstractNumId w:val="7"/>
  </w:num>
  <w:num w:numId="30">
    <w:abstractNumId w:val="11"/>
  </w:num>
  <w:num w:numId="31">
    <w:abstractNumId w:val="0"/>
  </w:num>
  <w:num w:numId="32">
    <w:abstractNumId w:val="2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0FB"/>
    <w:rsid w:val="000106DD"/>
    <w:rsid w:val="000115C8"/>
    <w:rsid w:val="0001250E"/>
    <w:rsid w:val="0001263E"/>
    <w:rsid w:val="00014669"/>
    <w:rsid w:val="00016267"/>
    <w:rsid w:val="00016651"/>
    <w:rsid w:val="000174AB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0B96"/>
    <w:rsid w:val="000411E3"/>
    <w:rsid w:val="000416C1"/>
    <w:rsid w:val="00042BC8"/>
    <w:rsid w:val="00044158"/>
    <w:rsid w:val="0005018A"/>
    <w:rsid w:val="000523B0"/>
    <w:rsid w:val="00054D07"/>
    <w:rsid w:val="00055DDE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22D9"/>
    <w:rsid w:val="00084782"/>
    <w:rsid w:val="00087D16"/>
    <w:rsid w:val="00090F05"/>
    <w:rsid w:val="00091E41"/>
    <w:rsid w:val="00094F70"/>
    <w:rsid w:val="000965A1"/>
    <w:rsid w:val="00097515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0D61"/>
    <w:rsid w:val="000B1EBF"/>
    <w:rsid w:val="000B5C31"/>
    <w:rsid w:val="000B5DBA"/>
    <w:rsid w:val="000C2C95"/>
    <w:rsid w:val="000C2E4D"/>
    <w:rsid w:val="000C4558"/>
    <w:rsid w:val="000C4689"/>
    <w:rsid w:val="000C4994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2B7B"/>
    <w:rsid w:val="00103337"/>
    <w:rsid w:val="0010370B"/>
    <w:rsid w:val="00105888"/>
    <w:rsid w:val="0011201C"/>
    <w:rsid w:val="00115AB5"/>
    <w:rsid w:val="00117B22"/>
    <w:rsid w:val="00121DBF"/>
    <w:rsid w:val="001249FA"/>
    <w:rsid w:val="0012624C"/>
    <w:rsid w:val="0012677F"/>
    <w:rsid w:val="00132FDA"/>
    <w:rsid w:val="00133371"/>
    <w:rsid w:val="001336EB"/>
    <w:rsid w:val="0013720E"/>
    <w:rsid w:val="001379E8"/>
    <w:rsid w:val="00137ED1"/>
    <w:rsid w:val="00143361"/>
    <w:rsid w:val="0014724A"/>
    <w:rsid w:val="001507CC"/>
    <w:rsid w:val="00154A2F"/>
    <w:rsid w:val="00156286"/>
    <w:rsid w:val="001579CA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508B"/>
    <w:rsid w:val="0018539F"/>
    <w:rsid w:val="001856F2"/>
    <w:rsid w:val="001916F3"/>
    <w:rsid w:val="00191EB1"/>
    <w:rsid w:val="00194A2B"/>
    <w:rsid w:val="00196202"/>
    <w:rsid w:val="001A1B97"/>
    <w:rsid w:val="001A4AB1"/>
    <w:rsid w:val="001A68D5"/>
    <w:rsid w:val="001A730A"/>
    <w:rsid w:val="001B1AE7"/>
    <w:rsid w:val="001B5606"/>
    <w:rsid w:val="001B6F8B"/>
    <w:rsid w:val="001C00C0"/>
    <w:rsid w:val="001C320D"/>
    <w:rsid w:val="001C4FA1"/>
    <w:rsid w:val="001C6B0F"/>
    <w:rsid w:val="001C6DCD"/>
    <w:rsid w:val="001D22E9"/>
    <w:rsid w:val="001D37AD"/>
    <w:rsid w:val="001D4C75"/>
    <w:rsid w:val="001D62B6"/>
    <w:rsid w:val="001D62BD"/>
    <w:rsid w:val="001E2DA3"/>
    <w:rsid w:val="001F071C"/>
    <w:rsid w:val="001F3DD4"/>
    <w:rsid w:val="001F6083"/>
    <w:rsid w:val="002000D1"/>
    <w:rsid w:val="00200A7D"/>
    <w:rsid w:val="00201E09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1419"/>
    <w:rsid w:val="00233887"/>
    <w:rsid w:val="00233A93"/>
    <w:rsid w:val="00234211"/>
    <w:rsid w:val="00235C0F"/>
    <w:rsid w:val="0024051E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0F66"/>
    <w:rsid w:val="002B199D"/>
    <w:rsid w:val="002B2629"/>
    <w:rsid w:val="002B2710"/>
    <w:rsid w:val="002B5385"/>
    <w:rsid w:val="002B581B"/>
    <w:rsid w:val="002B5BFD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03F6"/>
    <w:rsid w:val="002F3B27"/>
    <w:rsid w:val="002F4631"/>
    <w:rsid w:val="002F5483"/>
    <w:rsid w:val="002F6939"/>
    <w:rsid w:val="002F7336"/>
    <w:rsid w:val="003003B7"/>
    <w:rsid w:val="00301D8C"/>
    <w:rsid w:val="00302AD6"/>
    <w:rsid w:val="003039A8"/>
    <w:rsid w:val="00304962"/>
    <w:rsid w:val="00306AEF"/>
    <w:rsid w:val="003079DA"/>
    <w:rsid w:val="00312C55"/>
    <w:rsid w:val="003169EC"/>
    <w:rsid w:val="00316EBA"/>
    <w:rsid w:val="00317A71"/>
    <w:rsid w:val="00322ED7"/>
    <w:rsid w:val="00324934"/>
    <w:rsid w:val="00330204"/>
    <w:rsid w:val="003309F1"/>
    <w:rsid w:val="00333732"/>
    <w:rsid w:val="00333F8B"/>
    <w:rsid w:val="00334C96"/>
    <w:rsid w:val="00336528"/>
    <w:rsid w:val="003369A6"/>
    <w:rsid w:val="00337A05"/>
    <w:rsid w:val="00341282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4953"/>
    <w:rsid w:val="00385E48"/>
    <w:rsid w:val="00385F60"/>
    <w:rsid w:val="0038611B"/>
    <w:rsid w:val="003906B5"/>
    <w:rsid w:val="00393DD5"/>
    <w:rsid w:val="003960BE"/>
    <w:rsid w:val="003A5848"/>
    <w:rsid w:val="003A5DDF"/>
    <w:rsid w:val="003A7B2F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C55F0"/>
    <w:rsid w:val="003D6EDC"/>
    <w:rsid w:val="003D7154"/>
    <w:rsid w:val="003E1359"/>
    <w:rsid w:val="003F5031"/>
    <w:rsid w:val="003F6481"/>
    <w:rsid w:val="003F7599"/>
    <w:rsid w:val="003F77CF"/>
    <w:rsid w:val="00401761"/>
    <w:rsid w:val="004047A9"/>
    <w:rsid w:val="004055B6"/>
    <w:rsid w:val="00406515"/>
    <w:rsid w:val="00407D3C"/>
    <w:rsid w:val="0041108E"/>
    <w:rsid w:val="004113B5"/>
    <w:rsid w:val="00412F54"/>
    <w:rsid w:val="00417F9D"/>
    <w:rsid w:val="00422D42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EE1"/>
    <w:rsid w:val="00446BEF"/>
    <w:rsid w:val="00447314"/>
    <w:rsid w:val="0045045E"/>
    <w:rsid w:val="00450A6E"/>
    <w:rsid w:val="00450CAE"/>
    <w:rsid w:val="004519C2"/>
    <w:rsid w:val="0045228D"/>
    <w:rsid w:val="00452CA8"/>
    <w:rsid w:val="00452FB6"/>
    <w:rsid w:val="00457983"/>
    <w:rsid w:val="00460624"/>
    <w:rsid w:val="0046269E"/>
    <w:rsid w:val="004664A3"/>
    <w:rsid w:val="0046679A"/>
    <w:rsid w:val="00471D67"/>
    <w:rsid w:val="0047486C"/>
    <w:rsid w:val="00482F4E"/>
    <w:rsid w:val="00483811"/>
    <w:rsid w:val="00486553"/>
    <w:rsid w:val="00490CDA"/>
    <w:rsid w:val="00491A24"/>
    <w:rsid w:val="004972EC"/>
    <w:rsid w:val="004A0802"/>
    <w:rsid w:val="004A189D"/>
    <w:rsid w:val="004A4283"/>
    <w:rsid w:val="004A5BB0"/>
    <w:rsid w:val="004A787D"/>
    <w:rsid w:val="004B0B57"/>
    <w:rsid w:val="004B1341"/>
    <w:rsid w:val="004B6200"/>
    <w:rsid w:val="004B677A"/>
    <w:rsid w:val="004B7828"/>
    <w:rsid w:val="004C09B4"/>
    <w:rsid w:val="004C0AB4"/>
    <w:rsid w:val="004C19AA"/>
    <w:rsid w:val="004C23D9"/>
    <w:rsid w:val="004C306A"/>
    <w:rsid w:val="004C388C"/>
    <w:rsid w:val="004C3BF1"/>
    <w:rsid w:val="004C514A"/>
    <w:rsid w:val="004C6DA5"/>
    <w:rsid w:val="004C7EBC"/>
    <w:rsid w:val="004D2103"/>
    <w:rsid w:val="004E16E7"/>
    <w:rsid w:val="004E1881"/>
    <w:rsid w:val="004E491F"/>
    <w:rsid w:val="004F344E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3C34"/>
    <w:rsid w:val="00516A55"/>
    <w:rsid w:val="005174FC"/>
    <w:rsid w:val="00520326"/>
    <w:rsid w:val="00520DB9"/>
    <w:rsid w:val="00522C62"/>
    <w:rsid w:val="0052672B"/>
    <w:rsid w:val="00526F33"/>
    <w:rsid w:val="00530409"/>
    <w:rsid w:val="00530898"/>
    <w:rsid w:val="00536ABE"/>
    <w:rsid w:val="00540A0D"/>
    <w:rsid w:val="0054531C"/>
    <w:rsid w:val="00550179"/>
    <w:rsid w:val="00551836"/>
    <w:rsid w:val="00555FFC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0746"/>
    <w:rsid w:val="00591897"/>
    <w:rsid w:val="00593CC6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1DF8"/>
    <w:rsid w:val="005D4795"/>
    <w:rsid w:val="005E019F"/>
    <w:rsid w:val="005E2526"/>
    <w:rsid w:val="005E370E"/>
    <w:rsid w:val="005E3E76"/>
    <w:rsid w:val="005E3EE5"/>
    <w:rsid w:val="005E4956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637"/>
    <w:rsid w:val="00613A37"/>
    <w:rsid w:val="0061716C"/>
    <w:rsid w:val="00624A29"/>
    <w:rsid w:val="006253BE"/>
    <w:rsid w:val="00626C13"/>
    <w:rsid w:val="0063094F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734B7"/>
    <w:rsid w:val="0067563F"/>
    <w:rsid w:val="006756F2"/>
    <w:rsid w:val="006772CD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B65"/>
    <w:rsid w:val="006A104F"/>
    <w:rsid w:val="006A1414"/>
    <w:rsid w:val="006B6BA7"/>
    <w:rsid w:val="006C5BC2"/>
    <w:rsid w:val="006D0919"/>
    <w:rsid w:val="006D1500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C1C"/>
    <w:rsid w:val="00714E9B"/>
    <w:rsid w:val="00715DEC"/>
    <w:rsid w:val="0071783F"/>
    <w:rsid w:val="0072061C"/>
    <w:rsid w:val="0072290F"/>
    <w:rsid w:val="00737319"/>
    <w:rsid w:val="007377AF"/>
    <w:rsid w:val="00740C06"/>
    <w:rsid w:val="007411BA"/>
    <w:rsid w:val="00741E32"/>
    <w:rsid w:val="00742C22"/>
    <w:rsid w:val="00743F04"/>
    <w:rsid w:val="00752A2A"/>
    <w:rsid w:val="00757859"/>
    <w:rsid w:val="00757B31"/>
    <w:rsid w:val="007603F1"/>
    <w:rsid w:val="0076290E"/>
    <w:rsid w:val="00764F6E"/>
    <w:rsid w:val="00766C3E"/>
    <w:rsid w:val="00766EBF"/>
    <w:rsid w:val="0077298E"/>
    <w:rsid w:val="00773EC5"/>
    <w:rsid w:val="0078658A"/>
    <w:rsid w:val="007915E9"/>
    <w:rsid w:val="00791F4B"/>
    <w:rsid w:val="007924FD"/>
    <w:rsid w:val="007932C7"/>
    <w:rsid w:val="00793DCF"/>
    <w:rsid w:val="007941B4"/>
    <w:rsid w:val="00794551"/>
    <w:rsid w:val="00794794"/>
    <w:rsid w:val="0079782D"/>
    <w:rsid w:val="007A4D08"/>
    <w:rsid w:val="007B32D1"/>
    <w:rsid w:val="007B43AD"/>
    <w:rsid w:val="007B4633"/>
    <w:rsid w:val="007C0A7C"/>
    <w:rsid w:val="007C0DB2"/>
    <w:rsid w:val="007C5E78"/>
    <w:rsid w:val="007D15CA"/>
    <w:rsid w:val="007D2531"/>
    <w:rsid w:val="007D5D65"/>
    <w:rsid w:val="007D65E5"/>
    <w:rsid w:val="007E01FF"/>
    <w:rsid w:val="007E0AA2"/>
    <w:rsid w:val="007E2AF9"/>
    <w:rsid w:val="007E5CDC"/>
    <w:rsid w:val="007E661E"/>
    <w:rsid w:val="007F1816"/>
    <w:rsid w:val="007F1915"/>
    <w:rsid w:val="007F3FD1"/>
    <w:rsid w:val="007F4379"/>
    <w:rsid w:val="007F4823"/>
    <w:rsid w:val="00801547"/>
    <w:rsid w:val="00802916"/>
    <w:rsid w:val="00807514"/>
    <w:rsid w:val="00810F46"/>
    <w:rsid w:val="008110E9"/>
    <w:rsid w:val="00816302"/>
    <w:rsid w:val="00816453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353E"/>
    <w:rsid w:val="0085359D"/>
    <w:rsid w:val="008537A3"/>
    <w:rsid w:val="00853FD0"/>
    <w:rsid w:val="00854AC1"/>
    <w:rsid w:val="008579BD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2157"/>
    <w:rsid w:val="008838A2"/>
    <w:rsid w:val="00883C11"/>
    <w:rsid w:val="008840D7"/>
    <w:rsid w:val="0088438F"/>
    <w:rsid w:val="008854DD"/>
    <w:rsid w:val="00885A23"/>
    <w:rsid w:val="00890309"/>
    <w:rsid w:val="0089069C"/>
    <w:rsid w:val="00891613"/>
    <w:rsid w:val="00891A63"/>
    <w:rsid w:val="00893F40"/>
    <w:rsid w:val="008942B4"/>
    <w:rsid w:val="00894DF5"/>
    <w:rsid w:val="008953A1"/>
    <w:rsid w:val="0089741A"/>
    <w:rsid w:val="00897D95"/>
    <w:rsid w:val="008A02B0"/>
    <w:rsid w:val="008A4206"/>
    <w:rsid w:val="008B110D"/>
    <w:rsid w:val="008B2614"/>
    <w:rsid w:val="008B40BC"/>
    <w:rsid w:val="008B4F03"/>
    <w:rsid w:val="008B5E9D"/>
    <w:rsid w:val="008C1EBB"/>
    <w:rsid w:val="008C5547"/>
    <w:rsid w:val="008C68BA"/>
    <w:rsid w:val="008C6D09"/>
    <w:rsid w:val="008C71FA"/>
    <w:rsid w:val="008D24E7"/>
    <w:rsid w:val="008D615F"/>
    <w:rsid w:val="008D6B7B"/>
    <w:rsid w:val="008E02E9"/>
    <w:rsid w:val="008E1580"/>
    <w:rsid w:val="008E2374"/>
    <w:rsid w:val="008E2D23"/>
    <w:rsid w:val="008E39AD"/>
    <w:rsid w:val="008E4092"/>
    <w:rsid w:val="008E5916"/>
    <w:rsid w:val="008E7C76"/>
    <w:rsid w:val="008F10B7"/>
    <w:rsid w:val="008F1C89"/>
    <w:rsid w:val="008F3DAD"/>
    <w:rsid w:val="008F3FCD"/>
    <w:rsid w:val="008F5793"/>
    <w:rsid w:val="008F7462"/>
    <w:rsid w:val="00902634"/>
    <w:rsid w:val="00904F57"/>
    <w:rsid w:val="009060C6"/>
    <w:rsid w:val="0090730B"/>
    <w:rsid w:val="00907E9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FD2"/>
    <w:rsid w:val="00927DD9"/>
    <w:rsid w:val="00932C61"/>
    <w:rsid w:val="009334AC"/>
    <w:rsid w:val="00934D16"/>
    <w:rsid w:val="00936EE3"/>
    <w:rsid w:val="00940764"/>
    <w:rsid w:val="00941599"/>
    <w:rsid w:val="00941952"/>
    <w:rsid w:val="00942D8A"/>
    <w:rsid w:val="00944E50"/>
    <w:rsid w:val="009454E9"/>
    <w:rsid w:val="00950D74"/>
    <w:rsid w:val="0095533E"/>
    <w:rsid w:val="00956145"/>
    <w:rsid w:val="00956D9A"/>
    <w:rsid w:val="009579DF"/>
    <w:rsid w:val="00962176"/>
    <w:rsid w:val="0096626D"/>
    <w:rsid w:val="009725FC"/>
    <w:rsid w:val="00972EE9"/>
    <w:rsid w:val="0097371F"/>
    <w:rsid w:val="009744DD"/>
    <w:rsid w:val="009802DB"/>
    <w:rsid w:val="00987274"/>
    <w:rsid w:val="009900F7"/>
    <w:rsid w:val="00990137"/>
    <w:rsid w:val="00990A24"/>
    <w:rsid w:val="00990AEE"/>
    <w:rsid w:val="00994521"/>
    <w:rsid w:val="00994685"/>
    <w:rsid w:val="009946BD"/>
    <w:rsid w:val="009A0EA6"/>
    <w:rsid w:val="009A28DD"/>
    <w:rsid w:val="009A5688"/>
    <w:rsid w:val="009A6FDE"/>
    <w:rsid w:val="009B0732"/>
    <w:rsid w:val="009B23D8"/>
    <w:rsid w:val="009B2797"/>
    <w:rsid w:val="009B4452"/>
    <w:rsid w:val="009B4C3F"/>
    <w:rsid w:val="009B5589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2823"/>
    <w:rsid w:val="00A3450F"/>
    <w:rsid w:val="00A34F3D"/>
    <w:rsid w:val="00A4539D"/>
    <w:rsid w:val="00A4586F"/>
    <w:rsid w:val="00A466EB"/>
    <w:rsid w:val="00A53A45"/>
    <w:rsid w:val="00A54E12"/>
    <w:rsid w:val="00A54EE9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900F5"/>
    <w:rsid w:val="00A916A4"/>
    <w:rsid w:val="00A92513"/>
    <w:rsid w:val="00A9456B"/>
    <w:rsid w:val="00AA3C33"/>
    <w:rsid w:val="00AA3EC8"/>
    <w:rsid w:val="00AA4AF6"/>
    <w:rsid w:val="00AA5221"/>
    <w:rsid w:val="00AA6C0C"/>
    <w:rsid w:val="00AB6C5E"/>
    <w:rsid w:val="00AB7CFA"/>
    <w:rsid w:val="00AC16EF"/>
    <w:rsid w:val="00AC1AE2"/>
    <w:rsid w:val="00AC2E02"/>
    <w:rsid w:val="00AC3DF1"/>
    <w:rsid w:val="00AC5433"/>
    <w:rsid w:val="00AC5933"/>
    <w:rsid w:val="00AD5D84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325F3"/>
    <w:rsid w:val="00B37FC1"/>
    <w:rsid w:val="00B40188"/>
    <w:rsid w:val="00B4269F"/>
    <w:rsid w:val="00B42AD1"/>
    <w:rsid w:val="00B430C7"/>
    <w:rsid w:val="00B4389E"/>
    <w:rsid w:val="00B52049"/>
    <w:rsid w:val="00B5790B"/>
    <w:rsid w:val="00B625CB"/>
    <w:rsid w:val="00B65DAC"/>
    <w:rsid w:val="00B66421"/>
    <w:rsid w:val="00B66753"/>
    <w:rsid w:val="00B72B50"/>
    <w:rsid w:val="00B77420"/>
    <w:rsid w:val="00B804A9"/>
    <w:rsid w:val="00B81732"/>
    <w:rsid w:val="00B90C27"/>
    <w:rsid w:val="00B91D98"/>
    <w:rsid w:val="00B93881"/>
    <w:rsid w:val="00B94345"/>
    <w:rsid w:val="00B94F5C"/>
    <w:rsid w:val="00B9709D"/>
    <w:rsid w:val="00BA0BE8"/>
    <w:rsid w:val="00BA1ABC"/>
    <w:rsid w:val="00BA43CC"/>
    <w:rsid w:val="00BA6BF8"/>
    <w:rsid w:val="00BA6F6E"/>
    <w:rsid w:val="00BA7A09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D6F27"/>
    <w:rsid w:val="00BE0BD4"/>
    <w:rsid w:val="00BE2AA2"/>
    <w:rsid w:val="00BE4148"/>
    <w:rsid w:val="00BF27C0"/>
    <w:rsid w:val="00BF3C60"/>
    <w:rsid w:val="00BF59F6"/>
    <w:rsid w:val="00BF5C20"/>
    <w:rsid w:val="00C00175"/>
    <w:rsid w:val="00C00988"/>
    <w:rsid w:val="00C00DFF"/>
    <w:rsid w:val="00C06292"/>
    <w:rsid w:val="00C1056F"/>
    <w:rsid w:val="00C14BCD"/>
    <w:rsid w:val="00C17B11"/>
    <w:rsid w:val="00C204CB"/>
    <w:rsid w:val="00C23A36"/>
    <w:rsid w:val="00C26BEC"/>
    <w:rsid w:val="00C27A4F"/>
    <w:rsid w:val="00C30F33"/>
    <w:rsid w:val="00C314EA"/>
    <w:rsid w:val="00C339FD"/>
    <w:rsid w:val="00C34F92"/>
    <w:rsid w:val="00C3771F"/>
    <w:rsid w:val="00C40448"/>
    <w:rsid w:val="00C4162D"/>
    <w:rsid w:val="00C42F36"/>
    <w:rsid w:val="00C43433"/>
    <w:rsid w:val="00C43E05"/>
    <w:rsid w:val="00C45299"/>
    <w:rsid w:val="00C46C1A"/>
    <w:rsid w:val="00C47624"/>
    <w:rsid w:val="00C50C39"/>
    <w:rsid w:val="00C53094"/>
    <w:rsid w:val="00C54990"/>
    <w:rsid w:val="00C54C30"/>
    <w:rsid w:val="00C561C9"/>
    <w:rsid w:val="00C56811"/>
    <w:rsid w:val="00C56D4B"/>
    <w:rsid w:val="00C575A7"/>
    <w:rsid w:val="00C6436A"/>
    <w:rsid w:val="00C648E5"/>
    <w:rsid w:val="00C65ACA"/>
    <w:rsid w:val="00C66A63"/>
    <w:rsid w:val="00C67D2C"/>
    <w:rsid w:val="00C7142D"/>
    <w:rsid w:val="00C742A8"/>
    <w:rsid w:val="00C7610D"/>
    <w:rsid w:val="00C765B4"/>
    <w:rsid w:val="00C76659"/>
    <w:rsid w:val="00C768EC"/>
    <w:rsid w:val="00C8168F"/>
    <w:rsid w:val="00C81695"/>
    <w:rsid w:val="00C81AF9"/>
    <w:rsid w:val="00C83AFE"/>
    <w:rsid w:val="00C83D44"/>
    <w:rsid w:val="00C871CF"/>
    <w:rsid w:val="00C92AB1"/>
    <w:rsid w:val="00C93D3C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4603"/>
    <w:rsid w:val="00CC4F04"/>
    <w:rsid w:val="00CC650A"/>
    <w:rsid w:val="00CC65FE"/>
    <w:rsid w:val="00CC7C55"/>
    <w:rsid w:val="00CD051A"/>
    <w:rsid w:val="00CD21AD"/>
    <w:rsid w:val="00CD2A22"/>
    <w:rsid w:val="00CD2DCA"/>
    <w:rsid w:val="00CD35F0"/>
    <w:rsid w:val="00CD37B3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4BC0"/>
    <w:rsid w:val="00D2644C"/>
    <w:rsid w:val="00D2759E"/>
    <w:rsid w:val="00D311CA"/>
    <w:rsid w:val="00D3131A"/>
    <w:rsid w:val="00D33D20"/>
    <w:rsid w:val="00D3523E"/>
    <w:rsid w:val="00D365D2"/>
    <w:rsid w:val="00D36E81"/>
    <w:rsid w:val="00D37510"/>
    <w:rsid w:val="00D37E15"/>
    <w:rsid w:val="00D41E92"/>
    <w:rsid w:val="00D42BA0"/>
    <w:rsid w:val="00D454B8"/>
    <w:rsid w:val="00D45D6F"/>
    <w:rsid w:val="00D4791F"/>
    <w:rsid w:val="00D52A8F"/>
    <w:rsid w:val="00D52FD3"/>
    <w:rsid w:val="00D5366B"/>
    <w:rsid w:val="00D551B2"/>
    <w:rsid w:val="00D55523"/>
    <w:rsid w:val="00D55C29"/>
    <w:rsid w:val="00D57D3E"/>
    <w:rsid w:val="00D60EB7"/>
    <w:rsid w:val="00D610AD"/>
    <w:rsid w:val="00D71439"/>
    <w:rsid w:val="00D7185D"/>
    <w:rsid w:val="00D772CF"/>
    <w:rsid w:val="00D77F71"/>
    <w:rsid w:val="00D8174D"/>
    <w:rsid w:val="00D83556"/>
    <w:rsid w:val="00D844B1"/>
    <w:rsid w:val="00D86FAE"/>
    <w:rsid w:val="00D9092B"/>
    <w:rsid w:val="00D925DE"/>
    <w:rsid w:val="00D93639"/>
    <w:rsid w:val="00D95C42"/>
    <w:rsid w:val="00D9797E"/>
    <w:rsid w:val="00DA0FFF"/>
    <w:rsid w:val="00DA16C3"/>
    <w:rsid w:val="00DA1C60"/>
    <w:rsid w:val="00DA324A"/>
    <w:rsid w:val="00DA7CAC"/>
    <w:rsid w:val="00DB36E6"/>
    <w:rsid w:val="00DB4C12"/>
    <w:rsid w:val="00DB5A6A"/>
    <w:rsid w:val="00DB6210"/>
    <w:rsid w:val="00DC5970"/>
    <w:rsid w:val="00DC72A7"/>
    <w:rsid w:val="00DD1107"/>
    <w:rsid w:val="00DD2CAB"/>
    <w:rsid w:val="00DD46C3"/>
    <w:rsid w:val="00DD7FEB"/>
    <w:rsid w:val="00DE21DA"/>
    <w:rsid w:val="00DE27DF"/>
    <w:rsid w:val="00DE491F"/>
    <w:rsid w:val="00DE5543"/>
    <w:rsid w:val="00DE5BD4"/>
    <w:rsid w:val="00DE6E72"/>
    <w:rsid w:val="00DE70CA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0C3F"/>
    <w:rsid w:val="00E13BBE"/>
    <w:rsid w:val="00E14694"/>
    <w:rsid w:val="00E24C65"/>
    <w:rsid w:val="00E26516"/>
    <w:rsid w:val="00E27E32"/>
    <w:rsid w:val="00E31CA8"/>
    <w:rsid w:val="00E330ED"/>
    <w:rsid w:val="00E3354B"/>
    <w:rsid w:val="00E356A7"/>
    <w:rsid w:val="00E37D22"/>
    <w:rsid w:val="00E37D6A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3104"/>
    <w:rsid w:val="00E63E78"/>
    <w:rsid w:val="00E6496B"/>
    <w:rsid w:val="00E650EC"/>
    <w:rsid w:val="00E660BF"/>
    <w:rsid w:val="00E715A9"/>
    <w:rsid w:val="00E71D6F"/>
    <w:rsid w:val="00E724ED"/>
    <w:rsid w:val="00E771B9"/>
    <w:rsid w:val="00E82966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11EA"/>
    <w:rsid w:val="00EC31D8"/>
    <w:rsid w:val="00EC42CC"/>
    <w:rsid w:val="00EC64AE"/>
    <w:rsid w:val="00EC7DBA"/>
    <w:rsid w:val="00EC7FAB"/>
    <w:rsid w:val="00ED2042"/>
    <w:rsid w:val="00ED2CCA"/>
    <w:rsid w:val="00ED3834"/>
    <w:rsid w:val="00EE30AD"/>
    <w:rsid w:val="00EE5306"/>
    <w:rsid w:val="00EF0228"/>
    <w:rsid w:val="00EF3076"/>
    <w:rsid w:val="00EF3D7B"/>
    <w:rsid w:val="00EF5B8F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935"/>
    <w:rsid w:val="00F46D43"/>
    <w:rsid w:val="00F50C3D"/>
    <w:rsid w:val="00F5145C"/>
    <w:rsid w:val="00F53C66"/>
    <w:rsid w:val="00F627C6"/>
    <w:rsid w:val="00F62899"/>
    <w:rsid w:val="00F65810"/>
    <w:rsid w:val="00F732A2"/>
    <w:rsid w:val="00F73FD9"/>
    <w:rsid w:val="00F80EC4"/>
    <w:rsid w:val="00F84983"/>
    <w:rsid w:val="00F86B42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F098D"/>
    <w:rsid w:val="00FF1A2E"/>
    <w:rsid w:val="00FF4E6F"/>
    <w:rsid w:val="00FF67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F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link w:val="Zarkazkladnhotextu2Char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Textzstupnhosymbolu1">
    <w:name w:val="Text zástupného symbolu1"/>
    <w:semiHidden/>
    <w:rsid w:val="0047486C"/>
    <w:rPr>
      <w:rFonts w:ascii="Times New Roman" w:hAnsi="Times New Roman" w:cs="Times New Roman"/>
      <w:color w:val="808080"/>
    </w:rPr>
  </w:style>
  <w:style w:type="character" w:customStyle="1" w:styleId="Zarkazkladnhotextu2Char">
    <w:name w:val="Zarážka základného textu 2 Char"/>
    <w:link w:val="BodyTextIndent2"/>
    <w:rsid w:val="00097515"/>
    <w:rPr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2446</TotalTime>
  <Pages>8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804</cp:revision>
  <cp:lastPrinted>2011-11-23T13:23:00Z</cp:lastPrinted>
  <dcterms:created xsi:type="dcterms:W3CDTF">2002-11-04T12:16:00Z</dcterms:created>
  <dcterms:modified xsi:type="dcterms:W3CDTF">2012-07-23T12:47:00Z</dcterms:modified>
</cp:coreProperties>
</file>