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9440F" w:rsidRPr="006C4B17" w:rsidP="0099440F">
      <w:pPr>
        <w:bidi w:val="0"/>
        <w:spacing w:after="0" w:line="240" w:lineRule="auto"/>
        <w:rPr>
          <w:rFonts w:ascii="Times New Roman" w:hAnsi="Times New Roman"/>
          <w:sz w:val="24"/>
          <w:szCs w:val="24"/>
          <w:lang w:val="sk-SK"/>
        </w:rPr>
      </w:pPr>
      <w:r w:rsidRPr="006C4B17">
        <w:rPr>
          <w:rFonts w:ascii="Times New Roman" w:hAnsi="Times New Roman"/>
          <w:sz w:val="24"/>
          <w:szCs w:val="24"/>
          <w:lang w:val="sk-SK"/>
        </w:rPr>
        <w:t xml:space="preserve">Dôvodová správa </w:t>
      </w:r>
    </w:p>
    <w:p w:rsidR="0099440F" w:rsidRPr="006C4B17" w:rsidP="0099440F">
      <w:pPr>
        <w:bidi w:val="0"/>
        <w:spacing w:after="0" w:line="240" w:lineRule="auto"/>
        <w:jc w:val="center"/>
        <w:rPr>
          <w:rFonts w:ascii="Times New Roman" w:hAnsi="Times New Roman"/>
          <w:sz w:val="24"/>
          <w:szCs w:val="24"/>
          <w:lang w:val="sk-SK"/>
        </w:rPr>
      </w:pPr>
    </w:p>
    <w:p w:rsidR="0099440F" w:rsidRPr="006C4B17" w:rsidP="0099440F">
      <w:pPr>
        <w:pStyle w:val="ListParagraph"/>
        <w:numPr>
          <w:numId w:val="1"/>
        </w:numPr>
        <w:bidi w:val="0"/>
        <w:spacing w:after="0" w:line="240" w:lineRule="auto"/>
        <w:jc w:val="both"/>
        <w:rPr>
          <w:rFonts w:ascii="Times New Roman" w:hAnsi="Times New Roman"/>
          <w:sz w:val="24"/>
          <w:szCs w:val="24"/>
        </w:rPr>
      </w:pPr>
      <w:r w:rsidRPr="006C4B17">
        <w:rPr>
          <w:rFonts w:ascii="Times New Roman" w:hAnsi="Times New Roman"/>
          <w:sz w:val="24"/>
          <w:szCs w:val="24"/>
        </w:rPr>
        <w:t>Všeobecná časť</w:t>
      </w:r>
    </w:p>
    <w:p w:rsidR="0099440F" w:rsidRPr="006C4B17" w:rsidP="0099440F">
      <w:pPr>
        <w:bidi w:val="0"/>
        <w:spacing w:after="0" w:line="240" w:lineRule="auto"/>
        <w:jc w:val="both"/>
        <w:rPr>
          <w:rFonts w:ascii="Times New Roman" w:hAnsi="Times New Roman"/>
          <w:sz w:val="24"/>
          <w:szCs w:val="24"/>
          <w:lang w:val="sk-SK"/>
        </w:rPr>
      </w:pPr>
      <w:r w:rsidRPr="006C4B17">
        <w:rPr>
          <w:rFonts w:ascii="Times New Roman" w:hAnsi="Times New Roman"/>
          <w:sz w:val="24"/>
          <w:szCs w:val="24"/>
          <w:lang w:val="sk-SK"/>
        </w:rPr>
        <w:tab/>
        <w:t xml:space="preserve">Zákon Národnej rady Slovenskej republiky č. 145/1995 Z. z. o správnych poplatkoch v znení neskorších predpisov (ďalej len „zákon“) nadobudol účinnosť 1. augusta 1995 a medzičasom bol priebežne novelizovaný, tak ako si to vyžiadali zmeny právnych predpisov upravujúcich jednotlivé úseky činnosti štátnej správy. Zmeny a doplnenia zákona sa týkali  konkrétneho vecného obsahu vykonávaných úkonov a konaní správnymi orgánmi ako úprav sadzieb správnych poplatkov a to i napriek tomu, že odstupom času vecná i časová náročnosť vykonávania spoplatňovaných úkonov a konaní správnymi orgánmi podstatne vzrástli, čo sa prejavilo aj v raste nákladov správnych orgánov. </w:t>
      </w:r>
    </w:p>
    <w:p w:rsidR="0099440F" w:rsidRPr="006C4B17" w:rsidP="0099440F">
      <w:pPr>
        <w:bidi w:val="0"/>
        <w:spacing w:after="0" w:line="240" w:lineRule="auto"/>
        <w:jc w:val="both"/>
        <w:rPr>
          <w:rFonts w:ascii="Times New Roman" w:hAnsi="Times New Roman"/>
          <w:sz w:val="24"/>
          <w:szCs w:val="24"/>
          <w:lang w:val="sk-SK"/>
        </w:rPr>
      </w:pPr>
      <w:r w:rsidRPr="006C4B17">
        <w:rPr>
          <w:rFonts w:ascii="Times New Roman" w:hAnsi="Times New Roman"/>
          <w:sz w:val="24"/>
          <w:szCs w:val="24"/>
          <w:lang w:val="sk-SK"/>
        </w:rPr>
        <w:tab/>
        <w:t>Zámerom predloženej novelizácie zákona je prehodnotenie existujúcich úkonov a konaní z hľadiska ich vecného obsahu ale predovšetkým posúdenie úrovne súčasne platných sadzieb poplatkov, ktoré pri viacerých úkonoch a konaniach už nezohľadňujú skutočne vynaložené náklady príslušných orgánov.</w:t>
      </w:r>
    </w:p>
    <w:p w:rsidR="0099440F" w:rsidRPr="006C4B17" w:rsidP="0099440F">
      <w:pPr>
        <w:bidi w:val="0"/>
        <w:spacing w:after="0" w:line="240" w:lineRule="auto"/>
        <w:jc w:val="both"/>
        <w:rPr>
          <w:rFonts w:ascii="Times New Roman" w:hAnsi="Times New Roman"/>
          <w:sz w:val="24"/>
          <w:szCs w:val="24"/>
          <w:lang w:val="sk-SK"/>
        </w:rPr>
      </w:pPr>
      <w:r w:rsidRPr="006C4B17">
        <w:rPr>
          <w:rFonts w:ascii="Times New Roman" w:hAnsi="Times New Roman"/>
          <w:sz w:val="24"/>
          <w:szCs w:val="24"/>
          <w:lang w:val="sk-SK"/>
        </w:rPr>
        <w:tab/>
        <w:t>V návrhu sú zahrnuté úpravy a zmeny, ktoré na základe iniciatívy Ministerstva financií SR predložili zainteresované správne orgány. Zmeny sú navrhované v oblasti verejnej správy, stavebnej činnosti, ide najmä o zmenu sadzieb napríklad za stavebné povolenie</w:t>
      </w:r>
      <w:r>
        <w:rPr>
          <w:rFonts w:ascii="Times New Roman" w:hAnsi="Times New Roman"/>
          <w:sz w:val="24"/>
          <w:szCs w:val="24"/>
          <w:lang w:val="sk-SK"/>
        </w:rPr>
        <w:t xml:space="preserve"> vo vzťahu k právnickým osobám</w:t>
      </w:r>
      <w:r w:rsidRPr="006C4B17">
        <w:rPr>
          <w:rFonts w:ascii="Times New Roman" w:hAnsi="Times New Roman"/>
          <w:sz w:val="24"/>
          <w:szCs w:val="24"/>
          <w:lang w:val="sk-SK"/>
        </w:rPr>
        <w:t>, za predĺženie platnosti stavebného povolenia,  za kolaudačné rozhodnutie, v oblasti hazardných hier ide o úpravu súčasne platnej sadzby poplatku za zmeny v udelenej licencii, v oblasti  dopravy ide o sadzby poplatkov za prvý zápis motorového vozidla kategórie L, M</w:t>
      </w:r>
      <w:r w:rsidRPr="006C4B17">
        <w:rPr>
          <w:rFonts w:ascii="Times New Roman" w:hAnsi="Times New Roman"/>
          <w:sz w:val="24"/>
          <w:szCs w:val="24"/>
          <w:vertAlign w:val="subscript"/>
          <w:lang w:val="sk-SK"/>
        </w:rPr>
        <w:t>1</w:t>
      </w:r>
      <w:r w:rsidRPr="006C4B17">
        <w:rPr>
          <w:rFonts w:ascii="Times New Roman" w:hAnsi="Times New Roman"/>
          <w:sz w:val="24"/>
          <w:szCs w:val="24"/>
          <w:lang w:val="sk-SK"/>
        </w:rPr>
        <w:t xml:space="preserve"> a N</w:t>
      </w:r>
      <w:r w:rsidRPr="006C4B17">
        <w:rPr>
          <w:rFonts w:ascii="Times New Roman" w:hAnsi="Times New Roman"/>
          <w:sz w:val="24"/>
          <w:szCs w:val="24"/>
          <w:vertAlign w:val="subscript"/>
          <w:lang w:val="sk-SK"/>
        </w:rPr>
        <w:t>1</w:t>
      </w:r>
      <w:r w:rsidRPr="006C4B17">
        <w:rPr>
          <w:rFonts w:ascii="Times New Roman" w:hAnsi="Times New Roman"/>
          <w:sz w:val="24"/>
          <w:szCs w:val="24"/>
          <w:lang w:val="sk-SK"/>
        </w:rPr>
        <w:t xml:space="preserve">  do evidencie vozidiel v Slovenskej republike, ktoré sa navrhuje ustanoviť rozdielne v závislosti od výkonu motora</w:t>
      </w:r>
      <w:r>
        <w:rPr>
          <w:rFonts w:ascii="Times New Roman" w:hAnsi="Times New Roman"/>
          <w:sz w:val="24"/>
          <w:szCs w:val="24"/>
          <w:lang w:val="sk-SK"/>
        </w:rPr>
        <w:t xml:space="preserve"> nad 80 kW</w:t>
      </w:r>
      <w:r w:rsidRPr="006C4B17">
        <w:rPr>
          <w:rFonts w:ascii="Times New Roman" w:hAnsi="Times New Roman"/>
          <w:sz w:val="24"/>
          <w:szCs w:val="24"/>
          <w:lang w:val="sk-SK"/>
        </w:rPr>
        <w:t>, prehodnotili sa aj sadzby poplatkov za udelenie dopravnej licencie, menia sa niektoré sadzby poplatkov za úkony správy katastra</w:t>
      </w:r>
      <w:r>
        <w:rPr>
          <w:rFonts w:ascii="Times New Roman" w:hAnsi="Times New Roman"/>
          <w:sz w:val="24"/>
          <w:szCs w:val="24"/>
          <w:lang w:val="sk-SK"/>
        </w:rPr>
        <w:t xml:space="preserve"> okrem výpisu z katastra nehnuteľností, ktorý sa zachováva na súčasnej úrovni</w:t>
      </w:r>
      <w:r w:rsidRPr="006C4B17">
        <w:rPr>
          <w:rFonts w:ascii="Times New Roman" w:hAnsi="Times New Roman"/>
          <w:sz w:val="24"/>
          <w:szCs w:val="24"/>
          <w:lang w:val="sk-SK"/>
        </w:rPr>
        <w:t xml:space="preserve">, zaokrúhľujú sa sadzby poplatkov za úkony Úradu priemyselného vlastníctva SR, upravujú sa spoplatňované úkony vrátane sadzieb poplatkov pri registrácii liekov, nadväzne na nariadenia Európskeho parlamentu a Rady (ES) č. 450/2008 sa zo sadzobníka správnych poplatkov vypúšťa IX. časť upravujúca oblasť colníctva, pri konzulárnych poplatkoch sa platné sadzby poplatkov upravili v závislosti od sumy poplatkov vyberaných za obdobné úkony v iných krajinách, dopĺňa sa nová časť XXII. upravujúca úkony v súvislosti s ochranou utajovaných skutočností. </w:t>
      </w:r>
    </w:p>
    <w:p w:rsidR="0099440F" w:rsidRPr="006C4B17" w:rsidP="0099440F">
      <w:pPr>
        <w:bidi w:val="0"/>
        <w:spacing w:after="0" w:line="240" w:lineRule="auto"/>
        <w:jc w:val="both"/>
        <w:rPr>
          <w:rFonts w:ascii="Times New Roman" w:hAnsi="Times New Roman"/>
          <w:sz w:val="24"/>
          <w:szCs w:val="24"/>
          <w:lang w:val="sk-SK"/>
        </w:rPr>
      </w:pPr>
      <w:r w:rsidRPr="006C4B17">
        <w:rPr>
          <w:rFonts w:ascii="Times New Roman" w:hAnsi="Times New Roman"/>
          <w:sz w:val="24"/>
          <w:szCs w:val="24"/>
          <w:lang w:val="sk-SK"/>
        </w:rPr>
        <w:tab/>
        <w:t xml:space="preserve">V navrhovanom článku II sa novelizuje zákon č. 71/1992 Zb. o súdnych poplatkoch a poplatku za výpis z registra trestov v znení neskorších predpisov. Spresňuje sa ustanovenie o osobnom a vecnom oslobodení od súdnych poplatkov a upravuje sa spoplatnenie konaní o preskúmanie rozhodnutí orgánov verejnej správy.  </w:t>
      </w:r>
    </w:p>
    <w:p w:rsidR="0099440F" w:rsidRPr="006C4B17" w:rsidP="0099440F">
      <w:pPr>
        <w:bidi w:val="0"/>
        <w:spacing w:after="0" w:line="240" w:lineRule="auto"/>
        <w:jc w:val="both"/>
        <w:rPr>
          <w:rFonts w:ascii="Times New Roman" w:hAnsi="Times New Roman"/>
          <w:sz w:val="24"/>
          <w:szCs w:val="24"/>
          <w:lang w:val="sk-SK"/>
        </w:rPr>
      </w:pPr>
      <w:r w:rsidRPr="006C4B17">
        <w:rPr>
          <w:rFonts w:ascii="Times New Roman" w:hAnsi="Times New Roman"/>
          <w:sz w:val="24"/>
          <w:szCs w:val="24"/>
          <w:lang w:val="sk-SK"/>
        </w:rPr>
        <w:tab/>
        <w:t xml:space="preserve">V článku III sa navrhuje novelizovať zákon č. 171/2005 Z. z. o hazardných hrách a o zmene a doplnení niektorých zákonov v znení neskorších predpisov a upraviť kompetenciu Ministerstva financií SR, ktoré z vlastného podnetu bude môcť zmeniť udelenú licenciu na prevádzkovanie hazardných hier ak dôjde k zmene zákona alebo iných všeobecne záväzných právnych predpisov. Navrhuje sa tiež upraviť percento odvodu do štátneho rozpočtu pri číselných lotériách. </w:t>
      </w:r>
    </w:p>
    <w:p w:rsidR="0099440F" w:rsidRPr="006C4B17" w:rsidP="0099440F">
      <w:pPr>
        <w:bidi w:val="0"/>
        <w:spacing w:after="0" w:line="240" w:lineRule="auto"/>
        <w:ind w:firstLine="708"/>
        <w:jc w:val="both"/>
        <w:rPr>
          <w:rFonts w:ascii="Times New Roman" w:hAnsi="Times New Roman"/>
          <w:sz w:val="24"/>
          <w:szCs w:val="24"/>
          <w:lang w:val="sk-SK"/>
        </w:rPr>
      </w:pPr>
      <w:r w:rsidRPr="006C4B17">
        <w:rPr>
          <w:rFonts w:ascii="Times New Roman" w:hAnsi="Times New Roman"/>
          <w:sz w:val="24"/>
          <w:szCs w:val="24"/>
          <w:lang w:val="sk-SK"/>
        </w:rPr>
        <w:t xml:space="preserve">Článok IV je novelou zákona č. 381/2011 Z. z. o zrušení kolkových známok a o zmene a doplnení niektorých zákonov, ktorou sa posúva termín zrušenia kolkových známok, ako jednej z možných spôsobov platenia správnych a súdnych poplatkov z januára 2013 na január 2014. Dôvodom tejto zmeny sú úvahy o zabezpečení centrálneho riešenia výberu a zúčtovania poplatkov, ktoré bude možné platiť aj novými, modernými spôsobmi ako je platobná karta, SMS či internet.  </w:t>
      </w:r>
    </w:p>
    <w:p w:rsidR="0099440F" w:rsidRPr="00804853" w:rsidP="0099440F">
      <w:pPr>
        <w:bidi w:val="0"/>
        <w:spacing w:after="0" w:line="240" w:lineRule="auto"/>
        <w:jc w:val="both"/>
        <w:rPr>
          <w:rFonts w:ascii="Times New Roman" w:hAnsi="Times New Roman"/>
          <w:sz w:val="24"/>
          <w:szCs w:val="24"/>
          <w:lang w:val="sk-SK"/>
        </w:rPr>
      </w:pPr>
      <w:r w:rsidRPr="006C4B17">
        <w:rPr>
          <w:rFonts w:ascii="Times New Roman" w:hAnsi="Times New Roman"/>
          <w:sz w:val="24"/>
          <w:szCs w:val="24"/>
          <w:lang w:val="sk-SK"/>
        </w:rPr>
        <w:tab/>
        <w:t>Návrh zákona je v súlade s Ústavou Slovenskej republiky a inými zákonmi a medzinárodnými zmluvami, ktorými je Slovenská republika viazaná. Vyberanie poplatkov za úkony a konania správnych orgánov nie je upravený v práve Európskej únie. Problematika súdnych poplatkov vo veci vyživovacej povinnosti je upravená v práve Európskej únie.</w:t>
      </w:r>
    </w:p>
    <w:p w:rsidR="0099440F" w:rsidRPr="006C4B17" w:rsidP="0099440F">
      <w:pPr>
        <w:pStyle w:val="Title"/>
        <w:bidi w:val="0"/>
        <w:rPr>
          <w:rFonts w:ascii="Times New Roman" w:hAnsi="Times New Roman"/>
        </w:rPr>
      </w:pPr>
      <w:r w:rsidRPr="006C4B17">
        <w:rPr>
          <w:rFonts w:ascii="Times New Roman" w:hAnsi="Times New Roman"/>
        </w:rPr>
        <w:t>DOLOŽKA ZLUČITEĽNOSTI</w:t>
      </w:r>
    </w:p>
    <w:p w:rsidR="0099440F" w:rsidRPr="006C4B17" w:rsidP="0099440F">
      <w:pPr>
        <w:pStyle w:val="Zkladntext"/>
        <w:pBdr>
          <w:bottom w:val="single" w:sz="12" w:space="1" w:color="auto"/>
        </w:pBdr>
        <w:bidi w:val="0"/>
        <w:jc w:val="center"/>
        <w:rPr>
          <w:rFonts w:ascii="Times New Roman" w:hAnsi="Times New Roman"/>
          <w:b/>
          <w:bCs/>
          <w:szCs w:val="24"/>
        </w:rPr>
      </w:pPr>
      <w:r w:rsidRPr="006C4B17">
        <w:rPr>
          <w:rFonts w:ascii="Times New Roman" w:hAnsi="Times New Roman"/>
          <w:b/>
          <w:bCs/>
          <w:szCs w:val="24"/>
        </w:rPr>
        <w:t>návrhu zákona, ktorým sa mení a dopĺňa zákon Národnej rady Slovenskej republiky č. 145/1995 Z. z. o správnych poplatkoch v znení neskorších predpisov a ktorým sa menia a dopĺňajú niektoré zákony s právom Európskej únie</w:t>
      </w:r>
    </w:p>
    <w:p w:rsidR="0099440F" w:rsidRPr="006C4B17" w:rsidP="0099440F">
      <w:pPr>
        <w:bidi w:val="0"/>
        <w:rPr>
          <w:rFonts w:ascii="Times New Roman" w:hAnsi="Times New Roman"/>
          <w:b/>
          <w:bCs/>
          <w:sz w:val="24"/>
          <w:szCs w:val="24"/>
          <w:lang w:val="sk-SK"/>
        </w:rPr>
      </w:pPr>
    </w:p>
    <w:p w:rsidR="0099440F" w:rsidRPr="006C4B17" w:rsidP="0099440F">
      <w:pPr>
        <w:widowControl/>
        <w:numPr>
          <w:numId w:val="2"/>
        </w:numPr>
        <w:bidi w:val="0"/>
        <w:adjustRightInd/>
        <w:spacing w:after="0" w:line="240" w:lineRule="auto"/>
        <w:jc w:val="both"/>
        <w:rPr>
          <w:rFonts w:ascii="Times New Roman" w:hAnsi="Times New Roman"/>
          <w:sz w:val="24"/>
          <w:szCs w:val="24"/>
          <w:lang w:val="sk-SK"/>
        </w:rPr>
      </w:pPr>
      <w:r w:rsidRPr="006C4B17">
        <w:rPr>
          <w:rFonts w:ascii="Times New Roman" w:hAnsi="Times New Roman"/>
          <w:b/>
          <w:bCs/>
          <w:sz w:val="24"/>
          <w:szCs w:val="24"/>
          <w:lang w:val="sk-SK"/>
        </w:rPr>
        <w:t>Predkladateľ zákona:</w:t>
      </w:r>
    </w:p>
    <w:p w:rsidR="0099440F" w:rsidRPr="006C4B17" w:rsidP="0099440F">
      <w:pPr>
        <w:bidi w:val="0"/>
        <w:spacing w:after="0" w:line="240" w:lineRule="auto"/>
        <w:ind w:firstLine="425"/>
        <w:jc w:val="both"/>
        <w:rPr>
          <w:rFonts w:ascii="Times New Roman" w:hAnsi="Times New Roman"/>
          <w:sz w:val="24"/>
          <w:szCs w:val="24"/>
          <w:lang w:val="sk-SK"/>
        </w:rPr>
      </w:pPr>
      <w:r w:rsidRPr="006C4B17">
        <w:rPr>
          <w:rFonts w:ascii="Times New Roman" w:hAnsi="Times New Roman"/>
          <w:sz w:val="24"/>
          <w:szCs w:val="24"/>
          <w:lang w:val="sk-SK"/>
        </w:rPr>
        <w:t xml:space="preserve">Vláda Slovenskej republiky. </w:t>
      </w:r>
    </w:p>
    <w:p w:rsidR="0099440F" w:rsidRPr="006C4B17" w:rsidP="0099440F">
      <w:pPr>
        <w:bidi w:val="0"/>
        <w:spacing w:after="0" w:line="240" w:lineRule="auto"/>
        <w:jc w:val="both"/>
        <w:rPr>
          <w:rFonts w:ascii="Times New Roman" w:hAnsi="Times New Roman"/>
          <w:bCs/>
          <w:sz w:val="24"/>
          <w:szCs w:val="24"/>
          <w:lang w:val="sk-SK"/>
        </w:rPr>
      </w:pPr>
    </w:p>
    <w:p w:rsidR="0099440F" w:rsidRPr="006C4B17" w:rsidP="0099440F">
      <w:pPr>
        <w:widowControl/>
        <w:numPr>
          <w:numId w:val="2"/>
        </w:numPr>
        <w:bidi w:val="0"/>
        <w:adjustRightInd/>
        <w:spacing w:after="0" w:line="240" w:lineRule="auto"/>
        <w:jc w:val="both"/>
        <w:rPr>
          <w:rFonts w:ascii="Times New Roman" w:hAnsi="Times New Roman"/>
          <w:b/>
          <w:bCs/>
          <w:sz w:val="24"/>
          <w:szCs w:val="24"/>
          <w:lang w:val="sk-SK"/>
        </w:rPr>
      </w:pPr>
      <w:r w:rsidRPr="006C4B17">
        <w:rPr>
          <w:rFonts w:ascii="Times New Roman" w:hAnsi="Times New Roman"/>
          <w:b/>
          <w:bCs/>
          <w:sz w:val="24"/>
          <w:szCs w:val="24"/>
          <w:lang w:val="sk-SK"/>
        </w:rPr>
        <w:t>Názov návrhu zákona:</w:t>
      </w:r>
    </w:p>
    <w:p w:rsidR="0099440F" w:rsidRPr="006C4B17" w:rsidP="0099440F">
      <w:pPr>
        <w:pStyle w:val="BodyText"/>
        <w:bidi w:val="0"/>
        <w:spacing w:after="0"/>
        <w:ind w:left="426"/>
        <w:jc w:val="both"/>
        <w:rPr>
          <w:b/>
          <w:bCs/>
        </w:rPr>
      </w:pPr>
      <w:r w:rsidRPr="006C4B17">
        <w:rPr>
          <w:rFonts w:hint="default"/>
        </w:rPr>
        <w:t>Ná</w:t>
      </w:r>
      <w:r w:rsidRPr="006C4B17">
        <w:rPr>
          <w:rFonts w:hint="default"/>
        </w:rPr>
        <w:t>vrh zá</w:t>
      </w:r>
      <w:r w:rsidRPr="006C4B17">
        <w:rPr>
          <w:rFonts w:hint="default"/>
        </w:rPr>
        <w:t xml:space="preserve">kona, </w:t>
      </w:r>
      <w:r w:rsidRPr="006C4B17">
        <w:rPr>
          <w:rFonts w:hint="default"/>
          <w:bCs/>
          <w:color w:val="000000"/>
        </w:rPr>
        <w:t>ktorý</w:t>
      </w:r>
      <w:r w:rsidRPr="006C4B17">
        <w:rPr>
          <w:rFonts w:hint="default"/>
          <w:bCs/>
          <w:color w:val="000000"/>
        </w:rPr>
        <w:t>m sa mení</w:t>
      </w:r>
      <w:r w:rsidRPr="006C4B17">
        <w:rPr>
          <w:rFonts w:hint="default"/>
          <w:bCs/>
          <w:color w:val="000000"/>
        </w:rPr>
        <w:t xml:space="preserve"> a </w:t>
      </w:r>
      <w:r w:rsidRPr="006C4B17">
        <w:rPr>
          <w:rFonts w:hint="default"/>
          <w:bCs/>
          <w:color w:val="000000"/>
        </w:rPr>
        <w:t>dopĺň</w:t>
      </w:r>
      <w:r w:rsidRPr="006C4B17">
        <w:rPr>
          <w:rFonts w:hint="default"/>
          <w:bCs/>
          <w:color w:val="000000"/>
        </w:rPr>
        <w:t>a zá</w:t>
      </w:r>
      <w:r w:rsidRPr="006C4B17">
        <w:rPr>
          <w:rFonts w:hint="default"/>
          <w:bCs/>
          <w:color w:val="000000"/>
        </w:rPr>
        <w:t>kon Ná</w:t>
      </w:r>
      <w:r w:rsidRPr="006C4B17">
        <w:rPr>
          <w:rFonts w:hint="default"/>
          <w:bCs/>
          <w:color w:val="000000"/>
        </w:rPr>
        <w:t>rodnej rady Slovenskej republiky č</w:t>
      </w:r>
      <w:r w:rsidRPr="006C4B17">
        <w:rPr>
          <w:rFonts w:hint="default"/>
          <w:bCs/>
          <w:color w:val="000000"/>
        </w:rPr>
        <w:t>. 145/</w:t>
      </w:r>
      <w:r w:rsidRPr="006C4B17">
        <w:rPr>
          <w:rFonts w:hint="default"/>
          <w:bCs/>
          <w:color w:val="000000"/>
        </w:rPr>
        <w:t>1995 Z. z. o </w:t>
      </w:r>
      <w:r w:rsidRPr="006C4B17">
        <w:rPr>
          <w:rFonts w:hint="default"/>
          <w:bCs/>
          <w:color w:val="000000"/>
        </w:rPr>
        <w:t>sprá</w:t>
      </w:r>
      <w:r w:rsidRPr="006C4B17">
        <w:rPr>
          <w:rFonts w:hint="default"/>
          <w:bCs/>
          <w:color w:val="000000"/>
        </w:rPr>
        <w:t>vnych poplatkoch v </w:t>
      </w:r>
      <w:r w:rsidRPr="006C4B17">
        <w:rPr>
          <w:rFonts w:hint="default"/>
          <w:bCs/>
          <w:color w:val="000000"/>
        </w:rPr>
        <w:t>znení</w:t>
      </w:r>
      <w:r w:rsidRPr="006C4B17">
        <w:rPr>
          <w:rFonts w:hint="default"/>
          <w:bCs/>
          <w:color w:val="000000"/>
        </w:rPr>
        <w:t xml:space="preserve"> neskorší</w:t>
      </w:r>
      <w:r w:rsidRPr="006C4B17">
        <w:rPr>
          <w:rFonts w:hint="default"/>
          <w:bCs/>
          <w:color w:val="000000"/>
        </w:rPr>
        <w:t>ch predpisov a </w:t>
      </w:r>
      <w:r w:rsidRPr="006C4B17">
        <w:rPr>
          <w:rFonts w:hint="default"/>
          <w:bCs/>
        </w:rPr>
        <w:t>ktorý</w:t>
      </w:r>
      <w:r w:rsidRPr="006C4B17">
        <w:rPr>
          <w:rFonts w:hint="default"/>
          <w:bCs/>
        </w:rPr>
        <w:t>m sa menia a dopĺň</w:t>
      </w:r>
      <w:r w:rsidRPr="006C4B17">
        <w:rPr>
          <w:rFonts w:hint="default"/>
          <w:bCs/>
        </w:rPr>
        <w:t>ajú</w:t>
      </w:r>
      <w:r w:rsidRPr="006C4B17">
        <w:rPr>
          <w:rFonts w:hint="default"/>
          <w:bCs/>
        </w:rPr>
        <w:t xml:space="preserve"> niektoré</w:t>
      </w:r>
      <w:r w:rsidRPr="006C4B17">
        <w:rPr>
          <w:rFonts w:hint="default"/>
          <w:bCs/>
        </w:rPr>
        <w:t xml:space="preserve"> zá</w:t>
      </w:r>
      <w:r w:rsidRPr="006C4B17">
        <w:rPr>
          <w:rFonts w:hint="default"/>
          <w:bCs/>
        </w:rPr>
        <w:t>kony.</w:t>
      </w:r>
      <w:r w:rsidRPr="006C4B17">
        <w:rPr>
          <w:b/>
          <w:bCs/>
        </w:rPr>
        <w:t xml:space="preserve"> </w:t>
      </w:r>
    </w:p>
    <w:p w:rsidR="0099440F" w:rsidRPr="006C4B17" w:rsidP="0099440F">
      <w:pPr>
        <w:pStyle w:val="BodyText"/>
        <w:bidi w:val="0"/>
        <w:spacing w:after="0"/>
        <w:ind w:left="426"/>
        <w:jc w:val="both"/>
        <w:rPr>
          <w:b/>
          <w:bCs/>
        </w:rPr>
      </w:pPr>
    </w:p>
    <w:p w:rsidR="0099440F" w:rsidRPr="006C4B17" w:rsidP="0099440F">
      <w:pPr>
        <w:pStyle w:val="BodyText"/>
        <w:bidi w:val="0"/>
        <w:spacing w:after="0"/>
        <w:ind w:left="426"/>
        <w:jc w:val="both"/>
        <w:rPr>
          <w:rFonts w:hint="default"/>
          <w:b/>
          <w:bCs/>
        </w:rPr>
      </w:pPr>
      <w:r w:rsidRPr="006C4B17">
        <w:rPr>
          <w:rFonts w:hint="default"/>
          <w:b/>
          <w:bCs/>
        </w:rPr>
        <w:t>Problematika ná</w:t>
      </w:r>
      <w:r w:rsidRPr="006C4B17">
        <w:rPr>
          <w:rFonts w:hint="default"/>
          <w:b/>
          <w:bCs/>
        </w:rPr>
        <w:t>vrhu zá</w:t>
      </w:r>
      <w:r w:rsidRPr="006C4B17">
        <w:rPr>
          <w:rFonts w:hint="default"/>
          <w:b/>
          <w:bCs/>
        </w:rPr>
        <w:t xml:space="preserve">kona: </w:t>
      </w:r>
    </w:p>
    <w:p w:rsidR="0099440F" w:rsidRPr="006C4B17" w:rsidP="0099440F">
      <w:pPr>
        <w:pStyle w:val="BodyText"/>
        <w:numPr>
          <w:ilvl w:val="1"/>
          <w:numId w:val="2"/>
        </w:numPr>
        <w:bidi w:val="0"/>
        <w:spacing w:after="0"/>
        <w:rPr>
          <w:rFonts w:hint="default"/>
        </w:rPr>
      </w:pPr>
      <w:r w:rsidRPr="006C4B17">
        <w:rPr>
          <w:rFonts w:hint="default"/>
        </w:rPr>
        <w:t>je upravená</w:t>
      </w:r>
      <w:r w:rsidRPr="006C4B17">
        <w:rPr>
          <w:rFonts w:hint="default"/>
        </w:rPr>
        <w:t xml:space="preserve"> v </w:t>
      </w:r>
      <w:r w:rsidRPr="006C4B17">
        <w:rPr>
          <w:rFonts w:hint="default"/>
        </w:rPr>
        <w:t>prá</w:t>
      </w:r>
      <w:r w:rsidRPr="006C4B17">
        <w:rPr>
          <w:rFonts w:hint="default"/>
        </w:rPr>
        <w:t>ve Euró</w:t>
      </w:r>
      <w:r w:rsidRPr="006C4B17">
        <w:rPr>
          <w:rFonts w:hint="default"/>
        </w:rPr>
        <w:t>pskej ú</w:t>
      </w:r>
      <w:r w:rsidRPr="006C4B17">
        <w:rPr>
          <w:rFonts w:hint="default"/>
        </w:rPr>
        <w:t>nie:</w:t>
      </w:r>
    </w:p>
    <w:p w:rsidR="0099440F" w:rsidRPr="006C4B17" w:rsidP="0099440F">
      <w:pPr>
        <w:pStyle w:val="BodyText"/>
        <w:bidi w:val="0"/>
        <w:spacing w:after="0"/>
        <w:ind w:left="425"/>
      </w:pPr>
    </w:p>
    <w:p w:rsidR="0099440F" w:rsidRPr="006C4B17" w:rsidP="0099440F">
      <w:pPr>
        <w:bidi w:val="0"/>
        <w:spacing w:after="0" w:line="240" w:lineRule="auto"/>
        <w:ind w:left="900" w:hanging="425"/>
        <w:rPr>
          <w:rFonts w:ascii="Times New Roman" w:hAnsi="Times New Roman"/>
          <w:b/>
          <w:bCs/>
          <w:iCs/>
          <w:sz w:val="24"/>
          <w:szCs w:val="24"/>
          <w:lang w:val="sk-SK" w:eastAsia="cs-CZ"/>
        </w:rPr>
      </w:pPr>
      <w:r w:rsidRPr="006C4B17">
        <w:rPr>
          <w:rFonts w:ascii="Times New Roman" w:hAnsi="Times New Roman"/>
          <w:b/>
          <w:bCs/>
          <w:iCs/>
          <w:sz w:val="24"/>
          <w:szCs w:val="24"/>
          <w:lang w:val="sk-SK" w:eastAsia="cs-CZ"/>
        </w:rPr>
        <w:t xml:space="preserve">Primárne právo: </w:t>
      </w:r>
    </w:p>
    <w:p w:rsidR="0099440F" w:rsidRPr="006C4B17" w:rsidP="0099440F">
      <w:pPr>
        <w:widowControl/>
        <w:numPr>
          <w:numId w:val="5"/>
        </w:numPr>
        <w:bidi w:val="0"/>
        <w:adjustRightInd/>
        <w:spacing w:after="0" w:line="240" w:lineRule="auto"/>
        <w:rPr>
          <w:rFonts w:ascii="Times New Roman" w:hAnsi="Times New Roman"/>
          <w:sz w:val="24"/>
          <w:szCs w:val="24"/>
          <w:lang w:val="sk-SK" w:eastAsia="cs-CZ"/>
        </w:rPr>
      </w:pPr>
      <w:r w:rsidRPr="006C4B17">
        <w:rPr>
          <w:rFonts w:ascii="Times New Roman" w:hAnsi="Times New Roman"/>
          <w:sz w:val="24"/>
          <w:szCs w:val="24"/>
          <w:lang w:val="sk-SK" w:eastAsia="cs-CZ"/>
        </w:rPr>
        <w:t>čl. 81 Zmluvy o fungovaní Európskej únie (</w:t>
      </w:r>
      <w:r w:rsidRPr="006C4B17">
        <w:rPr>
          <w:rFonts w:ascii="Times New Roman" w:hAnsi="Times New Roman"/>
          <w:sz w:val="24"/>
          <w:szCs w:val="24"/>
          <w:lang w:val="sk-SK"/>
        </w:rPr>
        <w:t>Ú. v. EÚ C 83, 30.3. 2010),</w:t>
      </w:r>
    </w:p>
    <w:p w:rsidR="0099440F" w:rsidRPr="006C4B17" w:rsidP="0099440F">
      <w:pPr>
        <w:pStyle w:val="BodyTextIndent"/>
        <w:bidi w:val="0"/>
        <w:spacing w:after="0" w:line="240" w:lineRule="auto"/>
        <w:ind w:left="426"/>
        <w:rPr>
          <w:rFonts w:ascii="Times New Roman" w:hAnsi="Times New Roman"/>
          <w:b/>
          <w:bCs/>
          <w:iCs/>
          <w:sz w:val="24"/>
          <w:szCs w:val="24"/>
        </w:rPr>
      </w:pPr>
    </w:p>
    <w:p w:rsidR="0099440F" w:rsidRPr="006C4B17" w:rsidP="0099440F">
      <w:pPr>
        <w:pStyle w:val="BodyTextIndent"/>
        <w:bidi w:val="0"/>
        <w:spacing w:after="0" w:line="240" w:lineRule="auto"/>
        <w:ind w:left="426"/>
        <w:rPr>
          <w:rFonts w:ascii="Times New Roman" w:hAnsi="Times New Roman"/>
          <w:b/>
          <w:bCs/>
          <w:i/>
          <w:iCs/>
          <w:sz w:val="24"/>
          <w:szCs w:val="24"/>
        </w:rPr>
      </w:pPr>
      <w:r w:rsidRPr="006C4B17">
        <w:rPr>
          <w:rFonts w:ascii="Times New Roman" w:hAnsi="Times New Roman"/>
          <w:b/>
          <w:bCs/>
          <w:iCs/>
          <w:sz w:val="24"/>
          <w:szCs w:val="24"/>
        </w:rPr>
        <w:t>Sekundárne právo</w:t>
      </w:r>
      <w:r w:rsidRPr="006C4B17">
        <w:rPr>
          <w:rFonts w:ascii="Times New Roman" w:hAnsi="Times New Roman"/>
          <w:b/>
          <w:bCs/>
          <w:i/>
          <w:iCs/>
          <w:sz w:val="24"/>
          <w:szCs w:val="24"/>
        </w:rPr>
        <w:t xml:space="preserve"> </w:t>
      </w:r>
      <w:r w:rsidRPr="006C4B17">
        <w:rPr>
          <w:rFonts w:ascii="Times New Roman" w:hAnsi="Times New Roman"/>
          <w:sz w:val="24"/>
          <w:szCs w:val="24"/>
        </w:rPr>
        <w:t>(prijaté pred nadobudnutím platnosti Lisabonskej zmluvy, ktorou sa mení a dopĺňa Zmluva o Európskom spoločenstve a Zmluva o Európskej únii - do 30. novembra 2009)</w:t>
      </w:r>
      <w:r w:rsidRPr="006C4B17">
        <w:rPr>
          <w:rFonts w:ascii="Times New Roman" w:hAnsi="Times New Roman"/>
          <w:bCs/>
          <w:iCs/>
          <w:sz w:val="24"/>
          <w:szCs w:val="24"/>
        </w:rPr>
        <w:t>:</w:t>
      </w:r>
      <w:r w:rsidRPr="006C4B17">
        <w:rPr>
          <w:rFonts w:ascii="Times New Roman" w:hAnsi="Times New Roman"/>
          <w:b/>
          <w:bCs/>
          <w:i/>
          <w:iCs/>
          <w:sz w:val="24"/>
          <w:szCs w:val="24"/>
        </w:rPr>
        <w:t xml:space="preserve"> </w:t>
      </w:r>
    </w:p>
    <w:p w:rsidR="0099440F" w:rsidRPr="006C4B17" w:rsidP="0099440F">
      <w:pPr>
        <w:pStyle w:val="BodyTextIndent"/>
        <w:widowControl/>
        <w:numPr>
          <w:numId w:val="3"/>
        </w:numPr>
        <w:autoSpaceDE w:val="0"/>
        <w:autoSpaceDN w:val="0"/>
        <w:bidi w:val="0"/>
        <w:spacing w:after="0" w:line="240" w:lineRule="auto"/>
        <w:ind w:left="896" w:hanging="357"/>
        <w:jc w:val="both"/>
        <w:rPr>
          <w:rStyle w:val="Emphasis"/>
          <w:rFonts w:ascii="Times New Roman" w:hAnsi="Times New Roman"/>
          <w:sz w:val="24"/>
          <w:szCs w:val="24"/>
        </w:rPr>
      </w:pPr>
      <w:r w:rsidRPr="006C4B17">
        <w:rPr>
          <w:rFonts w:ascii="Times New Roman" w:hAnsi="Times New Roman"/>
          <w:bCs/>
          <w:sz w:val="24"/>
          <w:szCs w:val="24"/>
        </w:rPr>
        <w:t xml:space="preserve">nariadenie Rady (ES) č. </w:t>
      </w:r>
      <w:r w:rsidRPr="006C4B17">
        <w:rPr>
          <w:rFonts w:ascii="Times New Roman" w:hAnsi="Times New Roman"/>
          <w:bCs/>
          <w:sz w:val="24"/>
          <w:szCs w:val="24"/>
          <w:u w:val="single"/>
        </w:rPr>
        <w:t>4/2009</w:t>
      </w:r>
      <w:r w:rsidRPr="006C4B17">
        <w:rPr>
          <w:rFonts w:ascii="Times New Roman" w:hAnsi="Times New Roman"/>
          <w:bCs/>
          <w:sz w:val="24"/>
          <w:szCs w:val="24"/>
        </w:rPr>
        <w:t xml:space="preserve"> z 18. decembra 2008 o právomoci, rozhodnom práve, uznávaní a výkone rozhodnutí a o spolupráci vo veciach vyživovacej povinnosti (</w:t>
      </w:r>
      <w:r w:rsidRPr="006C4B17">
        <w:rPr>
          <w:rStyle w:val="Emphasis"/>
          <w:rFonts w:ascii="Times New Roman" w:hAnsi="Times New Roman"/>
          <w:i w:val="0"/>
          <w:iCs/>
          <w:sz w:val="24"/>
          <w:szCs w:val="24"/>
        </w:rPr>
        <w:t>Ú. v. EÚ L 7, 10.1.2009)</w:t>
      </w:r>
      <w:r w:rsidRPr="006C4B17">
        <w:rPr>
          <w:rFonts w:ascii="Times New Roman" w:hAnsi="Times New Roman"/>
          <w:bCs/>
          <w:sz w:val="24"/>
          <w:szCs w:val="24"/>
        </w:rPr>
        <w:t xml:space="preserve"> v platnom znení</w:t>
      </w:r>
      <w:r w:rsidRPr="006C4B17">
        <w:rPr>
          <w:rStyle w:val="Emphasis"/>
          <w:rFonts w:ascii="Times New Roman" w:hAnsi="Times New Roman"/>
          <w:i w:val="0"/>
          <w:iCs/>
          <w:sz w:val="24"/>
          <w:szCs w:val="24"/>
        </w:rPr>
        <w:t>.</w:t>
      </w:r>
    </w:p>
    <w:p w:rsidR="0099440F" w:rsidRPr="006C4B17" w:rsidP="0099440F">
      <w:pPr>
        <w:pStyle w:val="BodyTextIndent"/>
        <w:autoSpaceDE w:val="0"/>
        <w:autoSpaceDN w:val="0"/>
        <w:bidi w:val="0"/>
        <w:spacing w:after="0" w:line="240" w:lineRule="auto"/>
        <w:ind w:left="539"/>
        <w:jc w:val="both"/>
        <w:rPr>
          <w:rFonts w:ascii="Times New Roman" w:hAnsi="Times New Roman"/>
          <w:i/>
          <w:sz w:val="24"/>
          <w:szCs w:val="24"/>
        </w:rPr>
      </w:pPr>
    </w:p>
    <w:p w:rsidR="0099440F" w:rsidRPr="006C4B17" w:rsidP="0099440F">
      <w:pPr>
        <w:pStyle w:val="BodyText"/>
        <w:numPr>
          <w:ilvl w:val="1"/>
          <w:numId w:val="2"/>
        </w:numPr>
        <w:bidi w:val="0"/>
        <w:spacing w:after="0"/>
        <w:jc w:val="both"/>
        <w:rPr>
          <w:rFonts w:hint="default"/>
        </w:rPr>
      </w:pPr>
      <w:r w:rsidRPr="006C4B17">
        <w:rPr>
          <w:rFonts w:hint="default"/>
        </w:rPr>
        <w:t>nie je obsiahnutá</w:t>
      </w:r>
      <w:r w:rsidRPr="006C4B17">
        <w:rPr>
          <w:rFonts w:hint="default"/>
        </w:rPr>
        <w:t xml:space="preserve"> v </w:t>
      </w:r>
      <w:r w:rsidRPr="006C4B17">
        <w:rPr>
          <w:rFonts w:hint="default"/>
        </w:rPr>
        <w:t>judikatú</w:t>
      </w:r>
      <w:r w:rsidRPr="006C4B17">
        <w:rPr>
          <w:rFonts w:hint="default"/>
        </w:rPr>
        <w:t>re Sú</w:t>
      </w:r>
      <w:r w:rsidRPr="006C4B17">
        <w:rPr>
          <w:rFonts w:hint="default"/>
        </w:rPr>
        <w:t>dneho dvora Euró</w:t>
      </w:r>
      <w:r w:rsidRPr="006C4B17">
        <w:rPr>
          <w:rFonts w:hint="default"/>
        </w:rPr>
        <w:t>pskej ú</w:t>
      </w:r>
      <w:r w:rsidRPr="006C4B17">
        <w:rPr>
          <w:rFonts w:hint="default"/>
        </w:rPr>
        <w:t>nie.</w:t>
      </w:r>
    </w:p>
    <w:p w:rsidR="0099440F" w:rsidRPr="006C4B17" w:rsidP="0099440F">
      <w:pPr>
        <w:pStyle w:val="BodyText"/>
        <w:bidi w:val="0"/>
        <w:spacing w:after="0"/>
        <w:ind w:left="425"/>
        <w:jc w:val="both"/>
      </w:pPr>
    </w:p>
    <w:p w:rsidR="0099440F" w:rsidRPr="006C4B17" w:rsidP="0099440F">
      <w:pPr>
        <w:widowControl/>
        <w:numPr>
          <w:numId w:val="2"/>
        </w:numPr>
        <w:tabs>
          <w:tab w:val="left" w:pos="360"/>
        </w:tabs>
        <w:bidi w:val="0"/>
        <w:adjustRightInd/>
        <w:spacing w:after="0" w:line="240" w:lineRule="auto"/>
        <w:jc w:val="both"/>
        <w:rPr>
          <w:rFonts w:ascii="Times New Roman" w:hAnsi="Times New Roman"/>
          <w:b/>
          <w:bCs/>
          <w:sz w:val="24"/>
          <w:szCs w:val="24"/>
          <w:lang w:val="sk-SK"/>
        </w:rPr>
      </w:pPr>
      <w:r w:rsidRPr="006C4B17">
        <w:rPr>
          <w:rFonts w:ascii="Times New Roman" w:hAnsi="Times New Roman"/>
          <w:b/>
          <w:bCs/>
          <w:sz w:val="24"/>
          <w:szCs w:val="24"/>
          <w:lang w:val="sk-SK"/>
        </w:rPr>
        <w:t>Záväzky Slovenskej republiky vo vzťahu k Európskej únii:</w:t>
      </w:r>
    </w:p>
    <w:p w:rsidR="0099440F" w:rsidRPr="006C4B17" w:rsidP="0099440F">
      <w:pPr>
        <w:pStyle w:val="BodyText"/>
        <w:numPr>
          <w:numId w:val="4"/>
        </w:numPr>
        <w:tabs>
          <w:tab w:val="left" w:pos="360"/>
          <w:tab w:val="left" w:pos="540"/>
        </w:tabs>
        <w:bidi w:val="0"/>
        <w:spacing w:after="0"/>
        <w:jc w:val="both"/>
        <w:rPr>
          <w:rFonts w:hint="default"/>
        </w:rPr>
      </w:pPr>
      <w:r w:rsidRPr="006C4B17">
        <w:rPr>
          <w:rFonts w:hint="default"/>
        </w:rPr>
        <w:t>Bezpredmetné.</w:t>
      </w:r>
    </w:p>
    <w:p w:rsidR="0099440F" w:rsidRPr="006C4B17" w:rsidP="0099440F">
      <w:pPr>
        <w:pStyle w:val="BodyText"/>
        <w:numPr>
          <w:numId w:val="4"/>
        </w:numPr>
        <w:tabs>
          <w:tab w:val="left" w:pos="360"/>
          <w:tab w:val="left" w:pos="540"/>
        </w:tabs>
        <w:bidi w:val="0"/>
        <w:spacing w:after="0"/>
        <w:jc w:val="both"/>
        <w:rPr>
          <w:rFonts w:hint="default"/>
        </w:rPr>
      </w:pPr>
      <w:r w:rsidRPr="006C4B17">
        <w:rPr>
          <w:rFonts w:hint="default"/>
        </w:rPr>
        <w:t>Lehota urč</w:t>
      </w:r>
      <w:r w:rsidRPr="006C4B17">
        <w:rPr>
          <w:rFonts w:hint="default"/>
        </w:rPr>
        <w:t>ená</w:t>
      </w:r>
      <w:r w:rsidRPr="006C4B17">
        <w:rPr>
          <w:rFonts w:hint="default"/>
        </w:rPr>
        <w:t xml:space="preserve"> na predlož</w:t>
      </w:r>
      <w:r w:rsidRPr="006C4B17">
        <w:rPr>
          <w:rFonts w:hint="default"/>
        </w:rPr>
        <w:t>enie ná</w:t>
      </w:r>
      <w:r w:rsidRPr="006C4B17">
        <w:rPr>
          <w:rFonts w:hint="default"/>
        </w:rPr>
        <w:t>vrhu prá</w:t>
      </w:r>
      <w:r w:rsidRPr="006C4B17">
        <w:rPr>
          <w:rFonts w:hint="default"/>
        </w:rPr>
        <w:t>vneho predpisu na rokovanie vlá</w:t>
      </w:r>
      <w:r w:rsidRPr="006C4B17">
        <w:rPr>
          <w:rFonts w:hint="default"/>
        </w:rPr>
        <w:t>dy podľ</w:t>
      </w:r>
      <w:r w:rsidRPr="006C4B17">
        <w:rPr>
          <w:rFonts w:hint="default"/>
        </w:rPr>
        <w:t>a urč</w:t>
      </w:r>
      <w:r w:rsidRPr="006C4B17">
        <w:rPr>
          <w:rFonts w:hint="default"/>
        </w:rPr>
        <w:t>enia gestorský</w:t>
      </w:r>
      <w:r w:rsidRPr="006C4B17">
        <w:rPr>
          <w:rFonts w:hint="default"/>
        </w:rPr>
        <w:t>ch ú</w:t>
      </w:r>
      <w:r w:rsidRPr="006C4B17">
        <w:rPr>
          <w:rFonts w:hint="default"/>
        </w:rPr>
        <w:t>stredný</w:t>
      </w:r>
      <w:r w:rsidRPr="006C4B17">
        <w:rPr>
          <w:rFonts w:hint="default"/>
        </w:rPr>
        <w:t>ch orgá</w:t>
      </w:r>
      <w:r w:rsidRPr="006C4B17">
        <w:rPr>
          <w:rFonts w:hint="default"/>
        </w:rPr>
        <w:t>nov š</w:t>
      </w:r>
      <w:r w:rsidRPr="006C4B17">
        <w:rPr>
          <w:rFonts w:hint="default"/>
        </w:rPr>
        <w:t>tá</w:t>
      </w:r>
      <w:r w:rsidRPr="006C4B17">
        <w:rPr>
          <w:rFonts w:hint="default"/>
        </w:rPr>
        <w:t>tnej sprá</w:t>
      </w:r>
      <w:r w:rsidRPr="006C4B17">
        <w:rPr>
          <w:rFonts w:hint="default"/>
        </w:rPr>
        <w:t>vy zodpovedný</w:t>
      </w:r>
      <w:r w:rsidRPr="006C4B17">
        <w:rPr>
          <w:rFonts w:hint="default"/>
        </w:rPr>
        <w:t>ch za prebratie smerní</w:t>
      </w:r>
      <w:r w:rsidRPr="006C4B17">
        <w:rPr>
          <w:rFonts w:hint="default"/>
        </w:rPr>
        <w:t>c a vypracovanie tabuliek zho</w:t>
      </w:r>
      <w:r w:rsidRPr="006C4B17">
        <w:rPr>
          <w:rFonts w:hint="default"/>
        </w:rPr>
        <w:t>dy k </w:t>
      </w:r>
      <w:r w:rsidRPr="006C4B17">
        <w:rPr>
          <w:rFonts w:hint="default"/>
        </w:rPr>
        <w:t>ná</w:t>
      </w:r>
      <w:r w:rsidRPr="006C4B17">
        <w:rPr>
          <w:rFonts w:hint="default"/>
        </w:rPr>
        <w:t>vrhom vš</w:t>
      </w:r>
      <w:r w:rsidRPr="006C4B17">
        <w:rPr>
          <w:rFonts w:hint="default"/>
        </w:rPr>
        <w:t>eobecne zá</w:t>
      </w:r>
      <w:r w:rsidRPr="006C4B17">
        <w:rPr>
          <w:rFonts w:hint="default"/>
        </w:rPr>
        <w:t>vä</w:t>
      </w:r>
      <w:r w:rsidRPr="006C4B17">
        <w:rPr>
          <w:rFonts w:hint="default"/>
        </w:rPr>
        <w:t>zný</w:t>
      </w:r>
      <w:r w:rsidRPr="006C4B17">
        <w:rPr>
          <w:rFonts w:hint="default"/>
        </w:rPr>
        <w:t>ch prá</w:t>
      </w:r>
      <w:r w:rsidRPr="006C4B17">
        <w:rPr>
          <w:rFonts w:hint="default"/>
        </w:rPr>
        <w:t>vnych predpisov: bezpredmetné.</w:t>
      </w:r>
    </w:p>
    <w:p w:rsidR="0099440F" w:rsidRPr="006C4B17" w:rsidP="0099440F">
      <w:pPr>
        <w:pStyle w:val="BodyText"/>
        <w:numPr>
          <w:numId w:val="4"/>
        </w:numPr>
        <w:tabs>
          <w:tab w:val="left" w:pos="360"/>
        </w:tabs>
        <w:bidi w:val="0"/>
        <w:spacing w:after="0"/>
        <w:jc w:val="both"/>
        <w:rPr>
          <w:rFonts w:hint="default"/>
        </w:rPr>
      </w:pPr>
      <w:r w:rsidRPr="006C4B17">
        <w:rPr>
          <w:rFonts w:hint="default"/>
        </w:rPr>
        <w:t>Proti SR nebolo zač</w:t>
      </w:r>
      <w:r w:rsidRPr="006C4B17">
        <w:rPr>
          <w:rFonts w:hint="default"/>
        </w:rPr>
        <w:t>até</w:t>
      </w:r>
      <w:r w:rsidRPr="006C4B17">
        <w:rPr>
          <w:rFonts w:hint="default"/>
        </w:rPr>
        <w:t xml:space="preserve"> konanie o </w:t>
      </w:r>
      <w:r w:rsidRPr="006C4B17">
        <w:rPr>
          <w:rFonts w:hint="default"/>
        </w:rPr>
        <w:t>poruš</w:t>
      </w:r>
      <w:r w:rsidRPr="006C4B17">
        <w:rPr>
          <w:rFonts w:hint="default"/>
        </w:rPr>
        <w:t>ení</w:t>
      </w:r>
      <w:r w:rsidRPr="006C4B17">
        <w:rPr>
          <w:rFonts w:hint="default"/>
        </w:rPr>
        <w:t xml:space="preserve"> Zmluvy o </w:t>
      </w:r>
      <w:r w:rsidRPr="006C4B17">
        <w:rPr>
          <w:rFonts w:hint="default"/>
        </w:rPr>
        <w:t>založ</w:t>
      </w:r>
      <w:r w:rsidRPr="006C4B17">
        <w:rPr>
          <w:rFonts w:hint="default"/>
        </w:rPr>
        <w:t>ení</w:t>
      </w:r>
      <w:r w:rsidRPr="006C4B17">
        <w:rPr>
          <w:rFonts w:hint="default"/>
        </w:rPr>
        <w:t xml:space="preserve"> Euró</w:t>
      </w:r>
      <w:r w:rsidRPr="006C4B17">
        <w:rPr>
          <w:rFonts w:hint="default"/>
        </w:rPr>
        <w:t>pskych spoloč</w:t>
      </w:r>
      <w:r w:rsidRPr="006C4B17">
        <w:rPr>
          <w:rFonts w:hint="default"/>
        </w:rPr>
        <w:t>enstiev podľ</w:t>
      </w:r>
      <w:r w:rsidRPr="006C4B17">
        <w:rPr>
          <w:rFonts w:hint="default"/>
        </w:rPr>
        <w:t>a č</w:t>
      </w:r>
      <w:r w:rsidRPr="006C4B17">
        <w:rPr>
          <w:rFonts w:hint="default"/>
        </w:rPr>
        <w:t>l. 258 až</w:t>
      </w:r>
      <w:r w:rsidRPr="006C4B17">
        <w:rPr>
          <w:rFonts w:hint="default"/>
        </w:rPr>
        <w:t xml:space="preserve"> 260 Zmluvy o </w:t>
      </w:r>
      <w:r w:rsidRPr="006C4B17">
        <w:rPr>
          <w:rFonts w:hint="default"/>
        </w:rPr>
        <w:t>fungovaní</w:t>
      </w:r>
      <w:r w:rsidRPr="006C4B17">
        <w:rPr>
          <w:rFonts w:hint="default"/>
        </w:rPr>
        <w:t xml:space="preserve"> Euró</w:t>
      </w:r>
      <w:r w:rsidRPr="006C4B17">
        <w:rPr>
          <w:rFonts w:hint="default"/>
        </w:rPr>
        <w:t>pskej ú</w:t>
      </w:r>
      <w:r w:rsidRPr="006C4B17">
        <w:rPr>
          <w:rFonts w:hint="default"/>
        </w:rPr>
        <w:t>nie.</w:t>
      </w:r>
    </w:p>
    <w:p w:rsidR="0099440F" w:rsidRPr="006C4B17" w:rsidP="0099440F">
      <w:pPr>
        <w:pStyle w:val="BodyText"/>
        <w:numPr>
          <w:numId w:val="4"/>
        </w:numPr>
        <w:tabs>
          <w:tab w:val="left" w:pos="360"/>
        </w:tabs>
        <w:bidi w:val="0"/>
        <w:spacing w:after="0"/>
        <w:ind w:left="782" w:hanging="357"/>
        <w:jc w:val="both"/>
        <w:rPr>
          <w:rFonts w:hint="default"/>
        </w:rPr>
      </w:pPr>
      <w:r w:rsidRPr="006C4B17">
        <w:rPr>
          <w:rFonts w:hint="default"/>
        </w:rPr>
        <w:t>Bezpredmetné.</w:t>
      </w:r>
    </w:p>
    <w:p w:rsidR="0099440F" w:rsidRPr="006C4B17" w:rsidP="0099440F">
      <w:pPr>
        <w:pStyle w:val="BodyText"/>
        <w:tabs>
          <w:tab w:val="left" w:pos="360"/>
        </w:tabs>
        <w:bidi w:val="0"/>
        <w:spacing w:after="0"/>
        <w:ind w:left="425"/>
        <w:jc w:val="both"/>
      </w:pPr>
    </w:p>
    <w:p w:rsidR="0099440F" w:rsidRPr="006C4B17" w:rsidP="0099440F">
      <w:pPr>
        <w:tabs>
          <w:tab w:val="left" w:pos="360"/>
        </w:tabs>
        <w:bidi w:val="0"/>
        <w:spacing w:after="0" w:line="240" w:lineRule="auto"/>
        <w:jc w:val="both"/>
        <w:rPr>
          <w:rFonts w:ascii="Times New Roman" w:hAnsi="Times New Roman"/>
          <w:b/>
          <w:bCs/>
          <w:sz w:val="24"/>
          <w:szCs w:val="24"/>
          <w:lang w:val="sk-SK"/>
        </w:rPr>
      </w:pPr>
      <w:r w:rsidRPr="006C4B17">
        <w:rPr>
          <w:rFonts w:ascii="Times New Roman" w:hAnsi="Times New Roman"/>
          <w:b/>
          <w:bCs/>
          <w:sz w:val="24"/>
          <w:szCs w:val="24"/>
          <w:lang w:val="sk-SK"/>
        </w:rPr>
        <w:t>5.</w:t>
        <w:tab/>
        <w:t>Stupeň zlučiteľnosti návrhu zákona s právom Európskej únie:</w:t>
      </w:r>
    </w:p>
    <w:p w:rsidR="0099440F" w:rsidRPr="006C4B17" w:rsidP="0099440F">
      <w:pPr>
        <w:bidi w:val="0"/>
        <w:spacing w:after="0" w:line="240" w:lineRule="auto"/>
        <w:ind w:left="360"/>
        <w:jc w:val="both"/>
        <w:rPr>
          <w:rFonts w:ascii="Times New Roman" w:hAnsi="Times New Roman"/>
          <w:sz w:val="24"/>
          <w:szCs w:val="24"/>
          <w:lang w:val="sk-SK"/>
        </w:rPr>
      </w:pPr>
      <w:r w:rsidRPr="006C4B17">
        <w:rPr>
          <w:rFonts w:ascii="Times New Roman" w:hAnsi="Times New Roman"/>
          <w:sz w:val="24"/>
          <w:szCs w:val="24"/>
          <w:lang w:val="sk-SK"/>
        </w:rPr>
        <w:t xml:space="preserve"> Úplný.</w:t>
      </w:r>
    </w:p>
    <w:p w:rsidR="0099440F" w:rsidRPr="006C4B17" w:rsidP="0099440F">
      <w:pPr>
        <w:bidi w:val="0"/>
        <w:spacing w:after="0" w:line="240" w:lineRule="auto"/>
        <w:ind w:left="357"/>
        <w:jc w:val="both"/>
        <w:rPr>
          <w:rFonts w:ascii="Times New Roman" w:hAnsi="Times New Roman"/>
          <w:b/>
          <w:bCs/>
          <w:sz w:val="24"/>
          <w:szCs w:val="24"/>
          <w:lang w:val="sk-SK"/>
        </w:rPr>
      </w:pPr>
    </w:p>
    <w:p w:rsidR="0099440F" w:rsidRPr="006C4B17" w:rsidP="0099440F">
      <w:pPr>
        <w:tabs>
          <w:tab w:val="left" w:pos="360"/>
        </w:tabs>
        <w:bidi w:val="0"/>
        <w:spacing w:after="0" w:line="240" w:lineRule="auto"/>
        <w:jc w:val="both"/>
        <w:rPr>
          <w:rFonts w:ascii="Times New Roman" w:hAnsi="Times New Roman"/>
          <w:b/>
          <w:bCs/>
          <w:sz w:val="24"/>
          <w:szCs w:val="24"/>
          <w:lang w:val="sk-SK"/>
        </w:rPr>
      </w:pPr>
      <w:r w:rsidRPr="006C4B17">
        <w:rPr>
          <w:rFonts w:ascii="Times New Roman" w:hAnsi="Times New Roman"/>
          <w:b/>
          <w:bCs/>
          <w:sz w:val="24"/>
          <w:szCs w:val="24"/>
          <w:lang w:val="sk-SK"/>
        </w:rPr>
        <w:t>6.</w:t>
        <w:tab/>
        <w:t xml:space="preserve">Gestor a spolupracujúce rezorty: </w:t>
      </w:r>
    </w:p>
    <w:p w:rsidR="0099440F" w:rsidRPr="006C4B17" w:rsidP="0099440F">
      <w:pPr>
        <w:bidi w:val="0"/>
        <w:spacing w:after="0" w:line="240" w:lineRule="auto"/>
        <w:ind w:left="360"/>
        <w:jc w:val="both"/>
        <w:rPr>
          <w:rFonts w:ascii="Times New Roman" w:hAnsi="Times New Roman"/>
          <w:b/>
          <w:bCs/>
          <w:sz w:val="24"/>
          <w:szCs w:val="24"/>
          <w:lang w:val="sk-SK"/>
        </w:rPr>
      </w:pPr>
      <w:r w:rsidRPr="006C4B17">
        <w:rPr>
          <w:rFonts w:ascii="Times New Roman" w:hAnsi="Times New Roman"/>
          <w:sz w:val="24"/>
          <w:szCs w:val="24"/>
          <w:lang w:val="sk-SK"/>
        </w:rPr>
        <w:t xml:space="preserve"> Ministerstvo financií Slovenskej republiky.</w:t>
      </w:r>
    </w:p>
    <w:p w:rsidR="0099440F" w:rsidRPr="006C4B17" w:rsidP="0099440F">
      <w:pPr>
        <w:bidi w:val="0"/>
        <w:rPr>
          <w:rFonts w:ascii="Times New Roman" w:hAnsi="Times New Roman"/>
          <w:sz w:val="24"/>
          <w:szCs w:val="24"/>
          <w:lang w:val="sk-SK"/>
        </w:rPr>
      </w:pPr>
    </w:p>
    <w:p w:rsidR="0099440F" w:rsidP="00F156C3">
      <w:pPr>
        <w:bidi w:val="0"/>
        <w:spacing w:after="0" w:line="240" w:lineRule="auto"/>
        <w:jc w:val="center"/>
        <w:rPr>
          <w:rFonts w:ascii="Times New Roman" w:hAnsi="Times New Roman"/>
          <w:b/>
          <w:bCs/>
          <w:caps/>
          <w:color w:val="000000"/>
          <w:spacing w:val="30"/>
          <w:sz w:val="24"/>
          <w:szCs w:val="24"/>
          <w:lang w:val="sk-SK"/>
        </w:rPr>
      </w:pPr>
    </w:p>
    <w:p w:rsidR="0099440F" w:rsidP="00F156C3">
      <w:pPr>
        <w:bidi w:val="0"/>
        <w:spacing w:after="0" w:line="240" w:lineRule="auto"/>
        <w:jc w:val="center"/>
        <w:rPr>
          <w:rFonts w:ascii="Times New Roman" w:hAnsi="Times New Roman"/>
          <w:b/>
          <w:bCs/>
          <w:caps/>
          <w:color w:val="000000"/>
          <w:spacing w:val="30"/>
          <w:sz w:val="24"/>
          <w:szCs w:val="24"/>
          <w:lang w:val="sk-SK"/>
        </w:rPr>
      </w:pPr>
    </w:p>
    <w:p w:rsidR="0099440F" w:rsidP="00F156C3">
      <w:pPr>
        <w:bidi w:val="0"/>
        <w:spacing w:after="0" w:line="240" w:lineRule="auto"/>
        <w:jc w:val="center"/>
        <w:rPr>
          <w:rFonts w:ascii="Times New Roman" w:hAnsi="Times New Roman"/>
          <w:b/>
          <w:bCs/>
          <w:caps/>
          <w:color w:val="000000"/>
          <w:spacing w:val="30"/>
          <w:sz w:val="24"/>
          <w:szCs w:val="24"/>
          <w:lang w:val="sk-SK"/>
        </w:rPr>
      </w:pPr>
    </w:p>
    <w:p w:rsidR="0099440F" w:rsidP="00F156C3">
      <w:pPr>
        <w:bidi w:val="0"/>
        <w:spacing w:after="0" w:line="240" w:lineRule="auto"/>
        <w:jc w:val="center"/>
        <w:rPr>
          <w:rFonts w:ascii="Times New Roman" w:hAnsi="Times New Roman"/>
          <w:b/>
          <w:bCs/>
          <w:caps/>
          <w:color w:val="000000"/>
          <w:spacing w:val="30"/>
          <w:sz w:val="24"/>
          <w:szCs w:val="24"/>
          <w:lang w:val="sk-SK"/>
        </w:rPr>
      </w:pPr>
    </w:p>
    <w:p w:rsidR="0099440F" w:rsidP="00F156C3">
      <w:pPr>
        <w:bidi w:val="0"/>
        <w:spacing w:after="0" w:line="240" w:lineRule="auto"/>
        <w:jc w:val="center"/>
        <w:rPr>
          <w:rFonts w:ascii="Times New Roman" w:hAnsi="Times New Roman"/>
          <w:b/>
          <w:bCs/>
          <w:caps/>
          <w:color w:val="000000"/>
          <w:spacing w:val="30"/>
          <w:sz w:val="24"/>
          <w:szCs w:val="24"/>
          <w:lang w:val="sk-SK"/>
        </w:rPr>
      </w:pPr>
    </w:p>
    <w:p w:rsidR="00F156C3" w:rsidRPr="00515EE2" w:rsidP="00F156C3">
      <w:pPr>
        <w:bidi w:val="0"/>
        <w:spacing w:after="0" w:line="240" w:lineRule="auto"/>
        <w:jc w:val="center"/>
        <w:rPr>
          <w:rFonts w:ascii="Times New Roman" w:hAnsi="Times New Roman"/>
          <w:b/>
          <w:bCs/>
          <w:caps/>
          <w:color w:val="000000"/>
          <w:spacing w:val="30"/>
          <w:sz w:val="24"/>
          <w:szCs w:val="24"/>
          <w:lang w:val="sk-SK"/>
        </w:rPr>
      </w:pPr>
      <w:r w:rsidRPr="00515EE2">
        <w:rPr>
          <w:rFonts w:ascii="Times New Roman" w:hAnsi="Times New Roman"/>
          <w:b/>
          <w:bCs/>
          <w:caps/>
          <w:color w:val="000000"/>
          <w:spacing w:val="30"/>
          <w:sz w:val="24"/>
          <w:szCs w:val="24"/>
          <w:lang w:val="sk-SK"/>
        </w:rPr>
        <w:t>Doložka</w:t>
      </w:r>
    </w:p>
    <w:p w:rsidR="00F156C3" w:rsidRPr="00515EE2" w:rsidP="00F156C3">
      <w:pPr>
        <w:bidi w:val="0"/>
        <w:spacing w:after="0" w:line="240" w:lineRule="auto"/>
        <w:jc w:val="center"/>
        <w:rPr>
          <w:rFonts w:ascii="Times New Roman" w:hAnsi="Times New Roman"/>
          <w:b/>
          <w:bCs/>
          <w:color w:val="000000"/>
          <w:sz w:val="24"/>
          <w:szCs w:val="24"/>
          <w:lang w:val="sk-SK"/>
        </w:rPr>
      </w:pPr>
      <w:r w:rsidRPr="00515EE2">
        <w:rPr>
          <w:rFonts w:ascii="Times New Roman" w:hAnsi="Times New Roman"/>
          <w:b/>
          <w:bCs/>
          <w:color w:val="000000"/>
          <w:sz w:val="24"/>
          <w:szCs w:val="24"/>
          <w:lang w:val="sk-SK"/>
        </w:rPr>
        <w:t>vybraných vplyvov</w:t>
      </w:r>
    </w:p>
    <w:p w:rsidR="00F156C3" w:rsidRPr="00515EE2" w:rsidP="00F156C3">
      <w:pPr>
        <w:bidi w:val="0"/>
        <w:spacing w:after="0" w:line="240" w:lineRule="auto"/>
        <w:rPr>
          <w:rFonts w:ascii="Times New Roman" w:hAnsi="Times New Roman"/>
          <w:color w:val="000000"/>
          <w:sz w:val="24"/>
          <w:szCs w:val="24"/>
          <w:lang w:val="sk-SK"/>
        </w:rPr>
      </w:pPr>
    </w:p>
    <w:p w:rsidR="00F156C3" w:rsidRPr="00515EE2" w:rsidP="00F156C3">
      <w:pPr>
        <w:bidi w:val="0"/>
        <w:spacing w:after="0" w:line="240" w:lineRule="auto"/>
        <w:rPr>
          <w:rFonts w:ascii="Times New Roman" w:hAnsi="Times New Roman"/>
          <w:color w:val="000000"/>
          <w:sz w:val="24"/>
          <w:szCs w:val="24"/>
          <w:lang w:val="sk-SK"/>
        </w:rPr>
      </w:pPr>
    </w:p>
    <w:p w:rsidR="00626DFC" w:rsidP="00F156C3">
      <w:pPr>
        <w:bidi w:val="0"/>
        <w:spacing w:after="0" w:line="240" w:lineRule="auto"/>
        <w:jc w:val="both"/>
        <w:rPr>
          <w:rFonts w:ascii="Times New Roman" w:hAnsi="Times New Roman"/>
          <w:b/>
          <w:bCs/>
          <w:color w:val="000000"/>
          <w:sz w:val="24"/>
          <w:szCs w:val="24"/>
          <w:lang w:val="sk-SK"/>
        </w:rPr>
      </w:pPr>
      <w:r w:rsidRPr="00515EE2" w:rsidR="00F156C3">
        <w:rPr>
          <w:rFonts w:ascii="Times New Roman" w:hAnsi="Times New Roman"/>
          <w:b/>
          <w:bCs/>
          <w:color w:val="000000"/>
          <w:sz w:val="24"/>
          <w:szCs w:val="24"/>
          <w:lang w:val="sk-SK"/>
        </w:rPr>
        <w:t xml:space="preserve">A.1. Názov materiálu: </w:t>
      </w:r>
    </w:p>
    <w:p w:rsidR="004C6E69" w:rsidRPr="004C6E69" w:rsidP="004C6E69">
      <w:pPr>
        <w:pStyle w:val="BodyText"/>
        <w:bidi w:val="0"/>
        <w:jc w:val="both"/>
        <w:rPr>
          <w:b/>
          <w:bCs/>
          <w:color w:val="000000" w:themeColor="tx1" w:themeShade="FF"/>
        </w:rPr>
      </w:pPr>
      <w:r w:rsidRPr="00626DFC" w:rsidR="00F156C3">
        <w:rPr>
          <w:rFonts w:hint="default"/>
          <w:b/>
          <w:color w:val="000000"/>
        </w:rPr>
        <w:t>Ná</w:t>
      </w:r>
      <w:r w:rsidRPr="00626DFC" w:rsidR="00F156C3">
        <w:rPr>
          <w:rFonts w:hint="default"/>
          <w:b/>
          <w:color w:val="000000"/>
        </w:rPr>
        <w:t>vrh zá</w:t>
      </w:r>
      <w:r w:rsidRPr="00626DFC" w:rsidR="00F156C3">
        <w:rPr>
          <w:rFonts w:hint="default"/>
          <w:b/>
          <w:color w:val="000000"/>
        </w:rPr>
        <w:t>kona, ktorý</w:t>
      </w:r>
      <w:r w:rsidRPr="00626DFC" w:rsidR="00F156C3">
        <w:rPr>
          <w:rFonts w:hint="default"/>
          <w:b/>
          <w:color w:val="000000"/>
        </w:rPr>
        <w:t>m sa mení</w:t>
      </w:r>
      <w:r w:rsidRPr="00626DFC" w:rsidR="00F156C3">
        <w:rPr>
          <w:rFonts w:hint="default"/>
          <w:b/>
          <w:color w:val="000000"/>
        </w:rPr>
        <w:t xml:space="preserve"> a </w:t>
      </w:r>
      <w:r w:rsidRPr="00626DFC" w:rsidR="00F156C3">
        <w:rPr>
          <w:rFonts w:hint="default"/>
          <w:b/>
          <w:color w:val="000000"/>
        </w:rPr>
        <w:t>dopĺň</w:t>
      </w:r>
      <w:r w:rsidRPr="00626DFC" w:rsidR="00F156C3">
        <w:rPr>
          <w:rFonts w:hint="default"/>
          <w:b/>
          <w:color w:val="000000"/>
        </w:rPr>
        <w:t>a zá</w:t>
      </w:r>
      <w:r w:rsidRPr="00626DFC" w:rsidR="00F156C3">
        <w:rPr>
          <w:rFonts w:hint="default"/>
          <w:b/>
          <w:color w:val="000000"/>
        </w:rPr>
        <w:t xml:space="preserve">kon </w:t>
      </w:r>
      <w:r w:rsidRPr="00626DFC" w:rsidR="00626DFC">
        <w:rPr>
          <w:rFonts w:hint="default"/>
          <w:b/>
          <w:color w:val="000000"/>
        </w:rPr>
        <w:t>Ná</w:t>
      </w:r>
      <w:r w:rsidRPr="00626DFC" w:rsidR="00626DFC">
        <w:rPr>
          <w:rFonts w:hint="default"/>
          <w:b/>
          <w:color w:val="000000"/>
        </w:rPr>
        <w:t>rodnej rady Slovenskej republiky č</w:t>
      </w:r>
      <w:r w:rsidRPr="00626DFC" w:rsidR="00626DFC">
        <w:rPr>
          <w:rFonts w:hint="default"/>
          <w:b/>
          <w:color w:val="000000"/>
        </w:rPr>
        <w:t>. 145/1995 Z. z. o </w:t>
      </w:r>
      <w:r w:rsidRPr="00626DFC" w:rsidR="00626DFC">
        <w:rPr>
          <w:rFonts w:hint="default"/>
          <w:b/>
          <w:color w:val="000000"/>
        </w:rPr>
        <w:t>sprá</w:t>
      </w:r>
      <w:r w:rsidRPr="00626DFC" w:rsidR="00626DFC">
        <w:rPr>
          <w:rFonts w:hint="default"/>
          <w:b/>
          <w:color w:val="000000"/>
        </w:rPr>
        <w:t>vnych poplatkoch v </w:t>
      </w:r>
      <w:r w:rsidRPr="00626DFC" w:rsidR="00626DFC">
        <w:rPr>
          <w:rFonts w:hint="default"/>
          <w:b/>
          <w:color w:val="000000"/>
        </w:rPr>
        <w:t>znení</w:t>
      </w:r>
      <w:r w:rsidRPr="00626DFC" w:rsidR="00626DFC">
        <w:rPr>
          <w:rFonts w:hint="default"/>
          <w:b/>
          <w:color w:val="000000"/>
        </w:rPr>
        <w:t xml:space="preserve"> neskorší</w:t>
      </w:r>
      <w:r w:rsidRPr="00626DFC" w:rsidR="00626DFC">
        <w:rPr>
          <w:rFonts w:hint="default"/>
          <w:b/>
          <w:color w:val="000000"/>
        </w:rPr>
        <w:t>ch predpisov a </w:t>
      </w:r>
      <w:r w:rsidRPr="004C6E69">
        <w:rPr>
          <w:rFonts w:hint="default"/>
          <w:b/>
          <w:bCs/>
        </w:rPr>
        <w:t>ktorý</w:t>
      </w:r>
      <w:r w:rsidRPr="004C6E69">
        <w:rPr>
          <w:rFonts w:hint="default"/>
          <w:b/>
          <w:bCs/>
        </w:rPr>
        <w:t>m sa menia a dopĺň</w:t>
      </w:r>
      <w:r w:rsidRPr="004C6E69">
        <w:rPr>
          <w:rFonts w:hint="default"/>
          <w:b/>
          <w:bCs/>
        </w:rPr>
        <w:t>ajú</w:t>
      </w:r>
      <w:r w:rsidRPr="004C6E69">
        <w:rPr>
          <w:rFonts w:hint="default"/>
          <w:b/>
          <w:bCs/>
        </w:rPr>
        <w:t xml:space="preserve"> niektoré</w:t>
      </w:r>
      <w:r w:rsidRPr="004C6E69">
        <w:rPr>
          <w:rFonts w:hint="default"/>
          <w:b/>
          <w:bCs/>
        </w:rPr>
        <w:t xml:space="preserve"> zá</w:t>
      </w:r>
      <w:r w:rsidRPr="004C6E69">
        <w:rPr>
          <w:rFonts w:hint="default"/>
          <w:b/>
          <w:bCs/>
        </w:rPr>
        <w:t>kony</w:t>
      </w:r>
      <w:r w:rsidRPr="004C6E69">
        <w:rPr>
          <w:b/>
          <w:bCs/>
          <w:color w:val="000000" w:themeColor="tx1" w:themeShade="FF"/>
        </w:rPr>
        <w:t>.</w:t>
      </w:r>
    </w:p>
    <w:p w:rsidR="00626DFC" w:rsidRPr="00515EE2" w:rsidP="00F156C3">
      <w:pPr>
        <w:bidi w:val="0"/>
        <w:spacing w:after="0" w:line="240" w:lineRule="auto"/>
        <w:jc w:val="both"/>
        <w:rPr>
          <w:rFonts w:ascii="Times New Roman" w:hAnsi="Times New Roman"/>
          <w:color w:val="000000"/>
          <w:sz w:val="24"/>
          <w:szCs w:val="24"/>
          <w:lang w:val="sk-SK"/>
        </w:rPr>
      </w:pPr>
    </w:p>
    <w:p w:rsidR="00F156C3" w:rsidRPr="00515EE2" w:rsidP="00F156C3">
      <w:pPr>
        <w:bidi w:val="0"/>
        <w:spacing w:after="0" w:line="240" w:lineRule="auto"/>
        <w:jc w:val="both"/>
        <w:rPr>
          <w:rFonts w:ascii="Times New Roman" w:hAnsi="Times New Roman"/>
          <w:b/>
          <w:bCs/>
          <w:color w:val="000000"/>
          <w:sz w:val="24"/>
          <w:szCs w:val="24"/>
          <w:lang w:val="sk-SK"/>
        </w:rPr>
      </w:pPr>
      <w:r w:rsidRPr="00515EE2">
        <w:rPr>
          <w:rFonts w:ascii="Times New Roman" w:hAnsi="Times New Roman"/>
          <w:b/>
          <w:bCs/>
          <w:color w:val="000000"/>
          <w:sz w:val="24"/>
          <w:szCs w:val="24"/>
          <w:lang w:val="sk-SK"/>
        </w:rPr>
        <w:t>Termín začatia a ukončenia PPK:</w:t>
      </w:r>
      <w:r w:rsidRPr="00515EE2" w:rsidR="00C1317C">
        <w:rPr>
          <w:rFonts w:ascii="Times New Roman" w:hAnsi="Times New Roman"/>
          <w:color w:val="000000"/>
          <w:sz w:val="24"/>
          <w:szCs w:val="24"/>
          <w:lang w:val="sk-SK"/>
        </w:rPr>
        <w:t xml:space="preserve"> </w:t>
      </w:r>
      <w:r w:rsidRPr="00515EE2">
        <w:rPr>
          <w:rFonts w:ascii="Times New Roman" w:hAnsi="Times New Roman"/>
          <w:color w:val="000000"/>
          <w:sz w:val="24"/>
          <w:szCs w:val="24"/>
          <w:lang w:val="sk-SK"/>
        </w:rPr>
        <w:t xml:space="preserve"> </w:t>
      </w:r>
    </w:p>
    <w:p w:rsidR="00626DFC" w:rsidRPr="00515EE2" w:rsidP="00F156C3">
      <w:pPr>
        <w:bidi w:val="0"/>
        <w:spacing w:after="0" w:line="240" w:lineRule="auto"/>
        <w:jc w:val="both"/>
        <w:rPr>
          <w:rFonts w:ascii="Times New Roman" w:hAnsi="Times New Roman"/>
          <w:b/>
          <w:bCs/>
          <w:color w:val="000000"/>
          <w:sz w:val="24"/>
          <w:szCs w:val="24"/>
          <w:lang w:val="sk-SK"/>
        </w:rPr>
      </w:pPr>
    </w:p>
    <w:p w:rsidR="00F156C3" w:rsidRPr="00515EE2" w:rsidP="00F156C3">
      <w:pPr>
        <w:bidi w:val="0"/>
        <w:spacing w:after="0" w:line="240" w:lineRule="auto"/>
        <w:jc w:val="both"/>
        <w:rPr>
          <w:rFonts w:ascii="Times New Roman" w:hAnsi="Times New Roman"/>
          <w:b/>
          <w:bCs/>
          <w:color w:val="000000"/>
          <w:sz w:val="24"/>
          <w:szCs w:val="24"/>
          <w:lang w:val="sk-SK"/>
        </w:rPr>
      </w:pPr>
      <w:r w:rsidRPr="00515EE2">
        <w:rPr>
          <w:rFonts w:ascii="Times New Roman" w:hAnsi="Times New Roman"/>
          <w:b/>
          <w:bCs/>
          <w:color w:val="000000"/>
          <w:sz w:val="24"/>
          <w:szCs w:val="24"/>
          <w:lang w:val="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1"/>
        <w:gridCol w:w="1194"/>
        <w:gridCol w:w="1183"/>
        <w:gridCol w:w="1198"/>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626DFC" w:rsidP="00BF2AB6">
            <w:pPr>
              <w:widowControl/>
              <w:bidi w:val="0"/>
              <w:spacing w:after="0"/>
              <w:jc w:val="center"/>
              <w:rPr>
                <w:rFonts w:ascii="Times New Roman" w:hAnsi="Times New Roman"/>
                <w:b/>
                <w:color w:val="000000"/>
                <w:sz w:val="24"/>
                <w:szCs w:val="24"/>
                <w:lang w:val="sk-SK"/>
              </w:rPr>
            </w:pPr>
            <w:r w:rsidRPr="00626DFC">
              <w:rPr>
                <w:rFonts w:ascii="Times New Roman" w:hAnsi="Times New Roman"/>
                <w:b/>
                <w:color w:val="000000"/>
                <w:sz w:val="24"/>
                <w:szCs w:val="24"/>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626DFC" w:rsidP="00BF2AB6">
            <w:pPr>
              <w:widowControl/>
              <w:bidi w:val="0"/>
              <w:spacing w:after="0"/>
              <w:jc w:val="center"/>
              <w:rPr>
                <w:rFonts w:ascii="Times New Roman" w:hAnsi="Times New Roman"/>
                <w:b/>
                <w:color w:val="000000"/>
                <w:sz w:val="24"/>
                <w:szCs w:val="24"/>
                <w:lang w:val="sk-SK"/>
              </w:rPr>
            </w:pPr>
            <w:r w:rsidRPr="00626DFC">
              <w:rPr>
                <w:rFonts w:ascii="Times New Roman" w:hAnsi="Times New Roman"/>
                <w:b/>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626DFC" w:rsidP="00BF2AB6">
            <w:pPr>
              <w:widowControl/>
              <w:bidi w:val="0"/>
              <w:spacing w:after="0"/>
              <w:jc w:val="center"/>
              <w:rPr>
                <w:rFonts w:ascii="Times New Roman" w:hAnsi="Times New Roman"/>
                <w:b/>
                <w:color w:val="000000"/>
                <w:sz w:val="24"/>
                <w:szCs w:val="24"/>
                <w:lang w:val="sk-SK"/>
              </w:rPr>
            </w:pPr>
            <w:r w:rsidRPr="00626DFC">
              <w:rPr>
                <w:rFonts w:ascii="Times New Roman" w:hAnsi="Times New Roman"/>
                <w:b/>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626DFC">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1. Vplyvy na rozpočet verejnej správy</w:t>
            </w:r>
            <w:r w:rsidRPr="00515EE2" w:rsidR="001F1B7C">
              <w:rPr>
                <w:rFonts w:ascii="Times New Roman" w:hAnsi="Times New Roman"/>
                <w:color w:val="000000"/>
                <w:sz w:val="24"/>
                <w:szCs w:val="24"/>
                <w:lang w:val="sk-SK"/>
              </w:rPr>
              <w:t xml:space="preserv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r w:rsidR="00626DF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r w:rsidR="00626DFC">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r w:rsidR="00B405B7">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r w:rsidR="00B405B7">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r w:rsidRPr="00515EE2">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rPr>
                <w:rFonts w:ascii="Times New Roman" w:hAnsi="Times New Roman"/>
                <w:color w:val="000000"/>
                <w:sz w:val="24"/>
                <w:szCs w:val="24"/>
                <w:lang w:val="sk-SK"/>
              </w:rPr>
            </w:pPr>
            <w:r w:rsidRPr="00515EE2">
              <w:rPr>
                <w:rFonts w:ascii="Times New Roman" w:hAnsi="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r w:rsidR="00626DF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156C3" w:rsidRPr="00515EE2" w:rsidP="00BF2AB6">
            <w:pPr>
              <w:widowControl/>
              <w:bidi w:val="0"/>
              <w:spacing w:after="0"/>
              <w:jc w:val="center"/>
              <w:rPr>
                <w:rFonts w:ascii="Times New Roman" w:hAnsi="Times New Roman"/>
                <w:color w:val="000000"/>
                <w:sz w:val="24"/>
                <w:szCs w:val="24"/>
                <w:lang w:val="sk-SK"/>
              </w:rPr>
            </w:pPr>
          </w:p>
        </w:tc>
      </w:tr>
    </w:tbl>
    <w:p w:rsidR="00626DFC" w:rsidRPr="00515EE2" w:rsidP="00515EE2">
      <w:pPr>
        <w:widowControl/>
        <w:bidi w:val="0"/>
        <w:spacing w:after="0" w:line="240" w:lineRule="auto"/>
        <w:rPr>
          <w:rFonts w:ascii="Times New Roman" w:hAnsi="Times New Roman"/>
          <w:color w:val="000000"/>
          <w:sz w:val="24"/>
          <w:szCs w:val="24"/>
          <w:lang w:val="sk-SK"/>
        </w:rPr>
      </w:pPr>
    </w:p>
    <w:p w:rsidR="00F156C3" w:rsidRPr="00515EE2" w:rsidP="00F156C3">
      <w:pPr>
        <w:bidi w:val="0"/>
        <w:spacing w:after="0" w:line="240" w:lineRule="auto"/>
        <w:jc w:val="both"/>
        <w:rPr>
          <w:rFonts w:ascii="Times New Roman" w:hAnsi="Times New Roman"/>
          <w:b/>
          <w:bCs/>
          <w:color w:val="000000"/>
          <w:sz w:val="24"/>
          <w:szCs w:val="24"/>
          <w:lang w:val="sk-SK"/>
        </w:rPr>
      </w:pPr>
      <w:r w:rsidRPr="00515EE2">
        <w:rPr>
          <w:rFonts w:ascii="Times New Roman" w:hAnsi="Times New Roman"/>
          <w:b/>
          <w:bCs/>
          <w:color w:val="000000"/>
          <w:sz w:val="24"/>
          <w:szCs w:val="24"/>
          <w:lang w:val="sk-SK"/>
        </w:rPr>
        <w:t>A.3. Poznámky</w:t>
      </w:r>
    </w:p>
    <w:p w:rsidR="00E312DC" w:rsidP="00E312DC">
      <w:pPr>
        <w:bidi w:val="0"/>
        <w:spacing w:after="0" w:line="240" w:lineRule="auto"/>
        <w:ind w:firstLine="709"/>
        <w:jc w:val="both"/>
        <w:rPr>
          <w:rFonts w:ascii="Times New Roman" w:hAnsi="Times New Roman"/>
          <w:sz w:val="24"/>
          <w:szCs w:val="24"/>
          <w:lang w:val="sk-SK"/>
        </w:rPr>
      </w:pPr>
      <w:r w:rsidRPr="00E312DC">
        <w:rPr>
          <w:rFonts w:ascii="Times New Roman" w:hAnsi="Times New Roman"/>
          <w:iCs/>
          <w:color w:val="000000"/>
          <w:sz w:val="24"/>
          <w:szCs w:val="24"/>
          <w:lang w:val="sk-SK"/>
        </w:rPr>
        <w:t xml:space="preserve">Vplyvy </w:t>
      </w:r>
      <w:r w:rsidRPr="00E312DC">
        <w:rPr>
          <w:rFonts w:ascii="Times New Roman" w:hAnsi="Times New Roman"/>
          <w:sz w:val="24"/>
          <w:szCs w:val="24"/>
          <w:lang w:val="sk-SK"/>
        </w:rPr>
        <w:t>na príjem verejného rozpočtu vyplývajúce z upravených sadzieb poplatkov alebo z novo navrhovaných  úkonov a konaní spoplatňovaných správnymi alebo súdnymi poplatkami nie sú konkrétnejšie vyčísliteľné, nakoľko tieto závisia od počtu vykonaných úkonov a konaní príslušnými orgánmi, resp. od aktivity žiadateľov</w:t>
      </w:r>
      <w:r>
        <w:rPr>
          <w:rFonts w:ascii="Times New Roman" w:hAnsi="Times New Roman"/>
          <w:sz w:val="24"/>
          <w:szCs w:val="24"/>
          <w:lang w:val="sk-SK"/>
        </w:rPr>
        <w:t xml:space="preserve">. </w:t>
      </w:r>
      <w:r w:rsidRPr="00E312DC">
        <w:rPr>
          <w:rFonts w:ascii="Times New Roman" w:hAnsi="Times New Roman"/>
          <w:sz w:val="24"/>
          <w:szCs w:val="24"/>
          <w:lang w:val="sk-SK"/>
        </w:rPr>
        <w:t>Obdobná situácia nastáva pri týchto úkonoch a konaniach aj v prípade vyčíslenia  nákladov spojených s pokračujúcou distribúciou  a výrobou kolkových známok, ktoré sa viažu na objem predaných kolkových známok a ich výrobu.</w:t>
      </w:r>
    </w:p>
    <w:p w:rsidR="00B405B7" w:rsidRPr="00E312DC" w:rsidP="00E312DC">
      <w:pPr>
        <w:bidi w:val="0"/>
        <w:spacing w:after="0" w:line="240" w:lineRule="auto"/>
        <w:ind w:firstLine="709"/>
        <w:jc w:val="both"/>
        <w:rPr>
          <w:rFonts w:ascii="Times New Roman" w:hAnsi="Times New Roman"/>
          <w:sz w:val="24"/>
          <w:szCs w:val="24"/>
          <w:lang w:val="sk-SK"/>
        </w:rPr>
      </w:pPr>
      <w:r>
        <w:rPr>
          <w:rFonts w:ascii="Times New Roman" w:hAnsi="Times New Roman"/>
          <w:sz w:val="24"/>
          <w:szCs w:val="24"/>
          <w:lang w:val="sk-SK"/>
        </w:rPr>
        <w:t>Možno predpokladať zvýšené finančné nároky na podnikateľskú sféru i obyvateľov, tie však závisia od ich aktivity a nie sú konkrétne vyčísliteľné.</w:t>
      </w:r>
    </w:p>
    <w:p w:rsidR="00E312DC" w:rsidP="00E312DC">
      <w:pPr>
        <w:bidi w:val="0"/>
        <w:spacing w:after="0" w:line="240" w:lineRule="auto"/>
        <w:ind w:firstLine="708"/>
        <w:jc w:val="both"/>
        <w:rPr>
          <w:rFonts w:ascii="Times New Roman" w:hAnsi="Times New Roman"/>
          <w:iCs/>
          <w:color w:val="000000"/>
          <w:sz w:val="24"/>
          <w:szCs w:val="24"/>
          <w:lang w:val="sk-SK"/>
        </w:rPr>
      </w:pPr>
      <w:r w:rsidRPr="00626DFC" w:rsidR="00626DFC">
        <w:rPr>
          <w:rFonts w:ascii="Times New Roman" w:hAnsi="Times New Roman"/>
          <w:iCs/>
          <w:color w:val="000000"/>
          <w:sz w:val="24"/>
          <w:szCs w:val="24"/>
          <w:lang w:val="sk-SK"/>
        </w:rPr>
        <w:t xml:space="preserve">Výdavky </w:t>
      </w:r>
      <w:r w:rsidR="00626DFC">
        <w:rPr>
          <w:rFonts w:ascii="Times New Roman" w:hAnsi="Times New Roman"/>
          <w:iCs/>
          <w:color w:val="000000"/>
          <w:sz w:val="24"/>
          <w:szCs w:val="24"/>
          <w:lang w:val="sk-SK"/>
        </w:rPr>
        <w:t>z</w:t>
      </w:r>
      <w:r w:rsidRPr="00626DFC" w:rsidR="00626DFC">
        <w:rPr>
          <w:rFonts w:ascii="Times New Roman" w:hAnsi="Times New Roman"/>
          <w:iCs/>
          <w:color w:val="000000"/>
          <w:sz w:val="24"/>
          <w:szCs w:val="24"/>
          <w:lang w:val="sk-SK"/>
        </w:rPr>
        <w:t>o št</w:t>
      </w:r>
      <w:r w:rsidR="00626DFC">
        <w:rPr>
          <w:rFonts w:ascii="Times New Roman" w:hAnsi="Times New Roman"/>
          <w:iCs/>
          <w:color w:val="000000"/>
          <w:sz w:val="24"/>
          <w:szCs w:val="24"/>
          <w:lang w:val="sk-SK"/>
        </w:rPr>
        <w:t xml:space="preserve">átneho rozpočtu na rok </w:t>
      </w:r>
      <w:r w:rsidR="0035741F">
        <w:rPr>
          <w:rFonts w:ascii="Times New Roman" w:hAnsi="Times New Roman"/>
          <w:iCs/>
          <w:color w:val="000000"/>
          <w:sz w:val="24"/>
          <w:szCs w:val="24"/>
          <w:lang w:val="sk-SK"/>
        </w:rPr>
        <w:t>2012 predstavujú náklady na distribúciu</w:t>
      </w:r>
      <w:r>
        <w:rPr>
          <w:rFonts w:ascii="Times New Roman" w:hAnsi="Times New Roman"/>
          <w:iCs/>
          <w:color w:val="000000"/>
          <w:sz w:val="24"/>
          <w:szCs w:val="24"/>
          <w:lang w:val="sk-SK"/>
        </w:rPr>
        <w:t xml:space="preserve"> v sume </w:t>
      </w:r>
      <w:r w:rsidR="00F160B3">
        <w:rPr>
          <w:rFonts w:ascii="Times New Roman" w:hAnsi="Times New Roman"/>
          <w:iCs/>
          <w:color w:val="000000"/>
          <w:sz w:val="24"/>
          <w:szCs w:val="24"/>
          <w:lang w:val="sk-SK"/>
        </w:rPr>
        <w:t>1</w:t>
      </w:r>
      <w:r w:rsidR="0099440F">
        <w:rPr>
          <w:rFonts w:ascii="Times New Roman" w:hAnsi="Times New Roman"/>
          <w:iCs/>
          <w:color w:val="000000"/>
          <w:sz w:val="24"/>
          <w:szCs w:val="24"/>
          <w:lang w:val="sk-SK"/>
        </w:rPr>
        <w:t>6</w:t>
      </w:r>
      <w:r w:rsidR="00F160B3">
        <w:rPr>
          <w:rFonts w:ascii="Times New Roman" w:hAnsi="Times New Roman"/>
          <w:iCs/>
          <w:color w:val="000000"/>
          <w:sz w:val="24"/>
          <w:szCs w:val="24"/>
          <w:lang w:val="sk-SK"/>
        </w:rPr>
        <w:t>,7 tis</w:t>
      </w:r>
      <w:r>
        <w:rPr>
          <w:rFonts w:ascii="Times New Roman" w:hAnsi="Times New Roman"/>
          <w:iCs/>
          <w:color w:val="000000"/>
          <w:sz w:val="24"/>
          <w:szCs w:val="24"/>
          <w:lang w:val="sk-SK"/>
        </w:rPr>
        <w:t>. eur</w:t>
      </w:r>
      <w:r w:rsidR="0035741F">
        <w:rPr>
          <w:rFonts w:ascii="Times New Roman" w:hAnsi="Times New Roman"/>
          <w:iCs/>
          <w:color w:val="000000"/>
          <w:sz w:val="24"/>
          <w:szCs w:val="24"/>
          <w:lang w:val="sk-SK"/>
        </w:rPr>
        <w:t xml:space="preserve"> a</w:t>
      </w:r>
      <w:r>
        <w:rPr>
          <w:rFonts w:ascii="Times New Roman" w:hAnsi="Times New Roman"/>
          <w:iCs/>
          <w:color w:val="000000"/>
          <w:sz w:val="24"/>
          <w:szCs w:val="24"/>
          <w:lang w:val="sk-SK"/>
        </w:rPr>
        <w:t xml:space="preserve"> na </w:t>
      </w:r>
      <w:r w:rsidR="0035741F">
        <w:rPr>
          <w:rFonts w:ascii="Times New Roman" w:hAnsi="Times New Roman"/>
          <w:iCs/>
          <w:color w:val="000000"/>
          <w:sz w:val="24"/>
          <w:szCs w:val="24"/>
          <w:lang w:val="sk-SK"/>
        </w:rPr>
        <w:t xml:space="preserve">tlač kolkových známok v sume </w:t>
      </w:r>
      <w:r w:rsidR="00632422">
        <w:rPr>
          <w:rFonts w:ascii="Times New Roman" w:hAnsi="Times New Roman"/>
          <w:iCs/>
          <w:color w:val="000000"/>
          <w:sz w:val="24"/>
          <w:szCs w:val="24"/>
          <w:lang w:val="sk-SK"/>
        </w:rPr>
        <w:t>15</w:t>
      </w:r>
      <w:r>
        <w:rPr>
          <w:rFonts w:ascii="Times New Roman" w:hAnsi="Times New Roman"/>
          <w:iCs/>
          <w:color w:val="000000"/>
          <w:sz w:val="24"/>
          <w:szCs w:val="24"/>
          <w:lang w:val="sk-SK"/>
        </w:rPr>
        <w:t xml:space="preserve"> tis.</w:t>
      </w:r>
      <w:r w:rsidR="0035741F">
        <w:rPr>
          <w:rFonts w:ascii="Times New Roman" w:hAnsi="Times New Roman"/>
          <w:iCs/>
          <w:color w:val="000000"/>
          <w:sz w:val="24"/>
          <w:szCs w:val="24"/>
          <w:lang w:val="sk-SK"/>
        </w:rPr>
        <w:t xml:space="preserve"> </w:t>
      </w:r>
      <w:r w:rsidR="00632422">
        <w:rPr>
          <w:rFonts w:ascii="Times New Roman" w:hAnsi="Times New Roman"/>
          <w:iCs/>
          <w:color w:val="000000"/>
          <w:sz w:val="24"/>
          <w:szCs w:val="24"/>
          <w:lang w:val="sk-SK"/>
        </w:rPr>
        <w:t>e</w:t>
      </w:r>
      <w:r w:rsidR="0035741F">
        <w:rPr>
          <w:rFonts w:ascii="Times New Roman" w:hAnsi="Times New Roman"/>
          <w:iCs/>
          <w:color w:val="000000"/>
          <w:sz w:val="24"/>
          <w:szCs w:val="24"/>
          <w:lang w:val="sk-SK"/>
        </w:rPr>
        <w:t>ur</w:t>
      </w:r>
      <w:r>
        <w:rPr>
          <w:rFonts w:ascii="Times New Roman" w:hAnsi="Times New Roman"/>
          <w:iCs/>
          <w:color w:val="000000"/>
          <w:sz w:val="24"/>
          <w:szCs w:val="24"/>
          <w:lang w:val="sk-SK"/>
        </w:rPr>
        <w:t xml:space="preserve">. Očakávané náklady </w:t>
      </w:r>
      <w:r w:rsidR="0035741F">
        <w:rPr>
          <w:rFonts w:ascii="Times New Roman" w:hAnsi="Times New Roman"/>
          <w:iCs/>
          <w:color w:val="000000"/>
          <w:sz w:val="24"/>
          <w:szCs w:val="24"/>
          <w:lang w:val="sk-SK"/>
        </w:rPr>
        <w:t xml:space="preserve">na rok </w:t>
      </w:r>
      <w:r w:rsidR="00626DFC">
        <w:rPr>
          <w:rFonts w:ascii="Times New Roman" w:hAnsi="Times New Roman"/>
          <w:iCs/>
          <w:color w:val="000000"/>
          <w:sz w:val="24"/>
          <w:szCs w:val="24"/>
          <w:lang w:val="sk-SK"/>
        </w:rPr>
        <w:t xml:space="preserve">2013 predstavujú </w:t>
      </w:r>
      <w:r>
        <w:rPr>
          <w:rFonts w:ascii="Times New Roman" w:hAnsi="Times New Roman"/>
          <w:iCs/>
          <w:color w:val="000000"/>
          <w:sz w:val="24"/>
          <w:szCs w:val="24"/>
          <w:lang w:val="sk-SK"/>
        </w:rPr>
        <w:t xml:space="preserve">na distribúciu </w:t>
      </w:r>
      <w:r w:rsidR="005940E4">
        <w:rPr>
          <w:rFonts w:ascii="Times New Roman" w:hAnsi="Times New Roman"/>
          <w:iCs/>
          <w:color w:val="000000"/>
          <w:sz w:val="24"/>
          <w:szCs w:val="24"/>
          <w:lang w:val="sk-SK"/>
        </w:rPr>
        <w:t>sumu</w:t>
      </w:r>
      <w:r w:rsidR="00626DFC">
        <w:rPr>
          <w:rFonts w:ascii="Times New Roman" w:hAnsi="Times New Roman"/>
          <w:iCs/>
          <w:color w:val="000000"/>
          <w:sz w:val="24"/>
          <w:szCs w:val="24"/>
          <w:lang w:val="sk-SK"/>
        </w:rPr>
        <w:t xml:space="preserve"> 4,</w:t>
      </w:r>
      <w:r w:rsidR="0099440F">
        <w:rPr>
          <w:rFonts w:ascii="Times New Roman" w:hAnsi="Times New Roman"/>
          <w:iCs/>
          <w:color w:val="000000"/>
          <w:sz w:val="24"/>
          <w:szCs w:val="24"/>
          <w:lang w:val="sk-SK"/>
        </w:rPr>
        <w:t>219</w:t>
      </w:r>
      <w:r w:rsidR="00626DFC">
        <w:rPr>
          <w:rFonts w:ascii="Times New Roman" w:hAnsi="Times New Roman"/>
          <w:iCs/>
          <w:color w:val="000000"/>
          <w:sz w:val="24"/>
          <w:szCs w:val="24"/>
          <w:lang w:val="sk-SK"/>
        </w:rPr>
        <w:t xml:space="preserve"> mil. eur</w:t>
      </w:r>
      <w:r>
        <w:rPr>
          <w:rFonts w:ascii="Times New Roman" w:hAnsi="Times New Roman"/>
          <w:iCs/>
          <w:color w:val="000000"/>
          <w:sz w:val="24"/>
          <w:szCs w:val="24"/>
          <w:lang w:val="sk-SK"/>
        </w:rPr>
        <w:t xml:space="preserve"> a na tlač kolkových známok sumu 347,7 tis. eur</w:t>
      </w:r>
      <w:r w:rsidR="00626DFC">
        <w:rPr>
          <w:rFonts w:ascii="Times New Roman" w:hAnsi="Times New Roman"/>
          <w:iCs/>
          <w:color w:val="000000"/>
          <w:sz w:val="24"/>
          <w:szCs w:val="24"/>
          <w:lang w:val="sk-SK"/>
        </w:rPr>
        <w:t xml:space="preserve">. V roku 2014 bude výška výdavkov </w:t>
      </w:r>
      <w:r w:rsidR="0035741F">
        <w:rPr>
          <w:rFonts w:ascii="Times New Roman" w:hAnsi="Times New Roman"/>
          <w:iCs/>
          <w:color w:val="000000"/>
          <w:sz w:val="24"/>
          <w:szCs w:val="24"/>
          <w:lang w:val="sk-SK"/>
        </w:rPr>
        <w:t>v sume 40 tis. eur predstavovať náklady na odkupovanie</w:t>
      </w:r>
      <w:r w:rsidR="00626DFC">
        <w:rPr>
          <w:rFonts w:ascii="Times New Roman" w:hAnsi="Times New Roman"/>
          <w:iCs/>
          <w:color w:val="000000"/>
          <w:sz w:val="24"/>
          <w:szCs w:val="24"/>
          <w:lang w:val="sk-SK"/>
        </w:rPr>
        <w:t xml:space="preserve"> kolkových známok</w:t>
      </w:r>
      <w:r w:rsidR="0035741F">
        <w:rPr>
          <w:rFonts w:ascii="Times New Roman" w:hAnsi="Times New Roman"/>
          <w:iCs/>
          <w:color w:val="000000"/>
          <w:sz w:val="24"/>
          <w:szCs w:val="24"/>
          <w:lang w:val="sk-SK"/>
        </w:rPr>
        <w:t xml:space="preserve"> a v roku 2015 sú zahrnuté len výdavky spojené s likvidáciou neplatných kolkových známok.</w:t>
      </w:r>
      <w:r>
        <w:rPr>
          <w:rFonts w:ascii="Times New Roman" w:hAnsi="Times New Roman"/>
          <w:iCs/>
          <w:color w:val="000000"/>
          <w:sz w:val="24"/>
          <w:szCs w:val="24"/>
          <w:lang w:val="sk-SK"/>
        </w:rPr>
        <w:t xml:space="preserve"> </w:t>
      </w:r>
    </w:p>
    <w:p w:rsidR="00626DFC" w:rsidP="00E312DC">
      <w:pPr>
        <w:bidi w:val="0"/>
        <w:spacing w:after="0" w:line="240" w:lineRule="auto"/>
        <w:ind w:firstLine="708"/>
        <w:jc w:val="both"/>
        <w:rPr>
          <w:rFonts w:ascii="Times New Roman" w:hAnsi="Times New Roman"/>
          <w:i/>
          <w:iCs/>
          <w:color w:val="000000"/>
          <w:sz w:val="24"/>
          <w:szCs w:val="24"/>
          <w:lang w:val="sk-SK"/>
        </w:rPr>
      </w:pPr>
      <w:r w:rsidR="00E312DC">
        <w:rPr>
          <w:rFonts w:ascii="Times New Roman" w:hAnsi="Times New Roman"/>
          <w:iCs/>
          <w:color w:val="000000"/>
          <w:sz w:val="24"/>
          <w:szCs w:val="24"/>
          <w:lang w:val="sk-SK"/>
        </w:rPr>
        <w:t>Výda</w:t>
      </w:r>
      <w:r w:rsidR="006C3EAD">
        <w:rPr>
          <w:rFonts w:ascii="Times New Roman" w:hAnsi="Times New Roman"/>
          <w:iCs/>
          <w:color w:val="000000"/>
          <w:sz w:val="24"/>
          <w:szCs w:val="24"/>
          <w:lang w:val="sk-SK"/>
        </w:rPr>
        <w:t>vky nezahŕňa</w:t>
      </w:r>
      <w:r w:rsidR="00E312DC">
        <w:rPr>
          <w:rFonts w:ascii="Times New Roman" w:hAnsi="Times New Roman"/>
          <w:iCs/>
          <w:color w:val="000000"/>
          <w:sz w:val="24"/>
          <w:szCs w:val="24"/>
          <w:lang w:val="sk-SK"/>
        </w:rPr>
        <w:t xml:space="preserve">jú náklady na zavedenie centrálneho riešenia úhrad správnych a súdnych poplatkov novými formami, ako to vyplýva z uznesenia vlády SR </w:t>
      </w:r>
      <w:r w:rsidR="006C3EAD">
        <w:rPr>
          <w:rFonts w:ascii="Times New Roman" w:hAnsi="Times New Roman"/>
          <w:iCs/>
          <w:color w:val="000000"/>
          <w:sz w:val="24"/>
          <w:szCs w:val="24"/>
          <w:lang w:val="sk-SK"/>
        </w:rPr>
        <w:t>č. 222/2012 k Informácii o zámeroch realizácie úhrad správnych a súdnych poplatkov, o možnostiach ich evidencie a zúčtovania.</w:t>
      </w:r>
    </w:p>
    <w:p w:rsidR="00F156C3" w:rsidRPr="00515EE2" w:rsidP="00F156C3">
      <w:pPr>
        <w:bidi w:val="0"/>
        <w:spacing w:after="0" w:line="240" w:lineRule="auto"/>
        <w:jc w:val="both"/>
        <w:rPr>
          <w:rFonts w:ascii="Times New Roman" w:hAnsi="Times New Roman"/>
          <w:i/>
          <w:iCs/>
          <w:color w:val="000000"/>
          <w:sz w:val="24"/>
          <w:szCs w:val="24"/>
          <w:lang w:val="sk-SK"/>
        </w:rPr>
      </w:pPr>
      <w:r w:rsidRPr="00515EE2">
        <w:rPr>
          <w:rFonts w:ascii="Times New Roman" w:hAnsi="Times New Roman"/>
          <w:i/>
          <w:iCs/>
          <w:color w:val="000000"/>
          <w:sz w:val="24"/>
          <w:szCs w:val="24"/>
          <w:lang w:val="sk-SK"/>
        </w:rPr>
        <w:t xml:space="preserve">      </w:t>
      </w:r>
    </w:p>
    <w:p w:rsidR="00626DFC" w:rsidRPr="006C3EAD" w:rsidP="006C3EAD">
      <w:pPr>
        <w:bidi w:val="0"/>
        <w:spacing w:after="0" w:line="240" w:lineRule="auto"/>
        <w:jc w:val="both"/>
        <w:rPr>
          <w:rFonts w:ascii="Times New Roman" w:hAnsi="Times New Roman"/>
          <w:b/>
          <w:bCs/>
          <w:color w:val="000000"/>
          <w:sz w:val="24"/>
          <w:szCs w:val="24"/>
          <w:lang w:val="sk-SK"/>
        </w:rPr>
      </w:pPr>
      <w:r w:rsidRPr="00515EE2">
        <w:rPr>
          <w:rFonts w:ascii="Times New Roman" w:hAnsi="Times New Roman"/>
          <w:b/>
          <w:bCs/>
          <w:color w:val="000000"/>
          <w:sz w:val="24"/>
          <w:szCs w:val="24"/>
          <w:lang w:val="sk-SK"/>
        </w:rPr>
        <w:t>A.</w:t>
      </w:r>
      <w:r>
        <w:rPr>
          <w:rFonts w:ascii="Times New Roman" w:hAnsi="Times New Roman"/>
          <w:b/>
          <w:bCs/>
          <w:color w:val="000000"/>
          <w:sz w:val="24"/>
          <w:szCs w:val="24"/>
          <w:lang w:val="sk-SK"/>
        </w:rPr>
        <w:t>4</w:t>
      </w:r>
      <w:r w:rsidRPr="00515EE2">
        <w:rPr>
          <w:rFonts w:ascii="Times New Roman" w:hAnsi="Times New Roman"/>
          <w:b/>
          <w:bCs/>
          <w:color w:val="000000"/>
          <w:sz w:val="24"/>
          <w:szCs w:val="24"/>
          <w:lang w:val="sk-SK"/>
        </w:rPr>
        <w:t xml:space="preserve">. </w:t>
      </w:r>
      <w:r>
        <w:rPr>
          <w:rFonts w:ascii="Times New Roman" w:hAnsi="Times New Roman"/>
          <w:b/>
          <w:bCs/>
          <w:color w:val="000000"/>
          <w:sz w:val="24"/>
          <w:szCs w:val="24"/>
          <w:lang w:val="sk-SK"/>
        </w:rPr>
        <w:t>Alternatívne riešenia</w:t>
      </w:r>
    </w:p>
    <w:p w:rsidR="00626DFC" w:rsidP="00E20780">
      <w:pPr>
        <w:bidi w:val="0"/>
        <w:spacing w:after="0" w:line="240" w:lineRule="auto"/>
        <w:ind w:firstLine="708"/>
        <w:jc w:val="both"/>
        <w:rPr>
          <w:rFonts w:ascii="Times New Roman" w:hAnsi="Times New Roman"/>
          <w:sz w:val="24"/>
          <w:szCs w:val="24"/>
          <w:lang w:val="sk-SK"/>
        </w:rPr>
      </w:pPr>
    </w:p>
    <w:p w:rsidR="00626DFC" w:rsidP="00626DFC">
      <w:pPr>
        <w:bidi w:val="0"/>
        <w:spacing w:after="0" w:line="240" w:lineRule="auto"/>
        <w:jc w:val="both"/>
        <w:rPr>
          <w:rFonts w:ascii="Times New Roman" w:hAnsi="Times New Roman"/>
          <w:b/>
          <w:bCs/>
          <w:color w:val="000000"/>
          <w:sz w:val="24"/>
          <w:szCs w:val="24"/>
          <w:lang w:val="sk-SK"/>
        </w:rPr>
      </w:pPr>
      <w:r w:rsidRPr="00515EE2">
        <w:rPr>
          <w:rFonts w:ascii="Times New Roman" w:hAnsi="Times New Roman"/>
          <w:b/>
          <w:bCs/>
          <w:color w:val="000000"/>
          <w:sz w:val="24"/>
          <w:szCs w:val="24"/>
          <w:lang w:val="sk-SK"/>
        </w:rPr>
        <w:t>A.</w:t>
      </w:r>
      <w:r>
        <w:rPr>
          <w:rFonts w:ascii="Times New Roman" w:hAnsi="Times New Roman"/>
          <w:b/>
          <w:bCs/>
          <w:color w:val="000000"/>
          <w:sz w:val="24"/>
          <w:szCs w:val="24"/>
          <w:lang w:val="sk-SK"/>
        </w:rPr>
        <w:t>5</w:t>
      </w:r>
      <w:r w:rsidRPr="00515EE2">
        <w:rPr>
          <w:rFonts w:ascii="Times New Roman" w:hAnsi="Times New Roman"/>
          <w:b/>
          <w:bCs/>
          <w:color w:val="000000"/>
          <w:sz w:val="24"/>
          <w:szCs w:val="24"/>
          <w:lang w:val="sk-SK"/>
        </w:rPr>
        <w:t xml:space="preserve">. </w:t>
      </w:r>
      <w:r>
        <w:rPr>
          <w:rFonts w:ascii="Times New Roman" w:hAnsi="Times New Roman"/>
          <w:b/>
          <w:bCs/>
          <w:color w:val="000000"/>
          <w:sz w:val="24"/>
          <w:szCs w:val="24"/>
          <w:lang w:val="sk-SK"/>
        </w:rPr>
        <w:t>Stanovisko gestorov</w:t>
      </w:r>
    </w:p>
    <w:p w:rsidR="00933ACE" w:rsidRPr="00933ACE" w:rsidP="00933ACE">
      <w:pPr>
        <w:bidi w:val="0"/>
        <w:jc w:val="right"/>
        <w:rPr>
          <w:rFonts w:ascii="Times New Roman" w:hAnsi="Times New Roman"/>
          <w:sz w:val="24"/>
          <w:szCs w:val="24"/>
          <w:lang w:val="sk-SK"/>
        </w:rPr>
      </w:pPr>
      <w:r w:rsidRPr="00933ACE">
        <w:rPr>
          <w:rFonts w:ascii="Times New Roman" w:hAnsi="Times New Roman"/>
          <w:sz w:val="24"/>
          <w:szCs w:val="24"/>
          <w:lang w:val="sk-SK"/>
        </w:rPr>
        <w:t>Príloha č. 1</w:t>
      </w:r>
    </w:p>
    <w:p w:rsidR="00933ACE" w:rsidRPr="00933ACE" w:rsidP="00933ACE">
      <w:pPr>
        <w:bidi w:val="0"/>
        <w:jc w:val="center"/>
        <w:rPr>
          <w:rFonts w:ascii="Times New Roman" w:hAnsi="Times New Roman"/>
          <w:sz w:val="24"/>
          <w:szCs w:val="24"/>
          <w:lang w:val="sk-SK"/>
        </w:rPr>
      </w:pPr>
      <w:r w:rsidRPr="00933ACE">
        <w:rPr>
          <w:rFonts w:ascii="Times New Roman" w:hAnsi="Times New Roman"/>
          <w:b/>
          <w:bCs/>
          <w:sz w:val="24"/>
          <w:szCs w:val="24"/>
          <w:lang w:val="sk-SK"/>
        </w:rPr>
        <w:t>Vplyvy na rozpočet verejnej správy,</w:t>
      </w:r>
    </w:p>
    <w:p w:rsidR="00933ACE" w:rsidRPr="00933ACE" w:rsidP="00933ACE">
      <w:pPr>
        <w:bidi w:val="0"/>
        <w:jc w:val="center"/>
        <w:rPr>
          <w:rFonts w:ascii="Times New Roman" w:hAnsi="Times New Roman"/>
          <w:b/>
          <w:bCs/>
          <w:sz w:val="24"/>
          <w:szCs w:val="24"/>
          <w:lang w:val="sk-SK"/>
        </w:rPr>
      </w:pPr>
      <w:r w:rsidRPr="00933ACE">
        <w:rPr>
          <w:rFonts w:ascii="Times New Roman" w:hAnsi="Times New Roman"/>
          <w:b/>
          <w:bCs/>
          <w:sz w:val="24"/>
          <w:szCs w:val="24"/>
          <w:lang w:val="sk-SK"/>
        </w:rPr>
        <w:t xml:space="preserve">na zamestnanosť vo verejnej správe a financovanie </w:t>
      </w:r>
    </w:p>
    <w:p w:rsidR="00933ACE" w:rsidRPr="00933ACE" w:rsidP="00933ACE">
      <w:pPr>
        <w:bidi w:val="0"/>
        <w:rPr>
          <w:rFonts w:ascii="Times New Roman" w:hAnsi="Times New Roman"/>
          <w:b/>
          <w:bCs/>
          <w:sz w:val="24"/>
          <w:szCs w:val="24"/>
          <w:lang w:val="sk-SK"/>
        </w:rPr>
      </w:pPr>
      <w:r w:rsidRPr="00933ACE">
        <w:rPr>
          <w:rFonts w:ascii="Times New Roman" w:hAnsi="Times New Roman"/>
          <w:sz w:val="24"/>
          <w:szCs w:val="24"/>
          <w:lang w:val="sk-SK"/>
        </w:rPr>
        <w:t> </w:t>
      </w:r>
      <w:r w:rsidRPr="00933ACE">
        <w:rPr>
          <w:rFonts w:ascii="Times New Roman" w:hAnsi="Times New Roman"/>
          <w:b/>
          <w:bCs/>
          <w:sz w:val="24"/>
          <w:szCs w:val="24"/>
          <w:lang w:val="sk-SK"/>
        </w:rPr>
        <w:t>2.1. Zhrnutie vplyvov na rozpočet verejnej správy v návrhu</w:t>
      </w:r>
    </w:p>
    <w:p w:rsidR="00933ACE" w:rsidRPr="00933ACE" w:rsidP="00933ACE">
      <w:pPr>
        <w:bidi w:val="0"/>
        <w:spacing w:after="0" w:line="240" w:lineRule="auto"/>
        <w:jc w:val="right"/>
        <w:rPr>
          <w:rFonts w:ascii="Times New Roman" w:hAnsi="Times New Roman"/>
          <w:sz w:val="24"/>
          <w:szCs w:val="24"/>
          <w:lang w:val="sk-SK"/>
        </w:rPr>
      </w:pPr>
      <w:r w:rsidRPr="00933ACE">
        <w:rPr>
          <w:rFonts w:ascii="Times New Roman" w:hAnsi="Times New Roman"/>
          <w:bCs/>
          <w:sz w:val="24"/>
          <w:szCs w:val="24"/>
          <w:lang w:val="sk-SK"/>
        </w:rPr>
        <w:t>Tabuľka č. 1</w:t>
      </w:r>
    </w:p>
    <w:tbl>
      <w:tblPr>
        <w:tblStyle w:val="TableNormal"/>
        <w:tblW w:w="9508" w:type="dxa"/>
        <w:tblInd w:w="60" w:type="dxa"/>
        <w:tblLayout w:type="fixed"/>
        <w:tblCellMar>
          <w:left w:w="70" w:type="dxa"/>
          <w:right w:w="70" w:type="dxa"/>
        </w:tblCellMar>
        <w:tblLook w:val="04A0"/>
      </w:tblPr>
      <w:tblGrid>
        <w:gridCol w:w="3800"/>
        <w:gridCol w:w="1356"/>
        <w:gridCol w:w="1356"/>
        <w:gridCol w:w="1356"/>
        <w:gridCol w:w="1640"/>
      </w:tblGrid>
      <w:tr>
        <w:tblPrEx>
          <w:tblW w:w="9508" w:type="dxa"/>
          <w:tblInd w:w="60" w:type="dxa"/>
          <w:tblLayout w:type="fixed"/>
          <w:tblCellMar>
            <w:left w:w="70" w:type="dxa"/>
            <w:right w:w="70" w:type="dxa"/>
          </w:tblCellMar>
          <w:tblLook w:val="04A0"/>
        </w:tblPrEx>
        <w:trPr>
          <w:trHeight w:val="315"/>
        </w:trPr>
        <w:tc>
          <w:tcPr>
            <w:tcW w:w="380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933ACE" w:rsidRPr="00933ACE" w:rsidP="00933ACE">
            <w:pPr>
              <w:bidi w:val="0"/>
              <w:spacing w:after="0" w:line="240" w:lineRule="auto"/>
              <w:rPr>
                <w:rFonts w:ascii="Times New Roman" w:hAnsi="Times New Roman"/>
                <w:b/>
                <w:bCs/>
                <w:color w:val="FFFFFF"/>
                <w:sz w:val="24"/>
                <w:szCs w:val="24"/>
                <w:lang w:val="sk-SK"/>
              </w:rPr>
            </w:pPr>
            <w:r w:rsidRPr="00933ACE">
              <w:rPr>
                <w:rFonts w:ascii="Times New Roman" w:hAnsi="Times New Roman"/>
                <w:b/>
                <w:bCs/>
                <w:color w:val="FFFFFF"/>
                <w:sz w:val="24"/>
                <w:szCs w:val="24"/>
                <w:u w:val="single"/>
                <w:lang w:val="sk-SK"/>
              </w:rPr>
              <w:t>Rozpočet verejnej správy (v eur)</w:t>
            </w:r>
          </w:p>
        </w:tc>
        <w:tc>
          <w:tcPr>
            <w:tcW w:w="5708" w:type="dxa"/>
            <w:gridSpan w:val="4"/>
            <w:tcBorders>
              <w:top w:val="single" w:sz="4" w:space="0" w:color="auto"/>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Vplyv na rozpočet verejnej správy (cash)</w:t>
            </w:r>
          </w:p>
        </w:tc>
      </w:tr>
      <w:tr>
        <w:tblPrEx>
          <w:tblW w:w="9508" w:type="dxa"/>
          <w:tblInd w:w="60" w:type="dxa"/>
          <w:tblLayout w:type="fixed"/>
          <w:tblCellMar>
            <w:left w:w="70" w:type="dxa"/>
            <w:right w:w="70" w:type="dxa"/>
          </w:tblCellMar>
          <w:tblLook w:val="04A0"/>
        </w:tblPrEx>
        <w:trPr>
          <w:trHeight w:val="315"/>
        </w:trPr>
        <w:tc>
          <w:tcPr>
            <w:tcW w:w="3800" w:type="dxa"/>
            <w:vMerge/>
            <w:tcBorders>
              <w:top w:val="none" w:sz="0" w:space="0" w:color="auto"/>
              <w:left w:val="single" w:sz="4" w:space="0" w:color="auto"/>
              <w:bottom w:val="nil"/>
              <w:right w:val="nil"/>
            </w:tcBorders>
            <w:shd w:val="clear" w:color="000000" w:fill="000000"/>
            <w:noWrap/>
            <w:textDirection w:val="lrTb"/>
            <w:vAlign w:val="center"/>
            <w:hideMark/>
          </w:tcPr>
          <w:p w:rsidR="00933ACE" w:rsidRPr="00933ACE" w:rsidP="00933ACE">
            <w:pPr>
              <w:bidi w:val="0"/>
              <w:spacing w:after="0" w:line="240" w:lineRule="auto"/>
              <w:rPr>
                <w:rFonts w:ascii="Times New Roman" w:hAnsi="Times New Roman"/>
                <w:b/>
                <w:bCs/>
                <w:color w:val="FFFFFF"/>
                <w:sz w:val="24"/>
                <w:szCs w:val="24"/>
                <w:u w:val="single"/>
                <w:lang w:val="sk-SK"/>
              </w:rPr>
            </w:pPr>
          </w:p>
        </w:tc>
        <w:tc>
          <w:tcPr>
            <w:tcW w:w="1356" w:type="dxa"/>
            <w:tcBorders>
              <w:top w:val="nil"/>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2012</w:t>
            </w:r>
          </w:p>
        </w:tc>
        <w:tc>
          <w:tcPr>
            <w:tcW w:w="1356" w:type="dxa"/>
            <w:tcBorders>
              <w:top w:val="nil"/>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2013</w:t>
            </w:r>
          </w:p>
        </w:tc>
        <w:tc>
          <w:tcPr>
            <w:tcW w:w="1356" w:type="dxa"/>
            <w:tcBorders>
              <w:top w:val="nil"/>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2014</w:t>
            </w:r>
          </w:p>
        </w:tc>
        <w:tc>
          <w:tcPr>
            <w:tcW w:w="1640" w:type="dxa"/>
            <w:tcBorders>
              <w:top w:val="nil"/>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2015</w:t>
            </w:r>
          </w:p>
        </w:tc>
      </w:tr>
      <w:tr>
        <w:tblPrEx>
          <w:tblW w:w="9508" w:type="dxa"/>
          <w:tblInd w:w="60" w:type="dxa"/>
          <w:tblLayout w:type="fixed"/>
          <w:tblCellMar>
            <w:left w:w="70" w:type="dxa"/>
            <w:right w:w="70" w:type="dxa"/>
          </w:tblCellMar>
          <w:tblLook w:val="04A0"/>
        </w:tblPrEx>
        <w:trPr>
          <w:trHeight w:val="283"/>
        </w:trPr>
        <w:tc>
          <w:tcPr>
            <w:tcW w:w="38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933ACE" w:rsidRPr="00933ACE" w:rsidP="00933ACE">
            <w:pPr>
              <w:bidi w:val="0"/>
              <w:spacing w:after="0" w:line="240" w:lineRule="auto"/>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Príjmy verejnej správy celkom</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6 747 658</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083B21">
              <w:rPr>
                <w:rFonts w:ascii="Times New Roman" w:hAnsi="Times New Roman"/>
                <w:b/>
                <w:bCs/>
                <w:color w:val="000000"/>
                <w:sz w:val="24"/>
                <w:szCs w:val="24"/>
                <w:lang w:val="sk-SK"/>
              </w:rPr>
              <w:t>3</w:t>
            </w:r>
            <w:r w:rsidR="0099440F">
              <w:rPr>
                <w:rFonts w:ascii="Times New Roman" w:hAnsi="Times New Roman"/>
                <w:b/>
                <w:bCs/>
                <w:color w:val="000000"/>
                <w:sz w:val="24"/>
                <w:szCs w:val="24"/>
                <w:lang w:val="sk-SK"/>
              </w:rPr>
              <w:t>2 380 948</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083B21">
              <w:rPr>
                <w:rFonts w:ascii="Times New Roman" w:hAnsi="Times New Roman"/>
                <w:b/>
                <w:bCs/>
                <w:color w:val="000000"/>
                <w:sz w:val="24"/>
                <w:szCs w:val="24"/>
                <w:lang w:val="sk-SK"/>
              </w:rPr>
              <w:t>3</w:t>
            </w:r>
            <w:r w:rsidR="0099440F">
              <w:rPr>
                <w:rFonts w:ascii="Times New Roman" w:hAnsi="Times New Roman"/>
                <w:b/>
                <w:bCs/>
                <w:color w:val="000000"/>
                <w:sz w:val="24"/>
                <w:szCs w:val="24"/>
                <w:lang w:val="sk-SK"/>
              </w:rPr>
              <w:t>2 966 948</w:t>
            </w:r>
          </w:p>
        </w:tc>
        <w:tc>
          <w:tcPr>
            <w:tcW w:w="1640"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083B21">
              <w:rPr>
                <w:rFonts w:ascii="Times New Roman" w:hAnsi="Times New Roman"/>
                <w:b/>
                <w:bCs/>
                <w:color w:val="000000"/>
                <w:sz w:val="24"/>
                <w:szCs w:val="24"/>
                <w:lang w:val="sk-SK"/>
              </w:rPr>
              <w:t>3</w:t>
            </w:r>
            <w:r w:rsidR="0099440F">
              <w:rPr>
                <w:rFonts w:ascii="Times New Roman" w:hAnsi="Times New Roman"/>
                <w:b/>
                <w:bCs/>
                <w:color w:val="000000"/>
                <w:sz w:val="24"/>
                <w:szCs w:val="24"/>
                <w:lang w:val="sk-SK"/>
              </w:rPr>
              <w:t>3 684 948</w:t>
            </w: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Štátny rozpočet (VPS)</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6 747 658</w:t>
            </w: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32 380 948</w:t>
            </w: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32 966 948</w:t>
            </w: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33 684 948</w:t>
            </w: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Obce</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c>
          <w:tcPr>
            <w:tcW w:w="1640"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VÚC</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c>
          <w:tcPr>
            <w:tcW w:w="1640"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Sociálna poisťovňa</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c>
          <w:tcPr>
            <w:tcW w:w="1640"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Zdravotné poisťovne</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c>
          <w:tcPr>
            <w:tcW w:w="1640" w:type="dxa"/>
            <w:tcBorders>
              <w:top w:val="nil"/>
              <w:left w:val="nil"/>
              <w:bottom w:val="single" w:sz="4" w:space="0" w:color="auto"/>
              <w:right w:val="single" w:sz="4" w:space="0" w:color="auto"/>
            </w:tcBorders>
            <w:noWrap/>
            <w:textDirection w:val="lrTb"/>
            <w:vAlign w:val="top"/>
            <w:hideMark/>
          </w:tcPr>
          <w:p w:rsidR="00933ACE" w:rsidRPr="00933ACE" w:rsidP="00933ACE">
            <w:pPr>
              <w:bidi w:val="0"/>
              <w:spacing w:after="0" w:line="240" w:lineRule="auto"/>
              <w:jc w:val="right"/>
              <w:rPr>
                <w:rFonts w:ascii="Times New Roman" w:hAnsi="Times New Roman"/>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b/>
                <w:bCs/>
                <w:i/>
                <w:iCs/>
                <w:color w:val="000000"/>
                <w:sz w:val="24"/>
                <w:szCs w:val="24"/>
                <w:lang w:val="sk-SK"/>
              </w:rPr>
            </w:pPr>
            <w:r w:rsidRPr="00933ACE">
              <w:rPr>
                <w:rFonts w:ascii="Times New Roman" w:hAnsi="Times New Roman"/>
                <w:b/>
                <w:bCs/>
                <w:i/>
                <w:iCs/>
                <w:color w:val="000000"/>
                <w:sz w:val="24"/>
                <w:szCs w:val="24"/>
                <w:lang w:val="sk-SK"/>
              </w:rPr>
              <w:t>z toho:</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b/>
                <w:bCs/>
                <w:i/>
                <w:iCs/>
                <w:color w:val="000000"/>
                <w:sz w:val="24"/>
                <w:szCs w:val="24"/>
                <w:lang w:val="sk-SK"/>
              </w:rPr>
            </w:pPr>
            <w:r w:rsidRPr="00933ACE">
              <w:rPr>
                <w:rFonts w:ascii="Times New Roman" w:hAnsi="Times New Roman"/>
                <w:b/>
                <w:bCs/>
                <w:i/>
                <w:iCs/>
                <w:color w:val="000000"/>
                <w:sz w:val="24"/>
                <w:szCs w:val="24"/>
                <w:lang w:val="sk-SK"/>
              </w:rPr>
              <w:t xml:space="preserve"> - vplyv na ŠR</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6 747 658</w:t>
            </w: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32 380 948</w:t>
            </w: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32 966 948</w:t>
            </w: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0099440F">
              <w:rPr>
                <w:rFonts w:ascii="Times New Roman" w:hAnsi="Times New Roman"/>
                <w:b/>
                <w:bCs/>
                <w:color w:val="000000"/>
                <w:sz w:val="24"/>
                <w:szCs w:val="24"/>
                <w:lang w:val="sk-SK"/>
              </w:rPr>
              <w:t>33 684 948</w:t>
            </w: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b/>
                <w:bCs/>
                <w:i/>
                <w:iCs/>
                <w:color w:val="000000"/>
                <w:sz w:val="24"/>
                <w:szCs w:val="24"/>
                <w:lang w:val="sk-SK"/>
              </w:rPr>
            </w:pPr>
            <w:r w:rsidRPr="00933ACE">
              <w:rPr>
                <w:rFonts w:ascii="Times New Roman" w:hAnsi="Times New Roman"/>
                <w:b/>
                <w:bCs/>
                <w:i/>
                <w:iCs/>
                <w:color w:val="000000"/>
                <w:sz w:val="24"/>
                <w:szCs w:val="24"/>
                <w:lang w:val="sk-SK"/>
              </w:rPr>
              <w:t xml:space="preserve"> - vplyv na územnú samosprávu</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933ACE" w:rsidRPr="00933ACE" w:rsidP="00933ACE">
            <w:pPr>
              <w:bidi w:val="0"/>
              <w:spacing w:after="0" w:line="240" w:lineRule="auto"/>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Výdavky verejnej správy celkom</w:t>
            </w:r>
          </w:p>
        </w:tc>
        <w:tc>
          <w:tcPr>
            <w:tcW w:w="1356" w:type="dxa"/>
            <w:tcBorders>
              <w:top w:val="nil"/>
              <w:left w:val="nil"/>
              <w:bottom w:val="single" w:sz="4" w:space="0" w:color="auto"/>
              <w:right w:val="single" w:sz="4" w:space="0" w:color="auto"/>
            </w:tcBorders>
            <w:shd w:val="clear" w:color="000000" w:fill="BFBFBF"/>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640" w:type="dxa"/>
            <w:tcBorders>
              <w:top w:val="nil"/>
              <w:left w:val="nil"/>
              <w:bottom w:val="single" w:sz="4" w:space="0" w:color="auto"/>
              <w:right w:val="single" w:sz="4" w:space="0" w:color="auto"/>
            </w:tcBorders>
            <w:shd w:val="clear" w:color="000000" w:fill="BFBFBF"/>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 xml:space="preserve">Štátny rozpočet </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color w:val="000000"/>
                <w:sz w:val="24"/>
                <w:szCs w:val="24"/>
                <w:lang w:val="sk-SK"/>
              </w:rPr>
            </w:pPr>
            <w:r w:rsidR="00551A92">
              <w:rPr>
                <w:rFonts w:ascii="Times New Roman" w:hAnsi="Times New Roman"/>
                <w:b/>
                <w:color w:val="000000"/>
                <w:sz w:val="24"/>
                <w:szCs w:val="24"/>
                <w:lang w:val="sk-SK"/>
              </w:rPr>
              <w:t>3</w:t>
            </w:r>
            <w:r w:rsidR="0099440F">
              <w:rPr>
                <w:rFonts w:ascii="Times New Roman" w:hAnsi="Times New Roman"/>
                <w:b/>
                <w:color w:val="000000"/>
                <w:sz w:val="24"/>
                <w:szCs w:val="24"/>
                <w:lang w:val="sk-SK"/>
              </w:rPr>
              <w:t>1 685</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r w:rsidR="00B83E6B">
              <w:rPr>
                <w:rFonts w:ascii="Times New Roman" w:hAnsi="Times New Roman"/>
                <w:b/>
                <w:bCs/>
                <w:iCs/>
                <w:sz w:val="24"/>
                <w:szCs w:val="24"/>
                <w:lang w:val="sk-SK"/>
              </w:rPr>
              <w:t>4 5</w:t>
            </w:r>
            <w:r w:rsidR="0099440F">
              <w:rPr>
                <w:rFonts w:ascii="Times New Roman" w:hAnsi="Times New Roman"/>
                <w:b/>
                <w:bCs/>
                <w:iCs/>
                <w:sz w:val="24"/>
                <w:szCs w:val="24"/>
                <w:lang w:val="sk-SK"/>
              </w:rPr>
              <w:t>66</w:t>
            </w:r>
            <w:r w:rsidRPr="00933ACE">
              <w:rPr>
                <w:rFonts w:ascii="Times New Roman" w:hAnsi="Times New Roman"/>
                <w:b/>
                <w:bCs/>
                <w:iCs/>
                <w:sz w:val="24"/>
                <w:szCs w:val="24"/>
                <w:lang w:val="sk-SK"/>
              </w:rPr>
              <w:t xml:space="preserve"> </w:t>
            </w:r>
            <w:r w:rsidR="0099440F">
              <w:rPr>
                <w:rFonts w:ascii="Times New Roman" w:hAnsi="Times New Roman"/>
                <w:b/>
                <w:bCs/>
                <w:iCs/>
                <w:sz w:val="24"/>
                <w:szCs w:val="24"/>
                <w:lang w:val="sk-SK"/>
              </w:rPr>
              <w:t>639</w:t>
            </w: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r w:rsidRPr="00933ACE">
              <w:rPr>
                <w:rFonts w:ascii="Times New Roman" w:hAnsi="Times New Roman"/>
                <w:b/>
                <w:bCs/>
                <w:iCs/>
                <w:sz w:val="24"/>
                <w:szCs w:val="24"/>
                <w:lang w:val="sk-SK"/>
              </w:rPr>
              <w:t>40 000</w:t>
            </w: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r w:rsidRPr="00933ACE">
              <w:rPr>
                <w:rFonts w:ascii="Times New Roman" w:hAnsi="Times New Roman"/>
                <w:b/>
                <w:bCs/>
                <w:iCs/>
                <w:sz w:val="24"/>
                <w:szCs w:val="24"/>
                <w:lang w:val="sk-SK"/>
              </w:rPr>
              <w:t>2 000</w:t>
            </w: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Obce</w:t>
            </w: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VÚC</w:t>
            </w: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Sociálna poisťovňa</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Zdravotné poisťovne</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b/>
                <w:bCs/>
                <w:i/>
                <w:iCs/>
                <w:color w:val="000000"/>
                <w:sz w:val="24"/>
                <w:szCs w:val="24"/>
                <w:lang w:val="sk-SK"/>
              </w:rPr>
            </w:pPr>
            <w:r w:rsidRPr="00933ACE">
              <w:rPr>
                <w:rFonts w:ascii="Times New Roman" w:hAnsi="Times New Roman"/>
                <w:b/>
                <w:bCs/>
                <w:i/>
                <w:iCs/>
                <w:color w:val="000000"/>
                <w:sz w:val="24"/>
                <w:szCs w:val="24"/>
                <w:lang w:val="sk-SK"/>
              </w:rPr>
              <w:t>z toho:</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b/>
                <w:bCs/>
                <w:i/>
                <w:iCs/>
                <w:color w:val="000000"/>
                <w:sz w:val="24"/>
                <w:szCs w:val="24"/>
                <w:lang w:val="sk-SK"/>
              </w:rPr>
            </w:pPr>
            <w:r w:rsidRPr="00933ACE">
              <w:rPr>
                <w:rFonts w:ascii="Times New Roman" w:hAnsi="Times New Roman"/>
                <w:b/>
                <w:bCs/>
                <w:i/>
                <w:iCs/>
                <w:color w:val="000000"/>
                <w:sz w:val="24"/>
                <w:szCs w:val="24"/>
                <w:lang w:val="sk-SK"/>
              </w:rPr>
              <w:t xml:space="preserve"> - vplyv na ŠR</w:t>
            </w:r>
          </w:p>
          <w:p w:rsidR="00933ACE" w:rsidRPr="00933ACE" w:rsidP="00933ACE">
            <w:pPr>
              <w:bidi w:val="0"/>
              <w:spacing w:after="0" w:line="240" w:lineRule="auto"/>
              <w:rPr>
                <w:rFonts w:ascii="Times New Roman" w:hAnsi="Times New Roman"/>
                <w:bCs/>
                <w:i/>
                <w:iCs/>
                <w:color w:val="000000"/>
                <w:sz w:val="24"/>
                <w:szCs w:val="24"/>
                <w:lang w:val="sk-SK"/>
              </w:rPr>
            </w:pPr>
            <w:r w:rsidRPr="00933ACE">
              <w:rPr>
                <w:rFonts w:ascii="Times New Roman" w:hAnsi="Times New Roman"/>
                <w:bCs/>
                <w:i/>
                <w:iCs/>
                <w:color w:val="000000"/>
                <w:sz w:val="24"/>
                <w:szCs w:val="24"/>
                <w:lang w:val="sk-SK"/>
              </w:rPr>
              <w:t>Ministerstvo financií SR/0740403</w:t>
            </w:r>
          </w:p>
          <w:p w:rsidR="00933ACE" w:rsidRPr="00933ACE" w:rsidP="00933ACE">
            <w:pPr>
              <w:bidi w:val="0"/>
              <w:spacing w:after="0" w:line="240" w:lineRule="auto"/>
              <w:rPr>
                <w:rFonts w:ascii="Times New Roman" w:hAnsi="Times New Roman"/>
                <w:b/>
                <w:bCs/>
                <w:i/>
                <w:iCs/>
                <w:color w:val="000000"/>
                <w:sz w:val="24"/>
                <w:szCs w:val="24"/>
                <w:lang w:val="sk-SK"/>
              </w:rPr>
            </w:pPr>
            <w:r w:rsidRPr="00933ACE">
              <w:rPr>
                <w:rFonts w:ascii="Times New Roman" w:hAnsi="Times New Roman"/>
                <w:bCs/>
                <w:i/>
                <w:iCs/>
                <w:color w:val="000000"/>
                <w:sz w:val="24"/>
                <w:szCs w:val="24"/>
                <w:lang w:val="sk-SK"/>
              </w:rPr>
              <w:t>Distribúcia kolkov</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iCs/>
                <w:color w:val="000000"/>
                <w:sz w:val="24"/>
                <w:szCs w:val="24"/>
                <w:lang w:val="sk-SK"/>
              </w:rPr>
            </w:pPr>
            <w:r w:rsidR="00551A92">
              <w:rPr>
                <w:rFonts w:ascii="Times New Roman" w:hAnsi="Times New Roman"/>
                <w:b/>
                <w:color w:val="000000"/>
                <w:sz w:val="24"/>
                <w:szCs w:val="24"/>
                <w:lang w:val="sk-SK"/>
              </w:rPr>
              <w:t>3</w:t>
            </w:r>
            <w:r w:rsidR="0099440F">
              <w:rPr>
                <w:rFonts w:ascii="Times New Roman" w:hAnsi="Times New Roman"/>
                <w:b/>
                <w:color w:val="000000"/>
                <w:sz w:val="24"/>
                <w:szCs w:val="24"/>
                <w:lang w:val="sk-SK"/>
              </w:rPr>
              <w:t>1 685</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iCs/>
                <w:sz w:val="24"/>
                <w:szCs w:val="24"/>
                <w:lang w:val="sk-SK"/>
              </w:rPr>
            </w:pPr>
            <w:r w:rsidR="0099440F">
              <w:rPr>
                <w:rFonts w:ascii="Times New Roman" w:hAnsi="Times New Roman"/>
                <w:b/>
                <w:bCs/>
                <w:iCs/>
                <w:sz w:val="24"/>
                <w:szCs w:val="24"/>
                <w:lang w:val="sk-SK"/>
              </w:rPr>
              <w:t>4 566</w:t>
            </w:r>
            <w:r w:rsidRPr="00933ACE" w:rsidR="0099440F">
              <w:rPr>
                <w:rFonts w:ascii="Times New Roman" w:hAnsi="Times New Roman"/>
                <w:b/>
                <w:bCs/>
                <w:iCs/>
                <w:sz w:val="24"/>
                <w:szCs w:val="24"/>
                <w:lang w:val="sk-SK"/>
              </w:rPr>
              <w:t xml:space="preserve"> </w:t>
            </w:r>
            <w:r w:rsidR="0099440F">
              <w:rPr>
                <w:rFonts w:ascii="Times New Roman" w:hAnsi="Times New Roman"/>
                <w:b/>
                <w:bCs/>
                <w:iCs/>
                <w:sz w:val="24"/>
                <w:szCs w:val="24"/>
                <w:lang w:val="sk-SK"/>
              </w:rPr>
              <w:t>639</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iCs/>
                <w:sz w:val="24"/>
                <w:szCs w:val="24"/>
                <w:lang w:val="sk-SK"/>
              </w:rPr>
            </w:pPr>
            <w:r w:rsidRPr="00933ACE">
              <w:rPr>
                <w:rFonts w:ascii="Times New Roman" w:hAnsi="Times New Roman"/>
                <w:b/>
                <w:bCs/>
                <w:iCs/>
                <w:sz w:val="24"/>
                <w:szCs w:val="24"/>
                <w:lang w:val="sk-SK"/>
              </w:rPr>
              <w:t>40 000</w:t>
            </w:r>
          </w:p>
        </w:tc>
        <w:tc>
          <w:tcPr>
            <w:tcW w:w="1640"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iCs/>
                <w:sz w:val="24"/>
                <w:szCs w:val="24"/>
                <w:lang w:val="sk-SK"/>
              </w:rPr>
            </w:pPr>
            <w:r w:rsidRPr="00933ACE">
              <w:rPr>
                <w:rFonts w:ascii="Times New Roman" w:hAnsi="Times New Roman"/>
                <w:b/>
                <w:bCs/>
                <w:iCs/>
                <w:sz w:val="24"/>
                <w:szCs w:val="24"/>
                <w:lang w:val="sk-SK"/>
              </w:rPr>
              <w:t>2 000</w:t>
            </w:r>
          </w:p>
        </w:tc>
      </w:tr>
      <w:tr>
        <w:tblPrEx>
          <w:tblW w:w="9508"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b/>
                <w:bCs/>
                <w:i/>
                <w:iCs/>
                <w:color w:val="000000"/>
                <w:sz w:val="24"/>
                <w:szCs w:val="24"/>
                <w:lang w:val="sk-SK"/>
              </w:rPr>
            </w:pPr>
            <w:r w:rsidRPr="00933ACE">
              <w:rPr>
                <w:rFonts w:ascii="Times New Roman" w:hAnsi="Times New Roman"/>
                <w:b/>
                <w:bCs/>
                <w:i/>
                <w:iCs/>
                <w:color w:val="000000"/>
                <w:sz w:val="24"/>
                <w:szCs w:val="24"/>
                <w:lang w:val="sk-SK"/>
              </w:rPr>
              <w:t xml:space="preserve"> - vplyv na územnú samosprávu</w:t>
            </w:r>
          </w:p>
        </w:tc>
        <w:tc>
          <w:tcPr>
            <w:tcW w:w="1356" w:type="dxa"/>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356"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c>
          <w:tcPr>
            <w:tcW w:w="1640" w:type="dxa"/>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iCs/>
                <w:color w:val="000000"/>
                <w:sz w:val="24"/>
                <w:szCs w:val="24"/>
                <w:lang w:val="sk-SK"/>
              </w:rPr>
            </w:pPr>
          </w:p>
        </w:tc>
      </w:tr>
    </w:tbl>
    <w:p w:rsidR="00933ACE" w:rsidRPr="00933ACE" w:rsidP="00933ACE">
      <w:pPr>
        <w:bidi w:val="0"/>
        <w:spacing w:after="0" w:line="240" w:lineRule="auto"/>
        <w:rPr>
          <w:rFonts w:ascii="Times New Roman" w:hAnsi="Times New Roman"/>
          <w:sz w:val="24"/>
          <w:szCs w:val="24"/>
          <w:lang w:val="sk-SK"/>
        </w:rPr>
      </w:pPr>
      <w:bookmarkStart w:id="0" w:name="OLE_LINK1"/>
      <w:bookmarkEnd w:id="0"/>
    </w:p>
    <w:p w:rsidR="00933ACE" w:rsidRPr="00933ACE" w:rsidP="00933ACE">
      <w:pPr>
        <w:bidi w:val="0"/>
        <w:rPr>
          <w:rFonts w:ascii="Times New Roman" w:hAnsi="Times New Roman"/>
          <w:sz w:val="24"/>
          <w:szCs w:val="24"/>
          <w:lang w:val="sk-SK"/>
        </w:rPr>
      </w:pPr>
      <w:r w:rsidRPr="00933ACE">
        <w:rPr>
          <w:rFonts w:ascii="Times New Roman" w:hAnsi="Times New Roman"/>
          <w:b/>
          <w:bCs/>
          <w:sz w:val="24"/>
          <w:szCs w:val="24"/>
          <w:lang w:val="sk-SK"/>
        </w:rPr>
        <w:t>2.2. Financovanie návrhu</w:t>
      </w:r>
    </w:p>
    <w:p w:rsidR="00933ACE" w:rsidRPr="00933ACE" w:rsidP="00933ACE">
      <w:pPr>
        <w:bidi w:val="0"/>
        <w:spacing w:after="0" w:line="240" w:lineRule="auto"/>
        <w:jc w:val="right"/>
        <w:rPr>
          <w:rFonts w:ascii="Times New Roman" w:hAnsi="Times New Roman"/>
          <w:sz w:val="24"/>
          <w:szCs w:val="24"/>
          <w:lang w:val="sk-SK"/>
        </w:rPr>
      </w:pPr>
      <w:r w:rsidRPr="00933ACE">
        <w:rPr>
          <w:rFonts w:ascii="Times New Roman" w:hAnsi="Times New Roman"/>
          <w:sz w:val="24"/>
          <w:szCs w:val="24"/>
          <w:lang w:val="sk-SK"/>
        </w:rPr>
        <w:t>Tabuľka č. 2</w:t>
      </w:r>
    </w:p>
    <w:tbl>
      <w:tblPr>
        <w:tblStyle w:val="TableNormal"/>
        <w:tblW w:w="9224" w:type="dxa"/>
        <w:tblInd w:w="60" w:type="dxa"/>
        <w:tblLayout w:type="fixed"/>
        <w:tblCellMar>
          <w:left w:w="70" w:type="dxa"/>
          <w:right w:w="70" w:type="dxa"/>
        </w:tblCellMar>
        <w:tblLook w:val="04A0"/>
      </w:tblPr>
      <w:tblGrid>
        <w:gridCol w:w="2987"/>
        <w:gridCol w:w="1606"/>
        <w:gridCol w:w="95"/>
        <w:gridCol w:w="894"/>
        <w:gridCol w:w="665"/>
        <w:gridCol w:w="426"/>
        <w:gridCol w:w="268"/>
        <w:gridCol w:w="866"/>
        <w:gridCol w:w="283"/>
        <w:gridCol w:w="1134"/>
      </w:tblGrid>
      <w:tr>
        <w:tblPrEx>
          <w:tblW w:w="9224" w:type="dxa"/>
          <w:tblInd w:w="60" w:type="dxa"/>
          <w:tblLayout w:type="fixed"/>
          <w:tblCellMar>
            <w:left w:w="70" w:type="dxa"/>
            <w:right w:w="70" w:type="dxa"/>
          </w:tblCellMar>
          <w:tblLook w:val="04A0"/>
        </w:tblPrEx>
        <w:trPr>
          <w:trHeight w:val="315"/>
        </w:trPr>
        <w:tc>
          <w:tcPr>
            <w:tcW w:w="2987"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933ACE" w:rsidRPr="00933ACE" w:rsidP="00933ACE">
            <w:pPr>
              <w:bidi w:val="0"/>
              <w:spacing w:after="0" w:line="240" w:lineRule="auto"/>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 F</w:t>
            </w:r>
            <w:r w:rsidRPr="00933ACE">
              <w:rPr>
                <w:rFonts w:ascii="Times New Roman" w:hAnsi="Times New Roman"/>
                <w:b/>
                <w:bCs/>
                <w:color w:val="FFFFFF"/>
                <w:sz w:val="24"/>
                <w:szCs w:val="24"/>
                <w:u w:val="single"/>
                <w:lang w:val="sk-SK"/>
              </w:rPr>
              <w:t>inancovanie (v eur)</w:t>
            </w:r>
          </w:p>
        </w:tc>
        <w:tc>
          <w:tcPr>
            <w:tcW w:w="6237" w:type="dxa"/>
            <w:gridSpan w:val="9"/>
            <w:tcBorders>
              <w:top w:val="single" w:sz="4" w:space="0" w:color="auto"/>
              <w:left w:val="nil"/>
              <w:bottom w:val="nil"/>
              <w:right w:val="single" w:sz="4" w:space="0" w:color="000000"/>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Vplyv na rozpočet verejnej správy (cash)</w:t>
            </w:r>
          </w:p>
        </w:tc>
      </w:tr>
      <w:tr>
        <w:tblPrEx>
          <w:tblW w:w="9224" w:type="dxa"/>
          <w:tblInd w:w="60" w:type="dxa"/>
          <w:tblLayout w:type="fixed"/>
          <w:tblCellMar>
            <w:left w:w="70" w:type="dxa"/>
            <w:right w:w="70" w:type="dxa"/>
          </w:tblCellMar>
          <w:tblLook w:val="04A0"/>
        </w:tblPrEx>
        <w:trPr>
          <w:trHeight w:val="315"/>
        </w:trPr>
        <w:tc>
          <w:tcPr>
            <w:tcW w:w="2987" w:type="dxa"/>
            <w:vMerge/>
            <w:tcBorders>
              <w:top w:val="none" w:sz="0" w:space="0" w:color="auto"/>
              <w:left w:val="single" w:sz="4" w:space="0" w:color="auto"/>
              <w:bottom w:val="nil"/>
              <w:right w:val="nil"/>
            </w:tcBorders>
            <w:shd w:val="clear" w:color="000000" w:fill="000000"/>
            <w:noWrap/>
            <w:textDirection w:val="lrTb"/>
            <w:vAlign w:val="center"/>
            <w:hideMark/>
          </w:tcPr>
          <w:p w:rsidR="00933ACE" w:rsidRPr="00933ACE" w:rsidP="00933ACE">
            <w:pPr>
              <w:bidi w:val="0"/>
              <w:spacing w:after="0" w:line="240" w:lineRule="auto"/>
              <w:rPr>
                <w:rFonts w:ascii="Times New Roman" w:hAnsi="Times New Roman"/>
                <w:b/>
                <w:bCs/>
                <w:color w:val="FFFFFF"/>
                <w:sz w:val="24"/>
                <w:szCs w:val="24"/>
                <w:u w:val="single"/>
                <w:lang w:val="sk-SK"/>
              </w:rPr>
            </w:pPr>
          </w:p>
        </w:tc>
        <w:tc>
          <w:tcPr>
            <w:tcW w:w="1701" w:type="dxa"/>
            <w:gridSpan w:val="2"/>
            <w:tcBorders>
              <w:top w:val="nil"/>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2012</w:t>
            </w:r>
          </w:p>
        </w:tc>
        <w:tc>
          <w:tcPr>
            <w:tcW w:w="1985" w:type="dxa"/>
            <w:gridSpan w:val="3"/>
            <w:tcBorders>
              <w:top w:val="nil"/>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2013</w:t>
            </w:r>
          </w:p>
        </w:tc>
        <w:tc>
          <w:tcPr>
            <w:tcW w:w="1417" w:type="dxa"/>
            <w:gridSpan w:val="3"/>
            <w:tcBorders>
              <w:top w:val="nil"/>
              <w:left w:val="nil"/>
              <w:bottom w:val="nil"/>
              <w:right w:val="nil"/>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2014</w:t>
            </w:r>
          </w:p>
        </w:tc>
        <w:tc>
          <w:tcPr>
            <w:tcW w:w="1134" w:type="dxa"/>
            <w:tcBorders>
              <w:top w:val="nil"/>
              <w:left w:val="nil"/>
              <w:bottom w:val="nil"/>
              <w:right w:val="single" w:sz="4" w:space="0" w:color="auto"/>
            </w:tcBorders>
            <w:shd w:val="clear" w:color="000000" w:fill="000000"/>
            <w:noWrap/>
            <w:textDirection w:val="lrTb"/>
            <w:vAlign w:val="center"/>
            <w:hideMark/>
          </w:tcPr>
          <w:p w:rsidR="00933ACE" w:rsidRPr="00933ACE" w:rsidP="00933ACE">
            <w:pPr>
              <w:bidi w:val="0"/>
              <w:spacing w:after="0" w:line="240" w:lineRule="auto"/>
              <w:jc w:val="center"/>
              <w:rPr>
                <w:rFonts w:ascii="Times New Roman" w:hAnsi="Times New Roman"/>
                <w:b/>
                <w:bCs/>
                <w:color w:val="FFFFFF"/>
                <w:sz w:val="24"/>
                <w:szCs w:val="24"/>
                <w:lang w:val="sk-SK"/>
              </w:rPr>
            </w:pPr>
            <w:r w:rsidRPr="00933ACE">
              <w:rPr>
                <w:rFonts w:ascii="Times New Roman" w:hAnsi="Times New Roman"/>
                <w:b/>
                <w:bCs/>
                <w:color w:val="FFFFFF"/>
                <w:sz w:val="24"/>
                <w:szCs w:val="24"/>
                <w:lang w:val="sk-SK"/>
              </w:rPr>
              <w:t>2015</w:t>
            </w:r>
          </w:p>
        </w:tc>
      </w:tr>
      <w:tr>
        <w:tblPrEx>
          <w:tblW w:w="9224" w:type="dxa"/>
          <w:tblInd w:w="60" w:type="dxa"/>
          <w:tblLayout w:type="fixed"/>
          <w:tblCellMar>
            <w:left w:w="70" w:type="dxa"/>
            <w:right w:w="70" w:type="dxa"/>
          </w:tblCellMar>
          <w:tblLook w:val="04A0"/>
        </w:tblPrEx>
        <w:trPr>
          <w:trHeight w:val="630"/>
        </w:trPr>
        <w:tc>
          <w:tcPr>
            <w:tcW w:w="2987" w:type="dxa"/>
            <w:tcBorders>
              <w:top w:val="single" w:sz="4" w:space="0" w:color="auto"/>
              <w:left w:val="single" w:sz="4" w:space="0" w:color="auto"/>
              <w:bottom w:val="single" w:sz="4" w:space="0" w:color="auto"/>
              <w:right w:val="single" w:sz="4" w:space="0" w:color="auto"/>
            </w:tcBorders>
            <w:textDirection w:val="lrTb"/>
            <w:vAlign w:val="center"/>
            <w:hideMark/>
          </w:tcPr>
          <w:p w:rsidR="00933ACE" w:rsidRPr="00933ACE" w:rsidP="00933ACE">
            <w:pPr>
              <w:bidi w:val="0"/>
              <w:spacing w:after="0" w:line="240" w:lineRule="auto"/>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Celkový vplyv na rozpočet verejnej správy (- príjmy, + výdavky)</w:t>
            </w:r>
          </w:p>
        </w:tc>
        <w:tc>
          <w:tcPr>
            <w:tcW w:w="1701" w:type="dxa"/>
            <w:gridSpan w:val="2"/>
            <w:tcBorders>
              <w:top w:val="single" w:sz="4" w:space="0" w:color="auto"/>
              <w:left w:val="nil"/>
              <w:bottom w:val="single" w:sz="4" w:space="0" w:color="auto"/>
              <w:right w:val="single" w:sz="4" w:space="0" w:color="auto"/>
            </w:tcBorders>
            <w:noWrap/>
            <w:textDirection w:val="lrTb"/>
            <w:vAlign w:val="center"/>
            <w:hideMark/>
          </w:tcPr>
          <w:p w:rsidR="00933ACE" w:rsidRPr="00933ACE" w:rsidP="00551A92">
            <w:pPr>
              <w:bidi w:val="0"/>
              <w:spacing w:after="0" w:line="240" w:lineRule="auto"/>
              <w:jc w:val="right"/>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6 715 973</w:t>
            </w:r>
          </w:p>
        </w:tc>
        <w:tc>
          <w:tcPr>
            <w:tcW w:w="1559" w:type="dxa"/>
            <w:gridSpan w:val="2"/>
            <w:tcBorders>
              <w:top w:val="single" w:sz="4" w:space="0" w:color="auto"/>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 xml:space="preserve">- </w:t>
            </w:r>
            <w:r w:rsidR="00B83E6B">
              <w:rPr>
                <w:rFonts w:ascii="Times New Roman" w:hAnsi="Times New Roman"/>
                <w:b/>
                <w:bCs/>
                <w:color w:val="000000"/>
                <w:sz w:val="24"/>
                <w:szCs w:val="24"/>
                <w:lang w:val="sk-SK"/>
              </w:rPr>
              <w:t>2</w:t>
            </w:r>
            <w:r w:rsidR="0099440F">
              <w:rPr>
                <w:rFonts w:ascii="Times New Roman" w:hAnsi="Times New Roman"/>
                <w:b/>
                <w:bCs/>
                <w:color w:val="000000"/>
                <w:sz w:val="24"/>
                <w:szCs w:val="24"/>
                <w:lang w:val="sk-SK"/>
              </w:rPr>
              <w:t>7 814 309</w:t>
            </w:r>
          </w:p>
        </w:tc>
        <w:tc>
          <w:tcPr>
            <w:tcW w:w="1560" w:type="dxa"/>
            <w:gridSpan w:val="3"/>
            <w:tcBorders>
              <w:top w:val="single" w:sz="4" w:space="0" w:color="auto"/>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 xml:space="preserve">- </w:t>
            </w:r>
            <w:r w:rsidR="00B83E6B">
              <w:rPr>
                <w:rFonts w:ascii="Times New Roman" w:hAnsi="Times New Roman"/>
                <w:b/>
                <w:bCs/>
                <w:color w:val="000000"/>
                <w:sz w:val="24"/>
                <w:szCs w:val="24"/>
                <w:lang w:val="sk-SK"/>
              </w:rPr>
              <w:t>3</w:t>
            </w:r>
            <w:r w:rsidR="0099440F">
              <w:rPr>
                <w:rFonts w:ascii="Times New Roman" w:hAnsi="Times New Roman"/>
                <w:b/>
                <w:bCs/>
                <w:color w:val="000000"/>
                <w:sz w:val="24"/>
                <w:szCs w:val="24"/>
                <w:lang w:val="sk-SK"/>
              </w:rPr>
              <w:t>2 926 948</w:t>
            </w:r>
          </w:p>
        </w:tc>
        <w:tc>
          <w:tcPr>
            <w:tcW w:w="1417" w:type="dxa"/>
            <w:gridSpan w:val="2"/>
            <w:tcBorders>
              <w:top w:val="single" w:sz="4" w:space="0" w:color="auto"/>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 xml:space="preserve">- </w:t>
            </w:r>
            <w:r w:rsidR="00B83E6B">
              <w:rPr>
                <w:rFonts w:ascii="Times New Roman" w:hAnsi="Times New Roman"/>
                <w:b/>
                <w:bCs/>
                <w:color w:val="000000"/>
                <w:sz w:val="24"/>
                <w:szCs w:val="24"/>
                <w:lang w:val="sk-SK"/>
              </w:rPr>
              <w:t>3</w:t>
            </w:r>
            <w:r w:rsidR="0099440F">
              <w:rPr>
                <w:rFonts w:ascii="Times New Roman" w:hAnsi="Times New Roman"/>
                <w:b/>
                <w:bCs/>
                <w:color w:val="000000"/>
                <w:sz w:val="24"/>
                <w:szCs w:val="24"/>
                <w:lang w:val="sk-SK"/>
              </w:rPr>
              <w:t>3 682 948</w:t>
            </w:r>
          </w:p>
        </w:tc>
      </w:tr>
      <w:tr>
        <w:tblPrEx>
          <w:tblW w:w="9224" w:type="dxa"/>
          <w:tblInd w:w="60" w:type="dxa"/>
          <w:tblLayout w:type="fixed"/>
          <w:tblCellMar>
            <w:left w:w="70" w:type="dxa"/>
            <w:right w:w="70" w:type="dxa"/>
          </w:tblCellMar>
          <w:tblLook w:val="04A0"/>
        </w:tblPrEx>
        <w:trPr>
          <w:trHeight w:val="315"/>
        </w:trPr>
        <w:tc>
          <w:tcPr>
            <w:tcW w:w="2987"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ind w:firstLine="480" w:firstLineChars="200"/>
              <w:rPr>
                <w:rFonts w:ascii="Times New Roman" w:hAnsi="Times New Roman"/>
                <w:color w:val="000000"/>
                <w:sz w:val="24"/>
                <w:szCs w:val="24"/>
                <w:lang w:val="sk-SK"/>
              </w:rPr>
            </w:pPr>
            <w:r w:rsidRPr="00933ACE">
              <w:rPr>
                <w:rFonts w:ascii="Times New Roman" w:hAnsi="Times New Roman"/>
                <w:color w:val="000000"/>
                <w:sz w:val="24"/>
                <w:szCs w:val="24"/>
                <w:lang w:val="sk-SK"/>
              </w:rPr>
              <w:t>z toho vplyv na ŠR</w:t>
            </w:r>
          </w:p>
        </w:tc>
        <w:tc>
          <w:tcPr>
            <w:tcW w:w="1701" w:type="dxa"/>
            <w:gridSpan w:val="2"/>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p>
          <w:p w:rsidR="00933ACE" w:rsidRPr="00933ACE" w:rsidP="00551A92">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6 715 973</w:t>
            </w:r>
          </w:p>
        </w:tc>
        <w:tc>
          <w:tcPr>
            <w:tcW w:w="1559" w:type="dxa"/>
            <w:gridSpan w:val="2"/>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27 814 309</w:t>
            </w:r>
          </w:p>
        </w:tc>
        <w:tc>
          <w:tcPr>
            <w:tcW w:w="1560" w:type="dxa"/>
            <w:gridSpan w:val="3"/>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32 926 948</w:t>
            </w:r>
          </w:p>
        </w:tc>
        <w:tc>
          <w:tcPr>
            <w:tcW w:w="1417" w:type="dxa"/>
            <w:gridSpan w:val="2"/>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33 682 948</w:t>
            </w:r>
          </w:p>
        </w:tc>
      </w:tr>
      <w:tr>
        <w:tblPrEx>
          <w:tblW w:w="9224" w:type="dxa"/>
          <w:tblInd w:w="60" w:type="dxa"/>
          <w:tblLayout w:type="fixed"/>
          <w:tblCellMar>
            <w:left w:w="70" w:type="dxa"/>
            <w:right w:w="70" w:type="dxa"/>
          </w:tblCellMar>
          <w:tblLook w:val="04A0"/>
        </w:tblPrEx>
        <w:trPr>
          <w:trHeight w:val="315"/>
        </w:trPr>
        <w:tc>
          <w:tcPr>
            <w:tcW w:w="2987"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financovanie zabezpečené v rozpočte</w:t>
            </w:r>
          </w:p>
        </w:tc>
        <w:tc>
          <w:tcPr>
            <w:tcW w:w="1701" w:type="dxa"/>
            <w:gridSpan w:val="2"/>
            <w:tcBorders>
              <w:top w:val="nil"/>
              <w:left w:val="nil"/>
              <w:bottom w:val="single" w:sz="4" w:space="0" w:color="auto"/>
              <w:right w:val="single" w:sz="4" w:space="0" w:color="auto"/>
            </w:tcBorders>
            <w:noWrap/>
            <w:textDirection w:val="lrTb"/>
            <w:vAlign w:val="center"/>
            <w:hideMark/>
          </w:tcPr>
          <w:p w:rsidR="00933ACE" w:rsidRPr="00933ACE" w:rsidP="00551A92">
            <w:pPr>
              <w:bidi w:val="0"/>
              <w:spacing w:after="0" w:line="240" w:lineRule="auto"/>
              <w:jc w:val="right"/>
              <w:rPr>
                <w:rFonts w:ascii="Times New Roman" w:hAnsi="Times New Roman"/>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6 715 973</w:t>
            </w:r>
          </w:p>
        </w:tc>
        <w:tc>
          <w:tcPr>
            <w:tcW w:w="1559" w:type="dxa"/>
            <w:gridSpan w:val="2"/>
            <w:tcBorders>
              <w:top w:val="nil"/>
              <w:left w:val="nil"/>
              <w:bottom w:val="single" w:sz="4" w:space="0" w:color="auto"/>
              <w:right w:val="single" w:sz="4" w:space="0" w:color="auto"/>
            </w:tcBorders>
            <w:noWrap/>
            <w:textDirection w:val="lrTb"/>
            <w:vAlign w:val="center"/>
            <w:hideMark/>
          </w:tcPr>
          <w:p w:rsidR="00933ACE" w:rsidRPr="00933ACE" w:rsidP="0096095C">
            <w:pPr>
              <w:bidi w:val="0"/>
              <w:spacing w:after="0" w:line="240" w:lineRule="auto"/>
              <w:jc w:val="right"/>
              <w:rPr>
                <w:rFonts w:ascii="Times New Roman" w:hAnsi="Times New Roman"/>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27 814 309</w:t>
            </w:r>
          </w:p>
        </w:tc>
        <w:tc>
          <w:tcPr>
            <w:tcW w:w="1560" w:type="dxa"/>
            <w:gridSpan w:val="3"/>
            <w:tcBorders>
              <w:top w:val="nil"/>
              <w:left w:val="nil"/>
              <w:bottom w:val="single" w:sz="4" w:space="0" w:color="auto"/>
              <w:right w:val="single" w:sz="4" w:space="0" w:color="auto"/>
            </w:tcBorders>
            <w:noWrap/>
            <w:textDirection w:val="lrTb"/>
            <w:vAlign w:val="center"/>
            <w:hideMark/>
          </w:tcPr>
          <w:p w:rsidR="00933ACE" w:rsidRPr="00933ACE" w:rsidP="0096095C">
            <w:pPr>
              <w:bidi w:val="0"/>
              <w:spacing w:after="0" w:line="240" w:lineRule="auto"/>
              <w:jc w:val="right"/>
              <w:rPr>
                <w:rFonts w:ascii="Times New Roman" w:hAnsi="Times New Roman"/>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32 926 948</w:t>
            </w:r>
          </w:p>
        </w:tc>
        <w:tc>
          <w:tcPr>
            <w:tcW w:w="1417" w:type="dxa"/>
            <w:gridSpan w:val="2"/>
            <w:tcBorders>
              <w:top w:val="nil"/>
              <w:left w:val="nil"/>
              <w:bottom w:val="single" w:sz="4" w:space="0" w:color="auto"/>
              <w:right w:val="single" w:sz="4" w:space="0" w:color="auto"/>
            </w:tcBorders>
            <w:noWrap/>
            <w:textDirection w:val="lrTb"/>
            <w:vAlign w:val="center"/>
            <w:hideMark/>
          </w:tcPr>
          <w:p w:rsidR="00933ACE" w:rsidRPr="00933ACE" w:rsidP="0096095C">
            <w:pPr>
              <w:bidi w:val="0"/>
              <w:spacing w:after="0" w:line="240" w:lineRule="auto"/>
              <w:jc w:val="right"/>
              <w:rPr>
                <w:rFonts w:ascii="Times New Roman" w:hAnsi="Times New Roman"/>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33 682 948</w:t>
            </w:r>
          </w:p>
        </w:tc>
      </w:tr>
      <w:tr>
        <w:tblPrEx>
          <w:tblW w:w="9224" w:type="dxa"/>
          <w:tblInd w:w="60" w:type="dxa"/>
          <w:tblLayout w:type="fixed"/>
          <w:tblCellMar>
            <w:left w:w="70" w:type="dxa"/>
            <w:right w:w="70" w:type="dxa"/>
          </w:tblCellMar>
          <w:tblLook w:val="04A0"/>
        </w:tblPrEx>
        <w:trPr>
          <w:trHeight w:val="315"/>
        </w:trPr>
        <w:tc>
          <w:tcPr>
            <w:tcW w:w="2987"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r w:rsidRPr="00933ACE">
              <w:rPr>
                <w:rFonts w:ascii="Times New Roman" w:hAnsi="Times New Roman"/>
                <w:color w:val="000000"/>
                <w:sz w:val="24"/>
                <w:szCs w:val="24"/>
                <w:lang w:val="sk-SK"/>
              </w:rPr>
              <w:t>ostatné zdroje financovania</w:t>
            </w:r>
          </w:p>
        </w:tc>
        <w:tc>
          <w:tcPr>
            <w:tcW w:w="1701" w:type="dxa"/>
            <w:gridSpan w:val="2"/>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color w:val="000000"/>
                <w:sz w:val="24"/>
                <w:szCs w:val="24"/>
                <w:lang w:val="sk-SK"/>
              </w:rPr>
            </w:pPr>
          </w:p>
        </w:tc>
        <w:tc>
          <w:tcPr>
            <w:tcW w:w="1559" w:type="dxa"/>
            <w:gridSpan w:val="2"/>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c>
          <w:tcPr>
            <w:tcW w:w="1560" w:type="dxa"/>
            <w:gridSpan w:val="3"/>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c>
          <w:tcPr>
            <w:tcW w:w="1417" w:type="dxa"/>
            <w:gridSpan w:val="2"/>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rPr>
                <w:rFonts w:ascii="Times New Roman" w:hAnsi="Times New Roman"/>
                <w:color w:val="000000"/>
                <w:sz w:val="24"/>
                <w:szCs w:val="24"/>
                <w:lang w:val="sk-SK"/>
              </w:rPr>
            </w:pPr>
          </w:p>
        </w:tc>
      </w:tr>
      <w:tr>
        <w:tblPrEx>
          <w:tblW w:w="9224" w:type="dxa"/>
          <w:tblInd w:w="60" w:type="dxa"/>
          <w:tblLayout w:type="fixed"/>
          <w:tblCellMar>
            <w:left w:w="70" w:type="dxa"/>
            <w:right w:w="70" w:type="dxa"/>
          </w:tblCellMar>
          <w:tblLook w:val="04A0"/>
        </w:tblPrEx>
        <w:trPr>
          <w:trHeight w:val="315"/>
        </w:trPr>
        <w:tc>
          <w:tcPr>
            <w:tcW w:w="2987" w:type="dxa"/>
            <w:tcBorders>
              <w:top w:val="nil"/>
              <w:left w:val="single" w:sz="4" w:space="0" w:color="auto"/>
              <w:bottom w:val="single" w:sz="4" w:space="0" w:color="auto"/>
              <w:right w:val="single" w:sz="4" w:space="0" w:color="auto"/>
            </w:tcBorders>
            <w:noWrap/>
            <w:textDirection w:val="lrTb"/>
            <w:vAlign w:val="center"/>
            <w:hideMark/>
          </w:tcPr>
          <w:p w:rsidR="00933ACE" w:rsidRPr="00933ACE" w:rsidP="00933ACE">
            <w:pPr>
              <w:bidi w:val="0"/>
              <w:spacing w:after="0" w:line="240" w:lineRule="auto"/>
              <w:rPr>
                <w:rFonts w:ascii="Times New Roman" w:hAnsi="Times New Roman"/>
                <w:b/>
                <w:bCs/>
                <w:color w:val="000000"/>
                <w:sz w:val="24"/>
                <w:szCs w:val="24"/>
                <w:lang w:val="sk-SK"/>
              </w:rPr>
            </w:pPr>
            <w:r w:rsidRPr="00933ACE">
              <w:rPr>
                <w:rFonts w:ascii="Times New Roman" w:hAnsi="Times New Roman"/>
                <w:b/>
                <w:bCs/>
                <w:color w:val="000000"/>
                <w:sz w:val="24"/>
                <w:szCs w:val="24"/>
                <w:lang w:val="sk-SK"/>
              </w:rPr>
              <w:t>Rozpočtovo nekrytý vplyv / úspora *</w:t>
            </w:r>
          </w:p>
        </w:tc>
        <w:tc>
          <w:tcPr>
            <w:tcW w:w="1701" w:type="dxa"/>
            <w:gridSpan w:val="2"/>
            <w:tcBorders>
              <w:top w:val="nil"/>
              <w:left w:val="nil"/>
              <w:bottom w:val="single" w:sz="4" w:space="0" w:color="auto"/>
              <w:right w:val="single" w:sz="4" w:space="0" w:color="auto"/>
            </w:tcBorders>
            <w:noWrap/>
            <w:textDirection w:val="lrTb"/>
            <w:vAlign w:val="center"/>
            <w:hideMark/>
          </w:tcPr>
          <w:p w:rsidR="00933ACE" w:rsidRPr="00933ACE" w:rsidP="00933ACE">
            <w:pPr>
              <w:bidi w:val="0"/>
              <w:spacing w:after="0" w:line="240" w:lineRule="auto"/>
              <w:jc w:val="right"/>
              <w:rPr>
                <w:rFonts w:ascii="Times New Roman" w:hAnsi="Times New Roman"/>
                <w:b/>
                <w:bCs/>
                <w:color w:val="000000"/>
                <w:sz w:val="24"/>
                <w:szCs w:val="24"/>
                <w:lang w:val="sk-SK"/>
              </w:rPr>
            </w:pPr>
          </w:p>
          <w:p w:rsidR="00933ACE" w:rsidRPr="00933ACE" w:rsidP="00933ACE">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6 715 973</w:t>
            </w:r>
          </w:p>
        </w:tc>
        <w:tc>
          <w:tcPr>
            <w:tcW w:w="1559" w:type="dxa"/>
            <w:gridSpan w:val="2"/>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27 814 309</w:t>
            </w:r>
          </w:p>
        </w:tc>
        <w:tc>
          <w:tcPr>
            <w:tcW w:w="1560" w:type="dxa"/>
            <w:gridSpan w:val="3"/>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32 926 948</w:t>
            </w:r>
          </w:p>
        </w:tc>
        <w:tc>
          <w:tcPr>
            <w:tcW w:w="1417" w:type="dxa"/>
            <w:gridSpan w:val="2"/>
            <w:tcBorders>
              <w:top w:val="nil"/>
              <w:left w:val="nil"/>
              <w:bottom w:val="single" w:sz="4" w:space="0" w:color="auto"/>
              <w:right w:val="single" w:sz="4" w:space="0" w:color="auto"/>
            </w:tcBorders>
            <w:noWrap/>
            <w:textDirection w:val="lrTb"/>
            <w:vAlign w:val="bottom"/>
            <w:hideMark/>
          </w:tcPr>
          <w:p w:rsidR="00933ACE" w:rsidRPr="00933ACE" w:rsidP="00933ACE">
            <w:pPr>
              <w:bidi w:val="0"/>
              <w:spacing w:after="0" w:line="240" w:lineRule="auto"/>
              <w:jc w:val="right"/>
              <w:rPr>
                <w:rFonts w:ascii="Times New Roman" w:hAnsi="Times New Roman"/>
                <w:b/>
                <w:bCs/>
                <w:color w:val="000000"/>
                <w:sz w:val="24"/>
                <w:szCs w:val="24"/>
                <w:lang w:val="sk-SK"/>
              </w:rPr>
            </w:pPr>
            <w:r w:rsidRPr="00933ACE" w:rsidR="0099440F">
              <w:rPr>
                <w:rFonts w:ascii="Times New Roman" w:hAnsi="Times New Roman"/>
                <w:b/>
                <w:bCs/>
                <w:color w:val="000000"/>
                <w:sz w:val="24"/>
                <w:szCs w:val="24"/>
                <w:lang w:val="sk-SK"/>
              </w:rPr>
              <w:t xml:space="preserve">- </w:t>
            </w:r>
            <w:r w:rsidR="0099440F">
              <w:rPr>
                <w:rFonts w:ascii="Times New Roman" w:hAnsi="Times New Roman"/>
                <w:b/>
                <w:bCs/>
                <w:color w:val="000000"/>
                <w:sz w:val="24"/>
                <w:szCs w:val="24"/>
                <w:lang w:val="sk-SK"/>
              </w:rPr>
              <w:t>33 682 948</w:t>
            </w:r>
          </w:p>
        </w:tc>
      </w:tr>
      <w:tr>
        <w:tblPrEx>
          <w:tblW w:w="9224" w:type="dxa"/>
          <w:tblInd w:w="60" w:type="dxa"/>
          <w:tblLayout w:type="fixed"/>
          <w:tblCellMar>
            <w:left w:w="70" w:type="dxa"/>
            <w:right w:w="70" w:type="dxa"/>
          </w:tblCellMar>
          <w:tblLook w:val="04A0"/>
        </w:tblPrEx>
        <w:trPr>
          <w:trHeight w:val="315"/>
        </w:trPr>
        <w:tc>
          <w:tcPr>
            <w:tcW w:w="2987" w:type="dxa"/>
            <w:tcBorders>
              <w:top w:val="nil"/>
              <w:left w:val="nil"/>
              <w:bottom w:val="nil"/>
              <w:right w:val="nil"/>
            </w:tcBorders>
            <w:noWrap/>
            <w:textDirection w:val="lrTb"/>
            <w:vAlign w:val="center"/>
            <w:hideMark/>
          </w:tcPr>
          <w:p w:rsidR="00933ACE" w:rsidRPr="00933ACE" w:rsidP="00EC47C6">
            <w:pPr>
              <w:bidi w:val="0"/>
              <w:rPr>
                <w:rFonts w:ascii="Times New Roman" w:hAnsi="Times New Roman"/>
                <w:color w:val="000000"/>
                <w:sz w:val="24"/>
                <w:szCs w:val="24"/>
                <w:lang w:val="sk-SK"/>
              </w:rPr>
            </w:pPr>
            <w:r w:rsidRPr="00933ACE">
              <w:rPr>
                <w:rFonts w:ascii="Times New Roman" w:hAnsi="Times New Roman"/>
                <w:color w:val="000000"/>
                <w:sz w:val="24"/>
                <w:szCs w:val="24"/>
                <w:lang w:val="sk-SK"/>
              </w:rPr>
              <w:t>* úspora má znamienko (-)</w:t>
            </w:r>
          </w:p>
        </w:tc>
        <w:tc>
          <w:tcPr>
            <w:tcW w:w="1606" w:type="dxa"/>
            <w:tcBorders>
              <w:top w:val="nil"/>
              <w:left w:val="nil"/>
              <w:bottom w:val="nil"/>
              <w:right w:val="nil"/>
            </w:tcBorders>
            <w:noWrap/>
            <w:textDirection w:val="lrTb"/>
            <w:vAlign w:val="center"/>
            <w:hideMark/>
          </w:tcPr>
          <w:p w:rsidR="00933ACE" w:rsidRPr="00933ACE" w:rsidP="00EC47C6">
            <w:pPr>
              <w:bidi w:val="0"/>
              <w:rPr>
                <w:rFonts w:ascii="Times New Roman" w:hAnsi="Times New Roman"/>
                <w:color w:val="000000"/>
                <w:sz w:val="24"/>
                <w:szCs w:val="24"/>
                <w:lang w:val="sk-SK"/>
              </w:rPr>
            </w:pPr>
          </w:p>
        </w:tc>
        <w:tc>
          <w:tcPr>
            <w:tcW w:w="989" w:type="dxa"/>
            <w:gridSpan w:val="2"/>
            <w:tcBorders>
              <w:top w:val="nil"/>
              <w:left w:val="nil"/>
              <w:bottom w:val="nil"/>
              <w:right w:val="nil"/>
            </w:tcBorders>
            <w:noWrap/>
            <w:textDirection w:val="lrTb"/>
            <w:vAlign w:val="center"/>
            <w:hideMark/>
          </w:tcPr>
          <w:p w:rsidR="00933ACE" w:rsidRPr="00933ACE" w:rsidP="00EC47C6">
            <w:pPr>
              <w:bidi w:val="0"/>
              <w:rPr>
                <w:rFonts w:ascii="Times New Roman" w:hAnsi="Times New Roman"/>
                <w:color w:val="000000"/>
                <w:sz w:val="24"/>
                <w:szCs w:val="24"/>
                <w:lang w:val="sk-SK"/>
              </w:rPr>
            </w:pPr>
          </w:p>
        </w:tc>
        <w:tc>
          <w:tcPr>
            <w:tcW w:w="1359" w:type="dxa"/>
            <w:gridSpan w:val="3"/>
            <w:tcBorders>
              <w:top w:val="nil"/>
              <w:left w:val="nil"/>
              <w:bottom w:val="nil"/>
              <w:right w:val="nil"/>
            </w:tcBorders>
            <w:noWrap/>
            <w:textDirection w:val="lrTb"/>
            <w:vAlign w:val="center"/>
            <w:hideMark/>
          </w:tcPr>
          <w:p w:rsidR="00933ACE" w:rsidRPr="00933ACE" w:rsidP="00EC47C6">
            <w:pPr>
              <w:bidi w:val="0"/>
              <w:rPr>
                <w:rFonts w:ascii="Times New Roman" w:hAnsi="Times New Roman"/>
                <w:color w:val="000000"/>
                <w:sz w:val="24"/>
                <w:szCs w:val="24"/>
                <w:lang w:val="sk-SK"/>
              </w:rPr>
            </w:pPr>
          </w:p>
        </w:tc>
        <w:tc>
          <w:tcPr>
            <w:tcW w:w="2283" w:type="dxa"/>
            <w:gridSpan w:val="3"/>
            <w:tcBorders>
              <w:top w:val="nil"/>
              <w:left w:val="nil"/>
              <w:bottom w:val="nil"/>
              <w:right w:val="nil"/>
            </w:tcBorders>
            <w:noWrap/>
            <w:textDirection w:val="lrTb"/>
            <w:vAlign w:val="center"/>
            <w:hideMark/>
          </w:tcPr>
          <w:p w:rsidR="00933ACE" w:rsidRPr="00933ACE" w:rsidP="00EC47C6">
            <w:pPr>
              <w:bidi w:val="0"/>
              <w:rPr>
                <w:rFonts w:ascii="Times New Roman" w:hAnsi="Times New Roman"/>
                <w:color w:val="000000"/>
                <w:sz w:val="24"/>
                <w:szCs w:val="24"/>
                <w:lang w:val="sk-SK"/>
              </w:rPr>
            </w:pPr>
          </w:p>
        </w:tc>
      </w:tr>
    </w:tbl>
    <w:p w:rsidR="0099440F" w:rsidP="00933ACE">
      <w:pPr>
        <w:bidi w:val="0"/>
        <w:rPr>
          <w:rFonts w:ascii="Times New Roman" w:hAnsi="Times New Roman"/>
          <w:b/>
          <w:bCs/>
          <w:sz w:val="24"/>
          <w:szCs w:val="24"/>
          <w:lang w:val="sk-SK"/>
        </w:rPr>
      </w:pPr>
    </w:p>
    <w:p w:rsidR="00933ACE" w:rsidRPr="00933ACE" w:rsidP="00933ACE">
      <w:pPr>
        <w:bidi w:val="0"/>
        <w:rPr>
          <w:rFonts w:ascii="Times New Roman" w:hAnsi="Times New Roman"/>
          <w:sz w:val="24"/>
          <w:szCs w:val="24"/>
          <w:lang w:val="sk-SK"/>
        </w:rPr>
      </w:pPr>
      <w:r w:rsidRPr="00933ACE">
        <w:rPr>
          <w:rFonts w:ascii="Times New Roman" w:hAnsi="Times New Roman"/>
          <w:b/>
          <w:bCs/>
          <w:sz w:val="24"/>
          <w:szCs w:val="24"/>
          <w:lang w:val="sk-SK"/>
        </w:rPr>
        <w:t>2.3. Popis a charakteristika návrhu</w:t>
      </w:r>
    </w:p>
    <w:p w:rsidR="00933ACE" w:rsidRPr="00933ACE" w:rsidP="00933ACE">
      <w:pPr>
        <w:bidi w:val="0"/>
        <w:rPr>
          <w:rFonts w:ascii="Times New Roman" w:hAnsi="Times New Roman"/>
          <w:sz w:val="24"/>
          <w:szCs w:val="24"/>
          <w:lang w:val="sk-SK"/>
        </w:rPr>
      </w:pPr>
      <w:r w:rsidRPr="00933ACE">
        <w:rPr>
          <w:rFonts w:ascii="Times New Roman" w:hAnsi="Times New Roman"/>
          <w:sz w:val="24"/>
          <w:szCs w:val="24"/>
          <w:lang w:val="sk-SK"/>
        </w:rPr>
        <w:t> </w:t>
      </w:r>
      <w:r w:rsidRPr="00933ACE">
        <w:rPr>
          <w:rFonts w:ascii="Times New Roman" w:hAnsi="Times New Roman"/>
          <w:b/>
          <w:bCs/>
          <w:sz w:val="24"/>
          <w:szCs w:val="24"/>
          <w:lang w:val="sk-SK"/>
        </w:rPr>
        <w:t>2.3.1. Popis návrhu:</w:t>
      </w:r>
    </w:p>
    <w:p w:rsidR="00933ACE" w:rsidRPr="00933ACE" w:rsidP="00933ACE">
      <w:pPr>
        <w:bidi w:val="0"/>
        <w:rPr>
          <w:rFonts w:ascii="Times New Roman" w:hAnsi="Times New Roman"/>
          <w:sz w:val="24"/>
          <w:szCs w:val="24"/>
          <w:lang w:val="sk-SK"/>
        </w:rPr>
      </w:pPr>
      <w:r w:rsidRPr="00933ACE">
        <w:rPr>
          <w:rFonts w:ascii="Times New Roman" w:hAnsi="Times New Roman"/>
          <w:b/>
          <w:bCs/>
          <w:sz w:val="24"/>
          <w:szCs w:val="24"/>
          <w:lang w:val="sk-SK"/>
        </w:rPr>
        <w:t>2.3.2. Charakteristika návrhu podľa bodu  2.3.2. Metodiky :</w:t>
      </w:r>
    </w:p>
    <w:p w:rsidR="00933ACE" w:rsidRPr="00933ACE" w:rsidP="00933ACE">
      <w:pPr>
        <w:bidi w:val="0"/>
        <w:spacing w:after="0" w:line="240" w:lineRule="auto"/>
        <w:rPr>
          <w:rFonts w:ascii="Times New Roman" w:hAnsi="Times New Roman"/>
          <w:sz w:val="24"/>
          <w:szCs w:val="24"/>
          <w:lang w:val="sk-SK"/>
        </w:rPr>
      </w:pPr>
      <w:r w:rsidRPr="00933ACE">
        <w:rPr>
          <w:rFonts w:ascii="Times New Roman" w:hAnsi="Times New Roman"/>
          <w:b/>
          <w:bCs/>
          <w:sz w:val="24"/>
          <w:szCs w:val="24"/>
          <w:bdr w:val="single" w:sz="4" w:space="0" w:color="000000" w:frame="1"/>
          <w:lang w:val="sk-SK"/>
        </w:rPr>
        <w:t> </w:t>
      </w:r>
      <w:r w:rsidRPr="00933ACE">
        <w:rPr>
          <w:rFonts w:ascii="Times New Roman" w:hAnsi="Times New Roman"/>
          <w:sz w:val="24"/>
          <w:szCs w:val="24"/>
          <w:bdr w:val="single" w:sz="4" w:space="0" w:color="000000" w:frame="1"/>
          <w:lang w:val="sk-SK"/>
        </w:rPr>
        <w:t> x</w:t>
      </w:r>
      <w:r w:rsidRPr="00933ACE">
        <w:rPr>
          <w:rFonts w:ascii="Times New Roman" w:hAnsi="Times New Roman"/>
          <w:b/>
          <w:bCs/>
          <w:sz w:val="24"/>
          <w:szCs w:val="24"/>
          <w:bdr w:val="single" w:sz="4" w:space="0" w:color="000000" w:frame="1"/>
          <w:lang w:val="sk-SK"/>
        </w:rPr>
        <w:t xml:space="preserve"> </w:t>
      </w:r>
      <w:r w:rsidRPr="00933ACE">
        <w:rPr>
          <w:rFonts w:ascii="Times New Roman" w:hAnsi="Times New Roman"/>
          <w:b/>
          <w:bCs/>
          <w:sz w:val="24"/>
          <w:szCs w:val="24"/>
          <w:lang w:val="sk-SK"/>
        </w:rPr>
        <w:t xml:space="preserve">  </w:t>
      </w:r>
      <w:r w:rsidRPr="00933ACE">
        <w:rPr>
          <w:rFonts w:ascii="Times New Roman" w:hAnsi="Times New Roman"/>
          <w:sz w:val="24"/>
          <w:szCs w:val="24"/>
          <w:lang w:val="sk-SK"/>
        </w:rPr>
        <w:t>zmena sadzby</w:t>
      </w:r>
    </w:p>
    <w:p w:rsidR="00933ACE" w:rsidRPr="00933ACE" w:rsidP="00933ACE">
      <w:pPr>
        <w:bidi w:val="0"/>
        <w:spacing w:after="0" w:line="240" w:lineRule="auto"/>
        <w:rPr>
          <w:rFonts w:ascii="Times New Roman" w:hAnsi="Times New Roman"/>
          <w:sz w:val="24"/>
          <w:szCs w:val="24"/>
          <w:lang w:val="sk-SK"/>
        </w:rPr>
      </w:pPr>
      <w:r w:rsidRPr="00933ACE">
        <w:rPr>
          <w:rFonts w:ascii="Times New Roman" w:hAnsi="Times New Roman"/>
          <w:sz w:val="24"/>
          <w:szCs w:val="24"/>
          <w:bdr w:val="single" w:sz="4" w:space="0" w:color="000000" w:frame="1"/>
          <w:lang w:val="sk-SK"/>
        </w:rPr>
        <w:t xml:space="preserve">     </w:t>
      </w:r>
      <w:r w:rsidRPr="00933ACE">
        <w:rPr>
          <w:rFonts w:ascii="Times New Roman" w:hAnsi="Times New Roman"/>
          <w:sz w:val="24"/>
          <w:szCs w:val="24"/>
          <w:lang w:val="sk-SK"/>
        </w:rPr>
        <w:t>  zmena v nároku</w:t>
      </w:r>
    </w:p>
    <w:p w:rsidR="00933ACE" w:rsidRPr="00933ACE" w:rsidP="00933ACE">
      <w:pPr>
        <w:bidi w:val="0"/>
        <w:spacing w:after="0" w:line="240" w:lineRule="auto"/>
        <w:rPr>
          <w:rFonts w:ascii="Times New Roman" w:hAnsi="Times New Roman"/>
          <w:sz w:val="24"/>
          <w:szCs w:val="24"/>
          <w:lang w:val="sk-SK"/>
        </w:rPr>
      </w:pPr>
      <w:r w:rsidRPr="00933ACE">
        <w:rPr>
          <w:rFonts w:ascii="Times New Roman" w:hAnsi="Times New Roman"/>
          <w:sz w:val="24"/>
          <w:szCs w:val="24"/>
          <w:bdr w:val="single" w:sz="4" w:space="0" w:color="000000" w:frame="1"/>
          <w:lang w:val="sk-SK"/>
        </w:rPr>
        <w:t xml:space="preserve">     </w:t>
      </w:r>
      <w:r w:rsidRPr="00933ACE">
        <w:rPr>
          <w:rFonts w:ascii="Times New Roman" w:hAnsi="Times New Roman"/>
          <w:sz w:val="24"/>
          <w:szCs w:val="24"/>
          <w:lang w:val="sk-SK"/>
        </w:rPr>
        <w:t>  nová služba alebo nariadenie (alebo ich zrušenie)</w:t>
      </w:r>
    </w:p>
    <w:p w:rsidR="00933ACE" w:rsidRPr="00933ACE" w:rsidP="00933ACE">
      <w:pPr>
        <w:bidi w:val="0"/>
        <w:spacing w:after="0" w:line="240" w:lineRule="auto"/>
        <w:rPr>
          <w:rFonts w:ascii="Times New Roman" w:hAnsi="Times New Roman"/>
          <w:sz w:val="24"/>
          <w:szCs w:val="24"/>
          <w:lang w:val="sk-SK"/>
        </w:rPr>
      </w:pPr>
      <w:r w:rsidRPr="00933ACE">
        <w:rPr>
          <w:rFonts w:ascii="Times New Roman" w:hAnsi="Times New Roman"/>
          <w:sz w:val="24"/>
          <w:szCs w:val="24"/>
          <w:bdr w:val="single" w:sz="4" w:space="0" w:color="000000" w:frame="1"/>
          <w:lang w:val="sk-SK"/>
        </w:rPr>
        <w:t>     </w:t>
      </w:r>
      <w:r w:rsidRPr="00933ACE">
        <w:rPr>
          <w:rFonts w:ascii="Times New Roman" w:hAnsi="Times New Roman"/>
          <w:sz w:val="24"/>
          <w:szCs w:val="24"/>
          <w:lang w:val="sk-SK"/>
        </w:rPr>
        <w:t>  kombinovaný návrh</w:t>
      </w:r>
    </w:p>
    <w:p w:rsidR="00933ACE" w:rsidRPr="00933ACE" w:rsidP="00933ACE">
      <w:pPr>
        <w:bidi w:val="0"/>
        <w:spacing w:after="0" w:line="240" w:lineRule="auto"/>
        <w:rPr>
          <w:rFonts w:ascii="Times New Roman" w:hAnsi="Times New Roman"/>
          <w:sz w:val="24"/>
          <w:szCs w:val="24"/>
          <w:lang w:val="sk-SK"/>
        </w:rPr>
      </w:pPr>
      <w:r w:rsidRPr="00933ACE">
        <w:rPr>
          <w:rFonts w:ascii="Times New Roman" w:hAnsi="Times New Roman"/>
          <w:sz w:val="24"/>
          <w:szCs w:val="24"/>
          <w:bdr w:val="single" w:sz="4" w:space="0" w:color="000000" w:frame="1"/>
          <w:lang w:val="sk-SK"/>
        </w:rPr>
        <w:t xml:space="preserve"> x  </w:t>
      </w:r>
      <w:r w:rsidRPr="00933ACE">
        <w:rPr>
          <w:rFonts w:ascii="Times New Roman" w:hAnsi="Times New Roman"/>
          <w:sz w:val="24"/>
          <w:szCs w:val="24"/>
          <w:lang w:val="sk-SK"/>
        </w:rPr>
        <w:t xml:space="preserve">  iné (zavedenie poplatku pri registrácii motorového vozidla, posunutie termínu zrušenia  </w:t>
      </w:r>
    </w:p>
    <w:p w:rsidR="00933ACE" w:rsidP="00933ACE">
      <w:pPr>
        <w:bidi w:val="0"/>
        <w:spacing w:after="0" w:line="240" w:lineRule="auto"/>
        <w:rPr>
          <w:rFonts w:ascii="Times New Roman" w:hAnsi="Times New Roman"/>
          <w:sz w:val="24"/>
          <w:szCs w:val="24"/>
          <w:lang w:val="sk-SK"/>
        </w:rPr>
      </w:pPr>
      <w:r w:rsidRPr="00933ACE">
        <w:rPr>
          <w:rFonts w:ascii="Times New Roman" w:hAnsi="Times New Roman"/>
          <w:sz w:val="24"/>
          <w:szCs w:val="24"/>
          <w:lang w:val="sk-SK"/>
        </w:rPr>
        <w:t xml:space="preserve">               kolkových známok)</w:t>
      </w:r>
    </w:p>
    <w:p w:rsidR="00933ACE" w:rsidRPr="00933ACE" w:rsidP="00933ACE">
      <w:pPr>
        <w:bidi w:val="0"/>
        <w:spacing w:after="0" w:line="240" w:lineRule="auto"/>
        <w:rPr>
          <w:rFonts w:ascii="Times New Roman" w:hAnsi="Times New Roman"/>
          <w:sz w:val="24"/>
          <w:szCs w:val="24"/>
          <w:lang w:val="sk-SK"/>
        </w:rPr>
      </w:pPr>
    </w:p>
    <w:p w:rsidR="00933ACE" w:rsidRPr="00933ACE" w:rsidP="00933ACE">
      <w:pPr>
        <w:bidi w:val="0"/>
        <w:rPr>
          <w:rFonts w:ascii="Times New Roman" w:hAnsi="Times New Roman"/>
          <w:sz w:val="24"/>
          <w:szCs w:val="24"/>
          <w:lang w:val="sk-SK"/>
        </w:rPr>
      </w:pPr>
      <w:r w:rsidRPr="00933ACE">
        <w:rPr>
          <w:rFonts w:ascii="Times New Roman" w:hAnsi="Times New Roman"/>
          <w:b/>
          <w:bCs/>
          <w:sz w:val="24"/>
          <w:szCs w:val="24"/>
          <w:lang w:val="sk-SK"/>
        </w:rPr>
        <w:t>2.3.3. Predpoklady vývoja objemu aktivít:</w:t>
      </w:r>
    </w:p>
    <w:p w:rsidR="00933ACE" w:rsidRPr="00933ACE" w:rsidP="00933ACE">
      <w:pPr>
        <w:bidi w:val="0"/>
        <w:spacing w:after="0" w:line="240" w:lineRule="auto"/>
        <w:rPr>
          <w:rFonts w:ascii="Times New Roman" w:hAnsi="Times New Roman"/>
          <w:b/>
          <w:bCs/>
          <w:sz w:val="24"/>
          <w:szCs w:val="24"/>
          <w:lang w:val="sk-SK"/>
        </w:rPr>
      </w:pPr>
      <w:r w:rsidRPr="00933ACE">
        <w:rPr>
          <w:rFonts w:ascii="Times New Roman" w:hAnsi="Times New Roman"/>
          <w:b/>
          <w:bCs/>
          <w:sz w:val="24"/>
          <w:szCs w:val="24"/>
          <w:lang w:val="sk-SK"/>
        </w:rPr>
        <w:t>2.3.4. Výpočty vplyvov na verejné financie</w:t>
      </w:r>
    </w:p>
    <w:p w:rsidR="00933ACE" w:rsidRPr="00933ACE" w:rsidP="00933ACE">
      <w:pPr>
        <w:bidi w:val="0"/>
        <w:spacing w:after="0" w:line="240" w:lineRule="auto"/>
        <w:ind w:firstLine="709"/>
        <w:jc w:val="both"/>
        <w:rPr>
          <w:rFonts w:ascii="Times New Roman" w:hAnsi="Times New Roman"/>
          <w:sz w:val="24"/>
          <w:szCs w:val="24"/>
          <w:lang w:val="sk-SK"/>
        </w:rPr>
      </w:pPr>
      <w:r w:rsidRPr="00933ACE">
        <w:rPr>
          <w:rFonts w:ascii="Times New Roman" w:hAnsi="Times New Roman"/>
          <w:sz w:val="24"/>
          <w:szCs w:val="24"/>
          <w:lang w:val="sk-SK"/>
        </w:rPr>
        <w:t xml:space="preserve">Vplyvy na príjem verejného rozpočtu vyplývajúce z upravených sadzieb poplatkov alebo z novo navrhovaných  úkonov a konaní spoplatňovaných správnymi alebo súdnymi poplatkami nie sú konkrétnejšie vyčísliteľné, nakoľko tieto závisia od počtu vykonaných úkonov a konaní príslušnými orgánmi, resp. od aktivity žiadateľov. Obdobná situácia nastáva pri týchto úkonoch a konaniach aj v prípade vyčíslenia  nákladov spojených s pokračujúcou distribúciou  a výrobou kolkových známok, ktoré sa viažu na objem predaných kolkových známok a ich výrobu. Ministerstvo financií SR preto oslovilo príslušné rezorty, do vecnej náplne ktorých vyberanie správnych a súdnych poplatkov patrí, s požiadavkou kvantifikácie očakávaných finančných dopadov z navrhnutých zmien so zámerom čo najviac tieto vplyvy priblížiť realite.  </w:t>
      </w:r>
    </w:p>
    <w:p w:rsidR="00933ACE" w:rsidRPr="00933ACE" w:rsidP="00933ACE">
      <w:pPr>
        <w:bidi w:val="0"/>
        <w:spacing w:after="0" w:line="240" w:lineRule="auto"/>
        <w:jc w:val="both"/>
        <w:rPr>
          <w:rFonts w:ascii="Times New Roman" w:hAnsi="Times New Roman"/>
          <w:i/>
          <w:iCs/>
          <w:sz w:val="24"/>
          <w:szCs w:val="24"/>
          <w:u w:val="single"/>
          <w:lang w:val="sk-SK"/>
        </w:rPr>
      </w:pPr>
      <w:r w:rsidRPr="00933ACE">
        <w:rPr>
          <w:rFonts w:ascii="Times New Roman" w:hAnsi="Times New Roman"/>
          <w:i/>
          <w:iCs/>
          <w:sz w:val="24"/>
          <w:szCs w:val="24"/>
          <w:u w:val="single"/>
          <w:lang w:val="sk-SK"/>
        </w:rPr>
        <w:t>Dopady: - poplatok pri registrácii vozidla v novele zákona č. 145/1995 Z. z. o správnych poplatkoch v znení neskorších predpisov</w:t>
      </w:r>
    </w:p>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sidR="0099440F">
        <w:rPr>
          <w:rFonts w:ascii="Times New Roman" w:hAnsi="Times New Roman"/>
          <w:sz w:val="24"/>
          <w:szCs w:val="24"/>
          <w:lang w:val="sk-SK"/>
        </w:rPr>
        <w:t xml:space="preserve">Kvantifikácia predpokladá pozitívny vplyv na úrovni </w:t>
      </w:r>
      <w:r w:rsidR="0099440F">
        <w:rPr>
          <w:rFonts w:ascii="Times New Roman" w:hAnsi="Times New Roman"/>
          <w:sz w:val="24"/>
          <w:szCs w:val="24"/>
          <w:lang w:val="sk-SK"/>
        </w:rPr>
        <w:t>6</w:t>
      </w:r>
      <w:r w:rsidRPr="00933ACE" w:rsidR="0099440F">
        <w:rPr>
          <w:rFonts w:ascii="Times New Roman" w:hAnsi="Times New Roman"/>
          <w:sz w:val="24"/>
          <w:szCs w:val="24"/>
          <w:lang w:val="sk-SK"/>
        </w:rPr>
        <w:t>,</w:t>
      </w:r>
      <w:r w:rsidR="0099440F">
        <w:rPr>
          <w:rFonts w:ascii="Times New Roman" w:hAnsi="Times New Roman"/>
          <w:sz w:val="24"/>
          <w:szCs w:val="24"/>
          <w:lang w:val="sk-SK"/>
        </w:rPr>
        <w:t>234</w:t>
      </w:r>
      <w:r w:rsidRPr="00933ACE" w:rsidR="0099440F">
        <w:rPr>
          <w:rFonts w:ascii="Times New Roman" w:hAnsi="Times New Roman"/>
          <w:sz w:val="24"/>
          <w:szCs w:val="24"/>
          <w:lang w:val="sk-SK"/>
        </w:rPr>
        <w:t xml:space="preserve"> mil. eur v roku 2012, </w:t>
      </w:r>
      <w:r w:rsidR="0099440F">
        <w:rPr>
          <w:rFonts w:ascii="Times New Roman" w:hAnsi="Times New Roman"/>
          <w:sz w:val="24"/>
          <w:szCs w:val="24"/>
          <w:lang w:val="sk-SK"/>
        </w:rPr>
        <w:t>v roku 2013 na úrovni 29</w:t>
      </w:r>
      <w:r w:rsidRPr="00933ACE" w:rsidR="0099440F">
        <w:rPr>
          <w:rFonts w:ascii="Times New Roman" w:hAnsi="Times New Roman"/>
          <w:sz w:val="24"/>
          <w:szCs w:val="24"/>
          <w:lang w:val="sk-SK"/>
        </w:rPr>
        <w:t>,</w:t>
      </w:r>
      <w:r w:rsidR="0099440F">
        <w:rPr>
          <w:rFonts w:ascii="Times New Roman" w:hAnsi="Times New Roman"/>
          <w:sz w:val="24"/>
          <w:szCs w:val="24"/>
          <w:lang w:val="sk-SK"/>
        </w:rPr>
        <w:t>299 mil. eur</w:t>
      </w:r>
      <w:r w:rsidRPr="00933ACE" w:rsidR="0099440F">
        <w:rPr>
          <w:rFonts w:ascii="Times New Roman" w:hAnsi="Times New Roman"/>
          <w:sz w:val="24"/>
          <w:szCs w:val="24"/>
          <w:lang w:val="sk-SK"/>
        </w:rPr>
        <w:t xml:space="preserve">, </w:t>
      </w:r>
      <w:r w:rsidR="0099440F">
        <w:rPr>
          <w:rFonts w:ascii="Times New Roman" w:hAnsi="Times New Roman"/>
          <w:sz w:val="24"/>
          <w:szCs w:val="24"/>
          <w:lang w:val="sk-SK"/>
        </w:rPr>
        <w:t>v roku 2014 na úrovni 29</w:t>
      </w:r>
      <w:r w:rsidRPr="00933ACE" w:rsidR="0099440F">
        <w:rPr>
          <w:rFonts w:ascii="Times New Roman" w:hAnsi="Times New Roman"/>
          <w:sz w:val="24"/>
          <w:szCs w:val="24"/>
          <w:lang w:val="sk-SK"/>
        </w:rPr>
        <w:t>,</w:t>
      </w:r>
      <w:r w:rsidR="0099440F">
        <w:rPr>
          <w:rFonts w:ascii="Times New Roman" w:hAnsi="Times New Roman"/>
          <w:sz w:val="24"/>
          <w:szCs w:val="24"/>
          <w:lang w:val="sk-SK"/>
        </w:rPr>
        <w:t>885 mil. eur</w:t>
      </w:r>
      <w:r w:rsidRPr="00933ACE" w:rsidR="0099440F">
        <w:rPr>
          <w:rFonts w:ascii="Times New Roman" w:hAnsi="Times New Roman"/>
          <w:sz w:val="24"/>
          <w:szCs w:val="24"/>
          <w:lang w:val="sk-SK"/>
        </w:rPr>
        <w:t xml:space="preserve"> a vo výške 3</w:t>
      </w:r>
      <w:r w:rsidR="0099440F">
        <w:rPr>
          <w:rFonts w:ascii="Times New Roman" w:hAnsi="Times New Roman"/>
          <w:sz w:val="24"/>
          <w:szCs w:val="24"/>
          <w:lang w:val="sk-SK"/>
        </w:rPr>
        <w:t>0</w:t>
      </w:r>
      <w:r w:rsidRPr="00933ACE" w:rsidR="0099440F">
        <w:rPr>
          <w:rFonts w:ascii="Times New Roman" w:hAnsi="Times New Roman"/>
          <w:sz w:val="24"/>
          <w:szCs w:val="24"/>
          <w:lang w:val="sk-SK"/>
        </w:rPr>
        <w:t>,6</w:t>
      </w:r>
      <w:r w:rsidR="0099440F">
        <w:rPr>
          <w:rFonts w:ascii="Times New Roman" w:hAnsi="Times New Roman"/>
          <w:sz w:val="24"/>
          <w:szCs w:val="24"/>
          <w:lang w:val="sk-SK"/>
        </w:rPr>
        <w:t>03</w:t>
      </w:r>
      <w:r w:rsidRPr="00933ACE" w:rsidR="0099440F">
        <w:rPr>
          <w:rFonts w:ascii="Times New Roman" w:hAnsi="Times New Roman"/>
          <w:sz w:val="24"/>
          <w:szCs w:val="24"/>
          <w:lang w:val="sk-SK"/>
        </w:rPr>
        <w:t xml:space="preserve"> mil. eur v roku 2015. Výpočet bol uskutočnený na základe údajov o štruktú</w:t>
      </w:r>
      <w:r w:rsidR="0099440F">
        <w:rPr>
          <w:rFonts w:ascii="Times New Roman" w:hAnsi="Times New Roman"/>
          <w:sz w:val="24"/>
          <w:szCs w:val="24"/>
          <w:lang w:val="sk-SK"/>
        </w:rPr>
        <w:t xml:space="preserve">re vozového parku v roku 2010. </w:t>
      </w:r>
    </w:p>
    <w:p w:rsidR="00933ACE" w:rsidRPr="00933ACE" w:rsidP="00933ACE">
      <w:pPr>
        <w:bidi w:val="0"/>
        <w:spacing w:after="0" w:line="240" w:lineRule="auto"/>
        <w:jc w:val="both"/>
        <w:rPr>
          <w:rFonts w:ascii="Times New Roman" w:hAnsi="Times New Roman"/>
          <w:i/>
          <w:iCs/>
          <w:sz w:val="24"/>
          <w:szCs w:val="24"/>
          <w:u w:val="single"/>
          <w:lang w:val="sk-SK"/>
        </w:rPr>
      </w:pPr>
      <w:r w:rsidRPr="00933ACE">
        <w:rPr>
          <w:rFonts w:ascii="Times New Roman" w:hAnsi="Times New Roman"/>
          <w:i/>
          <w:iCs/>
          <w:sz w:val="24"/>
          <w:szCs w:val="24"/>
          <w:u w:val="single"/>
          <w:lang w:val="sk-SK"/>
        </w:rPr>
        <w:t xml:space="preserve">Dopady: - novela zákona č. 171/2005 Z. z. o hazardných hrách a o zmene a doplnení niektorých zákonov v znení neskorších predpisov </w:t>
      </w:r>
    </w:p>
    <w:p w:rsidR="00933ACE" w:rsidRPr="00933ACE" w:rsidP="00933ACE">
      <w:pPr>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Pri určení prírastku príjmu z odvodu sa porovnávajú skutočnosti roku 2011 s predpokladaným výsledkom po zavedení zmeny v r. 2012 a v r. 2013. Pre výpočet zmeny odvodu sa predpokladal nasledovný vývoj:</w:t>
      </w:r>
    </w:p>
    <w:p w:rsidR="00933ACE" w:rsidRPr="00933ACE" w:rsidP="00933ACE">
      <w:pPr>
        <w:bidi w:val="0"/>
        <w:spacing w:after="0" w:line="240" w:lineRule="auto"/>
        <w:jc w:val="both"/>
        <w:rPr>
          <w:rFonts w:ascii="Times New Roman" w:hAnsi="Times New Roman"/>
          <w:color w:val="FF0000"/>
          <w:sz w:val="24"/>
          <w:szCs w:val="24"/>
          <w:lang w:val="sk-SK"/>
        </w:rPr>
      </w:pPr>
      <w:r w:rsidRPr="00933ACE">
        <w:rPr>
          <w:rFonts w:ascii="Times New Roman" w:hAnsi="Times New Roman"/>
          <w:sz w:val="24"/>
          <w:szCs w:val="24"/>
          <w:lang w:val="sk-SK"/>
        </w:rPr>
        <w:t xml:space="preserve">Pri </w:t>
      </w:r>
      <w:r w:rsidRPr="00933ACE">
        <w:rPr>
          <w:rFonts w:ascii="Times New Roman" w:hAnsi="Times New Roman"/>
          <w:sz w:val="24"/>
          <w:szCs w:val="24"/>
          <w:u w:val="single"/>
          <w:lang w:val="sk-SK"/>
        </w:rPr>
        <w:t xml:space="preserve">číselných lotériách </w:t>
      </w:r>
      <w:r w:rsidRPr="00933ACE">
        <w:rPr>
          <w:rFonts w:ascii="Times New Roman" w:hAnsi="Times New Roman"/>
          <w:sz w:val="24"/>
          <w:szCs w:val="24"/>
          <w:lang w:val="sk-SK"/>
        </w:rPr>
        <w:t xml:space="preserve">sa navrhuje zvýšenie sadzby z 18 % na 20 %, s predpokladaným ročným nárastom odvodov cca o 3,1 mil. eur a 0,51 mil. eur bude predpokladaným príjmom do štátneho rozpočtu už v roku 2012 (účinnosť zákona od 1.10.2012). </w:t>
      </w:r>
    </w:p>
    <w:p w:rsidR="00933ACE" w:rsidRPr="00933ACE" w:rsidP="00933ACE">
      <w:pPr>
        <w:bidi w:val="0"/>
        <w:spacing w:after="0" w:line="240" w:lineRule="auto"/>
        <w:jc w:val="both"/>
        <w:rPr>
          <w:rFonts w:ascii="Times New Roman" w:hAnsi="Times New Roman"/>
          <w:i/>
          <w:iCs/>
          <w:sz w:val="24"/>
          <w:szCs w:val="24"/>
          <w:u w:val="single"/>
          <w:lang w:val="sk-SK"/>
        </w:rPr>
      </w:pPr>
      <w:r w:rsidRPr="00933ACE">
        <w:rPr>
          <w:rFonts w:ascii="Times New Roman" w:hAnsi="Times New Roman"/>
          <w:i/>
          <w:iCs/>
          <w:sz w:val="24"/>
          <w:szCs w:val="24"/>
          <w:u w:val="single"/>
          <w:lang w:val="sk-SK"/>
        </w:rPr>
        <w:t xml:space="preserve">Dopady: - novela zákona č. 381/2011 Z. z. o zrušení kolkových známok a o zmene a doplnení niektorých zákonov </w:t>
      </w:r>
    </w:p>
    <w:p w:rsidR="00933ACE" w:rsidRPr="00933ACE" w:rsidP="00933ACE">
      <w:pPr>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Z dôvodu posunutia termínu zrušenia kolkových známok od 1. januára 2014 sa predpokladá v roku 2013 vynaloženie finančných prostriedkov na zabezpečenie tlače kolkových známok v sume 347,7 tis. eur a na distribúciu kolkových známok v sume 4,</w:t>
      </w:r>
      <w:r w:rsidR="0099440F">
        <w:rPr>
          <w:rFonts w:ascii="Times New Roman" w:hAnsi="Times New Roman"/>
          <w:sz w:val="24"/>
          <w:szCs w:val="24"/>
          <w:lang w:val="sk-SK"/>
        </w:rPr>
        <w:t>219</w:t>
      </w:r>
      <w:r w:rsidRPr="00933ACE">
        <w:rPr>
          <w:rFonts w:ascii="Times New Roman" w:hAnsi="Times New Roman"/>
          <w:sz w:val="24"/>
          <w:szCs w:val="24"/>
          <w:lang w:val="sk-SK"/>
        </w:rPr>
        <w:t xml:space="preserve"> mil. eur. V roku 2014 budú výdavky v sume 40 tis. eur predstavovať náklady spojené s odkupovaním neplatných kolkových známok a v roku 2015 budú výdavky v sume 2 tis. eur predstavovať náklady spojené s likvidáciou neplatných kolkových známok.</w:t>
      </w:r>
    </w:p>
    <w:p w:rsidR="00933ACE" w:rsidRPr="00933ACE" w:rsidP="00933ACE">
      <w:pPr>
        <w:bidi w:val="0"/>
        <w:jc w:val="both"/>
        <w:rPr>
          <w:rFonts w:ascii="Times New Roman" w:hAnsi="Times New Roman"/>
          <w:sz w:val="24"/>
          <w:szCs w:val="24"/>
          <w:lang w:val="sk-SK"/>
        </w:rPr>
      </w:pPr>
      <w:r w:rsidRPr="00933ACE">
        <w:rPr>
          <w:rFonts w:ascii="Times New Roman" w:hAnsi="Times New Roman"/>
          <w:sz w:val="24"/>
          <w:szCs w:val="24"/>
          <w:lang w:val="sk-SK"/>
        </w:rPr>
        <w:t xml:space="preserve">  </w:t>
      </w:r>
    </w:p>
    <w:p w:rsidR="00933ACE" w:rsidP="00933ACE">
      <w:pPr>
        <w:bidi w:val="0"/>
        <w:jc w:val="both"/>
        <w:rPr>
          <w:rFonts w:ascii="Times New Roman" w:hAnsi="Times New Roman"/>
          <w:sz w:val="24"/>
          <w:szCs w:val="24"/>
          <w:lang w:val="sk-SK"/>
        </w:rPr>
        <w:sectPr w:rsidSect="0099440F">
          <w:footerReference w:type="default" r:id="rId5"/>
          <w:pgSz w:w="11906" w:h="16838"/>
          <w:pgMar w:top="1418" w:right="1418" w:bottom="1021" w:left="1418" w:header="709" w:footer="709" w:gutter="0"/>
          <w:lnNumType w:distance="0"/>
          <w:cols w:space="708"/>
          <w:noEndnote w:val="0"/>
          <w:titlePg/>
          <w:bidi w:val="0"/>
          <w:docGrid w:linePitch="360"/>
        </w:sectPr>
      </w:pPr>
    </w:p>
    <w:p w:rsidR="00933ACE" w:rsidRPr="00933ACE" w:rsidP="00933ACE">
      <w:pPr>
        <w:bidi w:val="0"/>
        <w:spacing w:after="0" w:line="240" w:lineRule="auto"/>
        <w:ind w:left="12037" w:firstLine="709"/>
        <w:rPr>
          <w:rFonts w:ascii="Times New Roman" w:hAnsi="Times New Roman"/>
          <w:sz w:val="24"/>
          <w:szCs w:val="24"/>
          <w:lang w:val="sk-SK"/>
        </w:rPr>
      </w:pPr>
      <w:r w:rsidRPr="00933ACE">
        <w:rPr>
          <w:rFonts w:ascii="Times New Roman" w:hAnsi="Times New Roman"/>
          <w:sz w:val="24"/>
          <w:szCs w:val="24"/>
          <w:lang w:val="sk-SK"/>
        </w:rPr>
        <w:t>Príloha č. 2</w:t>
      </w:r>
    </w:p>
    <w:tbl>
      <w:tblPr>
        <w:tblStyle w:val="TableNormal"/>
        <w:tblW w:w="13962" w:type="dxa"/>
        <w:tblCellMar>
          <w:left w:w="0" w:type="dxa"/>
          <w:right w:w="0" w:type="dxa"/>
        </w:tblCellMar>
      </w:tblPr>
      <w:tblGrid>
        <w:gridCol w:w="4950"/>
        <w:gridCol w:w="1924"/>
        <w:gridCol w:w="1701"/>
        <w:gridCol w:w="1418"/>
        <w:gridCol w:w="1701"/>
        <w:gridCol w:w="2268"/>
      </w:tblGrid>
      <w:tr>
        <w:tblPrEx>
          <w:tblW w:w="13962"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33ACE" w:rsidP="00EC47C6">
            <w:pPr>
              <w:pStyle w:val="NormalWeb"/>
              <w:bidi w:val="0"/>
              <w:spacing w:before="0" w:beforeAutospacing="0" w:after="0" w:afterAutospacing="0" w:line="240" w:lineRule="auto"/>
              <w:jc w:val="center"/>
            </w:pPr>
            <w:r>
              <w:t> </w:t>
            </w:r>
            <w:r>
              <w:rPr>
                <w:rFonts w:hint="default"/>
                <w:b/>
                <w:bCs/>
                <w:color w:val="FFFFFF"/>
              </w:rPr>
              <w:t>Prí</w:t>
            </w:r>
            <w:r>
              <w:rPr>
                <w:rFonts w:hint="default"/>
                <w:b/>
                <w:bCs/>
                <w:color w:val="FFFFFF"/>
              </w:rPr>
              <w:t>jmy (v eurá</w:t>
            </w:r>
            <w:r>
              <w:rPr>
                <w:rFonts w:hint="default"/>
                <w:b/>
                <w:bCs/>
                <w:color w:val="FFFFFF"/>
              </w:rPr>
              <w:t>ch)</w:t>
            </w:r>
          </w:p>
        </w:tc>
        <w:tc>
          <w:tcPr>
            <w:tcW w:w="6744"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rFonts w:hint="default"/>
                <w:b/>
                <w:bCs/>
                <w:color w:val="FFFFFF"/>
              </w:rPr>
              <w:t>Vplyv na rozpoč</w:t>
            </w:r>
            <w:r>
              <w:rPr>
                <w:rFonts w:hint="default"/>
                <w:b/>
                <w:bCs/>
                <w:color w:val="FFFFFF"/>
              </w:rPr>
              <w:t>et verejnej sprá</w:t>
            </w:r>
            <w:r>
              <w:rPr>
                <w:rFonts w:hint="default"/>
                <w:b/>
                <w:bCs/>
                <w:color w:val="FFFFFF"/>
              </w:rPr>
              <w:t>vy</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33ACE" w:rsidP="00EC47C6">
            <w:pPr>
              <w:pStyle w:val="NormalWeb"/>
              <w:bidi w:val="0"/>
              <w:spacing w:before="0" w:beforeAutospacing="0" w:after="0" w:afterAutospacing="0" w:line="240" w:lineRule="auto"/>
              <w:jc w:val="center"/>
            </w:pPr>
            <w:r>
              <w:rPr>
                <w:rFonts w:hint="default"/>
                <w:b/>
                <w:bCs/>
                <w:color w:val="FFFFFF"/>
              </w:rPr>
              <w:t>pozná</w:t>
            </w:r>
            <w:r>
              <w:rPr>
                <w:rFonts w:hint="default"/>
                <w:b/>
                <w:bCs/>
                <w:color w:val="FFFFFF"/>
              </w:rPr>
              <w:t>mka</w:t>
            </w:r>
          </w:p>
        </w:tc>
      </w:tr>
      <w:tr>
        <w:tblPrEx>
          <w:tblW w:w="13962"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933ACE" w:rsidP="00EC47C6">
            <w:pPr>
              <w:bidi w:val="0"/>
            </w:pPr>
          </w:p>
        </w:tc>
        <w:tc>
          <w:tcPr>
            <w:tcW w:w="192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33ACE" w:rsidRPr="004161A1" w:rsidP="00EC47C6">
            <w:pPr>
              <w:bidi w:val="0"/>
              <w:spacing w:line="70" w:lineRule="atLeast"/>
              <w:jc w:val="center"/>
            </w:pPr>
            <w:r>
              <w:rPr>
                <w:b/>
                <w:bCs/>
                <w:color w:val="FFFFFF"/>
              </w:rPr>
              <w:t>2012</w:t>
            </w:r>
          </w:p>
        </w:tc>
        <w:tc>
          <w:tcPr>
            <w:tcW w:w="170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33ACE" w:rsidRPr="004161A1" w:rsidP="00EC47C6">
            <w:pPr>
              <w:bidi w:val="0"/>
              <w:spacing w:line="70" w:lineRule="atLeast"/>
              <w:jc w:val="center"/>
            </w:pPr>
            <w:r>
              <w:rPr>
                <w:b/>
                <w:bCs/>
                <w:color w:val="FFFFFF"/>
              </w:rPr>
              <w:t>2013</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33ACE" w:rsidRPr="004161A1" w:rsidP="00EC47C6">
            <w:pPr>
              <w:bidi w:val="0"/>
              <w:spacing w:line="70" w:lineRule="atLeast"/>
              <w:jc w:val="center"/>
            </w:pPr>
            <w:r>
              <w:rPr>
                <w:b/>
                <w:bCs/>
                <w:color w:val="FFFFFF"/>
              </w:rPr>
              <w:t>2014</w:t>
            </w:r>
          </w:p>
        </w:tc>
        <w:tc>
          <w:tcPr>
            <w:tcW w:w="170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933ACE" w:rsidRPr="005440AF" w:rsidP="00EC47C6">
            <w:pPr>
              <w:bidi w:val="0"/>
              <w:spacing w:line="70" w:lineRule="atLeast"/>
              <w:jc w:val="center"/>
              <w:rPr>
                <w:b/>
                <w:bCs/>
                <w:color w:val="FFFFFF"/>
              </w:rPr>
            </w:pPr>
            <w:r>
              <w:rPr>
                <w:b/>
                <w:bCs/>
                <w:color w:val="FFFFFF"/>
              </w:rPr>
              <w:t>2015</w:t>
            </w:r>
          </w:p>
        </w:tc>
        <w:tc>
          <w:tcPr>
            <w:tcW w:w="2268" w:type="dxa"/>
            <w:vMerge/>
            <w:tcBorders>
              <w:top w:val="single" w:sz="4" w:space="0" w:color="000000"/>
              <w:left w:val="single" w:sz="4" w:space="0" w:color="000000"/>
              <w:bottom w:val="single" w:sz="4" w:space="0" w:color="000000"/>
              <w:right w:val="single" w:sz="4" w:space="0" w:color="000000"/>
            </w:tcBorders>
            <w:textDirection w:val="lrTb"/>
            <w:vAlign w:val="center"/>
          </w:tcPr>
          <w:p w:rsidR="00933ACE" w:rsidP="00EC47C6">
            <w:pPr>
              <w:bidi w:val="0"/>
            </w:pPr>
          </w:p>
        </w:tc>
      </w:tr>
      <w:tr>
        <w:tblPrEx>
          <w:tblW w:w="13962"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pPr>
            <w:r>
              <w:rPr>
                <w:rFonts w:hint="default"/>
                <w:b/>
                <w:bCs/>
              </w:rPr>
              <w:t>Daň</w:t>
            </w:r>
            <w:r>
              <w:rPr>
                <w:rFonts w:hint="default"/>
                <w:b/>
                <w:bCs/>
              </w:rPr>
              <w:t>ové</w:t>
            </w:r>
            <w:r>
              <w:rPr>
                <w:rFonts w:hint="default"/>
                <w:b/>
                <w:bCs/>
              </w:rPr>
              <w:t xml:space="preserve"> prí</w:t>
            </w:r>
            <w:r>
              <w:rPr>
                <w:rFonts w:hint="default"/>
                <w:b/>
                <w:bCs/>
              </w:rPr>
              <w:t>jmy (100)</w:t>
            </w:r>
            <w:r>
              <w:rPr>
                <w:b/>
                <w:bCs/>
                <w:sz w:val="16"/>
                <w:szCs w:val="16"/>
                <w:vertAlign w:val="superscript"/>
              </w:rPr>
              <w:t>1</w:t>
            </w:r>
          </w:p>
        </w:tc>
        <w:tc>
          <w:tcPr>
            <w:tcW w:w="192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226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933ACE" w:rsidP="00EC47C6">
            <w:pPr>
              <w:pStyle w:val="NormalWeb"/>
              <w:bidi w:val="0"/>
              <w:spacing w:before="0" w:beforeAutospacing="0" w:after="0" w:afterAutospacing="0" w:line="240" w:lineRule="auto"/>
            </w:pPr>
            <w:r>
              <w:t> </w:t>
            </w:r>
          </w:p>
        </w:tc>
      </w:tr>
      <w:tr>
        <w:tblPrEx>
          <w:tblW w:w="13962"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5E43D5" w:rsidRPr="005E43D5" w:rsidP="00EC47C6">
            <w:pPr>
              <w:pStyle w:val="NormalWeb"/>
              <w:bidi w:val="0"/>
              <w:spacing w:before="0" w:beforeAutospacing="0" w:after="0" w:afterAutospacing="0" w:line="240" w:lineRule="auto"/>
              <w:rPr>
                <w:b/>
                <w:bCs/>
                <w:sz w:val="16"/>
                <w:szCs w:val="16"/>
                <w:vertAlign w:val="superscript"/>
              </w:rPr>
            </w:pPr>
            <w:r w:rsidR="00933ACE">
              <w:rPr>
                <w:rFonts w:hint="default"/>
                <w:b/>
                <w:bCs/>
              </w:rPr>
              <w:t>Nedaň</w:t>
            </w:r>
            <w:r w:rsidR="00933ACE">
              <w:rPr>
                <w:rFonts w:hint="default"/>
                <w:b/>
                <w:bCs/>
              </w:rPr>
              <w:t>ové</w:t>
            </w:r>
            <w:r w:rsidR="00933ACE">
              <w:rPr>
                <w:rFonts w:hint="default"/>
                <w:b/>
                <w:bCs/>
              </w:rPr>
              <w:t xml:space="preserve"> prí</w:t>
            </w:r>
            <w:r w:rsidR="00933ACE">
              <w:rPr>
                <w:rFonts w:hint="default"/>
                <w:b/>
                <w:bCs/>
              </w:rPr>
              <w:t>jmy (200)</w:t>
            </w:r>
            <w:r w:rsidR="00933ACE">
              <w:rPr>
                <w:b/>
                <w:bCs/>
                <w:sz w:val="16"/>
                <w:szCs w:val="16"/>
                <w:vertAlign w:val="superscript"/>
              </w:rPr>
              <w:t xml:space="preserve">1 </w:t>
            </w:r>
          </w:p>
          <w:p w:rsidR="00933ACE" w:rsidP="00EC47C6">
            <w:pPr>
              <w:pStyle w:val="NormalWeb"/>
              <w:bidi w:val="0"/>
              <w:spacing w:before="0" w:beforeAutospacing="0" w:after="0" w:afterAutospacing="0" w:line="240" w:lineRule="auto"/>
              <w:rPr>
                <w:rFonts w:hint="default"/>
              </w:rPr>
            </w:pPr>
            <w:r>
              <w:rPr>
                <w:rFonts w:hint="default"/>
              </w:rPr>
              <w:t>221002         trž</w:t>
            </w:r>
            <w:r>
              <w:rPr>
                <w:rFonts w:hint="default"/>
              </w:rPr>
              <w:t>by z </w:t>
            </w:r>
            <w:r>
              <w:rPr>
                <w:rFonts w:hint="default"/>
              </w:rPr>
              <w:t>predaja kolkový</w:t>
            </w:r>
            <w:r>
              <w:rPr>
                <w:rFonts w:hint="default"/>
              </w:rPr>
              <w:t>ch zná</w:t>
            </w:r>
            <w:r>
              <w:rPr>
                <w:rFonts w:hint="default"/>
              </w:rPr>
              <w:t>mok</w:t>
            </w:r>
          </w:p>
          <w:p w:rsidR="00933ACE" w:rsidP="00EC47C6">
            <w:pPr>
              <w:pStyle w:val="NormalWeb"/>
              <w:bidi w:val="0"/>
              <w:spacing w:before="0" w:beforeAutospacing="0" w:after="0" w:afterAutospacing="0" w:line="240" w:lineRule="auto"/>
              <w:rPr>
                <w:rFonts w:hint="default"/>
              </w:rPr>
            </w:pPr>
            <w:r>
              <w:rPr>
                <w:rFonts w:hint="default"/>
              </w:rPr>
              <w:t>221004         sprá</w:t>
            </w:r>
            <w:r>
              <w:rPr>
                <w:rFonts w:hint="default"/>
              </w:rPr>
              <w:t>vne poplatky</w:t>
            </w:r>
          </w:p>
          <w:p w:rsidR="00933ACE" w:rsidP="00EC47C6">
            <w:pPr>
              <w:pStyle w:val="NormalWeb"/>
              <w:bidi w:val="0"/>
              <w:spacing w:before="0" w:beforeAutospacing="0" w:after="0" w:afterAutospacing="0" w:line="240" w:lineRule="auto"/>
              <w:rPr>
                <w:rFonts w:hint="default"/>
              </w:rPr>
            </w:pPr>
            <w:r>
              <w:rPr>
                <w:rFonts w:hint="default"/>
              </w:rPr>
              <w:t xml:space="preserve">221005         licencie </w:t>
            </w:r>
          </w:p>
        </w:tc>
        <w:tc>
          <w:tcPr>
            <w:tcW w:w="192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E43D5" w:rsidRPr="005E43D5" w:rsidP="005E43D5">
            <w:pPr>
              <w:pStyle w:val="NormalWeb"/>
              <w:bidi w:val="0"/>
              <w:spacing w:before="0" w:beforeAutospacing="0" w:after="0" w:afterAutospacing="0" w:line="240" w:lineRule="auto"/>
              <w:jc w:val="center"/>
              <w:rPr>
                <w:b/>
              </w:rPr>
            </w:pPr>
            <w:r w:rsidR="00D07363">
              <w:rPr>
                <w:b/>
              </w:rPr>
              <w:t>6  747 658</w:t>
            </w:r>
          </w:p>
          <w:p w:rsidR="00933ACE" w:rsidRPr="00B83E6B" w:rsidP="00EC47C6">
            <w:pPr>
              <w:pStyle w:val="NormalWeb"/>
              <w:bidi w:val="0"/>
              <w:spacing w:before="0" w:beforeAutospacing="0" w:after="0" w:afterAutospacing="0" w:line="240" w:lineRule="auto"/>
              <w:jc w:val="center"/>
              <w:rPr>
                <w:i/>
              </w:rPr>
            </w:pPr>
            <w:r w:rsidRPr="005E43D5">
              <w:rPr>
                <w:i/>
              </w:rPr>
              <w:t xml:space="preserve">    </w:t>
            </w:r>
            <w:r w:rsidRPr="00B83E6B">
              <w:rPr>
                <w:i/>
              </w:rPr>
              <w:t>3</w:t>
            </w:r>
            <w:r w:rsidR="00D07363">
              <w:rPr>
                <w:i/>
              </w:rPr>
              <w:t>33</w:t>
            </w:r>
            <w:r w:rsidRPr="00B83E6B">
              <w:rPr>
                <w:i/>
              </w:rPr>
              <w:t> </w:t>
            </w:r>
            <w:r w:rsidRPr="00B83E6B" w:rsidR="00106D0A">
              <w:rPr>
                <w:i/>
              </w:rPr>
              <w:t>7</w:t>
            </w:r>
            <w:r w:rsidR="00D07363">
              <w:rPr>
                <w:i/>
              </w:rPr>
              <w:t>0</w:t>
            </w:r>
            <w:r w:rsidRPr="00B83E6B" w:rsidR="00106D0A">
              <w:rPr>
                <w:i/>
              </w:rPr>
              <w:t>0</w:t>
            </w:r>
          </w:p>
          <w:p w:rsidR="00933ACE" w:rsidRPr="00B83E6B" w:rsidP="00EC47C6">
            <w:pPr>
              <w:pStyle w:val="NormalWeb"/>
              <w:bidi w:val="0"/>
              <w:spacing w:before="0" w:beforeAutospacing="0" w:after="0" w:afterAutospacing="0" w:line="240" w:lineRule="auto"/>
              <w:jc w:val="center"/>
              <w:rPr>
                <w:i/>
              </w:rPr>
            </w:pPr>
            <w:r w:rsidR="00D07363">
              <w:rPr>
                <w:i/>
              </w:rPr>
              <w:t>5 900</w:t>
            </w:r>
            <w:r w:rsidRPr="00B83E6B">
              <w:rPr>
                <w:i/>
              </w:rPr>
              <w:t xml:space="preserve"> </w:t>
            </w:r>
            <w:r w:rsidR="00D07363">
              <w:rPr>
                <w:i/>
              </w:rPr>
              <w:t>300</w:t>
            </w:r>
          </w:p>
          <w:p w:rsidR="00933ACE" w:rsidRPr="005E43D5" w:rsidP="00EC47C6">
            <w:pPr>
              <w:pStyle w:val="NormalWeb"/>
              <w:bidi w:val="0"/>
              <w:spacing w:before="0" w:beforeAutospacing="0" w:after="0" w:afterAutospacing="0" w:line="240" w:lineRule="auto"/>
              <w:jc w:val="center"/>
              <w:rPr>
                <w:i/>
              </w:rPr>
            </w:pPr>
            <w:r w:rsidRPr="00B83E6B">
              <w:rPr>
                <w:i/>
              </w:rPr>
              <w:t xml:space="preserve">  513 658</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5E43D5" w:rsidRPr="005E43D5" w:rsidP="005E43D5">
            <w:pPr>
              <w:bidi w:val="0"/>
              <w:spacing w:after="0" w:line="240" w:lineRule="auto"/>
              <w:jc w:val="center"/>
              <w:rPr>
                <w:rFonts w:ascii="Times New Roman" w:hAnsi="Times New Roman"/>
                <w:b/>
                <w:sz w:val="24"/>
                <w:szCs w:val="24"/>
              </w:rPr>
            </w:pPr>
            <w:r w:rsidRPr="005E43D5">
              <w:rPr>
                <w:rFonts w:ascii="Times New Roman" w:hAnsi="Times New Roman"/>
                <w:b/>
                <w:sz w:val="24"/>
                <w:szCs w:val="24"/>
              </w:rPr>
              <w:t>3</w:t>
            </w:r>
            <w:r w:rsidR="00D07363">
              <w:rPr>
                <w:rFonts w:ascii="Times New Roman" w:hAnsi="Times New Roman"/>
                <w:b/>
                <w:sz w:val="24"/>
                <w:szCs w:val="24"/>
              </w:rPr>
              <w:t>2 380 948</w:t>
            </w:r>
          </w:p>
          <w:p w:rsidR="005E43D5" w:rsidRPr="00B83E6B" w:rsidP="005E43D5">
            <w:pPr>
              <w:bidi w:val="0"/>
              <w:spacing w:after="0" w:line="240" w:lineRule="auto"/>
              <w:jc w:val="center"/>
              <w:rPr>
                <w:rFonts w:ascii="Times New Roman" w:hAnsi="Times New Roman"/>
                <w:i/>
                <w:sz w:val="24"/>
                <w:szCs w:val="24"/>
              </w:rPr>
            </w:pPr>
            <w:r w:rsidR="00B83E6B">
              <w:rPr>
                <w:rFonts w:ascii="Times New Roman" w:hAnsi="Times New Roman"/>
                <w:i/>
                <w:sz w:val="24"/>
                <w:szCs w:val="24"/>
              </w:rPr>
              <w:t xml:space="preserve"> </w:t>
            </w:r>
            <w:r w:rsidRPr="00B83E6B">
              <w:rPr>
                <w:rFonts w:ascii="Times New Roman" w:hAnsi="Times New Roman"/>
                <w:i/>
                <w:sz w:val="24"/>
                <w:szCs w:val="24"/>
              </w:rPr>
              <w:t>1</w:t>
            </w:r>
            <w:r w:rsidR="00D07363">
              <w:rPr>
                <w:rFonts w:ascii="Times New Roman" w:hAnsi="Times New Roman"/>
                <w:i/>
                <w:sz w:val="24"/>
                <w:szCs w:val="24"/>
              </w:rPr>
              <w:t> 565 997</w:t>
            </w:r>
          </w:p>
          <w:p w:rsidR="005E43D5" w:rsidRPr="00B83E6B" w:rsidP="005E43D5">
            <w:pPr>
              <w:bidi w:val="0"/>
              <w:spacing w:after="0" w:line="240" w:lineRule="auto"/>
              <w:jc w:val="center"/>
              <w:rPr>
                <w:rFonts w:ascii="Times New Roman" w:hAnsi="Times New Roman"/>
                <w:i/>
                <w:sz w:val="24"/>
                <w:szCs w:val="24"/>
              </w:rPr>
            </w:pPr>
            <w:r w:rsidRPr="00B83E6B">
              <w:rPr>
                <w:rFonts w:ascii="Times New Roman" w:hAnsi="Times New Roman"/>
                <w:i/>
                <w:sz w:val="24"/>
                <w:szCs w:val="24"/>
              </w:rPr>
              <w:t>2</w:t>
            </w:r>
            <w:r w:rsidR="00D07363">
              <w:rPr>
                <w:rFonts w:ascii="Times New Roman" w:hAnsi="Times New Roman"/>
                <w:i/>
                <w:sz w:val="24"/>
                <w:szCs w:val="24"/>
              </w:rPr>
              <w:t>7 733 003</w:t>
            </w:r>
          </w:p>
          <w:p w:rsidR="005E43D5" w:rsidRPr="005E43D5" w:rsidP="005E43D5">
            <w:pPr>
              <w:bidi w:val="0"/>
              <w:spacing w:after="0" w:line="240" w:lineRule="auto"/>
              <w:jc w:val="center"/>
              <w:rPr>
                <w:rFonts w:ascii="Times New Roman" w:hAnsi="Times New Roman"/>
                <w:b/>
                <w:sz w:val="24"/>
                <w:szCs w:val="24"/>
              </w:rPr>
            </w:pPr>
            <w:r w:rsidRPr="00B83E6B">
              <w:rPr>
                <w:rFonts w:ascii="Times New Roman" w:hAnsi="Times New Roman"/>
                <w:i/>
                <w:sz w:val="24"/>
                <w:szCs w:val="24"/>
              </w:rPr>
              <w:t xml:space="preserve"> 3 081 948</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5E43D5" w:rsidP="005E43D5">
            <w:pPr>
              <w:bidi w:val="0"/>
              <w:jc w:val="center"/>
              <w:rPr>
                <w:rFonts w:ascii="Times New Roman" w:hAnsi="Times New Roman"/>
                <w:b/>
                <w:sz w:val="24"/>
                <w:szCs w:val="24"/>
              </w:rPr>
            </w:pPr>
            <w:r w:rsidRPr="005E43D5" w:rsidR="005E43D5">
              <w:rPr>
                <w:rFonts w:ascii="Times New Roman" w:hAnsi="Times New Roman"/>
                <w:b/>
                <w:sz w:val="24"/>
                <w:szCs w:val="24"/>
              </w:rPr>
              <w:t>3</w:t>
            </w:r>
            <w:r w:rsidR="00D07363">
              <w:rPr>
                <w:rFonts w:ascii="Times New Roman" w:hAnsi="Times New Roman"/>
                <w:b/>
                <w:sz w:val="24"/>
                <w:szCs w:val="24"/>
              </w:rPr>
              <w:t>2 966 948</w:t>
            </w:r>
          </w:p>
          <w:p w:rsidR="00933ACE" w:rsidRPr="005E43D5" w:rsidP="005E43D5">
            <w:pPr>
              <w:pStyle w:val="NormalWeb"/>
              <w:bidi w:val="0"/>
              <w:spacing w:before="0" w:beforeAutospacing="0" w:after="0" w:afterAutospacing="0" w:line="240" w:lineRule="auto"/>
              <w:jc w:val="center"/>
              <w:rPr>
                <w:i/>
              </w:rPr>
            </w:pPr>
            <w:r w:rsidR="00D07363">
              <w:rPr>
                <w:i/>
              </w:rPr>
              <w:t>29 885 000</w:t>
            </w:r>
          </w:p>
          <w:p w:rsidR="00933ACE" w:rsidRPr="005E43D5" w:rsidP="005E43D5">
            <w:pPr>
              <w:pStyle w:val="NormalWeb"/>
              <w:bidi w:val="0"/>
              <w:spacing w:before="0" w:beforeAutospacing="0" w:after="0" w:afterAutospacing="0" w:line="240" w:lineRule="auto"/>
              <w:jc w:val="center"/>
              <w:rPr>
                <w:i/>
              </w:rPr>
            </w:pPr>
            <w:r w:rsidRPr="005E43D5">
              <w:rPr>
                <w:i/>
              </w:rPr>
              <w:t>3 081 948</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5E43D5" w:rsidP="005E43D5">
            <w:pPr>
              <w:bidi w:val="0"/>
              <w:jc w:val="center"/>
              <w:rPr>
                <w:rFonts w:ascii="Times New Roman" w:hAnsi="Times New Roman"/>
                <w:b/>
                <w:sz w:val="24"/>
                <w:szCs w:val="24"/>
              </w:rPr>
            </w:pPr>
            <w:r w:rsidRPr="005E43D5" w:rsidR="005E43D5">
              <w:rPr>
                <w:rFonts w:ascii="Times New Roman" w:hAnsi="Times New Roman"/>
                <w:b/>
                <w:sz w:val="24"/>
                <w:szCs w:val="24"/>
              </w:rPr>
              <w:t>3</w:t>
            </w:r>
            <w:r w:rsidR="00D07363">
              <w:rPr>
                <w:rFonts w:ascii="Times New Roman" w:hAnsi="Times New Roman"/>
                <w:b/>
                <w:sz w:val="24"/>
                <w:szCs w:val="24"/>
              </w:rPr>
              <w:t>3 684 948</w:t>
            </w:r>
          </w:p>
          <w:p w:rsidR="00933ACE" w:rsidRPr="005E43D5" w:rsidP="005E43D5">
            <w:pPr>
              <w:pStyle w:val="NormalWeb"/>
              <w:bidi w:val="0"/>
              <w:spacing w:before="0" w:beforeAutospacing="0" w:after="0" w:afterAutospacing="0" w:line="240" w:lineRule="auto"/>
              <w:jc w:val="center"/>
              <w:rPr>
                <w:i/>
              </w:rPr>
            </w:pPr>
            <w:r w:rsidRPr="005E43D5">
              <w:rPr>
                <w:i/>
              </w:rPr>
              <w:t>3</w:t>
            </w:r>
            <w:r w:rsidR="00D07363">
              <w:rPr>
                <w:i/>
              </w:rPr>
              <w:t>0 </w:t>
            </w:r>
            <w:r w:rsidR="00D07363">
              <w:rPr>
                <w:i/>
              </w:rPr>
              <w:t>603 000</w:t>
            </w:r>
          </w:p>
          <w:p w:rsidR="00933ACE" w:rsidRPr="005E43D5" w:rsidP="005E43D5">
            <w:pPr>
              <w:pStyle w:val="NormalWeb"/>
              <w:bidi w:val="0"/>
              <w:spacing w:before="0" w:beforeAutospacing="0" w:after="0" w:afterAutospacing="0" w:line="240" w:lineRule="auto"/>
              <w:jc w:val="center"/>
              <w:rPr>
                <w:i/>
              </w:rPr>
            </w:pPr>
            <w:r w:rsidRPr="005E43D5">
              <w:rPr>
                <w:i/>
              </w:rPr>
              <w:t>3 081 948</w:t>
            </w:r>
          </w:p>
        </w:tc>
        <w:tc>
          <w:tcPr>
            <w:tcW w:w="226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933ACE" w:rsidP="00EC47C6">
            <w:pPr>
              <w:pStyle w:val="NormalWeb"/>
              <w:bidi w:val="0"/>
              <w:spacing w:before="0" w:beforeAutospacing="0" w:after="0" w:afterAutospacing="0" w:line="240" w:lineRule="auto"/>
            </w:pPr>
            <w:r>
              <w:t> </w:t>
            </w:r>
          </w:p>
        </w:tc>
      </w:tr>
      <w:tr>
        <w:tblPrEx>
          <w:tblW w:w="13962"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pPr>
            <w:r>
              <w:rPr>
                <w:b/>
                <w:bCs/>
              </w:rPr>
              <w:t>Granty a </w:t>
            </w:r>
            <w:r>
              <w:rPr>
                <w:b/>
                <w:bCs/>
              </w:rPr>
              <w:t>transfery (300)</w:t>
            </w:r>
            <w:r>
              <w:rPr>
                <w:b/>
                <w:bCs/>
                <w:sz w:val="16"/>
                <w:szCs w:val="16"/>
                <w:vertAlign w:val="superscript"/>
              </w:rPr>
              <w:t>1</w:t>
            </w:r>
          </w:p>
        </w:tc>
        <w:tc>
          <w:tcPr>
            <w:tcW w:w="192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rPr>
              <w:t> </w:t>
            </w:r>
          </w:p>
        </w:tc>
        <w:tc>
          <w:tcPr>
            <w:tcW w:w="226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933ACE" w:rsidP="00EC47C6">
            <w:pPr>
              <w:pStyle w:val="NormalWeb"/>
              <w:bidi w:val="0"/>
              <w:spacing w:before="0" w:beforeAutospacing="0" w:after="0" w:afterAutospacing="0" w:line="240" w:lineRule="auto"/>
            </w:pPr>
            <w:r>
              <w:t> </w:t>
            </w:r>
          </w:p>
        </w:tc>
      </w:tr>
      <w:tr>
        <w:tblPrEx>
          <w:tblW w:w="13962"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pPr>
            <w:r>
              <w:rPr>
                <w:rFonts w:hint="default"/>
                <w:b/>
                <w:bCs/>
              </w:rPr>
              <w:t>Prí</w:t>
            </w:r>
            <w:r>
              <w:rPr>
                <w:rFonts w:hint="default"/>
                <w:b/>
                <w:bCs/>
              </w:rPr>
              <w:t>jmy z </w:t>
            </w:r>
            <w:r>
              <w:rPr>
                <w:rFonts w:hint="default"/>
                <w:b/>
                <w:bCs/>
              </w:rPr>
              <w:t>transakcií</w:t>
            </w:r>
            <w:r>
              <w:rPr>
                <w:rFonts w:hint="default"/>
                <w:b/>
                <w:bCs/>
              </w:rPr>
              <w:t xml:space="preserve"> s </w:t>
            </w:r>
            <w:r>
              <w:rPr>
                <w:rFonts w:hint="default"/>
                <w:b/>
                <w:bCs/>
              </w:rPr>
              <w:t>finanč</w:t>
            </w:r>
            <w:r>
              <w:rPr>
                <w:rFonts w:hint="default"/>
                <w:b/>
                <w:bCs/>
              </w:rPr>
              <w:t>ný</w:t>
            </w:r>
            <w:r>
              <w:rPr>
                <w:rFonts w:hint="default"/>
                <w:b/>
                <w:bCs/>
              </w:rPr>
              <w:t>mi aktí</w:t>
            </w:r>
            <w:r>
              <w:rPr>
                <w:rFonts w:hint="default"/>
                <w:b/>
                <w:bCs/>
              </w:rPr>
              <w:t>vami a </w:t>
            </w:r>
            <w:r>
              <w:rPr>
                <w:rFonts w:hint="default"/>
                <w:b/>
                <w:bCs/>
              </w:rPr>
              <w:t>finanč</w:t>
            </w:r>
            <w:r>
              <w:rPr>
                <w:rFonts w:hint="default"/>
                <w:b/>
                <w:bCs/>
              </w:rPr>
              <w:t>ný</w:t>
            </w:r>
            <w:r>
              <w:rPr>
                <w:rFonts w:hint="default"/>
                <w:b/>
                <w:bCs/>
              </w:rPr>
              <w:t>mi pasí</w:t>
            </w:r>
            <w:r>
              <w:rPr>
                <w:rFonts w:hint="default"/>
                <w:b/>
                <w:bCs/>
              </w:rPr>
              <w:t>vami (400)</w:t>
            </w:r>
          </w:p>
        </w:tc>
        <w:tc>
          <w:tcPr>
            <w:tcW w:w="192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226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933ACE" w:rsidP="00EC47C6">
            <w:pPr>
              <w:pStyle w:val="NormalWeb"/>
              <w:bidi w:val="0"/>
              <w:spacing w:before="0" w:beforeAutospacing="0" w:after="0" w:afterAutospacing="0" w:line="240" w:lineRule="auto"/>
            </w:pPr>
            <w:r>
              <w:t> </w:t>
            </w:r>
          </w:p>
        </w:tc>
      </w:tr>
      <w:tr>
        <w:tblPrEx>
          <w:tblW w:w="13962"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pPr>
            <w:r>
              <w:rPr>
                <w:rFonts w:hint="default"/>
                <w:b/>
                <w:bCs/>
              </w:rPr>
              <w:t>Prijaté</w:t>
            </w:r>
            <w:r>
              <w:rPr>
                <w:rFonts w:hint="default"/>
                <w:b/>
                <w:bCs/>
              </w:rPr>
              <w:t xml:space="preserve"> ú</w:t>
            </w:r>
            <w:r>
              <w:rPr>
                <w:rFonts w:hint="default"/>
                <w:b/>
                <w:bCs/>
              </w:rPr>
              <w:t>very, pôž</w:t>
            </w:r>
            <w:r>
              <w:rPr>
                <w:rFonts w:hint="default"/>
                <w:b/>
                <w:bCs/>
              </w:rPr>
              <w:t>ič</w:t>
            </w:r>
            <w:r>
              <w:rPr>
                <w:rFonts w:hint="default"/>
                <w:b/>
                <w:bCs/>
              </w:rPr>
              <w:t>ky a </w:t>
            </w:r>
            <w:r>
              <w:rPr>
                <w:rFonts w:hint="default"/>
                <w:b/>
                <w:bCs/>
              </w:rPr>
              <w:t>ná</w:t>
            </w:r>
            <w:r>
              <w:rPr>
                <w:rFonts w:hint="default"/>
                <w:b/>
                <w:bCs/>
              </w:rPr>
              <w:t>vratné</w:t>
            </w:r>
            <w:r>
              <w:rPr>
                <w:rFonts w:hint="default"/>
                <w:b/>
                <w:bCs/>
              </w:rPr>
              <w:t xml:space="preserve"> finanč</w:t>
            </w:r>
            <w:r>
              <w:rPr>
                <w:rFonts w:hint="default"/>
                <w:b/>
                <w:bCs/>
              </w:rPr>
              <w:t>né</w:t>
            </w:r>
            <w:r>
              <w:rPr>
                <w:rFonts w:hint="default"/>
                <w:b/>
                <w:bCs/>
              </w:rPr>
              <w:t xml:space="preserve"> vý</w:t>
            </w:r>
            <w:r>
              <w:rPr>
                <w:rFonts w:hint="default"/>
                <w:b/>
                <w:bCs/>
              </w:rPr>
              <w:t>pomoci (500)</w:t>
            </w:r>
          </w:p>
        </w:tc>
        <w:tc>
          <w:tcPr>
            <w:tcW w:w="192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141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170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933ACE" w:rsidRPr="00497DCC" w:rsidP="00EC47C6">
            <w:pPr>
              <w:pStyle w:val="NormalWeb"/>
              <w:bidi w:val="0"/>
              <w:spacing w:before="0" w:beforeAutospacing="0" w:after="0" w:afterAutospacing="0" w:line="240" w:lineRule="auto"/>
              <w:jc w:val="center"/>
            </w:pPr>
            <w:r w:rsidRPr="00497DCC">
              <w:rPr>
                <w:b/>
                <w:bCs/>
              </w:rPr>
              <w:t> </w:t>
            </w:r>
          </w:p>
        </w:tc>
        <w:tc>
          <w:tcPr>
            <w:tcW w:w="226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933ACE" w:rsidP="00EC47C6">
            <w:pPr>
              <w:pStyle w:val="NormalWeb"/>
              <w:bidi w:val="0"/>
              <w:spacing w:before="0" w:beforeAutospacing="0" w:after="0" w:afterAutospacing="0" w:line="240" w:lineRule="auto"/>
            </w:pPr>
            <w:r>
              <w:t> </w:t>
            </w:r>
          </w:p>
        </w:tc>
      </w:tr>
      <w:tr>
        <w:tblPrEx>
          <w:tblW w:w="13962"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pPr>
            <w:r>
              <w:rPr>
                <w:rFonts w:hint="default"/>
                <w:b/>
                <w:bCs/>
                <w:color w:val="FFFFFF"/>
              </w:rPr>
              <w:t>Dopad na prí</w:t>
            </w:r>
            <w:r>
              <w:rPr>
                <w:rFonts w:hint="default"/>
                <w:b/>
                <w:bCs/>
                <w:color w:val="FFFFFF"/>
              </w:rPr>
              <w:t>jmy verejnej sprá</w:t>
            </w:r>
            <w:r>
              <w:rPr>
                <w:rFonts w:hint="default"/>
                <w:b/>
                <w:bCs/>
                <w:color w:val="FFFFFF"/>
              </w:rPr>
              <w:t>vy celkom</w:t>
            </w:r>
          </w:p>
        </w:tc>
        <w:tc>
          <w:tcPr>
            <w:tcW w:w="192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color w:val="FFFFFF"/>
              </w:rPr>
              <w:t> </w:t>
            </w:r>
          </w:p>
        </w:tc>
        <w:tc>
          <w:tcPr>
            <w:tcW w:w="170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color w:val="FFFFFF"/>
              </w:rPr>
              <w:t> </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color w:val="FFFFFF"/>
              </w:rPr>
              <w:t> </w:t>
            </w:r>
          </w:p>
        </w:tc>
        <w:tc>
          <w:tcPr>
            <w:tcW w:w="1701"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933ACE" w:rsidP="00EC47C6">
            <w:pPr>
              <w:pStyle w:val="NormalWeb"/>
              <w:bidi w:val="0"/>
              <w:spacing w:before="0" w:beforeAutospacing="0" w:after="0" w:afterAutospacing="0" w:line="240" w:lineRule="auto"/>
              <w:jc w:val="center"/>
            </w:pPr>
            <w:r>
              <w:rPr>
                <w:b/>
                <w:bCs/>
                <w:color w:val="FFFFFF"/>
              </w:rPr>
              <w:t> </w:t>
            </w:r>
          </w:p>
        </w:tc>
        <w:tc>
          <w:tcPr>
            <w:tcW w:w="226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933ACE" w:rsidP="00EC47C6">
            <w:pPr>
              <w:pStyle w:val="NormalWeb"/>
              <w:bidi w:val="0"/>
              <w:spacing w:before="0" w:beforeAutospacing="0" w:after="0" w:afterAutospacing="0" w:line="240" w:lineRule="auto"/>
            </w:pPr>
            <w:r>
              <w:rPr>
                <w:color w:val="FFFFFF"/>
              </w:rPr>
              <w:t> </w:t>
            </w:r>
          </w:p>
        </w:tc>
      </w:tr>
      <w:tr>
        <w:tblPrEx>
          <w:tblW w:w="13962" w:type="dxa"/>
          <w:tblCellMar>
            <w:left w:w="0" w:type="dxa"/>
            <w:right w:w="0" w:type="dxa"/>
          </w:tblCellMar>
        </w:tblPrEx>
        <w:tc>
          <w:tcPr>
            <w:tcW w:w="4950" w:type="dxa"/>
            <w:tcBorders>
              <w:top w:val="nil"/>
              <w:left w:val="nil"/>
              <w:bottom w:val="nil"/>
              <w:right w:val="nil"/>
            </w:tcBorders>
            <w:textDirection w:val="lrTb"/>
            <w:vAlign w:val="center"/>
          </w:tcPr>
          <w:p w:rsidR="00933ACE" w:rsidP="00EC47C6">
            <w:pPr>
              <w:bidi w:val="0"/>
              <w:rPr>
                <w:sz w:val="2"/>
              </w:rPr>
            </w:pPr>
          </w:p>
        </w:tc>
        <w:tc>
          <w:tcPr>
            <w:tcW w:w="1924" w:type="dxa"/>
            <w:tcBorders>
              <w:top w:val="nil"/>
              <w:left w:val="nil"/>
              <w:bottom w:val="nil"/>
              <w:right w:val="nil"/>
            </w:tcBorders>
            <w:textDirection w:val="lrTb"/>
            <w:vAlign w:val="center"/>
          </w:tcPr>
          <w:p w:rsidR="00933ACE" w:rsidP="00EC47C6">
            <w:pPr>
              <w:bidi w:val="0"/>
              <w:rPr>
                <w:sz w:val="2"/>
              </w:rPr>
            </w:pPr>
          </w:p>
        </w:tc>
        <w:tc>
          <w:tcPr>
            <w:tcW w:w="1701" w:type="dxa"/>
            <w:tcBorders>
              <w:top w:val="nil"/>
              <w:left w:val="nil"/>
              <w:bottom w:val="nil"/>
              <w:right w:val="nil"/>
            </w:tcBorders>
            <w:textDirection w:val="lrTb"/>
            <w:vAlign w:val="center"/>
          </w:tcPr>
          <w:p w:rsidR="00933ACE" w:rsidP="00EC47C6">
            <w:pPr>
              <w:bidi w:val="0"/>
              <w:rPr>
                <w:sz w:val="2"/>
              </w:rPr>
            </w:pPr>
          </w:p>
        </w:tc>
        <w:tc>
          <w:tcPr>
            <w:tcW w:w="1418" w:type="dxa"/>
            <w:tcBorders>
              <w:top w:val="nil"/>
              <w:left w:val="nil"/>
              <w:bottom w:val="nil"/>
              <w:right w:val="nil"/>
            </w:tcBorders>
            <w:textDirection w:val="lrTb"/>
            <w:vAlign w:val="center"/>
          </w:tcPr>
          <w:p w:rsidR="00933ACE" w:rsidP="00EC47C6">
            <w:pPr>
              <w:bidi w:val="0"/>
              <w:rPr>
                <w:sz w:val="2"/>
              </w:rPr>
            </w:pPr>
          </w:p>
        </w:tc>
        <w:tc>
          <w:tcPr>
            <w:tcW w:w="1701" w:type="dxa"/>
            <w:tcBorders>
              <w:top w:val="nil"/>
              <w:left w:val="nil"/>
              <w:bottom w:val="nil"/>
              <w:right w:val="nil"/>
            </w:tcBorders>
            <w:textDirection w:val="lrTb"/>
            <w:vAlign w:val="center"/>
          </w:tcPr>
          <w:p w:rsidR="00933ACE" w:rsidP="00EC47C6">
            <w:pPr>
              <w:bidi w:val="0"/>
              <w:rPr>
                <w:sz w:val="2"/>
              </w:rPr>
            </w:pPr>
          </w:p>
        </w:tc>
        <w:tc>
          <w:tcPr>
            <w:tcW w:w="2268" w:type="dxa"/>
            <w:tcBorders>
              <w:top w:val="nil"/>
              <w:left w:val="nil"/>
              <w:bottom w:val="nil"/>
              <w:right w:val="nil"/>
            </w:tcBorders>
            <w:textDirection w:val="lrTb"/>
            <w:vAlign w:val="center"/>
          </w:tcPr>
          <w:p w:rsidR="00933ACE" w:rsidP="00EC47C6">
            <w:pPr>
              <w:bidi w:val="0"/>
              <w:rPr>
                <w:sz w:val="2"/>
              </w:rPr>
            </w:pPr>
          </w:p>
        </w:tc>
      </w:tr>
    </w:tbl>
    <w:p w:rsidR="00933ACE" w:rsidP="00933ACE">
      <w:pPr>
        <w:bidi w:val="0"/>
        <w:jc w:val="both"/>
        <w:rPr>
          <w:rFonts w:ascii="Times New Roman" w:hAnsi="Times New Roman"/>
          <w:sz w:val="24"/>
          <w:szCs w:val="24"/>
          <w:lang w:val="sk-SK"/>
        </w:rPr>
        <w:sectPr w:rsidSect="00933ACE">
          <w:pgSz w:w="16838" w:h="11906" w:orient="landscape"/>
          <w:pgMar w:top="1418" w:right="1418" w:bottom="1418" w:left="1418" w:header="709" w:footer="709" w:gutter="0"/>
          <w:lnNumType w:distance="0"/>
          <w:cols w:space="708"/>
          <w:noEndnote w:val="0"/>
          <w:bidi w:val="0"/>
          <w:docGrid w:linePitch="360"/>
        </w:sectPr>
      </w:pPr>
    </w:p>
    <w:p w:rsidR="00933ACE" w:rsidRPr="00933ACE" w:rsidP="00933ACE">
      <w:pPr>
        <w:bidi w:val="0"/>
        <w:jc w:val="both"/>
        <w:rPr>
          <w:rFonts w:ascii="Times New Roman" w:hAnsi="Times New Roman"/>
          <w:sz w:val="24"/>
          <w:szCs w:val="24"/>
          <w:lang w:val="sk-SK"/>
        </w:rPr>
      </w:pPr>
    </w:p>
    <w:p w:rsidR="00933ACE" w:rsidRPr="00933ACE" w:rsidP="00933ACE">
      <w:pPr>
        <w:bidi w:val="0"/>
        <w:spacing w:after="0" w:line="240" w:lineRule="auto"/>
        <w:jc w:val="right"/>
        <w:rPr>
          <w:rFonts w:ascii="Times New Roman" w:hAnsi="Times New Roman"/>
          <w:sz w:val="24"/>
          <w:szCs w:val="24"/>
          <w:lang w:val="sk-SK"/>
        </w:rPr>
      </w:pPr>
      <w:r w:rsidRPr="00933ACE">
        <w:rPr>
          <w:rFonts w:ascii="Times New Roman" w:hAnsi="Times New Roman"/>
          <w:sz w:val="24"/>
          <w:szCs w:val="24"/>
          <w:lang w:val="sk-SK"/>
        </w:rPr>
        <w:t>Príloha č. 3</w:t>
      </w:r>
    </w:p>
    <w:p w:rsidR="00933ACE" w:rsidRPr="00933ACE" w:rsidP="00933ACE">
      <w:pPr>
        <w:bidi w:val="0"/>
        <w:spacing w:after="0" w:line="240" w:lineRule="auto"/>
        <w:rPr>
          <w:rFonts w:ascii="Times New Roman" w:hAnsi="Times New Roman"/>
          <w:b/>
          <w:sz w:val="24"/>
          <w:szCs w:val="24"/>
          <w:lang w:val="sk-SK"/>
        </w:rPr>
      </w:pPr>
    </w:p>
    <w:p w:rsidR="00933ACE" w:rsidRPr="00933ACE" w:rsidP="00933ACE">
      <w:pPr>
        <w:bidi w:val="0"/>
        <w:spacing w:after="0" w:line="240" w:lineRule="auto"/>
        <w:rPr>
          <w:rFonts w:ascii="Times New Roman" w:hAnsi="Times New Roman"/>
          <w:b/>
          <w:sz w:val="24"/>
          <w:szCs w:val="24"/>
          <w:lang w:val="sk-SK"/>
        </w:rPr>
      </w:pPr>
      <w:r w:rsidRPr="00933ACE">
        <w:rPr>
          <w:rFonts w:ascii="Times New Roman" w:hAnsi="Times New Roman"/>
          <w:b/>
          <w:sz w:val="24"/>
          <w:szCs w:val="24"/>
          <w:lang w:val="sk-SK"/>
        </w:rPr>
        <w:t>3. Vplyvy na podnikateľské prostredie:</w:t>
      </w:r>
    </w:p>
    <w:p w:rsidR="00933ACE" w:rsidRPr="00933ACE" w:rsidP="00933ACE">
      <w:pPr>
        <w:bidi w:val="0"/>
        <w:spacing w:after="0" w:line="240" w:lineRule="auto"/>
        <w:jc w:val="right"/>
        <w:rPr>
          <w:rFonts w:ascii="Times New Roman" w:hAnsi="Times New Roman"/>
          <w:sz w:val="24"/>
          <w:szCs w:val="24"/>
          <w:lang w:val="sk-SK"/>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12" w:type="dxa"/>
            <w:gridSpan w:val="2"/>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933ACE" w:rsidRPr="00933ACE" w:rsidP="00933ACE">
            <w:pPr>
              <w:autoSpaceDE w:val="0"/>
              <w:autoSpaceDN w:val="0"/>
              <w:bidi w:val="0"/>
              <w:spacing w:after="0" w:line="240" w:lineRule="auto"/>
              <w:jc w:val="center"/>
              <w:rPr>
                <w:rFonts w:ascii="Times New Roman" w:hAnsi="Times New Roman"/>
                <w:sz w:val="24"/>
                <w:szCs w:val="24"/>
                <w:lang w:val="sk-SK"/>
              </w:rPr>
            </w:pPr>
          </w:p>
          <w:p w:rsidR="00933ACE" w:rsidRPr="00933ACE" w:rsidP="00933ACE">
            <w:pPr>
              <w:autoSpaceDE w:val="0"/>
              <w:autoSpaceDN w:val="0"/>
              <w:bidi w:val="0"/>
              <w:spacing w:after="0" w:line="240" w:lineRule="auto"/>
              <w:jc w:val="center"/>
              <w:rPr>
                <w:rFonts w:ascii="Times New Roman" w:hAnsi="Times New Roman"/>
                <w:sz w:val="24"/>
                <w:szCs w:val="24"/>
                <w:lang w:val="sk-SK"/>
              </w:rPr>
            </w:pPr>
            <w:r w:rsidRPr="00933ACE">
              <w:rPr>
                <w:rFonts w:ascii="Times New Roman" w:hAnsi="Times New Roman"/>
                <w:sz w:val="24"/>
                <w:szCs w:val="24"/>
                <w:lang w:val="sk-SK"/>
              </w:rPr>
              <w:t>Vplyvy na podnikateľské prostredie</w:t>
            </w:r>
          </w:p>
          <w:p w:rsidR="00933ACE" w:rsidRPr="00933ACE" w:rsidP="00933ACE">
            <w:pPr>
              <w:autoSpaceDE w:val="0"/>
              <w:autoSpaceDN w:val="0"/>
              <w:bidi w:val="0"/>
              <w:spacing w:after="0" w:line="240" w:lineRule="auto"/>
              <w:jc w:val="center"/>
              <w:rPr>
                <w:rFonts w:ascii="Times New Roman" w:hAnsi="Times New Roman"/>
                <w:sz w:val="24"/>
                <w:szCs w:val="24"/>
                <w:lang w:val="sk-SK"/>
              </w:rPr>
            </w:pP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3.1. Ktoré podnikateľské subjekty budú predkladaným návrhom ovplyvnené a aký je ich počet?</w:t>
            </w:r>
          </w:p>
          <w:p w:rsidR="00933ACE" w:rsidRPr="00933ACE" w:rsidP="00933ACE">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Všetky podnikateľské subjekty, ktoré požiadajú o vykonanie úkonu alebo uskutočnenie konania na správnom orgáne.</w:t>
            </w:r>
          </w:p>
          <w:p w:rsidR="00933ACE" w:rsidRPr="00933ACE" w:rsidP="00933ACE">
            <w:pPr>
              <w:autoSpaceDE w:val="0"/>
              <w:autoSpaceDN w:val="0"/>
              <w:bidi w:val="0"/>
              <w:spacing w:after="0" w:line="240" w:lineRule="auto"/>
              <w:jc w:val="both"/>
              <w:rPr>
                <w:rFonts w:ascii="Times New Roman" w:hAnsi="Times New Roman"/>
                <w:sz w:val="24"/>
                <w:szCs w:val="24"/>
                <w:lang w:val="sk-SK"/>
              </w:rPr>
            </w:pP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3.2. Aký je predpokladaný charakter a rozsah nákladov a prínosov?</w:t>
            </w:r>
          </w:p>
          <w:p w:rsidR="00933ACE" w:rsidRPr="00933ACE" w:rsidP="00933ACE">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 xml:space="preserve">Nie je možné presne určiť, nakoľko sa odvíjajú od konkrétnej aktivity podnikateľských subjektov, aký konkrétny spoplatňovaný úkon alebo konanie na správnom orgáne žiadajú alebo navrhujú vykonať. </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3.3. Aká je predpokladaná výška administratívnych nákladov, ktoré podniky vynaložia v súvislosti s implementáciou návrhu?</w:t>
            </w:r>
          </w:p>
          <w:p w:rsidR="00933ACE" w:rsidRPr="00933ACE" w:rsidP="00933ACE">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Priame finančné náklady podnikateľských subjektov predstavujú úhradu správnych poplatkov, ktoré sa nedajú vzhľadom na ich podnikateľské aktivity kvantifikovať.</w:t>
            </w:r>
          </w:p>
          <w:p w:rsidR="00933ACE" w:rsidRPr="00933ACE" w:rsidP="00933ACE">
            <w:pPr>
              <w:bidi w:val="0"/>
              <w:spacing w:after="0" w:line="240" w:lineRule="auto"/>
              <w:jc w:val="both"/>
              <w:rPr>
                <w:rFonts w:ascii="Times New Roman" w:hAnsi="Times New Roman"/>
                <w:color w:val="FF0000"/>
                <w:sz w:val="24"/>
                <w:szCs w:val="24"/>
                <w:lang w:val="sk-SK"/>
              </w:rPr>
            </w:pPr>
            <w:r w:rsidRPr="00933ACE">
              <w:rPr>
                <w:rFonts w:ascii="Times New Roman" w:hAnsi="Times New Roman"/>
                <w:sz w:val="24"/>
                <w:szCs w:val="24"/>
                <w:lang w:val="sk-SK"/>
              </w:rPr>
              <w:t xml:space="preserve">Pri číselných lotériách sa predpokladá ročný nárast odvodov cca o 3,1 mil. eur a 0,51 mil. eur bude predpokladaným príjmom do štátneho rozpočtu už v roku 2012. </w:t>
            </w:r>
          </w:p>
          <w:p w:rsidR="00933ACE" w:rsidRPr="00933ACE" w:rsidP="00933ACE">
            <w:pPr>
              <w:autoSpaceDE w:val="0"/>
              <w:autoSpaceDN w:val="0"/>
              <w:bidi w:val="0"/>
              <w:spacing w:after="0" w:line="240" w:lineRule="auto"/>
              <w:jc w:val="both"/>
              <w:rPr>
                <w:rFonts w:ascii="Times New Roman" w:hAnsi="Times New Roman"/>
                <w:sz w:val="24"/>
                <w:szCs w:val="24"/>
                <w:lang w:val="sk-SK"/>
              </w:rPr>
            </w:pP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3.4. Aké sú dôsledky pripravovaného návrhu pre fungovanie podnikateľských subjektov na slovenskom trhu (ako sa zmenia operácie na trhu?)</w:t>
            </w:r>
          </w:p>
          <w:p w:rsidR="00933ACE" w:rsidRPr="00933ACE" w:rsidP="00933ACE">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Neovplyvní fungovanie podnikateľských subjektov.</w:t>
            </w:r>
          </w:p>
        </w:tc>
      </w:tr>
      <w:tr>
        <w:tblPrEx>
          <w:tblW w:w="0" w:type="auto"/>
          <w:tblLook w:val="04A0"/>
        </w:tblPrEx>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3.5. Aké sú predpokladané spoločensko-ekonomické dôsledky pripravovaných regulácií?</w:t>
            </w:r>
          </w:p>
          <w:p w:rsidR="00933ACE" w:rsidRPr="00933ACE" w:rsidP="00933ACE">
            <w:pPr>
              <w:autoSpaceDE w:val="0"/>
              <w:autoSpaceDN w:val="0"/>
              <w:bidi w:val="0"/>
              <w:spacing w:after="0" w:line="240" w:lineRule="auto"/>
              <w:jc w:val="both"/>
              <w:rPr>
                <w:rFonts w:ascii="Times New Roman" w:hAnsi="Times New Roman"/>
                <w:sz w:val="24"/>
                <w:szCs w:val="24"/>
                <w:lang w:val="sk-SK"/>
              </w:rPr>
            </w:pPr>
          </w:p>
        </w:tc>
        <w:tc>
          <w:tcPr>
            <w:tcW w:w="4606" w:type="dxa"/>
            <w:tcBorders>
              <w:top w:val="single" w:sz="4" w:space="0" w:color="000000"/>
              <w:left w:val="single" w:sz="4" w:space="0" w:color="000000"/>
              <w:bottom w:val="single" w:sz="4" w:space="0" w:color="000000"/>
              <w:right w:val="single" w:sz="4" w:space="0" w:color="000000"/>
            </w:tcBorders>
            <w:textDirection w:val="lrTb"/>
            <w:vAlign w:val="top"/>
          </w:tcPr>
          <w:p w:rsidR="00933ACE" w:rsidRPr="00933ACE" w:rsidP="00933ACE">
            <w:pPr>
              <w:autoSpaceDE w:val="0"/>
              <w:autoSpaceDN w:val="0"/>
              <w:bidi w:val="0"/>
              <w:spacing w:after="0" w:line="240" w:lineRule="auto"/>
              <w:jc w:val="both"/>
              <w:rPr>
                <w:rFonts w:ascii="Times New Roman" w:hAnsi="Times New Roman"/>
                <w:sz w:val="24"/>
                <w:szCs w:val="24"/>
                <w:lang w:val="sk-SK"/>
              </w:rPr>
            </w:pPr>
            <w:r w:rsidRPr="00933ACE">
              <w:rPr>
                <w:rFonts w:ascii="Times New Roman" w:hAnsi="Times New Roman"/>
                <w:sz w:val="24"/>
                <w:szCs w:val="24"/>
                <w:lang w:val="sk-SK"/>
              </w:rPr>
              <w:t xml:space="preserve">Zabezpečenie skvalitnenia poskytovania služieb správnych orgánov. </w:t>
            </w:r>
          </w:p>
        </w:tc>
      </w:tr>
    </w:tbl>
    <w:p w:rsidR="00933ACE" w:rsidRPr="00933ACE" w:rsidP="00933ACE">
      <w:pPr>
        <w:autoSpaceDE w:val="0"/>
        <w:autoSpaceDN w:val="0"/>
        <w:bidi w:val="0"/>
        <w:jc w:val="both"/>
        <w:rPr>
          <w:rFonts w:ascii="Times New Roman" w:hAnsi="Times New Roman"/>
          <w:sz w:val="24"/>
          <w:szCs w:val="24"/>
          <w:lang w:val="sk-SK"/>
        </w:rPr>
      </w:pPr>
    </w:p>
    <w:p w:rsidR="00933ACE" w:rsidRPr="00933ACE" w:rsidP="00933ACE">
      <w:pPr>
        <w:autoSpaceDE w:val="0"/>
        <w:autoSpaceDN w:val="0"/>
        <w:bidi w:val="0"/>
        <w:jc w:val="both"/>
        <w:rPr>
          <w:rFonts w:ascii="Times New Roman" w:hAnsi="Times New Roman"/>
          <w:sz w:val="24"/>
          <w:szCs w:val="24"/>
          <w:lang w:val="sk-SK"/>
        </w:rPr>
      </w:pPr>
    </w:p>
    <w:p w:rsidR="00933ACE" w:rsidRPr="00933ACE" w:rsidP="00933ACE">
      <w:pPr>
        <w:autoSpaceDE w:val="0"/>
        <w:autoSpaceDN w:val="0"/>
        <w:bidi w:val="0"/>
        <w:jc w:val="both"/>
        <w:rPr>
          <w:rFonts w:ascii="Times New Roman" w:hAnsi="Times New Roman"/>
          <w:sz w:val="24"/>
          <w:szCs w:val="24"/>
          <w:lang w:val="sk-SK"/>
        </w:rPr>
      </w:pPr>
    </w:p>
    <w:p w:rsidR="00933ACE" w:rsidP="00933ACE">
      <w:pPr>
        <w:autoSpaceDE w:val="0"/>
        <w:autoSpaceDN w:val="0"/>
        <w:bidi w:val="0"/>
        <w:jc w:val="both"/>
        <w:rPr>
          <w:rFonts w:ascii="Times New Roman" w:hAnsi="Times New Roman"/>
          <w:sz w:val="24"/>
          <w:szCs w:val="24"/>
          <w:lang w:val="sk-SK"/>
        </w:rPr>
      </w:pPr>
    </w:p>
    <w:p w:rsidR="00933ACE" w:rsidP="00933ACE">
      <w:pPr>
        <w:autoSpaceDE w:val="0"/>
        <w:autoSpaceDN w:val="0"/>
        <w:bidi w:val="0"/>
        <w:jc w:val="both"/>
        <w:rPr>
          <w:rFonts w:ascii="Times New Roman" w:hAnsi="Times New Roman"/>
          <w:sz w:val="24"/>
          <w:szCs w:val="24"/>
          <w:lang w:val="sk-SK"/>
        </w:rPr>
      </w:pPr>
    </w:p>
    <w:p w:rsidR="00933ACE" w:rsidP="00933ACE">
      <w:pPr>
        <w:autoSpaceDE w:val="0"/>
        <w:autoSpaceDN w:val="0"/>
        <w:bidi w:val="0"/>
        <w:jc w:val="both"/>
        <w:rPr>
          <w:rFonts w:ascii="Times New Roman" w:hAnsi="Times New Roman"/>
          <w:sz w:val="24"/>
          <w:szCs w:val="24"/>
          <w:lang w:val="sk-SK"/>
        </w:rPr>
      </w:pPr>
    </w:p>
    <w:p w:rsidR="00933ACE" w:rsidP="00933ACE">
      <w:pPr>
        <w:autoSpaceDE w:val="0"/>
        <w:autoSpaceDN w:val="0"/>
        <w:bidi w:val="0"/>
        <w:jc w:val="both"/>
        <w:rPr>
          <w:rFonts w:ascii="Times New Roman" w:hAnsi="Times New Roman"/>
          <w:sz w:val="24"/>
          <w:szCs w:val="24"/>
          <w:lang w:val="sk-SK"/>
        </w:rPr>
      </w:pPr>
    </w:p>
    <w:p w:rsidR="00933ACE" w:rsidRPr="00B405B7" w:rsidP="0096095C">
      <w:pPr>
        <w:bidi w:val="0"/>
        <w:spacing w:after="0" w:line="240" w:lineRule="auto"/>
        <w:ind w:left="7082" w:firstLine="709"/>
        <w:rPr>
          <w:rFonts w:ascii="Times New Roman" w:hAnsi="Times New Roman"/>
          <w:sz w:val="24"/>
          <w:szCs w:val="24"/>
          <w:lang w:val="sk-SK"/>
        </w:rPr>
      </w:pPr>
      <w:r w:rsidRPr="00B405B7">
        <w:rPr>
          <w:rFonts w:ascii="Times New Roman" w:hAnsi="Times New Roman"/>
          <w:sz w:val="24"/>
          <w:szCs w:val="24"/>
          <w:lang w:val="sk-SK"/>
        </w:rPr>
        <w:t>Príloha č.</w:t>
      </w:r>
      <w:r w:rsidRPr="00B405B7" w:rsidR="0096095C">
        <w:rPr>
          <w:rFonts w:ascii="Times New Roman" w:hAnsi="Times New Roman"/>
          <w:sz w:val="24"/>
          <w:szCs w:val="24"/>
          <w:lang w:val="sk-SK"/>
        </w:rPr>
        <w:t xml:space="preserve"> 4</w:t>
      </w:r>
    </w:p>
    <w:p w:rsidR="00B405B7" w:rsidRPr="00B405B7" w:rsidP="0096095C">
      <w:pPr>
        <w:bidi w:val="0"/>
        <w:spacing w:after="0" w:line="240" w:lineRule="auto"/>
        <w:ind w:left="7082" w:firstLine="709"/>
        <w:rPr>
          <w:rFonts w:ascii="Times New Roman" w:hAnsi="Times New Roman"/>
          <w:sz w:val="24"/>
          <w:szCs w:val="24"/>
          <w:lang w:val="sk-SK"/>
        </w:rPr>
      </w:pPr>
    </w:p>
    <w:tbl>
      <w:tblPr>
        <w:tblStyle w:val="TableNormal"/>
        <w:tblW w:w="9100" w:type="dxa"/>
        <w:tblInd w:w="58" w:type="dxa"/>
        <w:tblLayout w:type="fixed"/>
        <w:tblCellMar>
          <w:left w:w="70" w:type="dxa"/>
          <w:right w:w="70" w:type="dxa"/>
        </w:tblCellMar>
        <w:tblLook w:val="04A0"/>
      </w:tblPr>
      <w:tblGrid>
        <w:gridCol w:w="1507"/>
        <w:gridCol w:w="1140"/>
        <w:gridCol w:w="1018"/>
        <w:gridCol w:w="1542"/>
        <w:gridCol w:w="1443"/>
        <w:gridCol w:w="1154"/>
        <w:gridCol w:w="1296"/>
      </w:tblGrid>
      <w:tr>
        <w:tblPrEx>
          <w:tblW w:w="9100" w:type="dxa"/>
          <w:tblInd w:w="58" w:type="dxa"/>
          <w:tblLayout w:type="fixed"/>
          <w:tblCellMar>
            <w:left w:w="70" w:type="dxa"/>
            <w:right w:w="70" w:type="dxa"/>
          </w:tblCellMar>
          <w:tblLook w:val="04A0"/>
        </w:tblPrEx>
        <w:trPr>
          <w:trHeight w:val="300"/>
        </w:trPr>
        <w:tc>
          <w:tcPr>
            <w:tcW w:w="8940" w:type="dxa"/>
            <w:gridSpan w:val="7"/>
            <w:tcBorders>
              <w:top w:val="single" w:sz="12" w:space="0" w:color="auto"/>
              <w:left w:val="single" w:sz="12" w:space="0" w:color="auto"/>
              <w:bottom w:val="single" w:sz="4" w:space="0" w:color="auto"/>
              <w:right w:val="single" w:sz="12" w:space="0" w:color="auto"/>
            </w:tcBorders>
            <w:shd w:val="clear" w:color="000000" w:fill="000000"/>
            <w:noWrap/>
            <w:textDirection w:val="lrTb"/>
            <w:vAlign w:val="bottom"/>
            <w:hideMark/>
          </w:tcPr>
          <w:p w:rsidR="0099440F" w:rsidRPr="00B405B7" w:rsidP="00DD69A6">
            <w:pPr>
              <w:bidi w:val="0"/>
              <w:spacing w:after="0" w:line="240" w:lineRule="auto"/>
              <w:rPr>
                <w:rFonts w:ascii="Book Antiqua" w:hAnsi="Book Antiqua"/>
                <w:b/>
                <w:bCs/>
                <w:color w:val="FFFFFF"/>
                <w:sz w:val="20"/>
                <w:szCs w:val="20"/>
                <w:lang w:val="sk-SK" w:eastAsia="sk-SK"/>
              </w:rPr>
            </w:pPr>
            <w:r w:rsidRPr="00B405B7">
              <w:rPr>
                <w:rFonts w:ascii="Book Antiqua" w:hAnsi="Book Antiqua"/>
                <w:b/>
                <w:bCs/>
                <w:color w:val="FFFFFF"/>
                <w:sz w:val="20"/>
                <w:szCs w:val="20"/>
                <w:lang w:val="sk-SK" w:eastAsia="sk-SK"/>
              </w:rPr>
              <w:t xml:space="preserve">Sadzby správneho poplatku za prvý  zápis motorového vozidla do evidencie v SR </w:t>
            </w:r>
          </w:p>
        </w:tc>
      </w:tr>
      <w:tr>
        <w:tblPrEx>
          <w:tblW w:w="9100" w:type="dxa"/>
          <w:tblInd w:w="58" w:type="dxa"/>
          <w:tblLayout w:type="fixed"/>
          <w:tblCellMar>
            <w:left w:w="70" w:type="dxa"/>
            <w:right w:w="70" w:type="dxa"/>
          </w:tblCellMar>
          <w:tblLook w:val="04A0"/>
        </w:tblPrEx>
        <w:trPr>
          <w:trHeight w:val="600"/>
        </w:trPr>
        <w:tc>
          <w:tcPr>
            <w:tcW w:w="1480" w:type="dxa"/>
            <w:vMerge w:val="restart"/>
            <w:tcBorders>
              <w:top w:val="single" w:sz="4" w:space="0" w:color="auto"/>
              <w:left w:val="single" w:sz="12" w:space="0" w:color="auto"/>
              <w:bottom w:val="single" w:sz="12" w:space="0" w:color="auto"/>
              <w:right w:val="single" w:sz="4"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výkon (kW) </w:t>
            </w:r>
          </w:p>
        </w:tc>
        <w:tc>
          <w:tcPr>
            <w:tcW w:w="1120" w:type="dxa"/>
            <w:vMerge w:val="restart"/>
            <w:tcBorders>
              <w:top w:val="single" w:sz="4" w:space="0" w:color="auto"/>
              <w:left w:val="single" w:sz="4" w:space="0" w:color="auto"/>
              <w:bottom w:val="single" w:sz="12" w:space="0" w:color="auto"/>
              <w:right w:val="single" w:sz="4"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sadzba poplatku </w:t>
            </w:r>
          </w:p>
        </w:tc>
        <w:tc>
          <w:tcPr>
            <w:tcW w:w="2515" w:type="dxa"/>
            <w:gridSpan w:val="2"/>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Počet novoregistrovaných vozidiel M1 + N1 </w:t>
            </w:r>
          </w:p>
        </w:tc>
        <w:tc>
          <w:tcPr>
            <w:tcW w:w="1418" w:type="dxa"/>
            <w:vMerge w:val="restart"/>
            <w:tcBorders>
              <w:top w:val="single" w:sz="4" w:space="0" w:color="auto"/>
              <w:left w:val="single" w:sz="4" w:space="0" w:color="auto"/>
              <w:bottom w:val="single" w:sz="12" w:space="0" w:color="auto"/>
              <w:right w:val="single" w:sz="4"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Výnos poplatku </w:t>
            </w:r>
          </w:p>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(v EUR) </w:t>
            </w:r>
          </w:p>
        </w:tc>
        <w:tc>
          <w:tcPr>
            <w:tcW w:w="1134" w:type="dxa"/>
            <w:vMerge w:val="restart"/>
            <w:tcBorders>
              <w:top w:val="single" w:sz="4" w:space="0" w:color="auto"/>
              <w:left w:val="single" w:sz="4" w:space="0" w:color="auto"/>
              <w:bottom w:val="single" w:sz="12" w:space="0" w:color="auto"/>
              <w:right w:val="single" w:sz="4"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sz w:val="18"/>
                <w:szCs w:val="18"/>
                <w:lang w:val="sk-SK" w:eastAsia="sk-SK"/>
              </w:rPr>
            </w:pPr>
            <w:r w:rsidRPr="00B405B7">
              <w:rPr>
                <w:rFonts w:ascii="Book Antiqua" w:hAnsi="Book Antiqua"/>
                <w:b/>
                <w:bCs/>
                <w:sz w:val="18"/>
                <w:szCs w:val="18"/>
                <w:lang w:val="sk-SK" w:eastAsia="sk-SK"/>
              </w:rPr>
              <w:t xml:space="preserve"> kategória vozidla </w:t>
            </w:r>
          </w:p>
        </w:tc>
        <w:tc>
          <w:tcPr>
            <w:tcW w:w="1273" w:type="dxa"/>
            <w:vMerge w:val="restart"/>
            <w:tcBorders>
              <w:top w:val="single" w:sz="4" w:space="0" w:color="auto"/>
              <w:left w:val="single" w:sz="4" w:space="0" w:color="auto"/>
              <w:bottom w:val="single" w:sz="12" w:space="0" w:color="auto"/>
              <w:right w:val="single" w:sz="12"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sz w:val="18"/>
                <w:szCs w:val="18"/>
                <w:lang w:val="sk-SK" w:eastAsia="sk-SK"/>
              </w:rPr>
            </w:pPr>
            <w:r w:rsidRPr="00B405B7">
              <w:rPr>
                <w:rFonts w:ascii="Book Antiqua" w:hAnsi="Book Antiqua"/>
                <w:b/>
                <w:bCs/>
                <w:sz w:val="18"/>
                <w:szCs w:val="18"/>
                <w:lang w:val="sk-SK" w:eastAsia="sk-SK"/>
              </w:rPr>
              <w:t xml:space="preserve"> priemerné vozidlo v rámci celej kategórie </w:t>
            </w:r>
          </w:p>
        </w:tc>
      </w:tr>
      <w:tr>
        <w:tblPrEx>
          <w:tblW w:w="9100" w:type="dxa"/>
          <w:tblInd w:w="58" w:type="dxa"/>
          <w:tblLayout w:type="fixed"/>
          <w:tblCellMar>
            <w:left w:w="70" w:type="dxa"/>
            <w:right w:w="70" w:type="dxa"/>
          </w:tblCellMar>
          <w:tblLook w:val="04A0"/>
        </w:tblPrEx>
        <w:trPr>
          <w:trHeight w:val="285"/>
        </w:trPr>
        <w:tc>
          <w:tcPr>
            <w:tcW w:w="1480" w:type="dxa"/>
            <w:vMerge/>
            <w:tcBorders>
              <w:top w:val="single" w:sz="4" w:space="0" w:color="auto"/>
              <w:left w:val="single" w:sz="12" w:space="0" w:color="auto"/>
              <w:bottom w:val="single" w:sz="12"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b/>
                <w:bCs/>
                <w:color w:val="000000"/>
                <w:sz w:val="18"/>
                <w:szCs w:val="18"/>
                <w:lang w:val="sk-SK" w:eastAsia="sk-SK"/>
              </w:rPr>
            </w:pPr>
          </w:p>
        </w:tc>
        <w:tc>
          <w:tcPr>
            <w:tcW w:w="1120" w:type="dxa"/>
            <w:vMerge/>
            <w:tcBorders>
              <w:top w:val="single" w:sz="4" w:space="0" w:color="auto"/>
              <w:left w:val="single" w:sz="4" w:space="0" w:color="auto"/>
              <w:bottom w:val="single" w:sz="12"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b/>
                <w:bCs/>
                <w:color w:val="000000"/>
                <w:sz w:val="18"/>
                <w:szCs w:val="18"/>
                <w:lang w:val="sk-SK" w:eastAsia="sk-SK"/>
              </w:rPr>
            </w:pPr>
          </w:p>
        </w:tc>
        <w:tc>
          <w:tcPr>
            <w:tcW w:w="1000" w:type="dxa"/>
            <w:tcBorders>
              <w:top w:val="single" w:sz="4" w:space="0" w:color="auto"/>
              <w:left w:val="single" w:sz="4" w:space="0" w:color="auto"/>
              <w:bottom w:val="single" w:sz="12" w:space="0" w:color="auto"/>
              <w:right w:val="single" w:sz="4"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nové </w:t>
            </w:r>
          </w:p>
        </w:tc>
        <w:tc>
          <w:tcPr>
            <w:tcW w:w="1515" w:type="dxa"/>
            <w:tcBorders>
              <w:top w:val="single" w:sz="4" w:space="0" w:color="auto"/>
              <w:left w:val="single" w:sz="4" w:space="0" w:color="auto"/>
              <w:bottom w:val="single" w:sz="12" w:space="0" w:color="auto"/>
              <w:right w:val="single" w:sz="4" w:space="0" w:color="auto"/>
            </w:tcBorders>
            <w:shd w:val="clear" w:color="000000" w:fill="BFBFBF"/>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import </w:t>
            </w:r>
          </w:p>
        </w:tc>
        <w:tc>
          <w:tcPr>
            <w:tcW w:w="1418" w:type="dxa"/>
            <w:vMerge/>
            <w:tcBorders>
              <w:top w:val="single" w:sz="4" w:space="0" w:color="auto"/>
              <w:left w:val="single" w:sz="4" w:space="0" w:color="auto"/>
              <w:bottom w:val="single" w:sz="12"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b/>
                <w:bCs/>
                <w:color w:val="000000"/>
                <w:sz w:val="18"/>
                <w:szCs w:val="18"/>
                <w:lang w:val="sk-SK" w:eastAsia="sk-SK"/>
              </w:rPr>
            </w:pPr>
          </w:p>
        </w:tc>
        <w:tc>
          <w:tcPr>
            <w:tcW w:w="1134" w:type="dxa"/>
            <w:vMerge/>
            <w:tcBorders>
              <w:top w:val="single" w:sz="4" w:space="0" w:color="auto"/>
              <w:left w:val="single" w:sz="4" w:space="0" w:color="auto"/>
              <w:bottom w:val="single" w:sz="12"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b/>
                <w:bCs/>
                <w:sz w:val="18"/>
                <w:szCs w:val="18"/>
                <w:lang w:val="sk-SK" w:eastAsia="sk-SK"/>
              </w:rPr>
            </w:pPr>
          </w:p>
        </w:tc>
        <w:tc>
          <w:tcPr>
            <w:tcW w:w="1273" w:type="dxa"/>
            <w:vMerge/>
            <w:tcBorders>
              <w:top w:val="single" w:sz="4" w:space="0" w:color="auto"/>
              <w:left w:val="single" w:sz="4" w:space="0" w:color="auto"/>
              <w:bottom w:val="single" w:sz="12" w:space="0" w:color="auto"/>
              <w:right w:val="single" w:sz="12" w:space="0" w:color="auto"/>
            </w:tcBorders>
            <w:textDirection w:val="lrTb"/>
            <w:vAlign w:val="center"/>
            <w:hideMark/>
          </w:tcPr>
          <w:p w:rsidR="0099440F" w:rsidRPr="00B405B7" w:rsidP="00DD69A6">
            <w:pPr>
              <w:bidi w:val="0"/>
              <w:spacing w:after="0" w:line="240" w:lineRule="auto"/>
              <w:rPr>
                <w:rFonts w:ascii="Book Antiqua" w:hAnsi="Book Antiqua"/>
                <w:b/>
                <w:bCs/>
                <w:sz w:val="18"/>
                <w:szCs w:val="18"/>
                <w:lang w:val="sk-SK" w:eastAsia="sk-SK"/>
              </w:rPr>
            </w:pPr>
          </w:p>
        </w:tc>
      </w:tr>
      <w:tr>
        <w:tblPrEx>
          <w:tblW w:w="9100" w:type="dxa"/>
          <w:tblInd w:w="58" w:type="dxa"/>
          <w:tblLayout w:type="fixed"/>
          <w:tblCellMar>
            <w:left w:w="70" w:type="dxa"/>
            <w:right w:w="70" w:type="dxa"/>
          </w:tblCellMar>
          <w:tblLook w:val="04A0"/>
        </w:tblPrEx>
        <w:trPr>
          <w:trHeight w:val="285"/>
        </w:trPr>
        <w:tc>
          <w:tcPr>
            <w:tcW w:w="1480" w:type="dxa"/>
            <w:tcBorders>
              <w:top w:val="single" w:sz="12"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80 do 86 </w:t>
            </w:r>
          </w:p>
        </w:tc>
        <w:tc>
          <w:tcPr>
            <w:tcW w:w="1120" w:type="dxa"/>
            <w:tcBorders>
              <w:top w:val="single" w:sz="12"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167</w:t>
            </w:r>
          </w:p>
        </w:tc>
        <w:tc>
          <w:tcPr>
            <w:tcW w:w="1000" w:type="dxa"/>
            <w:tcBorders>
              <w:top w:val="single" w:sz="12"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7 </w:t>
            </w:r>
            <w:r>
              <w:rPr>
                <w:rFonts w:ascii="Book Antiqua" w:hAnsi="Book Antiqua"/>
                <w:color w:val="000000"/>
                <w:sz w:val="18"/>
                <w:szCs w:val="18"/>
                <w:lang w:val="sk-SK" w:eastAsia="sk-SK"/>
              </w:rPr>
              <w:t>145</w:t>
            </w:r>
            <w:r w:rsidRPr="00B405B7">
              <w:rPr>
                <w:rFonts w:ascii="Book Antiqua" w:hAnsi="Book Antiqua"/>
                <w:color w:val="000000"/>
                <w:sz w:val="18"/>
                <w:szCs w:val="18"/>
                <w:lang w:val="sk-SK" w:eastAsia="sk-SK"/>
              </w:rPr>
              <w:t xml:space="preserve">    </w:t>
            </w:r>
          </w:p>
        </w:tc>
        <w:tc>
          <w:tcPr>
            <w:tcW w:w="1515" w:type="dxa"/>
            <w:tcBorders>
              <w:top w:val="single" w:sz="12"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7 </w:t>
            </w:r>
            <w:r>
              <w:rPr>
                <w:rFonts w:ascii="Book Antiqua" w:hAnsi="Book Antiqua"/>
                <w:color w:val="000000"/>
                <w:sz w:val="18"/>
                <w:szCs w:val="18"/>
                <w:lang w:val="sk-SK" w:eastAsia="sk-SK"/>
              </w:rPr>
              <w:t>616</w:t>
            </w:r>
            <w:r w:rsidRPr="00B405B7">
              <w:rPr>
                <w:rFonts w:ascii="Book Antiqua" w:hAnsi="Book Antiqua"/>
                <w:color w:val="000000"/>
                <w:sz w:val="18"/>
                <w:szCs w:val="18"/>
                <w:lang w:val="sk-SK" w:eastAsia="sk-SK"/>
              </w:rPr>
              <w:t xml:space="preserve">    </w:t>
            </w:r>
          </w:p>
        </w:tc>
        <w:tc>
          <w:tcPr>
            <w:tcW w:w="1418" w:type="dxa"/>
            <w:tcBorders>
              <w:top w:val="single" w:sz="12"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2 </w:t>
            </w:r>
            <w:r>
              <w:rPr>
                <w:rFonts w:ascii="Book Antiqua" w:hAnsi="Book Antiqua"/>
                <w:color w:val="000000"/>
                <w:sz w:val="18"/>
                <w:szCs w:val="18"/>
                <w:lang w:val="sk-SK" w:eastAsia="sk-SK"/>
              </w:rPr>
              <w:t>317</w:t>
            </w: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119</w:t>
            </w:r>
          </w:p>
        </w:tc>
        <w:tc>
          <w:tcPr>
            <w:tcW w:w="1134" w:type="dxa"/>
            <w:vMerge w:val="restart"/>
            <w:tcBorders>
              <w:top w:val="single" w:sz="12"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 xml:space="preserve"> stredná trieda </w:t>
            </w:r>
          </w:p>
        </w:tc>
        <w:tc>
          <w:tcPr>
            <w:tcW w:w="1273" w:type="dxa"/>
            <w:tcBorders>
              <w:top w:val="single" w:sz="12"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 xml:space="preserve"> VW Passat  </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86 do 92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217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4 208</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3 </w:t>
            </w:r>
            <w:r>
              <w:rPr>
                <w:rFonts w:ascii="Book Antiqua" w:hAnsi="Book Antiqua"/>
                <w:color w:val="000000"/>
                <w:sz w:val="18"/>
                <w:szCs w:val="18"/>
                <w:lang w:val="sk-SK" w:eastAsia="sk-SK"/>
              </w:rPr>
              <w:t>076</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1</w:t>
            </w:r>
            <w:r>
              <w:rPr>
                <w:rFonts w:ascii="Book Antiqua" w:hAnsi="Book Antiqua"/>
                <w:color w:val="000000"/>
                <w:sz w:val="18"/>
                <w:szCs w:val="18"/>
                <w:lang w:val="sk-SK" w:eastAsia="sk-SK"/>
              </w:rPr>
              <w:t> 485 750</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 xml:space="preserve">Audi A4   </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92 do 98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267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1 </w:t>
            </w:r>
            <w:r>
              <w:rPr>
                <w:rFonts w:ascii="Book Antiqua" w:hAnsi="Book Antiqua"/>
                <w:color w:val="000000"/>
                <w:sz w:val="18"/>
                <w:szCs w:val="18"/>
                <w:lang w:val="sk-SK" w:eastAsia="sk-SK"/>
              </w:rPr>
              <w:t>281</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2 941</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1  </w:t>
            </w:r>
            <w:r>
              <w:rPr>
                <w:rFonts w:ascii="Book Antiqua" w:hAnsi="Book Antiqua"/>
                <w:color w:val="000000"/>
                <w:sz w:val="18"/>
                <w:szCs w:val="18"/>
                <w:lang w:val="sk-SK" w:eastAsia="sk-SK"/>
              </w:rPr>
              <w:t>05</w:t>
            </w:r>
            <w:r w:rsidRPr="00B405B7">
              <w:rPr>
                <w:rFonts w:ascii="Book Antiqua" w:hAnsi="Book Antiqua"/>
                <w:color w:val="000000"/>
                <w:sz w:val="18"/>
                <w:szCs w:val="18"/>
                <w:lang w:val="sk-SK" w:eastAsia="sk-SK"/>
              </w:rPr>
              <w:t xml:space="preserve">9 </w:t>
            </w:r>
            <w:r>
              <w:rPr>
                <w:rFonts w:ascii="Book Antiqua" w:hAnsi="Book Antiqua"/>
                <w:color w:val="000000"/>
                <w:sz w:val="18"/>
                <w:szCs w:val="18"/>
                <w:lang w:val="sk-SK" w:eastAsia="sk-SK"/>
              </w:rPr>
              <w:t>609</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Opel Insignia</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98 do 104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327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6 </w:t>
            </w:r>
            <w:r>
              <w:rPr>
                <w:rFonts w:ascii="Book Antiqua" w:hAnsi="Book Antiqua"/>
                <w:color w:val="000000"/>
                <w:sz w:val="18"/>
                <w:szCs w:val="18"/>
                <w:lang w:val="sk-SK" w:eastAsia="sk-SK"/>
              </w:rPr>
              <w:t>604</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6 </w:t>
            </w:r>
            <w:r>
              <w:rPr>
                <w:rFonts w:ascii="Book Antiqua" w:hAnsi="Book Antiqua"/>
                <w:color w:val="000000"/>
                <w:sz w:val="18"/>
                <w:szCs w:val="18"/>
                <w:lang w:val="sk-SK" w:eastAsia="sk-SK"/>
              </w:rPr>
              <w:t>078</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Pr>
                <w:rFonts w:ascii="Book Antiqua" w:hAnsi="Book Antiqua"/>
                <w:color w:val="000000"/>
                <w:sz w:val="18"/>
                <w:szCs w:val="18"/>
                <w:lang w:val="sk-SK" w:eastAsia="sk-SK"/>
              </w:rPr>
              <w:t>3 898 088</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BMW 3</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104 do 110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397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2 690</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2 </w:t>
            </w:r>
            <w:r>
              <w:rPr>
                <w:rFonts w:ascii="Book Antiqua" w:hAnsi="Book Antiqua"/>
                <w:color w:val="000000"/>
                <w:sz w:val="18"/>
                <w:szCs w:val="18"/>
                <w:lang w:val="sk-SK" w:eastAsia="sk-SK"/>
              </w:rPr>
              <w:t>750</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2 </w:t>
            </w:r>
            <w:r>
              <w:rPr>
                <w:rFonts w:ascii="Book Antiqua" w:hAnsi="Book Antiqua"/>
                <w:color w:val="000000"/>
                <w:sz w:val="18"/>
                <w:szCs w:val="18"/>
                <w:lang w:val="sk-SK" w:eastAsia="sk-SK"/>
              </w:rPr>
              <w:t>030</w:t>
            </w: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045</w:t>
            </w:r>
            <w:r w:rsidRPr="00B405B7">
              <w:rPr>
                <w:rFonts w:ascii="Book Antiqua" w:hAnsi="Book Antiqua"/>
                <w:color w:val="000000"/>
                <w:sz w:val="18"/>
                <w:szCs w:val="18"/>
                <w:lang w:val="sk-SK" w:eastAsia="sk-SK"/>
              </w:rPr>
              <w:t xml:space="preserve"> </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Lexus IS</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110 do 121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477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2 </w:t>
            </w:r>
            <w:r>
              <w:rPr>
                <w:rFonts w:ascii="Book Antiqua" w:hAnsi="Book Antiqua"/>
                <w:color w:val="000000"/>
                <w:sz w:val="18"/>
                <w:szCs w:val="18"/>
                <w:lang w:val="sk-SK" w:eastAsia="sk-SK"/>
              </w:rPr>
              <w:t>383</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1 </w:t>
            </w:r>
            <w:r>
              <w:rPr>
                <w:rFonts w:ascii="Book Antiqua" w:hAnsi="Book Antiqua"/>
                <w:color w:val="000000"/>
                <w:sz w:val="18"/>
                <w:szCs w:val="18"/>
                <w:lang w:val="sk-SK" w:eastAsia="sk-SK"/>
              </w:rPr>
              <w:t>302</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1 </w:t>
            </w:r>
            <w:r>
              <w:rPr>
                <w:rFonts w:ascii="Book Antiqua" w:hAnsi="Book Antiqua"/>
                <w:color w:val="000000"/>
                <w:sz w:val="18"/>
                <w:szCs w:val="18"/>
                <w:lang w:val="sk-SK" w:eastAsia="sk-SK"/>
              </w:rPr>
              <w:t>652</w:t>
            </w: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236</w:t>
            </w:r>
            <w:r w:rsidRPr="00B405B7">
              <w:rPr>
                <w:rFonts w:ascii="Book Antiqua" w:hAnsi="Book Antiqua"/>
                <w:color w:val="000000"/>
                <w:sz w:val="18"/>
                <w:szCs w:val="18"/>
                <w:lang w:val="sk-SK" w:eastAsia="sk-SK"/>
              </w:rPr>
              <w:t xml:space="preserve"> </w:t>
            </w:r>
          </w:p>
        </w:tc>
        <w:tc>
          <w:tcPr>
            <w:tcW w:w="1134"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 xml:space="preserve"> vyššia stredná trieda </w:t>
            </w: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 xml:space="preserve">Audi A6 </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121 do 132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657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2 </w:t>
            </w:r>
            <w:r>
              <w:rPr>
                <w:rFonts w:ascii="Book Antiqua" w:hAnsi="Book Antiqua"/>
                <w:color w:val="000000"/>
                <w:sz w:val="18"/>
                <w:szCs w:val="18"/>
                <w:lang w:val="sk-SK" w:eastAsia="sk-SK"/>
              </w:rPr>
              <w:t>459</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2 </w:t>
            </w:r>
            <w:r>
              <w:rPr>
                <w:rFonts w:ascii="Book Antiqua" w:hAnsi="Book Antiqua"/>
                <w:color w:val="000000"/>
                <w:sz w:val="18"/>
                <w:szCs w:val="18"/>
                <w:lang w:val="sk-SK" w:eastAsia="sk-SK"/>
              </w:rPr>
              <w:t>089</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Pr>
                <w:rFonts w:ascii="Book Antiqua" w:hAnsi="Book Antiqua"/>
                <w:color w:val="000000"/>
                <w:sz w:val="18"/>
                <w:szCs w:val="18"/>
                <w:lang w:val="sk-SK" w:eastAsia="sk-SK"/>
              </w:rPr>
              <w:t>2 808 678</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 xml:space="preserve">BMW 5 </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132 do 143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787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1 </w:t>
            </w:r>
            <w:r>
              <w:rPr>
                <w:rFonts w:ascii="Book Antiqua" w:hAnsi="Book Antiqua"/>
                <w:color w:val="000000"/>
                <w:sz w:val="18"/>
                <w:szCs w:val="18"/>
                <w:lang w:val="sk-SK" w:eastAsia="sk-SK"/>
              </w:rPr>
              <w:t>204</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8</w:t>
            </w:r>
            <w:r>
              <w:rPr>
                <w:rFonts w:ascii="Book Antiqua" w:hAnsi="Book Antiqua"/>
                <w:color w:val="000000"/>
                <w:sz w:val="18"/>
                <w:szCs w:val="18"/>
                <w:lang w:val="sk-SK" w:eastAsia="sk-SK"/>
              </w:rPr>
              <w:t>64</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1</w:t>
            </w:r>
            <w:r>
              <w:rPr>
                <w:rFonts w:ascii="Book Antiqua" w:hAnsi="Book Antiqua"/>
                <w:color w:val="000000"/>
                <w:sz w:val="18"/>
                <w:szCs w:val="18"/>
                <w:lang w:val="sk-SK" w:eastAsia="sk-SK"/>
              </w:rPr>
              <w:t> 529 824</w:t>
            </w:r>
            <w:r w:rsidRPr="00B405B7">
              <w:rPr>
                <w:rFonts w:ascii="Book Antiqua" w:hAnsi="Book Antiqua"/>
                <w:color w:val="000000"/>
                <w:sz w:val="18"/>
                <w:szCs w:val="18"/>
                <w:lang w:val="sk-SK" w:eastAsia="sk-SK"/>
              </w:rPr>
              <w:t xml:space="preserve"> </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Mercedes E</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143 do 154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957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1 2</w:t>
            </w:r>
            <w:r>
              <w:rPr>
                <w:rFonts w:ascii="Book Antiqua" w:hAnsi="Book Antiqua"/>
                <w:color w:val="000000"/>
                <w:sz w:val="18"/>
                <w:szCs w:val="18"/>
                <w:lang w:val="sk-SK" w:eastAsia="sk-SK"/>
              </w:rPr>
              <w:t>68</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7</w:t>
            </w:r>
            <w:r>
              <w:rPr>
                <w:rFonts w:ascii="Book Antiqua" w:hAnsi="Book Antiqua"/>
                <w:color w:val="000000"/>
                <w:sz w:val="18"/>
                <w:szCs w:val="18"/>
                <w:lang w:val="sk-SK" w:eastAsia="sk-SK"/>
              </w:rPr>
              <w:t>05</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1 7</w:t>
            </w:r>
            <w:r>
              <w:rPr>
                <w:rFonts w:ascii="Book Antiqua" w:hAnsi="Book Antiqua"/>
                <w:color w:val="000000"/>
                <w:sz w:val="18"/>
                <w:szCs w:val="18"/>
                <w:lang w:val="sk-SK" w:eastAsia="sk-SK"/>
              </w:rPr>
              <w:t>74</w:t>
            </w: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824</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Lexus GS</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154 do 165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1 157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33</w:t>
            </w:r>
            <w:r>
              <w:rPr>
                <w:rFonts w:ascii="Book Antiqua" w:hAnsi="Book Antiqua"/>
                <w:color w:val="000000"/>
                <w:sz w:val="18"/>
                <w:szCs w:val="18"/>
                <w:lang w:val="sk-SK" w:eastAsia="sk-SK"/>
              </w:rPr>
              <w:t>4</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8</w:t>
            </w:r>
            <w:r>
              <w:rPr>
                <w:rFonts w:ascii="Book Antiqua" w:hAnsi="Book Antiqua"/>
                <w:color w:val="000000"/>
                <w:sz w:val="18"/>
                <w:szCs w:val="18"/>
                <w:lang w:val="sk-SK" w:eastAsia="sk-SK"/>
              </w:rPr>
              <w:t>25</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1 2</w:t>
            </w:r>
            <w:r>
              <w:rPr>
                <w:rFonts w:ascii="Book Antiqua" w:hAnsi="Book Antiqua"/>
                <w:color w:val="000000"/>
                <w:sz w:val="18"/>
                <w:szCs w:val="18"/>
                <w:lang w:val="sk-SK" w:eastAsia="sk-SK"/>
              </w:rPr>
              <w:t>60</w:t>
            </w:r>
            <w:r w:rsidRPr="00B405B7">
              <w:rPr>
                <w:rFonts w:ascii="Book Antiqua" w:hAnsi="Book Antiqua"/>
                <w:color w:val="000000"/>
                <w:sz w:val="18"/>
                <w:szCs w:val="18"/>
                <w:lang w:val="sk-SK" w:eastAsia="sk-SK"/>
              </w:rPr>
              <w:t xml:space="preserve"> </w:t>
            </w:r>
            <w:r>
              <w:rPr>
                <w:rFonts w:ascii="Book Antiqua" w:hAnsi="Book Antiqua"/>
                <w:color w:val="000000"/>
                <w:sz w:val="18"/>
                <w:szCs w:val="18"/>
                <w:lang w:val="sk-SK" w:eastAsia="sk-SK"/>
              </w:rPr>
              <w:t>471</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Volvo S80</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165 do 176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1 397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75</w:t>
            </w:r>
            <w:r>
              <w:rPr>
                <w:rFonts w:ascii="Book Antiqua" w:hAnsi="Book Antiqua"/>
                <w:color w:val="000000"/>
                <w:sz w:val="18"/>
                <w:szCs w:val="18"/>
                <w:lang w:val="sk-SK" w:eastAsia="sk-SK"/>
              </w:rPr>
              <w:t>0</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1 1</w:t>
            </w:r>
            <w:r>
              <w:rPr>
                <w:rFonts w:ascii="Book Antiqua" w:hAnsi="Book Antiqua"/>
                <w:color w:val="000000"/>
                <w:sz w:val="18"/>
                <w:szCs w:val="18"/>
                <w:lang w:val="sk-SK" w:eastAsia="sk-SK"/>
              </w:rPr>
              <w:t>22</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2</w:t>
            </w:r>
            <w:r>
              <w:rPr>
                <w:rFonts w:ascii="Book Antiqua" w:hAnsi="Book Antiqua"/>
                <w:color w:val="000000"/>
                <w:sz w:val="18"/>
                <w:szCs w:val="18"/>
                <w:lang w:val="sk-SK" w:eastAsia="sk-SK"/>
              </w:rPr>
              <w:t> 458 207</w:t>
            </w:r>
          </w:p>
        </w:tc>
        <w:tc>
          <w:tcPr>
            <w:tcW w:w="1134"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 xml:space="preserve"> luxusné automobily a SUV </w:t>
            </w: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Mercedes S</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176 do 202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1 697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1 95</w:t>
            </w:r>
            <w:r>
              <w:rPr>
                <w:rFonts w:ascii="Book Antiqua" w:hAnsi="Book Antiqua"/>
                <w:color w:val="000000"/>
                <w:sz w:val="18"/>
                <w:szCs w:val="18"/>
                <w:lang w:val="sk-SK" w:eastAsia="sk-SK"/>
              </w:rPr>
              <w:t>6</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4</w:t>
            </w:r>
            <w:r>
              <w:rPr>
                <w:rFonts w:ascii="Book Antiqua" w:hAnsi="Book Antiqua"/>
                <w:color w:val="000000"/>
                <w:sz w:val="18"/>
                <w:szCs w:val="18"/>
                <w:lang w:val="sk-SK" w:eastAsia="sk-SK"/>
              </w:rPr>
              <w:t>57</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3</w:t>
            </w:r>
            <w:r>
              <w:rPr>
                <w:rFonts w:ascii="Book Antiqua" w:hAnsi="Book Antiqua"/>
                <w:color w:val="000000"/>
                <w:sz w:val="18"/>
                <w:szCs w:val="18"/>
                <w:lang w:val="sk-SK" w:eastAsia="sk-SK"/>
              </w:rPr>
              <w:t> </w:t>
            </w:r>
            <w:r w:rsidRPr="00B405B7">
              <w:rPr>
                <w:rFonts w:ascii="Book Antiqua" w:hAnsi="Book Antiqua"/>
                <w:color w:val="000000"/>
                <w:sz w:val="18"/>
                <w:szCs w:val="18"/>
                <w:lang w:val="sk-SK" w:eastAsia="sk-SK"/>
              </w:rPr>
              <w:t>8</w:t>
            </w:r>
            <w:r>
              <w:rPr>
                <w:rFonts w:ascii="Book Antiqua" w:hAnsi="Book Antiqua"/>
                <w:color w:val="000000"/>
                <w:sz w:val="18"/>
                <w:szCs w:val="18"/>
                <w:lang w:val="sk-SK" w:eastAsia="sk-SK"/>
              </w:rPr>
              <w:t>49 066</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BMW 7</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202 do 228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2 047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58</w:t>
            </w:r>
            <w:r>
              <w:rPr>
                <w:rFonts w:ascii="Book Antiqua" w:hAnsi="Book Antiqua"/>
                <w:color w:val="000000"/>
                <w:sz w:val="18"/>
                <w:szCs w:val="18"/>
                <w:lang w:val="sk-SK" w:eastAsia="sk-SK"/>
              </w:rPr>
              <w:t>5</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3</w:t>
            </w:r>
            <w:r>
              <w:rPr>
                <w:rFonts w:ascii="Book Antiqua" w:hAnsi="Book Antiqua"/>
                <w:color w:val="000000"/>
                <w:sz w:val="18"/>
                <w:szCs w:val="18"/>
                <w:lang w:val="sk-SK" w:eastAsia="sk-SK"/>
              </w:rPr>
              <w:t>67</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1</w:t>
            </w:r>
            <w:r>
              <w:rPr>
                <w:rFonts w:ascii="Book Antiqua" w:hAnsi="Book Antiqua"/>
                <w:color w:val="000000"/>
                <w:sz w:val="18"/>
                <w:szCs w:val="18"/>
                <w:lang w:val="sk-SK" w:eastAsia="sk-SK"/>
              </w:rPr>
              <w:t> </w:t>
            </w:r>
            <w:r w:rsidRPr="00B405B7">
              <w:rPr>
                <w:rFonts w:ascii="Book Antiqua" w:hAnsi="Book Antiqua"/>
                <w:color w:val="000000"/>
                <w:sz w:val="18"/>
                <w:szCs w:val="18"/>
                <w:lang w:val="sk-SK" w:eastAsia="sk-SK"/>
              </w:rPr>
              <w:t>8</w:t>
            </w:r>
            <w:r>
              <w:rPr>
                <w:rFonts w:ascii="Book Antiqua" w:hAnsi="Book Antiqua"/>
                <w:color w:val="000000"/>
                <w:sz w:val="18"/>
                <w:szCs w:val="18"/>
                <w:lang w:val="sk-SK" w:eastAsia="sk-SK"/>
              </w:rPr>
              <w:t>31 770</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Lexus LS</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228 do 254 </w:t>
            </w:r>
          </w:p>
        </w:tc>
        <w:tc>
          <w:tcPr>
            <w:tcW w:w="112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2 467</w:t>
            </w:r>
          </w:p>
        </w:tc>
        <w:tc>
          <w:tcPr>
            <w:tcW w:w="1000"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15</w:t>
            </w:r>
            <w:r>
              <w:rPr>
                <w:rFonts w:ascii="Book Antiqua" w:hAnsi="Book Antiqua"/>
                <w:color w:val="000000"/>
                <w:sz w:val="18"/>
                <w:szCs w:val="18"/>
                <w:lang w:val="sk-SK" w:eastAsia="sk-SK"/>
              </w:rPr>
              <w:t>2</w:t>
            </w:r>
            <w:r w:rsidRPr="00B405B7">
              <w:rPr>
                <w:rFonts w:ascii="Book Antiqua" w:hAnsi="Book Antiqua"/>
                <w:color w:val="000000"/>
                <w:sz w:val="18"/>
                <w:szCs w:val="18"/>
                <w:lang w:val="sk-SK" w:eastAsia="sk-SK"/>
              </w:rPr>
              <w:t xml:space="preserve">    </w:t>
            </w:r>
          </w:p>
        </w:tc>
        <w:tc>
          <w:tcPr>
            <w:tcW w:w="1515"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2</w:t>
            </w:r>
            <w:r>
              <w:rPr>
                <w:rFonts w:ascii="Book Antiqua" w:hAnsi="Book Antiqua"/>
                <w:color w:val="000000"/>
                <w:sz w:val="18"/>
                <w:szCs w:val="18"/>
                <w:lang w:val="sk-SK" w:eastAsia="sk-SK"/>
              </w:rPr>
              <w:t>61</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4"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9</w:t>
            </w:r>
            <w:r>
              <w:rPr>
                <w:rFonts w:ascii="Book Antiqua" w:hAnsi="Book Antiqua"/>
                <w:color w:val="000000"/>
                <w:sz w:val="18"/>
                <w:szCs w:val="18"/>
                <w:lang w:val="sk-SK" w:eastAsia="sk-SK"/>
              </w:rPr>
              <w:t>57 713</w:t>
            </w: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4"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Audi A8</w:t>
            </w:r>
          </w:p>
        </w:tc>
      </w:tr>
      <w:tr>
        <w:tblPrEx>
          <w:tblW w:w="9100" w:type="dxa"/>
          <w:tblInd w:w="58" w:type="dxa"/>
          <w:tblLayout w:type="fixed"/>
          <w:tblCellMar>
            <w:left w:w="70" w:type="dxa"/>
            <w:right w:w="70" w:type="dxa"/>
          </w:tblCellMar>
          <w:tblLook w:val="04A0"/>
        </w:tblPrEx>
        <w:trPr>
          <w:trHeight w:val="285"/>
        </w:trPr>
        <w:tc>
          <w:tcPr>
            <w:tcW w:w="1480" w:type="dxa"/>
            <w:tcBorders>
              <w:top w:val="single" w:sz="4" w:space="0" w:color="auto"/>
              <w:left w:val="single" w:sz="12" w:space="0" w:color="auto"/>
              <w:bottom w:val="single" w:sz="12" w:space="0" w:color="auto"/>
              <w:right w:val="single" w:sz="4" w:space="0" w:color="auto"/>
            </w:tcBorders>
            <w:noWrap/>
            <w:textDirection w:val="lrTb"/>
            <w:vAlign w:val="center"/>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nad 254 </w:t>
            </w:r>
          </w:p>
        </w:tc>
        <w:tc>
          <w:tcPr>
            <w:tcW w:w="1120" w:type="dxa"/>
            <w:tcBorders>
              <w:top w:val="single" w:sz="4" w:space="0" w:color="auto"/>
              <w:left w:val="single" w:sz="4" w:space="0" w:color="auto"/>
              <w:bottom w:val="single" w:sz="12"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2 997</w:t>
            </w:r>
          </w:p>
        </w:tc>
        <w:tc>
          <w:tcPr>
            <w:tcW w:w="1000" w:type="dxa"/>
            <w:tcBorders>
              <w:top w:val="single" w:sz="4" w:space="0" w:color="auto"/>
              <w:left w:val="single" w:sz="4" w:space="0" w:color="auto"/>
              <w:bottom w:val="single" w:sz="12"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46    </w:t>
            </w:r>
          </w:p>
        </w:tc>
        <w:tc>
          <w:tcPr>
            <w:tcW w:w="1515" w:type="dxa"/>
            <w:tcBorders>
              <w:top w:val="single" w:sz="4" w:space="0" w:color="auto"/>
              <w:left w:val="single" w:sz="4" w:space="0" w:color="auto"/>
              <w:bottom w:val="single" w:sz="12"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9</w:t>
            </w:r>
            <w:r>
              <w:rPr>
                <w:rFonts w:ascii="Book Antiqua" w:hAnsi="Book Antiqua"/>
                <w:color w:val="000000"/>
                <w:sz w:val="18"/>
                <w:szCs w:val="18"/>
                <w:lang w:val="sk-SK" w:eastAsia="sk-SK"/>
              </w:rPr>
              <w:t>1</w:t>
            </w:r>
            <w:r w:rsidRPr="00B405B7">
              <w:rPr>
                <w:rFonts w:ascii="Book Antiqua" w:hAnsi="Book Antiqua"/>
                <w:color w:val="000000"/>
                <w:sz w:val="18"/>
                <w:szCs w:val="18"/>
                <w:lang w:val="sk-SK" w:eastAsia="sk-SK"/>
              </w:rPr>
              <w:t xml:space="preserve">    </w:t>
            </w:r>
          </w:p>
        </w:tc>
        <w:tc>
          <w:tcPr>
            <w:tcW w:w="1418" w:type="dxa"/>
            <w:tcBorders>
              <w:top w:val="single" w:sz="4" w:space="0" w:color="auto"/>
              <w:left w:val="single" w:sz="4" w:space="0" w:color="auto"/>
              <w:bottom w:val="single" w:sz="12" w:space="0" w:color="auto"/>
              <w:right w:val="single" w:sz="4" w:space="0" w:color="auto"/>
            </w:tcBorders>
            <w:noWrap/>
            <w:textDirection w:val="lrTb"/>
            <w:vAlign w:val="center"/>
            <w:hideMark/>
          </w:tcPr>
          <w:p w:rsidR="0099440F" w:rsidRPr="00B405B7" w:rsidP="00DD69A6">
            <w:pPr>
              <w:bidi w:val="0"/>
              <w:spacing w:after="0" w:line="240" w:lineRule="auto"/>
              <w:jc w:val="center"/>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xml:space="preserve">  3</w:t>
            </w:r>
            <w:r>
              <w:rPr>
                <w:rFonts w:ascii="Book Antiqua" w:hAnsi="Book Antiqua"/>
                <w:color w:val="000000"/>
                <w:sz w:val="18"/>
                <w:szCs w:val="18"/>
                <w:lang w:val="sk-SK" w:eastAsia="sk-SK"/>
              </w:rPr>
              <w:t>85 943</w:t>
            </w:r>
          </w:p>
        </w:tc>
        <w:tc>
          <w:tcPr>
            <w:tcW w:w="1134" w:type="dxa"/>
            <w:vMerge/>
            <w:tcBorders>
              <w:top w:val="single" w:sz="4" w:space="0" w:color="auto"/>
              <w:left w:val="single" w:sz="4" w:space="0" w:color="auto"/>
              <w:bottom w:val="single" w:sz="12" w:space="0" w:color="auto"/>
              <w:right w:val="single" w:sz="4" w:space="0" w:color="auto"/>
            </w:tcBorders>
            <w:textDirection w:val="lrTb"/>
            <w:vAlign w:val="center"/>
            <w:hideMark/>
          </w:tcPr>
          <w:p w:rsidR="0099440F" w:rsidRPr="00B405B7" w:rsidP="00DD69A6">
            <w:pPr>
              <w:bidi w:val="0"/>
              <w:spacing w:after="0" w:line="240" w:lineRule="auto"/>
              <w:rPr>
                <w:rFonts w:ascii="Book Antiqua" w:hAnsi="Book Antiqua"/>
                <w:sz w:val="18"/>
                <w:szCs w:val="18"/>
                <w:lang w:val="sk-SK" w:eastAsia="sk-SK"/>
              </w:rPr>
            </w:pPr>
          </w:p>
        </w:tc>
        <w:tc>
          <w:tcPr>
            <w:tcW w:w="1273" w:type="dxa"/>
            <w:tcBorders>
              <w:top w:val="single" w:sz="4" w:space="0" w:color="auto"/>
              <w:left w:val="single" w:sz="4" w:space="0" w:color="auto"/>
              <w:bottom w:val="single" w:sz="12" w:space="0" w:color="auto"/>
              <w:right w:val="single" w:sz="12" w:space="0" w:color="auto"/>
            </w:tcBorders>
            <w:textDirection w:val="lrTb"/>
            <w:vAlign w:val="center"/>
            <w:hideMark/>
          </w:tcPr>
          <w:p w:rsidR="0099440F" w:rsidRPr="00B405B7" w:rsidP="00DD69A6">
            <w:pPr>
              <w:bidi w:val="0"/>
              <w:spacing w:after="0" w:line="240" w:lineRule="auto"/>
              <w:jc w:val="center"/>
              <w:rPr>
                <w:rFonts w:ascii="Book Antiqua" w:hAnsi="Book Antiqua"/>
                <w:sz w:val="18"/>
                <w:szCs w:val="18"/>
                <w:lang w:val="sk-SK" w:eastAsia="sk-SK"/>
              </w:rPr>
            </w:pPr>
            <w:r w:rsidRPr="00B405B7">
              <w:rPr>
                <w:rFonts w:ascii="Book Antiqua" w:hAnsi="Book Antiqua"/>
                <w:sz w:val="18"/>
                <w:szCs w:val="18"/>
                <w:lang w:val="sk-SK" w:eastAsia="sk-SK"/>
              </w:rPr>
              <w:t>Range Rover</w:t>
            </w:r>
          </w:p>
        </w:tc>
      </w:tr>
      <w:tr>
        <w:tblPrEx>
          <w:tblW w:w="9100" w:type="dxa"/>
          <w:tblInd w:w="58" w:type="dxa"/>
          <w:tblLayout w:type="fixed"/>
          <w:tblCellMar>
            <w:left w:w="70" w:type="dxa"/>
            <w:right w:w="70" w:type="dxa"/>
          </w:tblCellMar>
          <w:tblLook w:val="04A0"/>
        </w:tblPrEx>
        <w:trPr>
          <w:trHeight w:val="300"/>
        </w:trPr>
        <w:tc>
          <w:tcPr>
            <w:tcW w:w="1480" w:type="dxa"/>
            <w:tcBorders>
              <w:top w:val="single" w:sz="12" w:space="0" w:color="auto"/>
              <w:left w:val="single" w:sz="12" w:space="0" w:color="auto"/>
              <w:bottom w:val="single" w:sz="12" w:space="0" w:color="auto"/>
              <w:right w:val="single" w:sz="4" w:space="0" w:color="auto"/>
            </w:tcBorders>
            <w:shd w:val="clear" w:color="000000" w:fill="BFBFBF"/>
            <w:noWrap/>
            <w:textDirection w:val="lrTb"/>
            <w:vAlign w:val="bottom"/>
            <w:hideMark/>
          </w:tcPr>
          <w:p w:rsidR="0099440F" w:rsidRPr="00B405B7" w:rsidP="00DD69A6">
            <w:pPr>
              <w:bidi w:val="0"/>
              <w:spacing w:after="0" w:line="240" w:lineRule="auto"/>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Spolu </w:t>
            </w:r>
          </w:p>
        </w:tc>
        <w:tc>
          <w:tcPr>
            <w:tcW w:w="1120" w:type="dxa"/>
            <w:tcBorders>
              <w:top w:val="single" w:sz="12" w:space="0" w:color="auto"/>
              <w:left w:val="single" w:sz="4" w:space="0" w:color="auto"/>
              <w:bottom w:val="single" w:sz="12" w:space="0" w:color="auto"/>
              <w:right w:val="single" w:sz="4" w:space="0" w:color="auto"/>
            </w:tcBorders>
            <w:shd w:val="clear" w:color="000000" w:fill="BFBFBF"/>
            <w:noWrap/>
            <w:textDirection w:val="lrTb"/>
            <w:vAlign w:val="bottom"/>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w:t>
            </w:r>
          </w:p>
        </w:tc>
        <w:tc>
          <w:tcPr>
            <w:tcW w:w="1000" w:type="dxa"/>
            <w:tcBorders>
              <w:top w:val="single" w:sz="12" w:space="0" w:color="auto"/>
              <w:left w:val="single" w:sz="4" w:space="0" w:color="auto"/>
              <w:bottom w:val="single" w:sz="12" w:space="0" w:color="auto"/>
              <w:right w:val="single" w:sz="4" w:space="0" w:color="auto"/>
            </w:tcBorders>
            <w:shd w:val="clear" w:color="000000" w:fill="BFBFBF"/>
            <w:noWrap/>
            <w:textDirection w:val="lrTb"/>
            <w:vAlign w:val="bottom"/>
            <w:hideMark/>
          </w:tcPr>
          <w:p w:rsidR="0099440F" w:rsidRPr="00B405B7" w:rsidP="00DD69A6">
            <w:pPr>
              <w:bidi w:val="0"/>
              <w:spacing w:after="0" w:line="240" w:lineRule="auto"/>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3</w:t>
            </w:r>
            <w:r>
              <w:rPr>
                <w:rFonts w:ascii="Book Antiqua" w:hAnsi="Book Antiqua"/>
                <w:b/>
                <w:bCs/>
                <w:color w:val="000000"/>
                <w:sz w:val="18"/>
                <w:szCs w:val="18"/>
                <w:lang w:val="sk-SK" w:eastAsia="sk-SK"/>
              </w:rPr>
              <w:t>3 065</w:t>
            </w:r>
            <w:r w:rsidRPr="00B405B7">
              <w:rPr>
                <w:rFonts w:ascii="Book Antiqua" w:hAnsi="Book Antiqua"/>
                <w:b/>
                <w:bCs/>
                <w:color w:val="000000"/>
                <w:sz w:val="18"/>
                <w:szCs w:val="18"/>
                <w:lang w:val="sk-SK" w:eastAsia="sk-SK"/>
              </w:rPr>
              <w:t xml:space="preserve">    </w:t>
            </w:r>
          </w:p>
        </w:tc>
        <w:tc>
          <w:tcPr>
            <w:tcW w:w="1515" w:type="dxa"/>
            <w:tcBorders>
              <w:top w:val="single" w:sz="12" w:space="0" w:color="auto"/>
              <w:left w:val="single" w:sz="4" w:space="0" w:color="auto"/>
              <w:bottom w:val="single" w:sz="12" w:space="0" w:color="auto"/>
              <w:right w:val="single" w:sz="4" w:space="0" w:color="auto"/>
            </w:tcBorders>
            <w:shd w:val="clear" w:color="000000" w:fill="BFBFBF"/>
            <w:noWrap/>
            <w:textDirection w:val="lrTb"/>
            <w:vAlign w:val="bottom"/>
            <w:hideMark/>
          </w:tcPr>
          <w:p w:rsidR="0099440F" w:rsidRPr="00B405B7" w:rsidP="00DD69A6">
            <w:pPr>
              <w:bidi w:val="0"/>
              <w:spacing w:after="0" w:line="240" w:lineRule="auto"/>
              <w:jc w:val="center"/>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3</w:t>
            </w:r>
            <w:r>
              <w:rPr>
                <w:rFonts w:ascii="Book Antiqua" w:hAnsi="Book Antiqua"/>
                <w:b/>
                <w:bCs/>
                <w:color w:val="000000"/>
                <w:sz w:val="18"/>
                <w:szCs w:val="18"/>
                <w:lang w:val="sk-SK" w:eastAsia="sk-SK"/>
              </w:rPr>
              <w:t>0</w:t>
            </w:r>
            <w:r w:rsidRPr="00B405B7">
              <w:rPr>
                <w:rFonts w:ascii="Book Antiqua" w:hAnsi="Book Antiqua"/>
                <w:b/>
                <w:bCs/>
                <w:color w:val="000000"/>
                <w:sz w:val="18"/>
                <w:szCs w:val="18"/>
                <w:lang w:val="sk-SK" w:eastAsia="sk-SK"/>
              </w:rPr>
              <w:t xml:space="preserve"> </w:t>
            </w:r>
            <w:r>
              <w:rPr>
                <w:rFonts w:ascii="Book Antiqua" w:hAnsi="Book Antiqua"/>
                <w:b/>
                <w:bCs/>
                <w:color w:val="000000"/>
                <w:sz w:val="18"/>
                <w:szCs w:val="18"/>
                <w:lang w:val="sk-SK" w:eastAsia="sk-SK"/>
              </w:rPr>
              <w:t>544</w:t>
            </w:r>
          </w:p>
        </w:tc>
        <w:tc>
          <w:tcPr>
            <w:tcW w:w="1418" w:type="dxa"/>
            <w:tcBorders>
              <w:top w:val="single" w:sz="12" w:space="0" w:color="auto"/>
              <w:left w:val="single" w:sz="4" w:space="0" w:color="auto"/>
              <w:bottom w:val="single" w:sz="12" w:space="0" w:color="auto"/>
              <w:right w:val="single" w:sz="4" w:space="0" w:color="auto"/>
            </w:tcBorders>
            <w:shd w:val="clear" w:color="000000" w:fill="BFBFBF"/>
            <w:noWrap/>
            <w:textDirection w:val="lrTb"/>
            <w:vAlign w:val="bottom"/>
            <w:hideMark/>
          </w:tcPr>
          <w:p w:rsidR="0099440F" w:rsidRPr="00B405B7" w:rsidP="00DD69A6">
            <w:pPr>
              <w:bidi w:val="0"/>
              <w:spacing w:after="0" w:line="240" w:lineRule="auto"/>
              <w:rPr>
                <w:rFonts w:ascii="Book Antiqua" w:hAnsi="Book Antiqua"/>
                <w:b/>
                <w:bCs/>
                <w:color w:val="000000"/>
                <w:sz w:val="18"/>
                <w:szCs w:val="18"/>
                <w:lang w:val="sk-SK" w:eastAsia="sk-SK"/>
              </w:rPr>
            </w:pPr>
            <w:r w:rsidRPr="00B405B7">
              <w:rPr>
                <w:rFonts w:ascii="Book Antiqua" w:hAnsi="Book Antiqua"/>
                <w:b/>
                <w:bCs/>
                <w:color w:val="000000"/>
                <w:sz w:val="18"/>
                <w:szCs w:val="18"/>
                <w:lang w:val="sk-SK" w:eastAsia="sk-SK"/>
              </w:rPr>
              <w:t xml:space="preserve"> </w:t>
            </w:r>
            <w:r>
              <w:rPr>
                <w:rFonts w:ascii="Book Antiqua" w:hAnsi="Book Antiqua"/>
                <w:b/>
                <w:bCs/>
                <w:color w:val="000000"/>
                <w:sz w:val="18"/>
                <w:szCs w:val="18"/>
                <w:lang w:val="sk-SK" w:eastAsia="sk-SK"/>
              </w:rPr>
              <w:t xml:space="preserve">    29 299 343</w:t>
            </w:r>
            <w:r w:rsidRPr="00B405B7">
              <w:rPr>
                <w:rFonts w:ascii="Book Antiqua" w:hAnsi="Book Antiqua"/>
                <w:b/>
                <w:bCs/>
                <w:color w:val="000000"/>
                <w:sz w:val="18"/>
                <w:szCs w:val="18"/>
                <w:lang w:val="sk-SK" w:eastAsia="sk-SK"/>
              </w:rPr>
              <w:t xml:space="preserve">  </w:t>
            </w:r>
          </w:p>
        </w:tc>
        <w:tc>
          <w:tcPr>
            <w:tcW w:w="1134" w:type="dxa"/>
            <w:tcBorders>
              <w:top w:val="single" w:sz="12" w:space="0" w:color="auto"/>
              <w:left w:val="single" w:sz="4" w:space="0" w:color="auto"/>
              <w:bottom w:val="single" w:sz="12" w:space="0" w:color="auto"/>
              <w:right w:val="single" w:sz="4" w:space="0" w:color="auto"/>
            </w:tcBorders>
            <w:shd w:val="clear" w:color="000000" w:fill="BFBFBF"/>
            <w:noWrap/>
            <w:textDirection w:val="lrTb"/>
            <w:vAlign w:val="bottom"/>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w:t>
            </w:r>
          </w:p>
        </w:tc>
        <w:tc>
          <w:tcPr>
            <w:tcW w:w="1273" w:type="dxa"/>
            <w:tcBorders>
              <w:top w:val="single" w:sz="12" w:space="0" w:color="auto"/>
              <w:left w:val="single" w:sz="4" w:space="0" w:color="auto"/>
              <w:bottom w:val="single" w:sz="12" w:space="0" w:color="auto"/>
              <w:right w:val="single" w:sz="12" w:space="0" w:color="auto"/>
            </w:tcBorders>
            <w:shd w:val="clear" w:color="000000" w:fill="BFBFBF"/>
            <w:noWrap/>
            <w:textDirection w:val="lrTb"/>
            <w:vAlign w:val="bottom"/>
            <w:hideMark/>
          </w:tcPr>
          <w:p w:rsidR="0099440F" w:rsidRPr="00B405B7" w:rsidP="00DD69A6">
            <w:pPr>
              <w:bidi w:val="0"/>
              <w:spacing w:after="0" w:line="240" w:lineRule="auto"/>
              <w:rPr>
                <w:rFonts w:ascii="Book Antiqua" w:hAnsi="Book Antiqua"/>
                <w:color w:val="000000"/>
                <w:sz w:val="18"/>
                <w:szCs w:val="18"/>
                <w:lang w:val="sk-SK" w:eastAsia="sk-SK"/>
              </w:rPr>
            </w:pPr>
            <w:r w:rsidRPr="00B405B7">
              <w:rPr>
                <w:rFonts w:ascii="Book Antiqua" w:hAnsi="Book Antiqua"/>
                <w:color w:val="000000"/>
                <w:sz w:val="18"/>
                <w:szCs w:val="18"/>
                <w:lang w:val="sk-SK" w:eastAsia="sk-SK"/>
              </w:rPr>
              <w:t> </w:t>
            </w:r>
          </w:p>
        </w:tc>
      </w:tr>
    </w:tbl>
    <w:p w:rsidR="0099440F" w:rsidRPr="00B405B7" w:rsidP="0099440F">
      <w:pPr>
        <w:bidi w:val="0"/>
        <w:ind w:left="7080"/>
        <w:rPr>
          <w:rFonts w:ascii="Times New Roman" w:hAnsi="Times New Roman"/>
          <w:i/>
          <w:sz w:val="20"/>
          <w:szCs w:val="20"/>
          <w:lang w:val="sk-SK"/>
        </w:rPr>
      </w:pPr>
      <w:r w:rsidRPr="00B405B7">
        <w:rPr>
          <w:rFonts w:ascii="Times New Roman" w:hAnsi="Times New Roman"/>
          <w:sz w:val="20"/>
          <w:szCs w:val="20"/>
          <w:lang w:val="sk-SK"/>
        </w:rPr>
        <w:t xml:space="preserve">        </w:t>
      </w:r>
      <w:r w:rsidRPr="00B405B7">
        <w:rPr>
          <w:rFonts w:ascii="Times New Roman" w:hAnsi="Times New Roman"/>
          <w:i/>
          <w:sz w:val="20"/>
          <w:szCs w:val="20"/>
          <w:lang w:val="sk-SK"/>
        </w:rPr>
        <w:t>Zdroj: MF SR IFP</w:t>
      </w:r>
    </w:p>
    <w:p w:rsidR="00933ACE" w:rsidRPr="00933ACE" w:rsidP="00933ACE">
      <w:pPr>
        <w:autoSpaceDE w:val="0"/>
        <w:autoSpaceDN w:val="0"/>
        <w:bidi w:val="0"/>
        <w:jc w:val="both"/>
        <w:rPr>
          <w:rFonts w:ascii="Times New Roman" w:hAnsi="Times New Roman"/>
          <w:sz w:val="24"/>
          <w:szCs w:val="24"/>
          <w:lang w:val="sk-SK"/>
        </w:rPr>
      </w:pPr>
    </w:p>
    <w:p w:rsidR="00933ACE" w:rsidRPr="00933ACE" w:rsidP="00933ACE">
      <w:pPr>
        <w:bidi w:val="0"/>
        <w:jc w:val="both"/>
        <w:rPr>
          <w:rFonts w:ascii="Times New Roman" w:hAnsi="Times New Roman"/>
          <w:sz w:val="24"/>
          <w:szCs w:val="24"/>
          <w:lang w:val="sk-SK"/>
        </w:rPr>
      </w:pPr>
    </w:p>
    <w:p w:rsidR="00933ACE"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P="00626DFC">
      <w:pPr>
        <w:bidi w:val="0"/>
        <w:spacing w:after="0" w:line="240" w:lineRule="auto"/>
        <w:jc w:val="both"/>
        <w:rPr>
          <w:rFonts w:ascii="Times New Roman" w:hAnsi="Times New Roman"/>
          <w:b/>
          <w:bCs/>
          <w:color w:val="000000"/>
          <w:sz w:val="24"/>
          <w:szCs w:val="24"/>
          <w:lang w:val="sk-SK"/>
        </w:rPr>
      </w:pPr>
    </w:p>
    <w:p w:rsidR="00B405B7" w:rsidRPr="00B405B7" w:rsidP="00B405B7">
      <w:pPr>
        <w:bidi w:val="0"/>
        <w:spacing w:after="0" w:line="240" w:lineRule="auto"/>
        <w:jc w:val="right"/>
        <w:rPr>
          <w:rFonts w:ascii="Times New Roman" w:hAnsi="Times New Roman"/>
          <w:sz w:val="24"/>
          <w:szCs w:val="24"/>
          <w:lang w:val="sk-SK"/>
        </w:rPr>
      </w:pPr>
      <w:r w:rsidRPr="00B405B7">
        <w:rPr>
          <w:rFonts w:ascii="Times New Roman" w:hAnsi="Times New Roman"/>
          <w:sz w:val="24"/>
          <w:szCs w:val="24"/>
          <w:lang w:val="sk-SK"/>
        </w:rPr>
        <w:t>Príloha č. 5</w:t>
      </w:r>
    </w:p>
    <w:p w:rsidR="00B405B7" w:rsidP="00B405B7">
      <w:pPr>
        <w:bidi w:val="0"/>
        <w:spacing w:after="0" w:line="240" w:lineRule="auto"/>
        <w:jc w:val="both"/>
        <w:rPr>
          <w:rFonts w:ascii="Times New Roman" w:hAnsi="Times New Roman"/>
          <w:b/>
          <w:sz w:val="24"/>
          <w:szCs w:val="24"/>
          <w:lang w:val="sk-SK"/>
        </w:rPr>
      </w:pPr>
    </w:p>
    <w:p w:rsidR="00B405B7" w:rsidP="00B405B7">
      <w:pPr>
        <w:bidi w:val="0"/>
        <w:spacing w:after="0" w:line="240" w:lineRule="auto"/>
        <w:jc w:val="both"/>
        <w:rPr>
          <w:rFonts w:ascii="Times New Roman" w:hAnsi="Times New Roman"/>
          <w:b/>
          <w:sz w:val="24"/>
          <w:szCs w:val="24"/>
          <w:lang w:val="sk-SK"/>
        </w:rPr>
      </w:pPr>
    </w:p>
    <w:p w:rsidR="00B405B7" w:rsidP="00B405B7">
      <w:pPr>
        <w:bidi w:val="0"/>
        <w:spacing w:after="0" w:line="240" w:lineRule="auto"/>
        <w:jc w:val="both"/>
        <w:rPr>
          <w:rFonts w:ascii="Times New Roman" w:hAnsi="Times New Roman"/>
          <w:b/>
          <w:sz w:val="24"/>
          <w:szCs w:val="24"/>
          <w:lang w:val="sk-SK"/>
        </w:rPr>
      </w:pPr>
    </w:p>
    <w:p w:rsidR="00B405B7" w:rsidRPr="00B405B7" w:rsidP="00B405B7">
      <w:pPr>
        <w:bidi w:val="0"/>
        <w:spacing w:after="0" w:line="240" w:lineRule="auto"/>
        <w:jc w:val="both"/>
        <w:rPr>
          <w:rFonts w:ascii="Times New Roman" w:hAnsi="Times New Roman"/>
          <w:b/>
          <w:sz w:val="24"/>
          <w:szCs w:val="24"/>
          <w:lang w:val="sk-SK"/>
        </w:rPr>
      </w:pPr>
      <w:r w:rsidRPr="00B405B7">
        <w:rPr>
          <w:rFonts w:ascii="Times New Roman" w:hAnsi="Times New Roman"/>
          <w:b/>
          <w:sz w:val="24"/>
          <w:szCs w:val="24"/>
          <w:lang w:val="sk-SK"/>
        </w:rPr>
        <w:t>Sociálne vplyvy -  vplyvy na hospodárenie obyvateľstva, sociálnu exklúziu, rovnosť príležitostí a rodovú rovnosť  a na zamestnanosť</w:t>
      </w:r>
    </w:p>
    <w:p w:rsidR="00B405B7" w:rsidRPr="00B405B7" w:rsidP="00B405B7">
      <w:pPr>
        <w:bidi w:val="0"/>
        <w:spacing w:after="0" w:line="240" w:lineRule="auto"/>
        <w:jc w:val="both"/>
        <w:rPr>
          <w:rFonts w:ascii="Times New Roman" w:hAnsi="Times New Roman"/>
          <w:b/>
          <w:bCs/>
          <w:sz w:val="24"/>
          <w:szCs w:val="24"/>
          <w:lang w:val="sk-SK"/>
        </w:rPr>
      </w:pPr>
    </w:p>
    <w:p w:rsidR="00B405B7" w:rsidRPr="00B405B7" w:rsidP="00B405B7">
      <w:pPr>
        <w:bidi w:val="0"/>
        <w:spacing w:after="0" w:line="240" w:lineRule="auto"/>
        <w:jc w:val="both"/>
        <w:rPr>
          <w:rFonts w:ascii="Times New Roman" w:hAnsi="Times New Roman"/>
          <w:b/>
          <w:bCs/>
          <w:sz w:val="24"/>
          <w:szCs w:val="24"/>
          <w:lang w:val="sk-SK"/>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B405B7" w:rsidRPr="00B405B7" w:rsidP="00B405B7">
            <w:pPr>
              <w:bidi w:val="0"/>
              <w:spacing w:after="0" w:line="240" w:lineRule="auto"/>
              <w:jc w:val="both"/>
              <w:rPr>
                <w:rFonts w:ascii="Times New Roman" w:hAnsi="Times New Roman"/>
                <w:b/>
                <w:bCs/>
                <w:color w:val="FFFFFF"/>
                <w:sz w:val="24"/>
                <w:szCs w:val="24"/>
                <w:lang w:val="sk-SK"/>
              </w:rPr>
            </w:pPr>
            <w:r w:rsidRPr="00B405B7">
              <w:rPr>
                <w:rFonts w:ascii="Times New Roman" w:hAnsi="Times New Roman"/>
                <w:b/>
                <w:bCs/>
                <w:color w:val="FFFFFF"/>
                <w:sz w:val="24"/>
                <w:szCs w:val="24"/>
                <w:lang w:val="sk-SK"/>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b/>
                <w:sz w:val="24"/>
                <w:szCs w:val="24"/>
                <w:lang w:val="sk-SK"/>
              </w:rPr>
              <w:t>4.1.</w:t>
            </w:r>
            <w:r w:rsidRPr="00B405B7">
              <w:rPr>
                <w:rFonts w:ascii="Times New Roman" w:hAnsi="Times New Roman"/>
                <w:sz w:val="24"/>
                <w:szCs w:val="24"/>
                <w:lang w:val="sk-SK"/>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 </w:t>
            </w: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Za predpokladu, že poplatník požiada o vykonanie niektorého zo spoplatňovaných úkonov alebo konaní, môže to ovplyvniť hospodárenie domácností.</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B405B7" w:rsidRPr="00B405B7" w:rsidP="00B405B7">
            <w:pPr>
              <w:bidi w:val="0"/>
              <w:spacing w:after="0" w:line="240" w:lineRule="auto"/>
              <w:ind w:firstLine="480" w:firstLineChars="200"/>
              <w:jc w:val="both"/>
              <w:rPr>
                <w:rFonts w:ascii="Times New Roman" w:hAnsi="Times New Roman"/>
                <w:sz w:val="24"/>
                <w:szCs w:val="24"/>
                <w:lang w:val="sk-SK"/>
              </w:rPr>
            </w:pPr>
            <w:r w:rsidRPr="00B405B7">
              <w:rPr>
                <w:rFonts w:ascii="Times New Roman" w:hAnsi="Times New Roman"/>
                <w:sz w:val="24"/>
                <w:szCs w:val="24"/>
                <w:lang w:val="sk-SK"/>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So zreteľom na vyššie uvedené, nemožno kvantifikovať konkrétne vplyvy.</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B405B7" w:rsidRPr="00B405B7" w:rsidP="00B405B7">
            <w:pPr>
              <w:bidi w:val="0"/>
              <w:spacing w:after="0" w:line="240" w:lineRule="auto"/>
              <w:ind w:firstLine="720" w:firstLineChars="300"/>
              <w:jc w:val="both"/>
              <w:rPr>
                <w:rFonts w:ascii="Times New Roman" w:hAnsi="Times New Roman"/>
                <w:sz w:val="24"/>
                <w:szCs w:val="24"/>
                <w:lang w:val="sk-SK"/>
              </w:rPr>
            </w:pPr>
            <w:r w:rsidRPr="00B405B7">
              <w:rPr>
                <w:rFonts w:ascii="Times New Roman" w:hAnsi="Times New Roman"/>
                <w:sz w:val="24"/>
                <w:szCs w:val="24"/>
                <w:lang w:val="sk-SK"/>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B405B7" w:rsidRPr="00B405B7" w:rsidP="00B405B7">
            <w:pPr>
              <w:bidi w:val="0"/>
              <w:spacing w:after="0" w:line="240" w:lineRule="auto"/>
              <w:jc w:val="both"/>
              <w:rPr>
                <w:rFonts w:ascii="Times New Roman" w:hAnsi="Times New Roman"/>
                <w:sz w:val="24"/>
                <w:szCs w:val="24"/>
                <w:lang w:val="sk-SK"/>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B405B7" w:rsidRPr="00B405B7" w:rsidP="00B405B7">
            <w:pPr>
              <w:bidi w:val="0"/>
              <w:spacing w:after="0" w:line="240" w:lineRule="auto"/>
              <w:ind w:firstLine="720" w:firstLineChars="300"/>
              <w:jc w:val="both"/>
              <w:rPr>
                <w:rFonts w:ascii="Times New Roman" w:hAnsi="Times New Roman"/>
                <w:sz w:val="24"/>
                <w:szCs w:val="24"/>
                <w:lang w:val="sk-SK"/>
              </w:rPr>
            </w:pPr>
            <w:r w:rsidRPr="00B405B7">
              <w:rPr>
                <w:rFonts w:ascii="Times New Roman" w:hAnsi="Times New Roman"/>
                <w:sz w:val="24"/>
                <w:szCs w:val="24"/>
                <w:lang w:val="sk-SK"/>
              </w:rPr>
              <w:t>- Rast alebo pokles príjmov/výdavkov                  za jednotlivé ovplyvnené  skupiny domácností</w:t>
            </w:r>
          </w:p>
          <w:p w:rsidR="00B405B7" w:rsidRPr="00B405B7" w:rsidP="00B405B7">
            <w:pPr>
              <w:bidi w:val="0"/>
              <w:spacing w:after="0" w:line="240" w:lineRule="auto"/>
              <w:ind w:firstLine="720" w:firstLineChars="300"/>
              <w:jc w:val="both"/>
              <w:rPr>
                <w:rFonts w:ascii="Times New Roman" w:hAnsi="Times New Roman"/>
                <w:sz w:val="24"/>
                <w:szCs w:val="24"/>
                <w:lang w:val="sk-SK"/>
              </w:rPr>
            </w:pPr>
            <w:r w:rsidRPr="00B405B7">
              <w:rPr>
                <w:rFonts w:ascii="Times New Roman" w:hAnsi="Times New Roman"/>
                <w:sz w:val="24"/>
                <w:szCs w:val="24"/>
                <w:lang w:val="sk-SK"/>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B405B7" w:rsidRPr="00B405B7" w:rsidP="00B405B7">
            <w:pPr>
              <w:bidi w:val="0"/>
              <w:spacing w:after="0" w:line="240" w:lineRule="auto"/>
              <w:jc w:val="both"/>
              <w:rPr>
                <w:rFonts w:ascii="Times New Roman" w:hAnsi="Times New Roman"/>
                <w:sz w:val="24"/>
                <w:szCs w:val="24"/>
                <w:lang w:val="sk-SK"/>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B405B7" w:rsidRPr="00B405B7" w:rsidP="00B405B7">
            <w:pPr>
              <w:bidi w:val="0"/>
              <w:spacing w:after="0" w:line="240" w:lineRule="auto"/>
              <w:ind w:firstLine="720" w:firstLineChars="300"/>
              <w:jc w:val="both"/>
              <w:rPr>
                <w:rFonts w:ascii="Times New Roman" w:hAnsi="Times New Roman"/>
                <w:sz w:val="24"/>
                <w:szCs w:val="24"/>
                <w:lang w:val="sk-SK"/>
              </w:rPr>
            </w:pPr>
          </w:p>
        </w:tc>
        <w:tc>
          <w:tcPr>
            <w:tcW w:w="4140" w:type="dxa"/>
            <w:vMerge/>
            <w:tcBorders>
              <w:top w:val="nil"/>
              <w:left w:val="nil"/>
              <w:bottom w:val="single" w:sz="4" w:space="0" w:color="auto"/>
              <w:right w:val="single" w:sz="4" w:space="0" w:color="auto"/>
            </w:tcBorders>
            <w:textDirection w:val="lrTb"/>
            <w:vAlign w:val="center"/>
          </w:tcPr>
          <w:p w:rsidR="00B405B7" w:rsidRPr="00B405B7" w:rsidP="00B405B7">
            <w:pPr>
              <w:bidi w:val="0"/>
              <w:spacing w:after="0" w:line="240" w:lineRule="auto"/>
              <w:jc w:val="both"/>
              <w:rPr>
                <w:rFonts w:ascii="Times New Roman" w:hAnsi="Times New Roman"/>
                <w:sz w:val="24"/>
                <w:szCs w:val="24"/>
                <w:lang w:val="sk-SK"/>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b/>
                <w:sz w:val="24"/>
                <w:szCs w:val="24"/>
                <w:lang w:val="sk-SK"/>
              </w:rPr>
              <w:t>4.2.</w:t>
            </w:r>
            <w:r w:rsidRPr="00B405B7">
              <w:rPr>
                <w:rFonts w:ascii="Times New Roman" w:hAnsi="Times New Roman"/>
                <w:sz w:val="24"/>
                <w:szCs w:val="24"/>
                <w:lang w:val="sk-SK"/>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 </w:t>
            </w: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Nemá vplyv.</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b/>
                <w:sz w:val="24"/>
                <w:szCs w:val="24"/>
                <w:lang w:val="sk-SK"/>
              </w:rPr>
              <w:t>4.3.</w:t>
            </w:r>
            <w:r w:rsidRPr="00B405B7">
              <w:rPr>
                <w:rFonts w:ascii="Times New Roman" w:hAnsi="Times New Roman"/>
                <w:sz w:val="24"/>
                <w:szCs w:val="24"/>
                <w:lang w:val="sk-SK"/>
              </w:rPr>
              <w:t xml:space="preserve">  Zhodnoťte vplyv na rovnosť príležitostí:</w:t>
            </w: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Zhodnoťte vplyv na rodovú rovnosť.</w:t>
            </w:r>
          </w:p>
          <w:p w:rsidR="00B405B7" w:rsidRPr="00B405B7" w:rsidP="00B405B7">
            <w:pPr>
              <w:bidi w:val="0"/>
              <w:spacing w:after="0" w:line="240" w:lineRule="auto"/>
              <w:jc w:val="both"/>
              <w:rPr>
                <w:rFonts w:ascii="Times New Roman" w:hAnsi="Times New Roman"/>
                <w:sz w:val="24"/>
                <w:szCs w:val="24"/>
                <w:lang w:val="sk-SK"/>
              </w:rPr>
            </w:pPr>
          </w:p>
        </w:tc>
        <w:tc>
          <w:tcPr>
            <w:tcW w:w="4140" w:type="dxa"/>
            <w:tcBorders>
              <w:top w:val="nil"/>
              <w:left w:val="nil"/>
              <w:bottom w:val="single" w:sz="4" w:space="0" w:color="auto"/>
              <w:right w:val="single" w:sz="4" w:space="0" w:color="auto"/>
            </w:tcBorders>
            <w:textDirection w:val="lrTb"/>
            <w:vAlign w:val="top"/>
          </w:tcPr>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 </w:t>
            </w: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Nemá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b/>
                <w:sz w:val="24"/>
                <w:szCs w:val="24"/>
                <w:lang w:val="sk-SK"/>
              </w:rPr>
              <w:t xml:space="preserve">4.4. </w:t>
            </w:r>
            <w:r w:rsidRPr="00B405B7">
              <w:rPr>
                <w:rFonts w:ascii="Times New Roman" w:hAnsi="Times New Roman"/>
                <w:sz w:val="24"/>
                <w:szCs w:val="24"/>
                <w:lang w:val="sk-SK"/>
              </w:rPr>
              <w:t>Zhodnoťte vplyvy na zamestnanosť.</w:t>
            </w:r>
          </w:p>
          <w:p w:rsidR="00B405B7" w:rsidRPr="00B405B7" w:rsidP="00B405B7">
            <w:pPr>
              <w:bidi w:val="0"/>
              <w:spacing w:after="0" w:line="240" w:lineRule="auto"/>
              <w:jc w:val="both"/>
              <w:rPr>
                <w:rFonts w:ascii="Times New Roman" w:hAnsi="Times New Roman"/>
                <w:b/>
                <w:sz w:val="24"/>
                <w:szCs w:val="24"/>
                <w:lang w:val="sk-SK"/>
              </w:rPr>
            </w:pPr>
          </w:p>
          <w:p w:rsidR="00B405B7" w:rsidRPr="00B405B7" w:rsidP="00B405B7">
            <w:pPr>
              <w:bidi w:val="0"/>
              <w:spacing w:after="0" w:line="240" w:lineRule="auto"/>
              <w:jc w:val="both"/>
              <w:rPr>
                <w:rFonts w:ascii="Times New Roman" w:hAnsi="Times New Roman"/>
                <w:bCs/>
                <w:sz w:val="24"/>
                <w:szCs w:val="24"/>
                <w:lang w:val="sk-SK"/>
              </w:rPr>
            </w:pPr>
            <w:r w:rsidRPr="00B405B7">
              <w:rPr>
                <w:rFonts w:ascii="Times New Roman" w:hAnsi="Times New Roman"/>
                <w:bCs/>
                <w:sz w:val="24"/>
                <w:szCs w:val="24"/>
                <w:lang w:val="sk-SK"/>
              </w:rPr>
              <w:t>Aké sú vplyvy na zamestnanosť ?</w:t>
            </w: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bCs/>
                <w:sz w:val="24"/>
                <w:szCs w:val="24"/>
                <w:lang w:val="sk-SK"/>
              </w:rPr>
              <w:t>Ktoré skupiny zamestnancov budú ohrozené schválením predkladaného materiálu ?</w:t>
            </w:r>
          </w:p>
          <w:p w:rsidR="00B405B7" w:rsidRPr="00B405B7" w:rsidP="00B405B7">
            <w:pPr>
              <w:bidi w:val="0"/>
              <w:spacing w:after="0" w:line="240" w:lineRule="auto"/>
              <w:jc w:val="both"/>
              <w:rPr>
                <w:rFonts w:ascii="Times New Roman" w:hAnsi="Times New Roman"/>
                <w:bCs/>
                <w:sz w:val="24"/>
                <w:szCs w:val="24"/>
                <w:lang w:val="sk-SK"/>
              </w:rPr>
            </w:pPr>
            <w:r w:rsidRPr="00B405B7">
              <w:rPr>
                <w:rFonts w:ascii="Times New Roman" w:hAnsi="Times New Roman"/>
                <w:bCs/>
                <w:sz w:val="24"/>
                <w:szCs w:val="24"/>
                <w:lang w:val="sk-SK"/>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r w:rsidRPr="00B405B7">
              <w:rPr>
                <w:rFonts w:ascii="Times New Roman" w:hAnsi="Times New Roman"/>
                <w:sz w:val="24"/>
                <w:szCs w:val="24"/>
                <w:lang w:val="sk-SK"/>
              </w:rPr>
              <w:t>Nemá vplyv.</w:t>
            </w: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p>
          <w:p w:rsidR="00B405B7" w:rsidRPr="00B405B7" w:rsidP="00B405B7">
            <w:pPr>
              <w:bidi w:val="0"/>
              <w:spacing w:after="0" w:line="240" w:lineRule="auto"/>
              <w:jc w:val="both"/>
              <w:rPr>
                <w:rFonts w:ascii="Times New Roman" w:hAnsi="Times New Roman"/>
                <w:sz w:val="24"/>
                <w:szCs w:val="24"/>
                <w:lang w:val="sk-SK"/>
              </w:rPr>
            </w:pPr>
          </w:p>
        </w:tc>
      </w:tr>
    </w:tbl>
    <w:p w:rsidR="00B405B7" w:rsidP="00B405B7">
      <w:pPr>
        <w:pStyle w:val="BodyText"/>
        <w:tabs>
          <w:tab w:val="num" w:pos="1080"/>
        </w:tabs>
        <w:bidi w:val="0"/>
        <w:jc w:val="both"/>
        <w:rPr>
          <w:b/>
          <w:bCs/>
        </w:rPr>
      </w:pPr>
    </w:p>
    <w:p w:rsidR="00B405B7" w:rsidP="00626DFC">
      <w:pPr>
        <w:bidi w:val="0"/>
        <w:spacing w:after="0" w:line="240" w:lineRule="auto"/>
        <w:jc w:val="both"/>
        <w:rPr>
          <w:rFonts w:ascii="Times New Roman" w:hAnsi="Times New Roman"/>
          <w:b/>
          <w:bCs/>
          <w:color w:val="000000"/>
          <w:sz w:val="24"/>
          <w:szCs w:val="24"/>
          <w:lang w:val="sk-SK"/>
        </w:rPr>
      </w:pPr>
    </w:p>
    <w:p w:rsidR="0099440F" w:rsidP="00626DFC">
      <w:pPr>
        <w:bidi w:val="0"/>
        <w:spacing w:after="0" w:line="240" w:lineRule="auto"/>
        <w:jc w:val="both"/>
        <w:rPr>
          <w:rFonts w:ascii="Times New Roman" w:hAnsi="Times New Roman"/>
          <w:b/>
          <w:bCs/>
          <w:color w:val="000000"/>
          <w:sz w:val="24"/>
          <w:szCs w:val="24"/>
          <w:lang w:val="sk-SK"/>
        </w:rPr>
      </w:pPr>
    </w:p>
    <w:p w:rsidR="0099440F" w:rsidP="00626DFC">
      <w:pPr>
        <w:bidi w:val="0"/>
        <w:spacing w:after="0" w:line="240" w:lineRule="auto"/>
        <w:jc w:val="both"/>
        <w:rPr>
          <w:rFonts w:ascii="Times New Roman" w:hAnsi="Times New Roman"/>
          <w:b/>
          <w:bCs/>
          <w:color w:val="000000"/>
          <w:sz w:val="24"/>
          <w:szCs w:val="24"/>
          <w:lang w:val="sk-SK"/>
        </w:rPr>
      </w:pPr>
    </w:p>
    <w:p w:rsidR="0099440F" w:rsidRPr="0099440F" w:rsidP="0099440F">
      <w:pPr>
        <w:widowControl/>
        <w:tabs>
          <w:tab w:val="left" w:pos="142"/>
        </w:tabs>
        <w:bidi w:val="0"/>
        <w:adjustRightInd/>
        <w:spacing w:after="0" w:line="240" w:lineRule="auto"/>
        <w:jc w:val="both"/>
        <w:rPr>
          <w:rFonts w:ascii="Times New Roman" w:hAnsi="Times New Roman"/>
          <w:sz w:val="24"/>
          <w:szCs w:val="24"/>
          <w:lang w:val="sk-SK"/>
        </w:rPr>
      </w:pPr>
      <w:r w:rsidRPr="0099440F">
        <w:rPr>
          <w:rFonts w:ascii="Times New Roman" w:hAnsi="Times New Roman"/>
          <w:sz w:val="24"/>
          <w:szCs w:val="24"/>
          <w:lang w:val="sk-SK"/>
        </w:rPr>
        <w:t>2. Osobitná časť</w:t>
      </w:r>
    </w:p>
    <w:p w:rsidR="0099440F" w:rsidRPr="0099440F" w:rsidP="0099440F">
      <w:pPr>
        <w:tabs>
          <w:tab w:val="left" w:pos="142"/>
        </w:tabs>
        <w:bidi w:val="0"/>
        <w:spacing w:after="0" w:line="240" w:lineRule="auto"/>
        <w:ind w:left="64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Čl. I</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K bodu 1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Ide o legislatívno-technickú úpravu spresnenia spôsobu platenia správnych poplatkov. </w:t>
      </w:r>
    </w:p>
    <w:p w:rsidR="0099440F" w:rsidRPr="0099440F" w:rsidP="0099440F">
      <w:pPr>
        <w:tabs>
          <w:tab w:val="left" w:pos="142"/>
        </w:tabs>
        <w:bidi w:val="0"/>
        <w:spacing w:after="0" w:line="240" w:lineRule="auto"/>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2</w:t>
      </w:r>
    </w:p>
    <w:p w:rsidR="0099440F" w:rsidRPr="0099440F" w:rsidP="0099440F">
      <w:pPr>
        <w:pStyle w:val="BodyTextIndent2"/>
        <w:tabs>
          <w:tab w:val="left" w:pos="142"/>
          <w:tab w:val="left" w:pos="284"/>
        </w:tabs>
        <w:bidi w:val="0"/>
        <w:spacing w:after="0" w:line="240" w:lineRule="auto"/>
        <w:ind w:left="284" w:hanging="284"/>
        <w:jc w:val="both"/>
        <w:rPr>
          <w:rFonts w:ascii="Times New Roman" w:hAnsi="Times New Roman"/>
          <w:sz w:val="24"/>
          <w:szCs w:val="24"/>
          <w:lang w:val="sk-SK"/>
        </w:rPr>
      </w:pPr>
      <w:r w:rsidRPr="0099440F">
        <w:rPr>
          <w:rFonts w:ascii="Times New Roman" w:hAnsi="Times New Roman"/>
          <w:sz w:val="24"/>
          <w:szCs w:val="24"/>
          <w:lang w:val="sk-SK"/>
        </w:rPr>
        <w:t xml:space="preserve">     Navrhuje sa pre potreby aplikačnej praxe Ministerstva zahraničných vecí Slovenskej republiky spresniť použitie</w:t>
      </w:r>
      <w:r w:rsidRPr="0099440F">
        <w:rPr>
          <w:rFonts w:ascii="Times New Roman" w:hAnsi="Times New Roman"/>
          <w:i/>
          <w:sz w:val="24"/>
          <w:szCs w:val="24"/>
          <w:lang w:val="sk-SK"/>
        </w:rPr>
        <w:t xml:space="preserve"> </w:t>
      </w:r>
      <w:r w:rsidRPr="0099440F">
        <w:rPr>
          <w:rFonts w:ascii="Times New Roman" w:hAnsi="Times New Roman"/>
          <w:sz w:val="24"/>
          <w:szCs w:val="24"/>
          <w:lang w:val="sk-SK"/>
        </w:rPr>
        <w:t xml:space="preserve">referenčného výmenného kurzu určeného a vyhláseného Európskou centrálnou bankou alebo Národnou bankou Slovenska, ktorým sa prepočítavajú sadzby správnych poplatkov v zahraničí na zastupiteľských úradoch.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3</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Osobitne sa upravuje spôsob vrátenia uhradeného správneho poplatku za úkony a konania spojené so zverejňovaním údajov (účtovná zvierka, výročná správa apod.) v Obchodnom vestníku.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4</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Ide o legislatívno-technické spresnenie.</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5</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Prechodné ustanovenie o použití právneho predpisu k dátumu účinnosti tejto novely zákona.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6</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Nadväzne na posunutie termínu zrušenia kolkových známok na 1. január 2014 (v Čl. IV tohto návrhu) sa upravuje aj prechodné ustanovenie o možnosti používania zakúpených kolkových známok.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7</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V prehľade sadzobníka správnych poplatkov sa dopĺňa nová časť XXII. </w:t>
      </w:r>
    </w:p>
    <w:p w:rsidR="0099440F" w:rsidRPr="0099440F" w:rsidP="0099440F">
      <w:pPr>
        <w:tabs>
          <w:tab w:val="left" w:pos="142"/>
        </w:tabs>
        <w:bidi w:val="0"/>
        <w:spacing w:after="0" w:line="240" w:lineRule="auto"/>
        <w:ind w:firstLine="284"/>
        <w:jc w:val="both"/>
        <w:rPr>
          <w:rFonts w:ascii="Times New Roman" w:hAnsi="Times New Roman"/>
          <w:sz w:val="24"/>
          <w:szCs w:val="24"/>
          <w:lang w:val="sk-SK"/>
        </w:rPr>
      </w:pPr>
    </w:p>
    <w:p w:rsidR="0099440F" w:rsidRPr="0099440F" w:rsidP="0099440F">
      <w:pPr>
        <w:tabs>
          <w:tab w:val="left" w:pos="142"/>
        </w:tabs>
        <w:bidi w:val="0"/>
        <w:spacing w:after="0" w:line="240" w:lineRule="auto"/>
        <w:ind w:firstLine="284"/>
        <w:jc w:val="both"/>
        <w:rPr>
          <w:rFonts w:ascii="Times New Roman" w:hAnsi="Times New Roman"/>
          <w:sz w:val="24"/>
          <w:szCs w:val="24"/>
          <w:lang w:val="sk-SK"/>
        </w:rPr>
      </w:pPr>
      <w:r w:rsidRPr="0099440F">
        <w:rPr>
          <w:rFonts w:ascii="Times New Roman" w:hAnsi="Times New Roman"/>
          <w:sz w:val="24"/>
          <w:szCs w:val="24"/>
          <w:lang w:val="sk-SK"/>
        </w:rPr>
        <w:t>K bodom 8 až 143</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V uvedených bodoch sa novelizuje sadzobník správnych poplatkov, v ktorom sa navrhuje vykonať viacero zmien a úprav. Z hľadiska vecného obsahu existujúcich spoplatňovaných úkonov a konaní sa  napr. položka 2 písm. a) rozčlenila na dva samostatné spoplatňované úkony, položka 29 sa spresnila o nový spoplatňovaný úkon, upravil sa text spoplatňovaného konania v položke 152 písm. c) a g).  </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Úkony a konania v položkách 28, 29b a 29c sa navrhujú vypustiť zo sadzobníka správnych poplatkov z dôvodu ich neuplatňovania v praxi a úkony a konania v položkách  155 až 159 sa v budúcnosti už nebudú spoplatňovať so zreteľom na ustanovenia Colného kódexu Spoločenstva, ktorým je aj Slovenská republika viazaná.</w:t>
        <w:tab/>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Zmeny sa v prevažnej časti sadzobníka správnych poplatkov dotýkajú úpravy sadzieb poplatkov, z ktorých ako príklad niektoré uvádzame: </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Sadzby poplatkov v položke 3 sa za osvedčenie podpisov na listine zvýšili z 0,50 eura na 2 eurá, za osvedčenie odtlačku pečiatky z 3 eur na 5 eur.</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V oblasti vnútornej správy sa v položke 34 za registráciu pozemkového spoločenstva upravila sadzba zo 16,50 eura na 65 eur. </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V časti upravujúcej úkony v pôdohospodárstve sa v položke 39 za uznanie poľovného revíru zvýšila súčasná sadzba 99,50 eura na 200 eur, v položke 42 sa za povolenie zmeny programu starostlivosti o lesy zvýšila sadzba na 30 eur z doterajších 6,50 eura.</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  Upravili sa v návrhu sadzby poplatkov v stavebnej správe a to v položke 59 za vydanie rozhodnutia o umiestnení stavby pre fyzické osoby zo sadzby 6,50 eura na 35 eur a pre právnické osoby zo sadzby 16,50 eura na 50 eur, v položke 60 sa za vydanie stavebného povolenia na rodinný dom upravila doterajšia sadzba 33 eur na 100 eur v závislosti od obostavaného priestoru stavby a aj sadzby za stavebné povolenia na ďalšie druhy stavieb sa upravili v závislosti od obostavaného priestoru od 10 eur do 1 000 eur,  dodatočné povolenie stavby v položke 61 sa navrhuje spoplatniť trojnásobkom sadzby platnej pri včas vydanom stavebnom povolení oproti doterajšiemu dvojnásobku, za vydanie kolaudačného rozhodnutia podľa položky 62a sa rovnako ako pri stavebnom povolení sadzba poplatku ustanovila podľa obostavaného priestoru stavby v rozpätí od  10 eur do 500 eur.</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V časti Doprava sa v predkladanom návrhu upravuje položka 65 a osobitne sa rieši spoplatnenie prvého zápisu držiteľa motorového vozidla kategórie L, M</w:t>
      </w:r>
      <w:r w:rsidRPr="0099440F">
        <w:rPr>
          <w:rFonts w:ascii="Times New Roman" w:hAnsi="Times New Roman"/>
          <w:sz w:val="24"/>
          <w:szCs w:val="24"/>
          <w:vertAlign w:val="subscript"/>
          <w:lang w:val="sk-SK"/>
        </w:rPr>
        <w:t xml:space="preserve">1 </w:t>
      </w:r>
      <w:r w:rsidRPr="0099440F">
        <w:rPr>
          <w:rFonts w:ascii="Times New Roman" w:hAnsi="Times New Roman"/>
          <w:sz w:val="24"/>
          <w:szCs w:val="24"/>
          <w:lang w:val="sk-SK"/>
        </w:rPr>
        <w:t>a N</w:t>
      </w:r>
      <w:r w:rsidRPr="0099440F">
        <w:rPr>
          <w:rFonts w:ascii="Times New Roman" w:hAnsi="Times New Roman"/>
          <w:sz w:val="24"/>
          <w:szCs w:val="24"/>
          <w:vertAlign w:val="subscript"/>
          <w:lang w:val="sk-SK"/>
        </w:rPr>
        <w:t>1</w:t>
      </w:r>
      <w:r w:rsidRPr="0099440F">
        <w:rPr>
          <w:rFonts w:ascii="Times New Roman" w:hAnsi="Times New Roman"/>
          <w:sz w:val="24"/>
          <w:szCs w:val="24"/>
          <w:lang w:val="sk-SK"/>
        </w:rPr>
        <w:t xml:space="preserve"> do evidencie vozidiel v Slovenskej republike a navrhuje sa sadzby poplatku odstupňovať v závislosti od výkonu motora.  Za prvý zápis vozidla kategórie L, M</w:t>
      </w:r>
      <w:r w:rsidRPr="0099440F">
        <w:rPr>
          <w:rFonts w:ascii="Times New Roman" w:hAnsi="Times New Roman"/>
          <w:sz w:val="24"/>
          <w:szCs w:val="24"/>
          <w:vertAlign w:val="subscript"/>
          <w:lang w:val="sk-SK"/>
        </w:rPr>
        <w:t xml:space="preserve">1 </w:t>
      </w:r>
      <w:r w:rsidRPr="0099440F">
        <w:rPr>
          <w:rFonts w:ascii="Times New Roman" w:hAnsi="Times New Roman"/>
          <w:sz w:val="24"/>
          <w:szCs w:val="24"/>
          <w:lang w:val="sk-SK"/>
        </w:rPr>
        <w:t>a N</w:t>
      </w:r>
      <w:r w:rsidRPr="0099440F">
        <w:rPr>
          <w:rFonts w:ascii="Times New Roman" w:hAnsi="Times New Roman"/>
          <w:sz w:val="24"/>
          <w:szCs w:val="24"/>
          <w:vertAlign w:val="subscript"/>
          <w:lang w:val="sk-SK"/>
        </w:rPr>
        <w:t>1</w:t>
      </w:r>
      <w:r w:rsidRPr="0099440F">
        <w:rPr>
          <w:rFonts w:ascii="Times New Roman" w:hAnsi="Times New Roman"/>
          <w:sz w:val="24"/>
          <w:szCs w:val="24"/>
          <w:lang w:val="sk-SK"/>
        </w:rPr>
        <w:t xml:space="preserve"> do výkonu motora 80 kW je sadzba poplatku 33 eur tak ako doposiaľ. Sadzba poplatku za zápisy do evidencie vozidiel pri ostatných kategóriách vozidiel sa v návrhu nemenia. Vydanie osvedčenia o registrácii autoškoly v položke 77 sa podľa návrhu spoplatní sadzbou 100 eur oproti súčasnej sadzbe 66 eur, v položke 79 sa napr. za vydanie dopravnej licencie na vnútroštátnu pravidelnú autobusovú dopravu zvyšuje sadzba zo 66 eur na 85 eur,  povolenie na zvláštne užívanie diaľnic, ciest a miestnych komunikácii na prepravu nadmerne ťažkých a rozmerných predmetov v položke 80 sa napr. pri prekročení prípustnej hmotnosti o 15% upravuje sadzba z 331,50 eura na 380 eur, v položke 83 sa za uzávierku diaľnice a rýchlostnej komunikácie upravuje sadzba zo 464,50 eura na 470 eur.</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 V položkách 151 a 152 sa spoplatnenie povoľovacej a registračnej činnosti v oblasti liekov zvyšuje napr. za vydanie rozhodnutia o samostatnej registrácii humánneho lieku z 2 489,50 eura na 9 600 eur.</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 V oblasti životného prostredia sa v položkách 160 až 171  upravujú sadzby s miernym navýšením existujúcich sadzieb. </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 Za oznámenie koncentrácie sa v položke 212 upravuje sadzba z 3 319 eur na 5 000 eur.</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Sadzby poplatkov v položkách 214 až 235 v oblasti priemyselných práv, patentov, úžitkových vzorov, ochranných známok, dizajnu sa v zásade len zaokrúhľujú na celé eurá.</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Úkony a konania zastupiteľských úradov v položkách 240 až 265 sadzobníka sa upravujú na porovnateľnú úroveň platieb v iných krajinách. Zvyšujú sa sadzby napr. za uzavretie manželstva pred zastupiteľským úradom zo 165,50 eura na 250 eur.</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Zároveň sú do sadzobníka doplňované nové spoplatňované úkony a konania, napr. v položke 2 za vydanie výpisu z matričnej knihy, v položke 28 za konanie o zrušení zariadenia civilnej ochrany, v položke 29 za povolenie aktivity v blízkosti štátnych hraníc. </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Nové spoplatňované úkony a konania sa navrhuje zaradiť do sadzobníka za predĺženie platnosti stavebného povolenia, vydanie rozhodnutia o uložení opatrenia na susednom pozemku, za ohlásenie drobnej stavby v položke 60a.</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O nové úkony sa doplňuje položka 70 za vydanie poverenia v oblasti prevádzkovateľov dráh,  položka 73 za vydanie osvedčenia o chválení vozidla na prepravu nebezpečných vecí, položka 79 za úkony týkajúce sa taxislužby, položka 77b za schválenie spôsobilosti trenažéra používaného v autoškole.</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 V položke 150 sa dopĺňa spoplatňovaný úkon za vydanie povolenia na činnosti vedúce k ožiareniu. </w:t>
      </w:r>
    </w:p>
    <w:p w:rsidR="0099440F" w:rsidRPr="0099440F" w:rsidP="0099440F">
      <w:pPr>
        <w:tabs>
          <w:tab w:val="left" w:pos="142"/>
        </w:tabs>
        <w:bidi w:val="0"/>
        <w:spacing w:after="0" w:line="240" w:lineRule="auto"/>
        <w:ind w:left="284" w:firstLine="424"/>
        <w:jc w:val="both"/>
        <w:rPr>
          <w:rFonts w:ascii="Times New Roman" w:hAnsi="Times New Roman"/>
          <w:sz w:val="24"/>
          <w:szCs w:val="24"/>
          <w:lang w:val="sk-SK"/>
        </w:rPr>
      </w:pPr>
      <w:r w:rsidRPr="0099440F">
        <w:rPr>
          <w:rFonts w:ascii="Times New Roman" w:hAnsi="Times New Roman"/>
          <w:sz w:val="24"/>
          <w:szCs w:val="24"/>
          <w:lang w:val="sk-SK"/>
        </w:rPr>
        <w:t xml:space="preserve">V oblasti bezpečnosti práce sa v položke 202 dopĺňajú nové úkony a konania za vydanie rozhodnutia o uznaní odbornej spôsobilosti fyzickej osoby, ktorá je občanom členského štátu EÚ.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Čl. II</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K bodu 1 </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Navrhovanou dikciou sa rieši nejednoznačnosť právnej úpravy v otázke osoby poplatníka  súdneho poplatku za konanie súdu o námietkach proti exekúcii. </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2</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Ide o formulačné precizovanie znenia ustanovenia § 4 ods. 2 písm. c) zákona o súdnych poplatkoch v zmysle zosúladenia dikcie so súčasne platnou právnou úpravou. </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3</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Navrhuje sa vyňatie konania vo veciach náhrady škody spôsobenej nezákonným rozhodnutím orgánu verejnej moci alebo jeho nesprávnym úradným postupom z rozsahu vecného oslobodenia. Týmto opatrením sa reaguje na nárast právne neopodstatnených žalôb o náhradu škody podľa zákona č. 514/2003 Z. z. na súdoch. V žalobách sú predmetom sporu istiny v sumách nezriedka presahujúcich milióny eur bez toho, aby nároky žalobcov mali oporu v zákone. Oslobodenie od súdneho poplatku v súdnom konaní o náhradu škody má pre súdy v konečnom dôsledku za následok výrazný nárast sporovej agendy, keďže v štádiu predbežného prerokovania nároku v konaní pred ústredným orgánom štátnej správy nie je možné nárokom žiadateľov z dôvodu právnej neopodstatnenosti vyhovieť. Pokiaľ sa v súdnom konaní preukáže nezákonné rozhodnutie orgánu štátu, prípadne jeho nesprávny úradný postup a štát bude zaviazaný na náhradu škody, úspešnému žalobcovi v rámci náhrady trov konania prizná i náhradu trov na zaplatenom súdnom poplatku.  </w:t>
        <w:tab/>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Žaloby sa budú spoplatňovať podľa Položky č. 1 Sadzobníka súdnych poplatkov.</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4</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Vzhľadom na nejednotnú prax súdov v otázke osobného oslobodenia štátnych zamestnancov ako navrhovateľov od súdnych poplatkov v konaniach o určenie neplatnosti rozviazania pracovného pomeru a pri uplatnení nárokov z neplatného rozviazania pracovného pomeru sa precizuje právna úprava explicitným vymedzením, že zákonné oslobodenie podľa § 4 ods. 2 písm. d) zákona o súdnych poplatkoch sa vzťahuje na tieto konanie aj v prípade, ak sa týkajú štátnozamestnaneckého pomeru.</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5</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Navrhovanú zmenu právnej úpravy si vyžiadalo plnenie úloh vyplývajúcich pre Slovenskú republiku z nariadenia </w:t>
      </w:r>
      <w:r w:rsidRPr="0099440F">
        <w:rPr>
          <w:rFonts w:ascii="Times New Roman" w:hAnsi="Times New Roman"/>
          <w:sz w:val="24"/>
          <w:szCs w:val="24"/>
          <w:lang w:val="sk-SK"/>
        </w:rPr>
        <w:t>Rady (ES) č. 4/2009 z 18. decembra 2008 o právomoci, rozhodnom práve, uznávaní a výkone rozhodnutí a o spolupráci vo veciach vyživovacej povinnosti, ktoré sa začalo vykonávať od 18. júna 2011 a</w:t>
      </w:r>
      <w:r w:rsidRPr="0099440F">
        <w:rPr>
          <w:rFonts w:ascii="Times New Roman" w:hAnsi="Times New Roman"/>
          <w:color w:val="000000"/>
          <w:sz w:val="24"/>
          <w:szCs w:val="24"/>
          <w:lang w:val="sk-SK"/>
        </w:rPr>
        <w:t> je reakciou na praktické aspekty jeho aplikácie.</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Z článku 46 tohto nariadenia vyplýva povinnosť poskytnúť oprávnenému mladšiemu ako 21 rokov úplnú bezplatnú právnu pomoc v dožiadanom štáte. V rámci Slovenskej republiky sa však, ako čiastočná výnimka z toho ustanovenia, bude uplatňovať aj mechanizmus článku 44 ods. 3 nariadenia, kde ústredný orgán (Centrum pre medzinárodnoprávnu ochranu detí a mládeže) bude poskytovať svoje služby bezplatne, ak konanie v Slovenskej republike umožňuje účastníkom konať bez potreby právnej pomoci. Toto platí v prípade konania o určenie a zvýšenie výživného (§ 4 ods. 2 písm. e) zákona </w:t>
        <w:br/>
        <w:t xml:space="preserve">o súdnych poplatkoch), avšak bezplatnosť nie je ošetrená pre prípady, v ktorých sa bude vyžadovať vyhlásenie vykonateľnosti cudzieho rozhodnutia. Pôjde o prípady, na ktoré sa vzťahuje oddiel 2 Kapitoly IV nariadenia, ako aj čl. 75 ods. 2 nariadenia. </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Nariadenie vyžaduje úplnú bezplatnosť len v prípade osôb mladších ako 21 rokov. Vzhľadom na skutočnosť, že nárokov na vyživovaciu povinnosť iných osôb v cezhraničnej situácii je neporovnateľne menej, navrhuje sa v rámci filozofie § 4 ods. 2 písm. e) citovaného zákona oslobodenie rozšíriť na všetkých oprávnených. </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6 a 7</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Osobné oslobodenie profesionálnych vojakov ozbrojených síl Slovenskej republiky, príslušníkov Policajného zboru, Zboru väzenskej a justičnej stráže Slovenskej republiky, Národného bezpečnostného úradu, Slovenskej informačnej služby a colníkov pre všetky konania o preskúmanie rozhodnutí ich služobných orgánov podľa osobitných predpisov predstavuje vo vzťahu k štátnym zamestnancov v režime zákona č. 400/2009 Z. z. o štátnej službe v znení neskorších predpisov neprimerané zvýhodnenie. Preto sa navrhuje zúžiť rozsah osobného oslobodenia týchto kategórií štátnych zamestnancov iba na konania o preskúmanie rozhodnutí služobných orgánov, ktorý sa týkajú </w:t>
      </w:r>
      <w:r w:rsidRPr="0099440F">
        <w:rPr>
          <w:rFonts w:ascii="Times New Roman" w:hAnsi="Times New Roman"/>
          <w:sz w:val="24"/>
          <w:szCs w:val="24"/>
          <w:lang w:val="sk-SK"/>
        </w:rPr>
        <w:t>skončenia služobného pomeru a s tým súvisiacich nárokov, t.j. nie na všetky rozhodnutia služobných orgánov, napr. rozhodnutia o služobnom hodnotení, disciplinárnych trestoch a pod.</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8</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Návrh reaguje na nejednoznačný výklad a rozhodovaciu prax súdov pri uplatňovaní zákonného osobného oslobodenia správcu konkurznej podstaty pri uplatňovaní nárokov úpadcu v súdnom konaní. V aplikačnej praxi sa rozmohli postupy, kedy je na úpadcov postupované značné množstvo pohľadávok a správcovia ich následne začínajú uplatňovať na súdoch. V týchto prípadoch ide o vymáhanie nárokov z pohľadávok postúpených na úpadcu až po vyhlásení konkurzu. Javí sa, že predmetnou aktivitou sa obchádza skutočný zmysel a účel konkurzu, pri nezanedbateľnej motivácii žalovať postúpené a po vyhlásení konkurzu nadobudnuté pohľadávky bez povinnosti platiť súdny poplatok. Konanie úpadcov, ktorí po vyhlásení konkurzu nadobúdajú majetkové práva, tak indikuje postup súvisiaci s prevádzkou podniku, priečiaci sa však samotnému zmyslu konkurzu. Označené konanie úpadcu môže mať – ako indikuje súdna prax – dopad aj na otázky dodržiavania záväzkov Slovenskej republiky vo vzťahu k Európskej únii vo sfére ochrany spotrebiteľa. Krajský súd v Prešove predložil Súdnemu dvoru Európskej únie prejudiciálne otázky (konanie C-433/11 SKP), týkajúce sa postupovania pohľadávok na subjekt v konkurze ako potenciálnej nekalej obchodnej praktiky spôsobilej poškodiť práva spotrebiteľa, resp. odradiť ho od uplatňovania jeho práv. Vzhľadom na uvedené a v snahe odstrániť nejasný výklad a aplikáciu sa navrhuje nové znenie písmena m), podľa ktorého bude správca konkurznej podstaty od súdneho poplatku oslobodený iba v prípadoch, ak nepôjde o uplatňovanie nárokov z pohľadávok postúpených na úpadcu po vyhlásení konkurzu.</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9</w:t>
      </w:r>
    </w:p>
    <w:p w:rsidR="0099440F" w:rsidRPr="0099440F" w:rsidP="0099440F">
      <w:pPr>
        <w:tabs>
          <w:tab w:val="left" w:pos="142"/>
          <w:tab w:val="left" w:pos="284"/>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Formulačne sa precizuje dikcia zákonného ustanovenia. Právna úprava reaguje na zrušenie zákona Národnej rady Slovenskej republiky č. 283/1995 Z. z. o utečencoch v znení neskorších predpisov zákonom č. 480/2002 Z. z. o azyle a o zmene a doplnení niektorých zákonov v znení neskorších predpisov (účinným od 1. januára 2003).</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10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Ide o legislatívno-technickú úpravu o spôsobe platenia súdnych poplatkov.  </w:t>
      </w:r>
    </w:p>
    <w:p w:rsidR="0099440F" w:rsidRPr="0099440F" w:rsidP="0099440F">
      <w:pPr>
        <w:tabs>
          <w:tab w:val="left" w:pos="142"/>
        </w:tabs>
        <w:bidi w:val="0"/>
        <w:spacing w:after="0" w:line="240" w:lineRule="auto"/>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11</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Navrhovanou právnou úpravou sa reaguje na aplikačné problémy a nejednotnú prax súdov v nadväznosti na vymáhanie súdnych pohľadávok Justičnou pokladnicou. Ide o prípady, kedy odporca podá odpor proti platobnému rozkazu, súd uznesením vyrubí súdny poplatok za odpor, ktorý však odporca nezaplatí a následne pred začatím pojednávania vo veci samej navrhovateľ vezme návrh na začatie konania späť alebo sa konanie z iných dôvodov zastaví. Uznesenie o poplatkovej povinnosti však nadobudlo právoplatnosť a vykonateľnosť a stalo sa teda spôsobilým titulom na vymáhanie súdnej pohľadávky. Zastavenie konania vo vyššie vymedzených prípadoch je dôvodom na vrátenie poplatku za odpor podľa § 11 ods. 9 zákona o súdnych poplatkoch. V prípade nezaplatených poplatkov však legislatívny nedostatok ustanovenia § 11 viedol súdy k tomu, aby takéto uznesenie o poplatkovej povinnosti predložili Justičnej pokladnici na vymáhanie pohľadávky na súdnom poplatku a po jeho vymožení sa odporcovi poplatok vrátil podľa § 11 ods. 9 v spojení s § 11 ods. 4 zákona o súdnych poplatkoch.</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 xml:space="preserve">Z hľadiska celkovej efektívnosti rozhodovacej činnosti, ako aj vymáhania súdnych pohľadávok sa súčasný právny stav javí ako neúmerne zaťažujúci agendu súdov v podobných prípadoch.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K bodu 12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Doplňuje sa prechodné ustanovenie o uplatnení právnych predpisov po nadobudnutí účinnosti tejto novely zákona.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K bodu 13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Nadväzne na posunutie termínu zrušenia kolkových známok z januára 2013 na  1. január 2014 (Čl. IV predmetného materiálu) sa mení prechodné ustanovenie o možnosti používania kolkových známok. Podľa navrhovanej úpravu bude možné kolkové známky používať  na úhradu súdneho poplatku do septembra 2014. </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14</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Navrhuje sa zvýšenie poplatkov podľa Položky 10 Sadzobníka súdnych poplatkov zo 66 eur na 70 eur s tým, že vo veciach osobitne náročných sa poplatok zvyšuje na 500 eur. Jedná sa o rozhodnutia orgánov s celoslovenskou pôsobnosťou okrem ministerstiev. V týchto prípadoch pôjde o preskúmavanie rozhodnutí štátnych orgánov, ktoré v rámci princípov funkčnej príslušnosti rozhodujú v oboch inštančných stupňoch (nepôjde tak o prípady, kedy v prvom stupni rozhoduje miestne alokovaný štátny orgán) – v praxi pôjde najmä o rozhodnutia tzv. regulačných orgánov ako Telekomunikačný úrad SR, Úrad pre reguláciu sieťových odvetví, Úrad pre verejné obstarávanie, Protimonopolný úrad SR, Úrad priemyselného vlastníctva SR.</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color w:val="000000"/>
          <w:sz w:val="24"/>
          <w:szCs w:val="24"/>
          <w:lang w:val="sk-SK"/>
        </w:rPr>
        <w:t>Osobitne sa vymedzuje položka pre odvolanie proti rozhodnutiam Rady pre vysielanie a retransmisiu vo veciach</w:t>
      </w:r>
      <w:r w:rsidRPr="0099440F">
        <w:rPr>
          <w:rFonts w:ascii="Times New Roman" w:hAnsi="Times New Roman"/>
          <w:sz w:val="24"/>
          <w:szCs w:val="24"/>
          <w:lang w:val="sk-SK"/>
        </w:rPr>
        <w:t xml:space="preserve"> regulácie v oblasti vysielania, retransmisie a poskytovania audiovizuálnych mediálnych služieb. Vzhľadom na osobitnú náročnosť sa navrhuje zvýšený súdny poplatok.</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Poplatok sa bude platiť tiež v závislosti od výšky uloženej sankcie (pokuty) za správny delikt, príp. určenej alebo dodatočne vyrubenej dane alebo cla, najviac do výšky 20 000 eur. Týmto spôsobom sa zvýrazní náročnosť a ekonomický dosah konania a rozhodovania súdov v správnom súdnictve, kde konanie spravidla končí na Najvyššom súde SR.</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15</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Nakoľko znenie položky 18d Sadzobníka súdnych poplatkov nebolo v minulosti doplnené o „návrh na vyhlásenie vykonateľnosti cudzieho rozhodnutia“ a vyberanie súdneho poplatku z návrhu na vyhlásenie vykonateľnosti cudzích rozhodnutí podľa nariadení EÚ sa rieši zatiaľ len interpretačne cez ustanovenia zákona č. 97/1963 Zb. o medzinárodnom práve súkromnom a procesnom, navrhuje sa uvedeným spôsobom doplnenie tejto položky sadzobníka.</w:t>
      </w: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p>
    <w:p w:rsidR="0099440F" w:rsidRPr="0099440F" w:rsidP="0099440F">
      <w:pPr>
        <w:tabs>
          <w:tab w:val="left" w:pos="142"/>
        </w:tabs>
        <w:bidi w:val="0"/>
        <w:spacing w:after="0" w:line="240" w:lineRule="auto"/>
        <w:ind w:left="284"/>
        <w:jc w:val="both"/>
        <w:rPr>
          <w:rFonts w:ascii="Times New Roman" w:hAnsi="Times New Roman"/>
          <w:color w:val="000000"/>
          <w:sz w:val="24"/>
          <w:szCs w:val="24"/>
          <w:lang w:val="sk-SK"/>
        </w:rPr>
      </w:pPr>
      <w:r w:rsidRPr="0099440F">
        <w:rPr>
          <w:rFonts w:ascii="Times New Roman" w:hAnsi="Times New Roman"/>
          <w:color w:val="000000"/>
          <w:sz w:val="24"/>
          <w:szCs w:val="24"/>
          <w:lang w:val="sk-SK"/>
        </w:rPr>
        <w:t>K bodu 16</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Navrhuje sa zavedenie novej položky sadzobníka súdnych poplatkov, ktorej obsahom je súdny poplatok za vyhotovenie osvedčenia vydaného krajským súdom na verejnú listinu podľa § 352b ods. 1 Občianskeho súdneho poriadku s výnimkou verejnej listiny vo veci vyživovacej povinnosti.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Účelom navrhovanej úpravy je odstrániť nejednotnosť v postupe súdov pri vyberaní súdneho poplatku za vydanie osvedčenia. Časť súdov vyberá poplatok podľa Položky 24a Sadzobníka súdnych poplatkov, ktorá sa vzťahuje na vyhotovenie úradného osvedčenia o skutočnostiach známych zo súdnych spisov a spisov bývalých štátnych notárstiev, väčšina súdov však tento úkon – vydanie osvedčení podľa nariadení EÚ nespoplatňuje. Z legislatívnej histórie je zrejmé, že položka 24a Sadzobníka súdnych poplatkov bola do zákona o súdnych poplatkoch doplnená ešte pred vstupom Slovenskej republiky do Európskej únie a nemožno ju na osvedčenia vydávané podľa § 352b Občianskeho súdneho poriadku vzťahovať.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Európska komisia v otázke vyberania poplatku za vydanie osvedčenia (napr. podľa nariadenia Rady (ES) č. 2201/2003 z 27. novembra 2003 o právomoci a uznávaní a výkone rozsudkov v manželských veciach a vo veciach rodičovských práv a povinností, ktorým sa zrušuje nariadenie (ES) č. 1347/2000, nariadenie Európskeho parlamentu a Rady (ES) </w:t>
        <w:br/>
      </w:r>
      <w:hyperlink r:id="rId6" w:tgtFrame="_blank" w:tooltip="Nariadenie Eur~pskeho parlamentu a Rady (ES) Ŕ. 805/2004 z 21. aprÝla 2004, ktorřm sa vytvßra eur~psky exekuŔnř titul pre nespornÚ nßroky " w:history="1">
        <w:r w:rsidRPr="0099440F">
          <w:rPr>
            <w:rStyle w:val="Hyperlink"/>
            <w:rFonts w:ascii="Times New Roman" w:hAnsi="Times New Roman"/>
            <w:sz w:val="24"/>
            <w:szCs w:val="24"/>
            <w:lang w:val="sk-SK"/>
          </w:rPr>
          <w:t>č. 805/2004</w:t>
        </w:r>
      </w:hyperlink>
      <w:r w:rsidRPr="0099440F">
        <w:rPr>
          <w:rFonts w:ascii="Times New Roman" w:hAnsi="Times New Roman"/>
          <w:sz w:val="24"/>
          <w:szCs w:val="24"/>
          <w:lang w:val="sk-SK"/>
        </w:rPr>
        <w:t xml:space="preserve">, ktorým sa vytvára exekučný titul pre nesporné nároky) zastáva názor, že poplatok za vydanie osvedčenia by mal byť obsiahnutý v súdnom poplatku, ktorý sa platí už za podanie návrhu vo veci samej. Teda vydanie osvedčenia by sa malo považovať za pokračovanie úkonov spojených s daným konaním (ako vydanie rozsudku či jeho opatrenie doložkou právoplatnosti). Súčasne však vzhľadom na charakter nariadenia Rady (ES) </w:t>
        <w:br/>
        <w:t>č. 4/2009 z 18. decembra 2008 o právomoci, rozhodnom práve, uznávaní a výkone rozhodnutí a o spolupráci vo veciach vyživovacej povinnosti nepovažuje za žiaduce vyberať poplatky za osvedčenia vydávané podľa tohto nariadenia.</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Sledujúc túto filozofiu Komisie sa navrhuje zavedenie súdneho poplatku, ktorý by sa vzťahoval len na vyhotovenie osvedčenia vydávaného krajským súdom na verejné listiny (príloha III nariadenia (ES) č. 805/2004) s výnimkou verejných listín vo veci vyživovacej povinnosti.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Poplatok sa s ohľadom na značnú náročnosť vyhotovovania osvedčení navrhuje v sume     3 eurá za osvedčenie.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bodu 17</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Upravujú sa sadzby poplatkov za úkony prokuratúry.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Čl. III</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K bodom 1 až 3</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Spresňuje sa ustanovenie, podľa ktorého má Ministerstvo financií SR z úradnej moci oprávnenie zmeniť udelenú licenciu na prevádzkovanie hazardných hier, ak dôjde k zmenách v príslušných právnych predpisoch. Zároveň sa upravuje percento odvodu do štátneho rozpočtu pri číselných lotériách a dopĺňa sa prechodné ustanovenie.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Čl. IV</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K bodom 1 až 10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V predmetných bodoch sa nadväzne na posunutie účinnosti zrušenia kolkových známok od 1. januára 2014 upravujú dátumy rozhodujúcich skutočností spojených s vydávaním, používaním a vyúčtovaním kolkových známok. Podľa navrhovaných úprav sa kolkové známky budú predávať do 31. decembra 2013 a používať ich na úhradu správnych a súdnych poplatkov bude možné do konca septembra 2014. Zakúpené a nepoužité kolkové známky bude možné vrátiť prostredníctvom Slovenskej pošty, a.s. Banská Bystrica a žiadateľovi sa do 30 dní vráti hodnota kolkových známok po overení ich pravosti. </w:t>
      </w:r>
    </w:p>
    <w:p w:rsidR="0099440F" w:rsidRPr="0099440F" w:rsidP="0099440F">
      <w:pPr>
        <w:tabs>
          <w:tab w:val="left" w:pos="142"/>
        </w:tabs>
        <w:bidi w:val="0"/>
        <w:spacing w:after="0" w:line="240" w:lineRule="auto"/>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Čl. V</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r w:rsidRPr="0099440F">
        <w:rPr>
          <w:rFonts w:ascii="Times New Roman" w:hAnsi="Times New Roman"/>
          <w:sz w:val="24"/>
          <w:szCs w:val="24"/>
          <w:lang w:val="sk-SK"/>
        </w:rPr>
        <w:t xml:space="preserve">Upravuje sa delená účinnosť predloženého zákona nadväzne na nadobudnutie účinnosti novely cestného zákona a na navrhované úpravy, ktoré majú nadobudnúť účinnosť až od zrušenia kolkových známok. </w:t>
      </w:r>
    </w:p>
    <w:p w:rsidR="0099440F" w:rsidRPr="0099440F" w:rsidP="0099440F">
      <w:pPr>
        <w:tabs>
          <w:tab w:val="left" w:pos="142"/>
        </w:tabs>
        <w:bidi w:val="0"/>
        <w:spacing w:after="0" w:line="240" w:lineRule="auto"/>
        <w:ind w:left="284"/>
        <w:jc w:val="both"/>
        <w:rPr>
          <w:rFonts w:ascii="Times New Roman" w:hAnsi="Times New Roman"/>
          <w:sz w:val="24"/>
          <w:szCs w:val="24"/>
          <w:lang w:val="sk-SK"/>
        </w:rPr>
      </w:pPr>
    </w:p>
    <w:p w:rsidR="0099440F" w:rsidRPr="0099440F" w:rsidP="0099440F">
      <w:pPr>
        <w:tabs>
          <w:tab w:val="left" w:pos="142"/>
        </w:tabs>
        <w:bidi w:val="0"/>
        <w:spacing w:after="0" w:line="240" w:lineRule="auto"/>
        <w:ind w:firstLine="708"/>
        <w:rPr>
          <w:rFonts w:ascii="Times New Roman" w:hAnsi="Times New Roman"/>
          <w:sz w:val="24"/>
          <w:szCs w:val="24"/>
          <w:lang w:val="sk-SK"/>
        </w:rPr>
      </w:pPr>
      <w:r w:rsidRPr="0099440F">
        <w:rPr>
          <w:rFonts w:ascii="Times New Roman" w:hAnsi="Times New Roman"/>
          <w:sz w:val="24"/>
          <w:szCs w:val="24"/>
          <w:lang w:val="sk-SK"/>
        </w:rPr>
        <w:t>Schválené na rokovaní vlády Slovenskej republiky dňa 6. júla 2012.</w:t>
      </w:r>
    </w:p>
    <w:p w:rsidR="0099440F" w:rsidRPr="0099440F" w:rsidP="0099440F">
      <w:pPr>
        <w:tabs>
          <w:tab w:val="left" w:pos="142"/>
        </w:tabs>
        <w:bidi w:val="0"/>
        <w:spacing w:after="0" w:line="240" w:lineRule="auto"/>
        <w:rPr>
          <w:rFonts w:ascii="Times New Roman" w:hAnsi="Times New Roman"/>
          <w:sz w:val="24"/>
          <w:szCs w:val="24"/>
          <w:lang w:val="sk-SK"/>
        </w:rPr>
      </w:pPr>
    </w:p>
    <w:p w:rsidR="0099440F" w:rsidRPr="0099440F" w:rsidP="0099440F">
      <w:pPr>
        <w:pStyle w:val="BodyTextIndent3"/>
        <w:tabs>
          <w:tab w:val="left" w:pos="142"/>
        </w:tabs>
        <w:bidi w:val="0"/>
        <w:spacing w:after="0" w:line="240" w:lineRule="auto"/>
        <w:ind w:left="0"/>
        <w:rPr>
          <w:rFonts w:ascii="Times New Roman" w:hAnsi="Times New Roman"/>
          <w:sz w:val="24"/>
          <w:szCs w:val="24"/>
          <w:lang w:val="sk-SK"/>
        </w:rPr>
      </w:pPr>
    </w:p>
    <w:p w:rsidR="0099440F" w:rsidRPr="0099440F" w:rsidP="0099440F">
      <w:pPr>
        <w:pStyle w:val="BodyTextIndent3"/>
        <w:tabs>
          <w:tab w:val="left" w:pos="142"/>
        </w:tabs>
        <w:bidi w:val="0"/>
        <w:spacing w:after="0" w:line="240" w:lineRule="auto"/>
        <w:ind w:left="0"/>
        <w:rPr>
          <w:rFonts w:ascii="Times New Roman" w:hAnsi="Times New Roman"/>
          <w:sz w:val="24"/>
          <w:szCs w:val="24"/>
          <w:lang w:val="sk-SK"/>
        </w:rPr>
      </w:pPr>
    </w:p>
    <w:p w:rsidR="0099440F" w:rsidRPr="0099440F" w:rsidP="0099440F">
      <w:pPr>
        <w:pStyle w:val="BodyTextIndent3"/>
        <w:tabs>
          <w:tab w:val="left" w:pos="142"/>
        </w:tabs>
        <w:bidi w:val="0"/>
        <w:spacing w:after="0" w:line="240" w:lineRule="auto"/>
        <w:ind w:left="0"/>
        <w:rPr>
          <w:rFonts w:ascii="Times New Roman" w:hAnsi="Times New Roman"/>
          <w:b/>
          <w:bCs/>
          <w:sz w:val="24"/>
          <w:szCs w:val="24"/>
          <w:lang w:val="sk-SK"/>
        </w:rPr>
      </w:pPr>
    </w:p>
    <w:p w:rsidR="0099440F" w:rsidRPr="0099440F" w:rsidP="0099440F">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Pr>
          <w:rFonts w:ascii="Times New Roman" w:hAnsi="Times New Roman"/>
          <w:b/>
          <w:bCs/>
          <w:sz w:val="24"/>
          <w:szCs w:val="24"/>
          <w:lang w:val="sk-SK"/>
        </w:rPr>
        <w:t>Peter Kažimír</w:t>
      </w:r>
      <w:r w:rsidR="00784710">
        <w:rPr>
          <w:rFonts w:ascii="Times New Roman" w:hAnsi="Times New Roman"/>
          <w:b/>
          <w:bCs/>
          <w:sz w:val="24"/>
          <w:szCs w:val="24"/>
          <w:lang w:val="sk-SK"/>
        </w:rPr>
        <w:t>, v. r.</w:t>
      </w:r>
    </w:p>
    <w:p w:rsidR="0099440F" w:rsidRPr="0099440F" w:rsidP="0099440F">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Pr>
          <w:rFonts w:ascii="Times New Roman" w:hAnsi="Times New Roman"/>
          <w:b/>
          <w:bCs/>
          <w:sz w:val="24"/>
          <w:szCs w:val="24"/>
          <w:lang w:val="sk-SK"/>
        </w:rPr>
        <w:t>podpredseda vlády a</w:t>
      </w:r>
    </w:p>
    <w:p w:rsidR="0099440F" w:rsidRPr="0099440F" w:rsidP="0099440F">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Pr>
          <w:rFonts w:ascii="Times New Roman" w:hAnsi="Times New Roman"/>
          <w:b/>
          <w:bCs/>
          <w:sz w:val="24"/>
          <w:szCs w:val="24"/>
          <w:lang w:val="sk-SK"/>
        </w:rPr>
        <w:t>minister financií Slovenskej republiky</w:t>
      </w:r>
    </w:p>
    <w:p w:rsidR="0099440F" w:rsidRPr="0099440F" w:rsidP="0099440F">
      <w:pPr>
        <w:pStyle w:val="BodyTextIndent3"/>
        <w:tabs>
          <w:tab w:val="left" w:pos="142"/>
        </w:tabs>
        <w:bidi w:val="0"/>
        <w:spacing w:after="0" w:line="240" w:lineRule="auto"/>
        <w:ind w:left="0"/>
        <w:jc w:val="center"/>
        <w:rPr>
          <w:rFonts w:ascii="Times New Roman" w:hAnsi="Times New Roman"/>
          <w:b/>
          <w:bCs/>
          <w:sz w:val="24"/>
          <w:szCs w:val="24"/>
          <w:lang w:val="sk-SK"/>
        </w:rPr>
      </w:pPr>
    </w:p>
    <w:p w:rsidR="0099440F" w:rsidRPr="0099440F" w:rsidP="0099440F">
      <w:pPr>
        <w:pStyle w:val="BodyTextIndent3"/>
        <w:tabs>
          <w:tab w:val="left" w:pos="142"/>
        </w:tabs>
        <w:bidi w:val="0"/>
        <w:spacing w:after="0" w:line="240" w:lineRule="auto"/>
        <w:ind w:left="0"/>
        <w:jc w:val="center"/>
        <w:rPr>
          <w:rFonts w:ascii="Times New Roman" w:hAnsi="Times New Roman"/>
          <w:b/>
          <w:bCs/>
          <w:sz w:val="24"/>
          <w:szCs w:val="24"/>
          <w:lang w:val="sk-SK"/>
        </w:rPr>
      </w:pPr>
    </w:p>
    <w:p w:rsidR="0099440F" w:rsidRPr="0099440F" w:rsidP="0099440F">
      <w:pPr>
        <w:pStyle w:val="BodyTextIndent3"/>
        <w:tabs>
          <w:tab w:val="left" w:pos="142"/>
        </w:tabs>
        <w:bidi w:val="0"/>
        <w:spacing w:after="0" w:line="240" w:lineRule="auto"/>
        <w:ind w:left="0"/>
        <w:jc w:val="center"/>
        <w:rPr>
          <w:rFonts w:ascii="Times New Roman" w:hAnsi="Times New Roman"/>
          <w:b/>
          <w:bCs/>
          <w:sz w:val="24"/>
          <w:szCs w:val="24"/>
          <w:lang w:val="sk-SK"/>
        </w:rPr>
      </w:pPr>
    </w:p>
    <w:p w:rsidR="0099440F" w:rsidRPr="0099440F" w:rsidP="0099440F">
      <w:pPr>
        <w:pStyle w:val="BodyTextIndent3"/>
        <w:tabs>
          <w:tab w:val="left" w:pos="142"/>
        </w:tabs>
        <w:bidi w:val="0"/>
        <w:spacing w:after="0" w:line="240" w:lineRule="auto"/>
        <w:ind w:left="0"/>
        <w:jc w:val="center"/>
        <w:rPr>
          <w:rFonts w:ascii="Times New Roman" w:hAnsi="Times New Roman"/>
          <w:b/>
          <w:bCs/>
          <w:sz w:val="24"/>
          <w:szCs w:val="24"/>
          <w:lang w:val="sk-SK"/>
        </w:rPr>
      </w:pPr>
      <w:r w:rsidRPr="0099440F">
        <w:rPr>
          <w:rFonts w:ascii="Times New Roman" w:hAnsi="Times New Roman"/>
          <w:b/>
          <w:bCs/>
          <w:sz w:val="24"/>
          <w:szCs w:val="24"/>
          <w:lang w:val="sk-SK"/>
        </w:rPr>
        <w:t>Robert Fico</w:t>
      </w:r>
      <w:r w:rsidR="00784710">
        <w:rPr>
          <w:rFonts w:ascii="Times New Roman" w:hAnsi="Times New Roman"/>
          <w:b/>
          <w:bCs/>
          <w:sz w:val="24"/>
          <w:szCs w:val="24"/>
          <w:lang w:val="sk-SK"/>
        </w:rPr>
        <w:t>, v. r.</w:t>
      </w:r>
    </w:p>
    <w:p w:rsidR="0099440F" w:rsidRPr="0099440F" w:rsidP="0099440F">
      <w:pPr>
        <w:bidi w:val="0"/>
        <w:spacing w:after="0" w:line="240" w:lineRule="auto"/>
        <w:ind w:left="2124" w:firstLine="708"/>
        <w:jc w:val="both"/>
        <w:rPr>
          <w:rFonts w:ascii="Times New Roman" w:hAnsi="Times New Roman"/>
          <w:b/>
          <w:bCs/>
          <w:color w:val="000000"/>
          <w:sz w:val="24"/>
          <w:szCs w:val="24"/>
          <w:lang w:val="sk-SK"/>
        </w:rPr>
      </w:pPr>
      <w:r w:rsidRPr="0099440F">
        <w:rPr>
          <w:rFonts w:ascii="Times New Roman" w:hAnsi="Times New Roman"/>
          <w:b/>
          <w:bCs/>
          <w:sz w:val="24"/>
          <w:szCs w:val="24"/>
          <w:lang w:val="sk-SK"/>
        </w:rPr>
        <w:t>predseda vlády Slovenskej republiky</w:t>
      </w:r>
    </w:p>
    <w:sectPr w:rsidSect="00933ACE">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27" w:rsidRPr="00683C27">
    <w:pPr>
      <w:pStyle w:val="Footer"/>
      <w:bidi w:val="0"/>
      <w:jc w:val="center"/>
      <w:rPr>
        <w:rFonts w:ascii="Times New Roman" w:hAnsi="Times New Roman"/>
        <w:sz w:val="20"/>
        <w:szCs w:val="20"/>
      </w:rPr>
    </w:pPr>
    <w:r w:rsidRPr="00683C27">
      <w:rPr>
        <w:rFonts w:ascii="Times New Roman" w:hAnsi="Times New Roman"/>
        <w:sz w:val="20"/>
        <w:szCs w:val="20"/>
      </w:rPr>
      <w:fldChar w:fldCharType="begin"/>
    </w:r>
    <w:r w:rsidRPr="00683C27">
      <w:rPr>
        <w:rFonts w:ascii="Times New Roman" w:hAnsi="Times New Roman"/>
        <w:sz w:val="20"/>
        <w:szCs w:val="20"/>
      </w:rPr>
      <w:instrText xml:space="preserve"> PAGE   \* MERGEFORMAT </w:instrText>
    </w:r>
    <w:r w:rsidRPr="00683C27">
      <w:rPr>
        <w:rFonts w:ascii="Times New Roman" w:hAnsi="Times New Roman"/>
        <w:sz w:val="20"/>
        <w:szCs w:val="20"/>
      </w:rPr>
      <w:fldChar w:fldCharType="separate"/>
    </w:r>
    <w:r w:rsidR="00784710">
      <w:rPr>
        <w:rFonts w:ascii="Times New Roman" w:hAnsi="Times New Roman"/>
        <w:noProof/>
        <w:sz w:val="20"/>
        <w:szCs w:val="20"/>
      </w:rPr>
      <w:t>15</w:t>
    </w:r>
    <w:r w:rsidRPr="00683C27">
      <w:rPr>
        <w:rFonts w:ascii="Times New Roman" w:hAnsi="Times New Roman"/>
        <w:sz w:val="20"/>
        <w:szCs w:val="20"/>
      </w:rPr>
      <w:fldChar w:fldCharType="end"/>
    </w:r>
  </w:p>
  <w:p w:rsidR="00683C2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2BC84CD3"/>
    <w:multiLevelType w:val="hybridMultilevel"/>
    <w:tmpl w:val="1462613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5BA75A50"/>
    <w:multiLevelType w:val="hybridMultilevel"/>
    <w:tmpl w:val="1462613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5">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F156C3"/>
    <w:rsid w:val="000012EF"/>
    <w:rsid w:val="00030FA2"/>
    <w:rsid w:val="00083B21"/>
    <w:rsid w:val="000A153B"/>
    <w:rsid w:val="00104576"/>
    <w:rsid w:val="00106D0A"/>
    <w:rsid w:val="001132C4"/>
    <w:rsid w:val="00141E3D"/>
    <w:rsid w:val="001D147A"/>
    <w:rsid w:val="001F1B7C"/>
    <w:rsid w:val="00286939"/>
    <w:rsid w:val="00303F9B"/>
    <w:rsid w:val="00316A96"/>
    <w:rsid w:val="0035123D"/>
    <w:rsid w:val="00355778"/>
    <w:rsid w:val="0035741F"/>
    <w:rsid w:val="003641AD"/>
    <w:rsid w:val="004161A1"/>
    <w:rsid w:val="004325D7"/>
    <w:rsid w:val="00461C07"/>
    <w:rsid w:val="00497DCC"/>
    <w:rsid w:val="004C6E69"/>
    <w:rsid w:val="00515EE2"/>
    <w:rsid w:val="005326A2"/>
    <w:rsid w:val="005336C3"/>
    <w:rsid w:val="005440AF"/>
    <w:rsid w:val="00551A92"/>
    <w:rsid w:val="00592CBE"/>
    <w:rsid w:val="005940E4"/>
    <w:rsid w:val="005E43D5"/>
    <w:rsid w:val="006072BE"/>
    <w:rsid w:val="00626DFC"/>
    <w:rsid w:val="00632422"/>
    <w:rsid w:val="00647F3D"/>
    <w:rsid w:val="00683C27"/>
    <w:rsid w:val="006C3EAD"/>
    <w:rsid w:val="006C4B17"/>
    <w:rsid w:val="00706620"/>
    <w:rsid w:val="00784710"/>
    <w:rsid w:val="00804853"/>
    <w:rsid w:val="00933ACE"/>
    <w:rsid w:val="0096095C"/>
    <w:rsid w:val="0099440F"/>
    <w:rsid w:val="00A64F3E"/>
    <w:rsid w:val="00A8025E"/>
    <w:rsid w:val="00AB36DC"/>
    <w:rsid w:val="00B3307D"/>
    <w:rsid w:val="00B405B7"/>
    <w:rsid w:val="00B83E6B"/>
    <w:rsid w:val="00BE14D6"/>
    <w:rsid w:val="00BF2AB6"/>
    <w:rsid w:val="00BF5256"/>
    <w:rsid w:val="00C007A8"/>
    <w:rsid w:val="00C1317C"/>
    <w:rsid w:val="00C27ED8"/>
    <w:rsid w:val="00C77373"/>
    <w:rsid w:val="00D07363"/>
    <w:rsid w:val="00D30135"/>
    <w:rsid w:val="00D3362A"/>
    <w:rsid w:val="00D4050E"/>
    <w:rsid w:val="00DD69A6"/>
    <w:rsid w:val="00DF3321"/>
    <w:rsid w:val="00E20780"/>
    <w:rsid w:val="00E312DC"/>
    <w:rsid w:val="00EA336E"/>
    <w:rsid w:val="00EC47C6"/>
    <w:rsid w:val="00F156C3"/>
    <w:rsid w:val="00F160B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6C3"/>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355778"/>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5778"/>
    <w:rPr>
      <w:rFonts w:ascii="Tahoma" w:hAnsi="Tahoma" w:cs="Tahoma"/>
      <w:sz w:val="16"/>
      <w:szCs w:val="16"/>
      <w:rtl w:val="0"/>
      <w:cs w:val="0"/>
      <w:lang w:val="en-US" w:eastAsia="x-none"/>
    </w:rPr>
  </w:style>
  <w:style w:type="paragraph" w:styleId="BodyText">
    <w:name w:val="Body Text"/>
    <w:basedOn w:val="Normal"/>
    <w:link w:val="ZkladntextChar"/>
    <w:uiPriority w:val="99"/>
    <w:semiHidden/>
    <w:unhideWhenUsed/>
    <w:rsid w:val="004C6E69"/>
    <w:pPr>
      <w:widowControl/>
      <w:adjustRightInd/>
      <w:spacing w:after="120" w:line="240" w:lineRule="auto"/>
      <w:jc w:val="left"/>
    </w:pPr>
    <w:rPr>
      <w:rFonts w:ascii="Times New Roman" w:hAnsi="Times New Roman" w:eastAsiaTheme="minorEastAsia"/>
      <w:sz w:val="24"/>
      <w:szCs w:val="24"/>
      <w:lang w:val="sk-SK" w:eastAsia="sk-SK"/>
    </w:rPr>
  </w:style>
  <w:style w:type="character" w:customStyle="1" w:styleId="ZkladntextChar">
    <w:name w:val="Základný text Char"/>
    <w:basedOn w:val="DefaultParagraphFont"/>
    <w:link w:val="BodyText"/>
    <w:uiPriority w:val="99"/>
    <w:semiHidden/>
    <w:locked/>
    <w:rsid w:val="004C6E69"/>
    <w:rPr>
      <w:rFonts w:ascii="Times New Roman" w:hAnsi="Times New Roman" w:eastAsiaTheme="minorEastAsia" w:cs="Times New Roman"/>
      <w:sz w:val="24"/>
      <w:szCs w:val="24"/>
      <w:rtl w:val="0"/>
      <w:cs w:val="0"/>
      <w:lang w:val="x-none" w:eastAsia="sk-SK"/>
    </w:rPr>
  </w:style>
  <w:style w:type="paragraph" w:styleId="NormalWeb">
    <w:name w:val="Normal (Web)"/>
    <w:aliases w:val="webb"/>
    <w:basedOn w:val="Normal"/>
    <w:uiPriority w:val="99"/>
    <w:rsid w:val="00933ACE"/>
    <w:pPr>
      <w:widowControl/>
      <w:adjustRightInd/>
      <w:spacing w:before="100" w:beforeAutospacing="1" w:after="100" w:afterAutospacing="1" w:line="240" w:lineRule="auto"/>
      <w:jc w:val="left"/>
    </w:pPr>
    <w:rPr>
      <w:rFonts w:ascii="Times New Roman" w:hAnsi="Times New Roman" w:eastAsiaTheme="minorEastAsia"/>
      <w:sz w:val="24"/>
      <w:szCs w:val="24"/>
      <w:lang w:val="sk-SK" w:eastAsia="sk-SK"/>
    </w:rPr>
  </w:style>
  <w:style w:type="paragraph" w:styleId="Header">
    <w:name w:val="header"/>
    <w:basedOn w:val="Normal"/>
    <w:link w:val="HlavikaChar"/>
    <w:uiPriority w:val="99"/>
    <w:semiHidden/>
    <w:unhideWhenUsed/>
    <w:rsid w:val="00683C27"/>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683C27"/>
    <w:rPr>
      <w:rFonts w:ascii="Calibri" w:hAnsi="Calibri" w:cs="Times New Roman"/>
      <w:rtl w:val="0"/>
      <w:cs w:val="0"/>
      <w:lang w:val="en-US" w:eastAsia="x-none"/>
    </w:rPr>
  </w:style>
  <w:style w:type="paragraph" w:styleId="Footer">
    <w:name w:val="footer"/>
    <w:basedOn w:val="Normal"/>
    <w:link w:val="PtaChar"/>
    <w:uiPriority w:val="99"/>
    <w:unhideWhenUsed/>
    <w:rsid w:val="00683C27"/>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683C27"/>
    <w:rPr>
      <w:rFonts w:ascii="Calibri" w:hAnsi="Calibri" w:cs="Times New Roman"/>
      <w:rtl w:val="0"/>
      <w:cs w:val="0"/>
      <w:lang w:val="en-US" w:eastAsia="x-none"/>
    </w:rPr>
  </w:style>
  <w:style w:type="paragraph" w:styleId="ListParagraph">
    <w:name w:val="List Paragraph"/>
    <w:basedOn w:val="Normal"/>
    <w:uiPriority w:val="34"/>
    <w:qFormat/>
    <w:rsid w:val="0099440F"/>
    <w:pPr>
      <w:widowControl/>
      <w:adjustRightInd/>
      <w:ind w:left="720"/>
      <w:contextualSpacing/>
      <w:jc w:val="left"/>
    </w:pPr>
    <w:rPr>
      <w:rFonts w:ascii="Arial Narrow" w:hAnsi="Arial Narrow"/>
      <w:szCs w:val="36"/>
      <w:lang w:val="sk-SK"/>
    </w:rPr>
  </w:style>
  <w:style w:type="paragraph" w:styleId="BodyTextIndent">
    <w:name w:val="Body Text Indent"/>
    <w:basedOn w:val="Normal"/>
    <w:link w:val="ZarkazkladnhotextuChar"/>
    <w:uiPriority w:val="99"/>
    <w:semiHidden/>
    <w:unhideWhenUsed/>
    <w:rsid w:val="0099440F"/>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99440F"/>
    <w:rPr>
      <w:rFonts w:ascii="Calibri" w:hAnsi="Calibri" w:cs="Times New Roman"/>
      <w:rtl w:val="0"/>
      <w:cs w:val="0"/>
      <w:lang w:val="en-US" w:eastAsia="x-none"/>
    </w:rPr>
  </w:style>
  <w:style w:type="paragraph" w:styleId="Title">
    <w:name w:val="Title"/>
    <w:basedOn w:val="Normal"/>
    <w:link w:val="NzovChar"/>
    <w:uiPriority w:val="10"/>
    <w:qFormat/>
    <w:rsid w:val="0099440F"/>
    <w:pPr>
      <w:widowControl/>
      <w:adjustRightInd/>
      <w:spacing w:after="0" w:line="240" w:lineRule="auto"/>
      <w:jc w:val="center"/>
    </w:pPr>
    <w:rPr>
      <w:rFonts w:ascii="Times New Roman" w:hAnsi="Times New Roman"/>
      <w:b/>
      <w:bCs/>
      <w:sz w:val="24"/>
      <w:szCs w:val="24"/>
      <w:lang w:val="sk-SK" w:eastAsia="sk-SK"/>
    </w:rPr>
  </w:style>
  <w:style w:type="character" w:customStyle="1" w:styleId="NzovChar">
    <w:name w:val="Názov Char"/>
    <w:basedOn w:val="DefaultParagraphFont"/>
    <w:link w:val="Title"/>
    <w:uiPriority w:val="10"/>
    <w:locked/>
    <w:rsid w:val="0099440F"/>
    <w:rPr>
      <w:rFonts w:ascii="Times New Roman" w:hAnsi="Times New Roman" w:cs="Times New Roman"/>
      <w:b/>
      <w:bCs/>
      <w:sz w:val="24"/>
      <w:szCs w:val="24"/>
      <w:rtl w:val="0"/>
      <w:cs w:val="0"/>
      <w:lang w:val="x-none" w:eastAsia="sk-SK"/>
    </w:rPr>
  </w:style>
  <w:style w:type="character" w:styleId="Emphasis">
    <w:name w:val="Emphasis"/>
    <w:basedOn w:val="DefaultParagraphFont"/>
    <w:uiPriority w:val="20"/>
    <w:qFormat/>
    <w:rsid w:val="0099440F"/>
    <w:rPr>
      <w:rFonts w:cs="Times New Roman"/>
      <w:i/>
      <w:rtl w:val="0"/>
      <w:cs w:val="0"/>
    </w:rPr>
  </w:style>
  <w:style w:type="paragraph" w:customStyle="1" w:styleId="Zkladntext">
    <w:name w:val="Základní text"/>
    <w:uiPriority w:val="99"/>
    <w:rsid w:val="0099440F"/>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BodyTextIndent3">
    <w:name w:val="Body Text Indent 3"/>
    <w:basedOn w:val="Normal"/>
    <w:link w:val="Zarkazkladnhotextu3Char"/>
    <w:uiPriority w:val="99"/>
    <w:semiHidden/>
    <w:unhideWhenUsed/>
    <w:rsid w:val="0099440F"/>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99440F"/>
    <w:rPr>
      <w:rFonts w:ascii="Calibri" w:hAnsi="Calibri" w:cs="Times New Roman"/>
      <w:sz w:val="16"/>
      <w:szCs w:val="16"/>
      <w:rtl w:val="0"/>
      <w:cs w:val="0"/>
      <w:lang w:val="en-US" w:eastAsia="x-none"/>
    </w:rPr>
  </w:style>
  <w:style w:type="paragraph" w:styleId="BodyTextIndent2">
    <w:name w:val="Body Text Indent 2"/>
    <w:basedOn w:val="Normal"/>
    <w:link w:val="Zarkazkladnhotextu2Char"/>
    <w:uiPriority w:val="99"/>
    <w:semiHidden/>
    <w:unhideWhenUsed/>
    <w:rsid w:val="0099440F"/>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99440F"/>
    <w:rPr>
      <w:rFonts w:ascii="Calibri" w:hAnsi="Calibri" w:cs="Times New Roman"/>
      <w:rtl w:val="0"/>
      <w:cs w:val="0"/>
      <w:lang w:val="en-US" w:eastAsia="x-none"/>
    </w:rPr>
  </w:style>
  <w:style w:type="character" w:styleId="Hyperlink">
    <w:name w:val="Hyperlink"/>
    <w:basedOn w:val="DefaultParagraphFont"/>
    <w:uiPriority w:val="99"/>
    <w:semiHidden/>
    <w:unhideWhenUsed/>
    <w:rsid w:val="0099440F"/>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eur-lex.europa.eu/LexUriServ/LexUriServ.do?uri=CELEX:32004R0805:SK: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86E9A-2F92-4954-9094-16AF4D22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142</TotalTime>
  <Pages>16</Pages>
  <Words>5447</Words>
  <Characters>31881</Characters>
  <Application>Microsoft Office Word</Application>
  <DocSecurity>0</DocSecurity>
  <Lines>0</Lines>
  <Paragraphs>0</Paragraphs>
  <ScaleCrop>false</ScaleCrop>
  <Company>MF SR</Company>
  <LinksUpToDate>false</LinksUpToDate>
  <CharactersWithSpaces>37254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iistokova</dc:creator>
  <cp:lastModifiedBy>iistokova</cp:lastModifiedBy>
  <cp:revision>17</cp:revision>
  <cp:lastPrinted>2012-07-06T14:32:00Z</cp:lastPrinted>
  <dcterms:created xsi:type="dcterms:W3CDTF">2012-06-07T13:08:00Z</dcterms:created>
  <dcterms:modified xsi:type="dcterms:W3CDTF">2012-07-06T14:32:00Z</dcterms:modified>
</cp:coreProperties>
</file>