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63F07" w:rsidP="00C6246E">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F63F07" w:rsidP="00C6246E">
      <w:pPr>
        <w:bidi w:val="0"/>
        <w:ind w:right="-108"/>
        <w:jc w:val="center"/>
        <w:rPr>
          <w:rFonts w:ascii="Times New Roman" w:hAnsi="Times New Roman"/>
          <w:b/>
          <w:bCs/>
          <w:sz w:val="28"/>
          <w:szCs w:val="28"/>
        </w:rPr>
      </w:pPr>
    </w:p>
    <w:p w:rsidR="00F63F07" w:rsidP="00865675">
      <w:pPr>
        <w:bidi w:val="0"/>
        <w:jc w:val="both"/>
        <w:rPr>
          <w:rFonts w:ascii="Times New Roman" w:hAnsi="Times New Roman"/>
          <w:b/>
          <w:color w:val="000000"/>
        </w:rPr>
      </w:pPr>
      <w:r>
        <w:rPr>
          <w:rFonts w:ascii="Times New Roman" w:hAnsi="Times New Roman"/>
          <w:b/>
          <w:bCs/>
        </w:rPr>
        <w:t xml:space="preserve">A.1. Názov materiálu: </w:t>
      </w:r>
      <w:r w:rsidRPr="00865675">
        <w:rPr>
          <w:rFonts w:ascii="Times New Roman" w:hAnsi="Times New Roman"/>
          <w:bCs/>
          <w:i/>
        </w:rPr>
        <w:t xml:space="preserve">Návrh zákona, </w:t>
      </w:r>
      <w:r w:rsidRPr="00865675">
        <w:rPr>
          <w:rFonts w:ascii="Times New Roman" w:hAnsi="Times New Roman"/>
          <w:i/>
          <w:color w:val="000000"/>
        </w:rPr>
        <w:t>ktorým sa mení a dopĺňa zákon č. 461/2003 Z. z. o sociálnom poistení v znení neskorších predpisov a o zmene a dop</w:t>
      </w:r>
      <w:r>
        <w:rPr>
          <w:rFonts w:ascii="Times New Roman" w:hAnsi="Times New Roman"/>
          <w:i/>
          <w:color w:val="000000"/>
        </w:rPr>
        <w:t>lnení niektorých zákonov.</w:t>
      </w:r>
    </w:p>
    <w:p w:rsidR="00F63F07" w:rsidRPr="00E54C87" w:rsidP="001D72D8">
      <w:pPr>
        <w:bidi w:val="0"/>
        <w:jc w:val="both"/>
        <w:rPr>
          <w:rFonts w:ascii="Times New Roman" w:hAnsi="Times New Roman" w:cs="Arial"/>
          <w:szCs w:val="22"/>
        </w:rPr>
      </w:pPr>
    </w:p>
    <w:p w:rsidR="00F63F07" w:rsidP="00C6246E">
      <w:pPr>
        <w:bidi w:val="0"/>
        <w:rPr>
          <w:rFonts w:ascii="Times New Roman" w:hAnsi="Times New Roman"/>
          <w:b/>
          <w:bCs/>
        </w:rPr>
      </w:pPr>
    </w:p>
    <w:p w:rsidR="00F63F07" w:rsidP="00C6246E">
      <w:pPr>
        <w:bidi w:val="0"/>
        <w:rPr>
          <w:rFonts w:ascii="Times New Roman" w:hAnsi="Times New Roman"/>
          <w:b/>
          <w:bCs/>
        </w:rPr>
      </w:pPr>
      <w:r>
        <w:rPr>
          <w:rFonts w:ascii="Times New Roman" w:hAnsi="Times New Roman"/>
          <w:b/>
          <w:bCs/>
        </w:rPr>
        <w:t>Termín začatia a ukončenia P</w:t>
      </w:r>
      <w:r w:rsidRPr="00F307D3">
        <w:rPr>
          <w:rFonts w:ascii="Times New Roman" w:hAnsi="Times New Roman"/>
          <w:b/>
          <w:bCs/>
        </w:rPr>
        <w:t>PK:</w:t>
      </w:r>
    </w:p>
    <w:p w:rsidR="00F63F07" w:rsidP="00C6246E">
      <w:pPr>
        <w:bidi w:val="0"/>
        <w:rPr>
          <w:rFonts w:ascii="Times New Roman" w:hAnsi="Times New Roman"/>
          <w:b/>
          <w:bCs/>
        </w:rPr>
      </w:pPr>
    </w:p>
    <w:p w:rsidR="00F63F07" w:rsidP="00C6246E">
      <w:pPr>
        <w:bidi w:val="0"/>
        <w:rPr>
          <w:rFonts w:ascii="Times New Roman" w:hAnsi="Times New Roman"/>
          <w:b/>
          <w:bCs/>
        </w:rPr>
      </w:pPr>
      <w:r>
        <w:rPr>
          <w:rFonts w:ascii="Times New Roman" w:hAnsi="Times New Roman"/>
          <w:b/>
          <w:bCs/>
        </w:rPr>
        <w:t>A.2. Vplyvy:</w:t>
      </w:r>
    </w:p>
    <w:p w:rsidR="00F63F07" w:rsidP="00C6246E">
      <w:pPr>
        <w:bidi w:val="0"/>
        <w:rPr>
          <w:rFonts w:ascii="Times New Roman" w:hAnsi="Times New Roman"/>
        </w:rPr>
      </w:pPr>
    </w:p>
    <w:tbl>
      <w:tblPr>
        <w:tblStyle w:val="TableNormal"/>
        <w:tblW w:w="8551" w:type="dxa"/>
        <w:jc w:val="center"/>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4713"/>
        <w:gridCol w:w="1242"/>
        <w:gridCol w:w="1260"/>
        <w:gridCol w:w="1336"/>
      </w:tblGrid>
      <w:tr>
        <w:tblPrEx>
          <w:tblW w:w="8551" w:type="dxa"/>
          <w:jc w:val="center"/>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rPr>
          <w:jc w:val="center"/>
        </w:trPr>
        <w:tc>
          <w:tcPr>
            <w:tcW w:w="4713"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F63F07" w:rsidP="00C6246E">
            <w:pPr>
              <w:bidi w:val="0"/>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F63F07" w:rsidP="00C6246E">
            <w:pPr>
              <w:bidi w:val="0"/>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F63F07" w:rsidP="00C6246E">
            <w:pPr>
              <w:bidi w:val="0"/>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8551" w:type="dxa"/>
          <w:jc w:val="center"/>
          <w:tblInd w:w="-987" w:type="dxa"/>
          <w:tblCellMar>
            <w:top w:w="57" w:type="dxa"/>
            <w:bottom w:w="57" w:type="dxa"/>
          </w:tblCellMar>
          <w:tblLook w:val="01E0"/>
        </w:tblPrEx>
        <w:trPr>
          <w:jc w:val="center"/>
        </w:trPr>
        <w:tc>
          <w:tcPr>
            <w:tcW w:w="4713" w:type="dxa"/>
            <w:tcBorders>
              <w:top w:val="single" w:sz="4" w:space="0" w:color="auto"/>
              <w:left w:val="single" w:sz="4" w:space="0" w:color="auto"/>
              <w:bottom w:val="single" w:sz="4" w:space="0" w:color="auto"/>
              <w:right w:val="single" w:sz="4" w:space="0" w:color="auto"/>
            </w:tcBorders>
            <w:textDirection w:val="lrTb"/>
            <w:vAlign w:val="top"/>
          </w:tcPr>
          <w:p w:rsidR="00F63F07" w:rsidRPr="00915AFF" w:rsidP="00C6246E">
            <w:pPr>
              <w:bidi w:val="0"/>
              <w:rPr>
                <w:rFonts w:ascii="Times New Roman" w:hAnsi="Times New Roman"/>
                <w:bCs/>
              </w:rPr>
            </w:pPr>
            <w:r w:rsidRPr="00915AFF">
              <w:rPr>
                <w:rFonts w:ascii="Times New Roman" w:hAnsi="Times New Roman"/>
                <w:bCs/>
                <w:sz w:val="22"/>
                <w:szCs w:val="22"/>
              </w:rPr>
              <w:t>1. Vplyvy na rozpočet verejnej správy</w:t>
            </w:r>
          </w:p>
          <w:p w:rsidR="00F63F07" w:rsidRPr="00915AFF" w:rsidP="00C6246E">
            <w:pPr>
              <w:bidi w:val="0"/>
              <w:rPr>
                <w:rFonts w:ascii="Times New Roman" w:hAnsi="Times New Roman"/>
                <w:i/>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r>
      <w:tr>
        <w:tblPrEx>
          <w:tblW w:w="8551" w:type="dxa"/>
          <w:jc w:val="center"/>
          <w:tblInd w:w="-987" w:type="dxa"/>
          <w:tblCellMar>
            <w:top w:w="57" w:type="dxa"/>
            <w:bottom w:w="57" w:type="dxa"/>
          </w:tblCellMar>
          <w:tblLook w:val="01E0"/>
        </w:tblPrEx>
        <w:trPr>
          <w:jc w:val="center"/>
        </w:trPr>
        <w:tc>
          <w:tcPr>
            <w:tcW w:w="4713" w:type="dxa"/>
            <w:tcBorders>
              <w:top w:val="single" w:sz="4" w:space="0" w:color="auto"/>
              <w:left w:val="single" w:sz="4" w:space="0" w:color="auto"/>
              <w:bottom w:val="single" w:sz="4" w:space="0" w:color="auto"/>
              <w:right w:val="single" w:sz="4" w:space="0" w:color="auto"/>
            </w:tcBorders>
            <w:textDirection w:val="lrTb"/>
            <w:vAlign w:val="top"/>
          </w:tcPr>
          <w:p w:rsidR="00F63F07" w:rsidRPr="00915AFF" w:rsidP="003D3980">
            <w:pPr>
              <w:bidi w:val="0"/>
              <w:rPr>
                <w:rFonts w:ascii="Times New Roman" w:hAnsi="Times New Roman"/>
              </w:rPr>
            </w:pPr>
            <w:r w:rsidRPr="00915AFF">
              <w:rPr>
                <w:rFonts w:ascii="Times New Roman" w:hAnsi="Times New Roman"/>
                <w:bCs/>
                <w:sz w:val="22"/>
                <w:szCs w:val="22"/>
              </w:rPr>
              <w:t>2. Vplyvy na podnikateľské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r>
              <w:rPr>
                <w:rFonts w:ascii="Times New Roman" w:hAnsi="Times New Roman"/>
              </w:rPr>
              <w:t>X</w:t>
            </w:r>
          </w:p>
        </w:tc>
      </w:tr>
      <w:tr>
        <w:tblPrEx>
          <w:tblW w:w="8551" w:type="dxa"/>
          <w:jc w:val="center"/>
          <w:tblInd w:w="-987" w:type="dxa"/>
          <w:tblCellMar>
            <w:top w:w="57" w:type="dxa"/>
            <w:bottom w:w="57" w:type="dxa"/>
          </w:tblCellMar>
          <w:tblLook w:val="01E0"/>
        </w:tblPrEx>
        <w:trPr>
          <w:jc w:val="center"/>
        </w:trPr>
        <w:tc>
          <w:tcPr>
            <w:tcW w:w="4713"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rPr>
                <w:rFonts w:ascii="Times New Roman" w:hAnsi="Times New Roman"/>
                <w:bCs/>
              </w:rPr>
            </w:pPr>
            <w:r>
              <w:rPr>
                <w:rFonts w:ascii="Times New Roman" w:hAnsi="Times New Roman"/>
                <w:bCs/>
                <w:sz w:val="22"/>
                <w:szCs w:val="22"/>
              </w:rPr>
              <w:t>3.</w:t>
            </w:r>
            <w:r w:rsidRPr="00915AFF">
              <w:rPr>
                <w:rFonts w:ascii="Times New Roman" w:hAnsi="Times New Roman"/>
                <w:bCs/>
                <w:sz w:val="22"/>
                <w:szCs w:val="22"/>
              </w:rPr>
              <w:t xml:space="preserve"> Sociálne vplyvy </w:t>
            </w:r>
          </w:p>
          <w:p w:rsidR="00F63F07" w:rsidP="00C6246E">
            <w:pPr>
              <w:bidi w:val="0"/>
              <w:rPr>
                <w:rFonts w:ascii="Times New Roman" w:hAnsi="Times New Roman"/>
                <w:bCs/>
              </w:rPr>
            </w:pPr>
            <w:r>
              <w:rPr>
                <w:rFonts w:ascii="Times New Roman" w:hAnsi="Times New Roman"/>
                <w:bCs/>
                <w:sz w:val="22"/>
                <w:szCs w:val="22"/>
              </w:rPr>
              <w:t>-</w:t>
            </w:r>
            <w:r w:rsidRPr="00915AFF">
              <w:rPr>
                <w:rFonts w:ascii="Times New Roman" w:hAnsi="Times New Roman"/>
                <w:bCs/>
                <w:sz w:val="22"/>
                <w:szCs w:val="22"/>
              </w:rPr>
              <w:t xml:space="preserve"> vplyvy  na hospodárenie obyvateľstva</w:t>
            </w:r>
            <w:r>
              <w:rPr>
                <w:rFonts w:ascii="Times New Roman" w:hAnsi="Times New Roman"/>
                <w:bCs/>
                <w:sz w:val="22"/>
                <w:szCs w:val="22"/>
              </w:rPr>
              <w:t>,</w:t>
            </w:r>
          </w:p>
          <w:p w:rsidR="00F63F07" w:rsidP="00C6246E">
            <w:pPr>
              <w:bidi w:val="0"/>
              <w:rPr>
                <w:rFonts w:ascii="Times New Roman" w:hAnsi="Times New Roman"/>
                <w:bCs/>
              </w:rPr>
            </w:pPr>
            <w:r>
              <w:rPr>
                <w:rFonts w:ascii="Times New Roman" w:hAnsi="Times New Roman"/>
                <w:bCs/>
                <w:sz w:val="22"/>
                <w:szCs w:val="22"/>
              </w:rPr>
              <w:t xml:space="preserve">- </w:t>
            </w:r>
            <w:r w:rsidRPr="00915AFF">
              <w:rPr>
                <w:rFonts w:ascii="Times New Roman" w:hAnsi="Times New Roman"/>
                <w:bCs/>
                <w:sz w:val="22"/>
                <w:szCs w:val="22"/>
              </w:rPr>
              <w:t>sociálnu exklúziu,</w:t>
            </w:r>
          </w:p>
          <w:p w:rsidR="00F63F07" w:rsidRPr="00915AFF" w:rsidP="00C6246E">
            <w:pPr>
              <w:bidi w:val="0"/>
              <w:rPr>
                <w:rFonts w:ascii="Times New Roman" w:hAnsi="Times New Roman"/>
              </w:rPr>
            </w:pPr>
            <w:r>
              <w:rPr>
                <w:rFonts w:ascii="Times New Roman" w:hAnsi="Times New Roman"/>
                <w:bCs/>
                <w:sz w:val="22"/>
                <w:szCs w:val="22"/>
              </w:rPr>
              <w:t xml:space="preserve">- </w:t>
            </w:r>
            <w:r w:rsidRPr="00915AFF">
              <w:rPr>
                <w:rFonts w:ascii="Times New Roman" w:hAnsi="Times New Roman"/>
                <w:bCs/>
                <w:sz w:val="22"/>
                <w:szCs w:val="22"/>
              </w:rPr>
              <w:t>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F63F07" w:rsidP="003D3980">
            <w:pPr>
              <w:bidi w:val="0"/>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F63F07" w:rsidRPr="003A0439" w:rsidP="003D3980">
            <w:pPr>
              <w:bidi w:val="0"/>
              <w:jc w:val="center"/>
              <w:rPr>
                <w:rFonts w:ascii="Times New Roman" w:hAnsi="Times New Roman"/>
                <w:highlight w:val="yellow"/>
              </w:rPr>
            </w:pP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F63F07" w:rsidP="003D3980">
            <w:pPr>
              <w:bidi w:val="0"/>
              <w:jc w:val="center"/>
              <w:rPr>
                <w:rFonts w:ascii="Times New Roman" w:hAnsi="Times New Roman"/>
              </w:rPr>
            </w:pPr>
            <w:r>
              <w:rPr>
                <w:rFonts w:ascii="Times New Roman" w:hAnsi="Times New Roman"/>
              </w:rPr>
              <w:t>X</w:t>
            </w:r>
          </w:p>
        </w:tc>
      </w:tr>
      <w:tr>
        <w:tblPrEx>
          <w:tblW w:w="8551" w:type="dxa"/>
          <w:jc w:val="center"/>
          <w:tblInd w:w="-987" w:type="dxa"/>
          <w:tblCellMar>
            <w:top w:w="57" w:type="dxa"/>
            <w:bottom w:w="57" w:type="dxa"/>
          </w:tblCellMar>
          <w:tblLook w:val="01E0"/>
        </w:tblPrEx>
        <w:trPr>
          <w:jc w:val="center"/>
        </w:trPr>
        <w:tc>
          <w:tcPr>
            <w:tcW w:w="4713" w:type="dxa"/>
            <w:tcBorders>
              <w:top w:val="single" w:sz="4" w:space="0" w:color="auto"/>
              <w:left w:val="single" w:sz="4" w:space="0" w:color="auto"/>
              <w:bottom w:val="single" w:sz="4" w:space="0" w:color="auto"/>
              <w:right w:val="single" w:sz="4" w:space="0" w:color="auto"/>
            </w:tcBorders>
            <w:textDirection w:val="lrTb"/>
            <w:vAlign w:val="top"/>
          </w:tcPr>
          <w:p w:rsidR="00F63F07" w:rsidRPr="00915AFF" w:rsidP="00C6246E">
            <w:pPr>
              <w:bidi w:val="0"/>
              <w:rPr>
                <w:rFonts w:ascii="Times New Roman" w:hAnsi="Times New Roman"/>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r>
      <w:tr>
        <w:tblPrEx>
          <w:tblW w:w="8551" w:type="dxa"/>
          <w:jc w:val="center"/>
          <w:tblInd w:w="-987" w:type="dxa"/>
          <w:tblCellMar>
            <w:top w:w="57" w:type="dxa"/>
            <w:bottom w:w="57" w:type="dxa"/>
          </w:tblCellMar>
          <w:tblLook w:val="01E0"/>
        </w:tblPrEx>
        <w:trPr>
          <w:jc w:val="center"/>
        </w:trPr>
        <w:tc>
          <w:tcPr>
            <w:tcW w:w="4713" w:type="dxa"/>
            <w:tcBorders>
              <w:top w:val="single" w:sz="4" w:space="0" w:color="auto"/>
              <w:left w:val="single" w:sz="4" w:space="0" w:color="auto"/>
              <w:bottom w:val="single" w:sz="4" w:space="0" w:color="auto"/>
              <w:right w:val="single" w:sz="4" w:space="0" w:color="auto"/>
            </w:tcBorders>
            <w:textDirection w:val="lrTb"/>
            <w:vAlign w:val="top"/>
          </w:tcPr>
          <w:p w:rsidR="00F63F07" w:rsidRPr="00915AFF" w:rsidP="00C6246E">
            <w:pPr>
              <w:bidi w:val="0"/>
              <w:rPr>
                <w:rFonts w:ascii="Times New Roman" w:hAnsi="Times New Roman"/>
                <w:bCs/>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F63F07" w:rsidP="00C6246E">
            <w:pPr>
              <w:bidi w:val="0"/>
              <w:jc w:val="center"/>
              <w:rPr>
                <w:rFonts w:ascii="Times New Roman" w:hAnsi="Times New Roman"/>
              </w:rPr>
            </w:pPr>
          </w:p>
        </w:tc>
      </w:tr>
    </w:tbl>
    <w:p w:rsidR="00F63F07" w:rsidRPr="00B00199" w:rsidP="00C6246E">
      <w:pPr>
        <w:pStyle w:val="BodyText"/>
        <w:bidi w:val="0"/>
        <w:jc w:val="both"/>
        <w:rPr>
          <w:rFonts w:ascii="Times New Roman" w:hAnsi="Times New Roman"/>
          <w:b w:val="0"/>
          <w:bCs/>
          <w:sz w:val="18"/>
          <w:szCs w:val="18"/>
          <w:u w:val="single"/>
        </w:rPr>
      </w:pPr>
      <w:r w:rsidRPr="00B00199">
        <w:rPr>
          <w:rFonts w:ascii="Times New Roman" w:hAnsi="Times New Roman"/>
          <w:sz w:val="18"/>
          <w:szCs w:val="18"/>
        </w:rPr>
        <w:t>*</w:t>
      </w:r>
      <w:r w:rsidRPr="00B00199">
        <w:rPr>
          <w:rFonts w:ascii="Times New Roman" w:hAnsi="Times New Roman"/>
          <w:b w:val="0"/>
          <w:bCs/>
          <w:sz w:val="18"/>
          <w:szCs w:val="18"/>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F63F07" w:rsidP="00C6246E">
      <w:pPr>
        <w:pStyle w:val="BodyText"/>
        <w:bidi w:val="0"/>
        <w:jc w:val="both"/>
        <w:rPr>
          <w:rFonts w:ascii="Times New Roman" w:hAnsi="Times New Roman"/>
          <w:b w:val="0"/>
          <w:bCs/>
          <w:sz w:val="16"/>
          <w:szCs w:val="16"/>
        </w:rPr>
      </w:pPr>
    </w:p>
    <w:p w:rsidR="00F63F07" w:rsidP="00C6246E">
      <w:pPr>
        <w:pStyle w:val="BodyText"/>
        <w:bidi w:val="0"/>
        <w:jc w:val="both"/>
        <w:rPr>
          <w:rFonts w:ascii="Times New Roman" w:hAnsi="Times New Roman"/>
          <w:b w:val="0"/>
          <w:bCs/>
          <w:u w:val="single"/>
        </w:rPr>
      </w:pPr>
    </w:p>
    <w:p w:rsidR="00F63F07" w:rsidP="00C6246E">
      <w:pPr>
        <w:pStyle w:val="BodyText"/>
        <w:bidi w:val="0"/>
        <w:jc w:val="both"/>
        <w:rPr>
          <w:rFonts w:ascii="Times New Roman" w:hAnsi="Times New Roman"/>
          <w:bCs/>
        </w:rPr>
      </w:pPr>
      <w:r>
        <w:rPr>
          <w:rFonts w:ascii="Times New Roman" w:hAnsi="Times New Roman"/>
          <w:bCs/>
        </w:rPr>
        <w:t>A.3. Poznámky</w:t>
      </w:r>
    </w:p>
    <w:p w:rsidR="00F63F07" w:rsidP="00C6246E">
      <w:pPr>
        <w:pStyle w:val="BodyText"/>
        <w:bidi w:val="0"/>
        <w:jc w:val="both"/>
        <w:rPr>
          <w:rFonts w:ascii="Times New Roman" w:hAnsi="Times New Roman"/>
          <w:bCs/>
        </w:rPr>
      </w:pPr>
    </w:p>
    <w:p w:rsidR="00F63F07" w:rsidRPr="00C25241" w:rsidP="003D3980">
      <w:pPr>
        <w:pStyle w:val="NormalWeb"/>
        <w:numPr>
          <w:numId w:val="1"/>
        </w:numPr>
        <w:bidi w:val="0"/>
        <w:spacing w:before="0" w:beforeAutospacing="0" w:after="0" w:afterAutospacing="0"/>
        <w:jc w:val="both"/>
        <w:rPr>
          <w:rFonts w:ascii="Times New Roman" w:hAnsi="Times New Roman"/>
          <w:bCs/>
        </w:rPr>
      </w:pPr>
      <w:r w:rsidRPr="00C25241">
        <w:rPr>
          <w:rFonts w:ascii="Times New Roman" w:hAnsi="Times New Roman"/>
          <w:bCs/>
          <w:u w:val="single"/>
        </w:rPr>
        <w:t>Vplyvy na rozpočet verejnej správy</w:t>
      </w:r>
      <w:r w:rsidRPr="00C25241">
        <w:rPr>
          <w:rFonts w:ascii="Times New Roman" w:hAnsi="Times New Roman"/>
          <w:bCs/>
        </w:rPr>
        <w:t xml:space="preserve"> – celkový vplyv na ro</w:t>
      </w:r>
      <w:r>
        <w:rPr>
          <w:rFonts w:ascii="Times New Roman" w:hAnsi="Times New Roman"/>
          <w:bCs/>
        </w:rPr>
        <w:t xml:space="preserve">zpočet verejnej správy bude pozitívny najmä z dôvodu zníženia </w:t>
      </w:r>
      <w:r w:rsidRPr="000E542B">
        <w:rPr>
          <w:rFonts w:ascii="Times New Roman" w:hAnsi="Times New Roman"/>
          <w:bCs/>
          <w:color w:val="000000"/>
        </w:rPr>
        <w:t>príspevkovej sadzby</w:t>
      </w:r>
      <w:r>
        <w:rPr>
          <w:rFonts w:ascii="Times New Roman" w:hAnsi="Times New Roman"/>
          <w:bCs/>
        </w:rPr>
        <w:t xml:space="preserve"> na starobné dôchodkové sporenie a z dôvodu zjednotenia a zvýšenia maximálnych vymeriavacích základov na poistné na sociálne poistenie  a verejné zdravotné poistenie.</w:t>
      </w:r>
    </w:p>
    <w:p w:rsidR="00F63F07" w:rsidRPr="00C25241" w:rsidP="004C0750">
      <w:pPr>
        <w:pStyle w:val="NormalWeb"/>
        <w:bidi w:val="0"/>
        <w:spacing w:before="0" w:beforeAutospacing="0" w:after="0" w:afterAutospacing="0"/>
        <w:ind w:left="420"/>
        <w:jc w:val="both"/>
        <w:rPr>
          <w:rFonts w:ascii="Times New Roman" w:hAnsi="Times New Roman"/>
          <w:bCs/>
        </w:rPr>
      </w:pPr>
    </w:p>
    <w:p w:rsidR="00F63F07" w:rsidP="00990E6D">
      <w:pPr>
        <w:pStyle w:val="NormalWeb"/>
        <w:numPr>
          <w:numId w:val="1"/>
        </w:numPr>
        <w:bidi w:val="0"/>
        <w:spacing w:before="0" w:beforeAutospacing="0" w:after="0" w:afterAutospacing="0"/>
        <w:jc w:val="both"/>
        <w:rPr>
          <w:rFonts w:ascii="Times New Roman" w:hAnsi="Times New Roman"/>
          <w:bCs/>
        </w:rPr>
      </w:pPr>
      <w:r w:rsidRPr="004D007C">
        <w:rPr>
          <w:rFonts w:ascii="Times New Roman" w:hAnsi="Times New Roman"/>
          <w:bCs/>
          <w:u w:val="single"/>
        </w:rPr>
        <w:t>Vplyvy na podnikateľské prostredie</w:t>
      </w:r>
      <w:r w:rsidRPr="004D007C">
        <w:rPr>
          <w:rFonts w:ascii="Times New Roman" w:hAnsi="Times New Roman"/>
          <w:bCs/>
        </w:rPr>
        <w:t xml:space="preserve"> – celkový vplyv na podnikateľské prostredie bude</w:t>
      </w:r>
      <w:r>
        <w:rPr>
          <w:rFonts w:ascii="Times New Roman" w:hAnsi="Times New Roman"/>
          <w:bCs/>
        </w:rPr>
        <w:t xml:space="preserve"> </w:t>
      </w:r>
      <w:r w:rsidRPr="00EA6458">
        <w:rPr>
          <w:rFonts w:ascii="Times New Roman" w:hAnsi="Times New Roman"/>
          <w:bCs/>
        </w:rPr>
        <w:t>negatívny:</w:t>
      </w:r>
    </w:p>
    <w:p w:rsidR="00F63F07" w:rsidP="000E542B">
      <w:pPr>
        <w:pStyle w:val="Odsekzoznamu2"/>
        <w:bidi w:val="0"/>
        <w:rPr>
          <w:rFonts w:ascii="Times New Roman" w:hAnsi="Times New Roman"/>
          <w:bCs/>
        </w:rPr>
      </w:pPr>
    </w:p>
    <w:p w:rsidR="00F63F07" w:rsidP="000E542B">
      <w:pPr>
        <w:pStyle w:val="NormalWeb"/>
        <w:numPr>
          <w:ilvl w:val="1"/>
          <w:numId w:val="1"/>
        </w:numPr>
        <w:bidi w:val="0"/>
        <w:spacing w:before="0" w:beforeAutospacing="0" w:after="0" w:afterAutospacing="0"/>
        <w:jc w:val="both"/>
        <w:rPr>
          <w:rFonts w:ascii="Times New Roman" w:hAnsi="Times New Roman"/>
          <w:bCs/>
        </w:rPr>
      </w:pPr>
      <w:r>
        <w:rPr>
          <w:rFonts w:ascii="Times New Roman" w:hAnsi="Times New Roman"/>
          <w:bCs/>
        </w:rPr>
        <w:t xml:space="preserve">na </w:t>
      </w:r>
      <w:r w:rsidRPr="004D007C">
        <w:rPr>
          <w:rFonts w:ascii="Times New Roman" w:hAnsi="Times New Roman"/>
          <w:bCs/>
        </w:rPr>
        <w:t xml:space="preserve">dôchodkové správcovské spoločnosti </w:t>
      </w:r>
      <w:r>
        <w:rPr>
          <w:rFonts w:ascii="Times New Roman" w:hAnsi="Times New Roman"/>
          <w:bCs/>
        </w:rPr>
        <w:t>najmä</w:t>
      </w:r>
      <w:r w:rsidRPr="004D007C">
        <w:rPr>
          <w:rFonts w:ascii="Times New Roman" w:hAnsi="Times New Roman"/>
          <w:bCs/>
        </w:rPr>
        <w:t xml:space="preserve"> z dôvodu </w:t>
      </w:r>
      <w:r>
        <w:rPr>
          <w:rFonts w:ascii="Times New Roman" w:hAnsi="Times New Roman"/>
          <w:bCs/>
        </w:rPr>
        <w:t xml:space="preserve">zníženia </w:t>
      </w:r>
      <w:r w:rsidRPr="000E542B">
        <w:rPr>
          <w:rFonts w:ascii="Times New Roman" w:hAnsi="Times New Roman"/>
          <w:bCs/>
          <w:color w:val="000000"/>
        </w:rPr>
        <w:t>príspevkovej sadzby</w:t>
      </w:r>
      <w:r>
        <w:rPr>
          <w:rFonts w:ascii="Times New Roman" w:hAnsi="Times New Roman"/>
          <w:bCs/>
        </w:rPr>
        <w:t xml:space="preserve"> na starobné dôchodkové sporenie, zníženia prírastku</w:t>
      </w:r>
      <w:r w:rsidRPr="004D007C">
        <w:rPr>
          <w:rFonts w:ascii="Times New Roman" w:hAnsi="Times New Roman"/>
          <w:bCs/>
        </w:rPr>
        <w:t xml:space="preserve"> počtu sporiteľov spojeného s</w:t>
      </w:r>
      <w:r>
        <w:rPr>
          <w:rFonts w:ascii="Times New Roman" w:hAnsi="Times New Roman"/>
          <w:bCs/>
        </w:rPr>
        <w:t>o zavedením princípu dobrovoľného vstupu pre</w:t>
      </w:r>
      <w:r w:rsidRPr="004D007C">
        <w:rPr>
          <w:rFonts w:ascii="Times New Roman" w:hAnsi="Times New Roman"/>
          <w:bCs/>
        </w:rPr>
        <w:t xml:space="preserve"> prvopoistencov do systému starobného dôchodkového sporenia</w:t>
      </w:r>
      <w:r>
        <w:rPr>
          <w:rFonts w:ascii="Times New Roman" w:hAnsi="Times New Roman"/>
          <w:bCs/>
        </w:rPr>
        <w:t xml:space="preserve"> a dočasného otvorenia systému starobného dôchodkového sporenia pre vstup a výstup;</w:t>
      </w:r>
    </w:p>
    <w:p w:rsidR="00F63F07" w:rsidP="000E542B">
      <w:pPr>
        <w:pStyle w:val="NormalWeb"/>
        <w:numPr>
          <w:ilvl w:val="1"/>
          <w:numId w:val="1"/>
        </w:numPr>
        <w:bidi w:val="0"/>
        <w:spacing w:before="0" w:beforeAutospacing="0" w:after="0" w:afterAutospacing="0"/>
        <w:jc w:val="both"/>
        <w:rPr>
          <w:rFonts w:ascii="Times New Roman" w:hAnsi="Times New Roman"/>
          <w:bCs/>
        </w:rPr>
      </w:pPr>
      <w:r>
        <w:rPr>
          <w:rFonts w:ascii="Times New Roman" w:hAnsi="Times New Roman"/>
          <w:bCs/>
        </w:rPr>
        <w:t>na samostatne zárobkovo činné osoby z dôvodu úprav ich vymeriavacích základov;</w:t>
      </w:r>
    </w:p>
    <w:p w:rsidR="00F63F07" w:rsidP="000E542B">
      <w:pPr>
        <w:pStyle w:val="NormalWeb"/>
        <w:numPr>
          <w:ilvl w:val="1"/>
          <w:numId w:val="1"/>
        </w:numPr>
        <w:bidi w:val="0"/>
        <w:spacing w:before="0" w:beforeAutospacing="0" w:after="0" w:afterAutospacing="0"/>
        <w:jc w:val="both"/>
        <w:rPr>
          <w:rFonts w:ascii="Times New Roman" w:hAnsi="Times New Roman"/>
          <w:bCs/>
        </w:rPr>
      </w:pPr>
      <w:r>
        <w:rPr>
          <w:rFonts w:ascii="Times New Roman" w:hAnsi="Times New Roman"/>
          <w:bCs/>
        </w:rPr>
        <w:t>na zamestnávateľov z dôvodu zavedenia povinnosti platiť poistné na sociálne poistenie a verejné zdravotné poistenie z dohôd o prácach vykonávaných mimo pracovného pomeru, pričom budú ponechané určité výnimky a z dôvodu zjednotenia a zvýšenia maximálnych vymeriavacích základov na poistné na sociálne poistenie  a verejné zdravotné poistenie.</w:t>
      </w:r>
    </w:p>
    <w:p w:rsidR="00F63F07" w:rsidP="00B35A47">
      <w:pPr>
        <w:pStyle w:val="Odsekzoznamu2"/>
        <w:bidi w:val="0"/>
        <w:ind w:left="0"/>
        <w:rPr>
          <w:rFonts w:ascii="Times New Roman" w:hAnsi="Times New Roman"/>
          <w:bCs/>
          <w:u w:val="single"/>
        </w:rPr>
      </w:pPr>
    </w:p>
    <w:p w:rsidR="00F63F07" w:rsidRPr="000E67D8" w:rsidP="00990E6D">
      <w:pPr>
        <w:pStyle w:val="NormalWeb"/>
        <w:numPr>
          <w:numId w:val="1"/>
        </w:numPr>
        <w:bidi w:val="0"/>
        <w:spacing w:before="0" w:beforeAutospacing="0" w:after="0" w:afterAutospacing="0"/>
        <w:jc w:val="both"/>
        <w:rPr>
          <w:rFonts w:ascii="Times New Roman" w:hAnsi="Times New Roman"/>
          <w:bCs/>
        </w:rPr>
      </w:pPr>
      <w:r w:rsidRPr="00990E6D">
        <w:rPr>
          <w:rFonts w:ascii="Times New Roman" w:hAnsi="Times New Roman"/>
          <w:bCs/>
          <w:u w:val="single"/>
        </w:rPr>
        <w:t>Sociálne vplyvy</w:t>
      </w:r>
      <w:r w:rsidRPr="00990E6D">
        <w:rPr>
          <w:rFonts w:ascii="Times New Roman" w:hAnsi="Times New Roman"/>
          <w:bCs/>
        </w:rPr>
        <w:t xml:space="preserve"> – </w:t>
      </w:r>
      <w:r w:rsidRPr="009C3D70">
        <w:rPr>
          <w:rFonts w:ascii="Times New Roman" w:hAnsi="Times New Roman"/>
          <w:bCs/>
        </w:rPr>
        <w:t>celkový vplyv na hospodárenie obyvateľstva, resp. na sporiteľov sa predpokladá negatívny z dôvodu zvýšenia odplaty za správu majetku v negarantovanom dôchodkovom fonde a zvýšenia odplaty za zhodnotenie majetku v garantovanom aj negarantovanom dôchodkovom fonde</w:t>
      </w:r>
      <w:r>
        <w:rPr>
          <w:rFonts w:ascii="Times New Roman" w:hAnsi="Times New Roman"/>
          <w:bCs/>
        </w:rPr>
        <w:t xml:space="preserve"> (ak dôchodková správcovská spoločnosť využije maximálnu výšku odplát z návrhu zákona)</w:t>
      </w:r>
      <w:r w:rsidRPr="009C3D70">
        <w:rPr>
          <w:rFonts w:ascii="Times New Roman" w:hAnsi="Times New Roman"/>
          <w:bCs/>
        </w:rPr>
        <w:t>.</w:t>
      </w:r>
      <w:r>
        <w:rPr>
          <w:rFonts w:ascii="Times New Roman" w:hAnsi="Times New Roman"/>
          <w:bCs/>
        </w:rPr>
        <w:t xml:space="preserve"> Navrhuje sa tiež zníženie odplaty za vedenie osobného dôchodkového účtu a zníženie tvorby správneho fondu Sociálnej poisťovne z postúpených príspevkov, čo sa však prejaví </w:t>
      </w:r>
      <w:r w:rsidR="008B2C20">
        <w:rPr>
          <w:rFonts w:ascii="Times New Roman" w:hAnsi="Times New Roman"/>
          <w:bCs/>
        </w:rPr>
        <w:t xml:space="preserve">mierne pozitívne </w:t>
      </w:r>
      <w:r>
        <w:rPr>
          <w:rFonts w:ascii="Times New Roman" w:hAnsi="Times New Roman"/>
          <w:bCs/>
        </w:rPr>
        <w:t xml:space="preserve">na nasporenej sume sporiteľa. Zníženie príspevkovej sadzby na starobné dôchodkové sporenie síce zníži nároky sporiteľov zo systému starobného dôchodkového sporenia, čo však bude kompenzované zvýšenými dôchodkovými nárokmi z priebežne financovaného dôchodkového systému. Postupné prehĺbenie miery solidarity (prostredníctvom úprav priemerného osobného mzdového bodu a zvyšovania dôchodkových dávok o pevnú sumu) prispeje k vyšším dôchodkom nízkopríjmovej časti obyvateľstva. Zavedením povinnosti platiť poistné na sociálne poistenie a verejné zdravotné poistenie z dohôd o prácach vykonávaných mimo pracovného pomeru sa predpokladá pokles príjmov tzv. dohodárov, avšak do budúcnosti im vplyvom uvedenej zmeny vzniknú nároky na príslušné dávky zo systému sociálneho poistenia (nemocenské dávky, dávku v nezamestnanosti, dôchodkové dávky) po splnení zákonom ustanovených podmienok. Vplyvom zjednotenia a zvýšenia maximálnych vymeriavacích základov na poistné na sociálne poistenie a verejné zdravotné poistenie sa predpokladá negatívny vplyv na vyššie príjmové skupiny poistencov. </w:t>
      </w:r>
    </w:p>
    <w:p w:rsidR="00F63F07" w:rsidP="000E67D8">
      <w:pPr>
        <w:pStyle w:val="Odsekzoznamu2"/>
        <w:bidi w:val="0"/>
        <w:rPr>
          <w:rFonts w:ascii="Times New Roman" w:hAnsi="Times New Roman"/>
          <w:bCs/>
        </w:rPr>
      </w:pPr>
    </w:p>
    <w:p w:rsidR="00F63F07" w:rsidP="00990E6D">
      <w:pPr>
        <w:pStyle w:val="NormalWeb"/>
        <w:numPr>
          <w:numId w:val="1"/>
        </w:numPr>
        <w:bidi w:val="0"/>
        <w:spacing w:before="0" w:beforeAutospacing="0" w:after="0" w:afterAutospacing="0"/>
        <w:jc w:val="both"/>
        <w:rPr>
          <w:rFonts w:ascii="Times New Roman" w:hAnsi="Times New Roman"/>
          <w:bCs/>
        </w:rPr>
      </w:pPr>
      <w:r w:rsidRPr="000E67D8">
        <w:rPr>
          <w:rFonts w:ascii="Times New Roman" w:hAnsi="Times New Roman"/>
          <w:bCs/>
          <w:u w:val="single"/>
        </w:rPr>
        <w:t>Vplyvy na životné prostredie</w:t>
      </w:r>
      <w:r>
        <w:rPr>
          <w:rFonts w:ascii="Times New Roman" w:hAnsi="Times New Roman"/>
          <w:bCs/>
        </w:rPr>
        <w:t xml:space="preserve"> – návrh zákona nemá vplyv na životné prostredie.</w:t>
      </w:r>
    </w:p>
    <w:p w:rsidR="00F63F07" w:rsidP="000E67D8">
      <w:pPr>
        <w:pStyle w:val="Odsekzoznamu2"/>
        <w:bidi w:val="0"/>
        <w:rPr>
          <w:rFonts w:ascii="Times New Roman" w:hAnsi="Times New Roman"/>
          <w:bCs/>
        </w:rPr>
      </w:pPr>
    </w:p>
    <w:p w:rsidR="00F63F07" w:rsidRPr="00990E6D" w:rsidP="00990E6D">
      <w:pPr>
        <w:pStyle w:val="NormalWeb"/>
        <w:numPr>
          <w:numId w:val="1"/>
        </w:numPr>
        <w:bidi w:val="0"/>
        <w:spacing w:before="0" w:beforeAutospacing="0" w:after="0" w:afterAutospacing="0"/>
        <w:jc w:val="both"/>
        <w:rPr>
          <w:rFonts w:ascii="Times New Roman" w:hAnsi="Times New Roman"/>
          <w:bCs/>
        </w:rPr>
      </w:pPr>
      <w:r w:rsidRPr="000E67D8">
        <w:rPr>
          <w:rFonts w:ascii="Times New Roman" w:hAnsi="Times New Roman"/>
          <w:bCs/>
          <w:u w:val="single"/>
        </w:rPr>
        <w:t>Vplyvy na informatizáciu spoločnosti</w:t>
      </w:r>
      <w:r>
        <w:rPr>
          <w:rFonts w:ascii="Times New Roman" w:hAnsi="Times New Roman"/>
          <w:bCs/>
        </w:rPr>
        <w:t xml:space="preserve"> – návrh zákona nemá vplyv na informatizáciu spoločnosti.</w:t>
      </w:r>
    </w:p>
    <w:p w:rsidR="00F63F07" w:rsidP="00C6246E">
      <w:pPr>
        <w:pStyle w:val="BodyText"/>
        <w:bidi w:val="0"/>
        <w:jc w:val="both"/>
        <w:rPr>
          <w:rFonts w:ascii="Times New Roman" w:hAnsi="Times New Roman"/>
          <w:b w:val="0"/>
        </w:rPr>
      </w:pPr>
    </w:p>
    <w:p w:rsidR="00F63F07" w:rsidRPr="00B564AB" w:rsidP="00B35A47">
      <w:pPr>
        <w:pStyle w:val="BodyText"/>
        <w:keepNext/>
        <w:keepLines/>
        <w:bidi w:val="0"/>
        <w:jc w:val="both"/>
        <w:rPr>
          <w:rFonts w:ascii="Times New Roman" w:hAnsi="Times New Roman"/>
        </w:rPr>
      </w:pPr>
      <w:r w:rsidRPr="00B564AB">
        <w:rPr>
          <w:rFonts w:ascii="Times New Roman" w:hAnsi="Times New Roman"/>
        </w:rPr>
        <w:t xml:space="preserve">A.4. </w:t>
      </w:r>
      <w:r>
        <w:rPr>
          <w:rFonts w:ascii="Times New Roman" w:hAnsi="Times New Roman"/>
        </w:rPr>
        <w:t>Alternatívne riešenia</w:t>
      </w:r>
    </w:p>
    <w:p w:rsidR="00F63F07" w:rsidP="00B35A47">
      <w:pPr>
        <w:pStyle w:val="NormalWeb"/>
        <w:keepNext/>
        <w:keepLines/>
        <w:bidi w:val="0"/>
        <w:spacing w:before="0" w:beforeAutospacing="0" w:after="0" w:afterAutospacing="0"/>
        <w:jc w:val="both"/>
        <w:rPr>
          <w:rFonts w:ascii="Times New Roman" w:hAnsi="Times New Roman"/>
          <w:bCs/>
        </w:rPr>
      </w:pPr>
    </w:p>
    <w:p w:rsidR="00F63F07" w:rsidRPr="00C25241" w:rsidP="00B35A47">
      <w:pPr>
        <w:pStyle w:val="NormalWeb"/>
        <w:keepNext/>
        <w:keepLines/>
        <w:bidi w:val="0"/>
        <w:spacing w:before="0" w:beforeAutospacing="0" w:after="0" w:afterAutospacing="0"/>
        <w:jc w:val="both"/>
        <w:rPr>
          <w:rFonts w:ascii="Times New Roman" w:hAnsi="Times New Roman"/>
          <w:bCs/>
        </w:rPr>
      </w:pPr>
      <w:r>
        <w:rPr>
          <w:rFonts w:ascii="Times New Roman" w:hAnsi="Times New Roman"/>
          <w:bCs/>
        </w:rPr>
        <w:t>Bezpredmetné.</w:t>
      </w:r>
    </w:p>
    <w:p w:rsidR="00F63F07" w:rsidP="00C6246E">
      <w:pPr>
        <w:pStyle w:val="BodyText"/>
        <w:bidi w:val="0"/>
        <w:jc w:val="both"/>
        <w:rPr>
          <w:rFonts w:ascii="Times New Roman" w:hAnsi="Times New Roman"/>
        </w:rPr>
      </w:pPr>
    </w:p>
    <w:p w:rsidR="00F63F07" w:rsidRPr="002076B4" w:rsidP="00C6246E">
      <w:pPr>
        <w:pStyle w:val="BodyText2"/>
        <w:bidi w:val="0"/>
        <w:rPr>
          <w:rFonts w:ascii="Times New Roman" w:hAnsi="Times New Roman"/>
          <w:b/>
        </w:rPr>
      </w:pPr>
      <w:r w:rsidRPr="002076B4">
        <w:rPr>
          <w:rFonts w:ascii="Times New Roman" w:hAnsi="Times New Roman"/>
          <w:b/>
        </w:rPr>
        <w:t xml:space="preserve">A.5. Stanovisko gestorov </w:t>
      </w:r>
    </w:p>
    <w:p w:rsidR="00F63F07" w:rsidP="00C6246E">
      <w:pPr>
        <w:bidi w:val="0"/>
        <w:jc w:val="both"/>
        <w:rPr>
          <w:rFonts w:ascii="Times New Roman" w:hAnsi="Times New Roman"/>
        </w:rPr>
        <w:sectPr w:rsidSect="00C6246E">
          <w:headerReference w:type="default" r:id="rId4"/>
          <w:pgSz w:w="11906" w:h="16838"/>
          <w:pgMar w:top="1418" w:right="1418" w:bottom="1418" w:left="1418" w:header="709" w:footer="709" w:gutter="0"/>
          <w:lnNumType w:distance="0"/>
          <w:cols w:space="708"/>
          <w:noEndnote w:val="0"/>
          <w:bidi w:val="0"/>
          <w:docGrid w:linePitch="360"/>
        </w:sectPr>
      </w:pPr>
    </w:p>
    <w:p w:rsidR="00F63F07" w:rsidRPr="00DC0C93" w:rsidP="00B53407">
      <w:pPr>
        <w:bidi w:val="0"/>
        <w:jc w:val="center"/>
        <w:rPr>
          <w:rFonts w:ascii="Times New Roman" w:hAnsi="Times New Roman"/>
          <w:sz w:val="26"/>
          <w:szCs w:val="26"/>
        </w:rPr>
      </w:pPr>
      <w:r w:rsidRPr="00DC0C93">
        <w:rPr>
          <w:rFonts w:ascii="Times New Roman" w:hAnsi="Times New Roman"/>
          <w:b/>
          <w:bCs/>
          <w:sz w:val="26"/>
          <w:szCs w:val="26"/>
        </w:rPr>
        <w:t>Vplyvy na rozpočet verejnej správy,</w:t>
      </w:r>
    </w:p>
    <w:p w:rsidR="00F63F07" w:rsidRPr="00DC0C93" w:rsidP="00B53407">
      <w:pPr>
        <w:bidi w:val="0"/>
        <w:jc w:val="center"/>
        <w:rPr>
          <w:rFonts w:ascii="Times New Roman" w:hAnsi="Times New Roman"/>
          <w:sz w:val="26"/>
          <w:szCs w:val="26"/>
        </w:rPr>
      </w:pPr>
      <w:r w:rsidRPr="00DC0C93">
        <w:rPr>
          <w:rFonts w:ascii="Times New Roman" w:hAnsi="Times New Roman"/>
          <w:b/>
          <w:bCs/>
          <w:sz w:val="26"/>
          <w:szCs w:val="26"/>
        </w:rPr>
        <w:t>na zamestnanosť vo verejnej správe a financovanie návrhu</w:t>
      </w:r>
    </w:p>
    <w:p w:rsidR="00F63F07" w:rsidP="00B53407">
      <w:pPr>
        <w:bidi w:val="0"/>
        <w:rPr>
          <w:rFonts w:ascii="Times New Roman" w:hAnsi="Times New Roman"/>
        </w:rPr>
      </w:pPr>
      <w:r>
        <w:rPr>
          <w:rFonts w:ascii="Times New Roman" w:hAnsi="Times New Roman"/>
        </w:rPr>
        <w:t> </w:t>
      </w:r>
    </w:p>
    <w:p w:rsidR="00F63F07" w:rsidP="00B53407">
      <w:pPr>
        <w:bidi w:val="0"/>
        <w:rPr>
          <w:rFonts w:ascii="Times New Roman" w:hAnsi="Times New Roman"/>
        </w:rPr>
      </w:pPr>
    </w:p>
    <w:p w:rsidR="00F63F07" w:rsidP="00B53407">
      <w:pPr>
        <w:bidi w:val="0"/>
        <w:rPr>
          <w:rFonts w:ascii="Times New Roman" w:hAnsi="Times New Roman"/>
          <w:b/>
          <w:bCs/>
        </w:rPr>
      </w:pPr>
      <w:r w:rsidRPr="004161A1">
        <w:rPr>
          <w:rFonts w:ascii="Times New Roman" w:hAnsi="Times New Roman"/>
          <w:b/>
          <w:bCs/>
        </w:rPr>
        <w:t>2.1. Zhrnutie vplyvov na rozpočet verejnej správy v</w:t>
      </w:r>
      <w:r>
        <w:rPr>
          <w:rFonts w:ascii="Times New Roman" w:hAnsi="Times New Roman"/>
          <w:b/>
          <w:bCs/>
        </w:rPr>
        <w:t> </w:t>
      </w:r>
      <w:r w:rsidRPr="004161A1">
        <w:rPr>
          <w:rFonts w:ascii="Times New Roman" w:hAnsi="Times New Roman"/>
          <w:b/>
          <w:bCs/>
        </w:rPr>
        <w:t>návrhu</w:t>
      </w:r>
    </w:p>
    <w:p w:rsidR="00F63F07" w:rsidP="00B53407">
      <w:pPr>
        <w:bidi w:val="0"/>
        <w:rPr>
          <w:rFonts w:ascii="Times New Roman" w:hAnsi="Times New Roman"/>
          <w:bCs/>
          <w:highlight w:val="yellow"/>
        </w:rPr>
      </w:pPr>
    </w:p>
    <w:p w:rsidR="00F63F07" w:rsidP="00D777FE">
      <w:pPr>
        <w:pStyle w:val="NormalWeb"/>
        <w:bidi w:val="0"/>
        <w:spacing w:before="0" w:beforeAutospacing="0" w:after="0" w:afterAutospacing="0"/>
        <w:jc w:val="both"/>
        <w:rPr>
          <w:rFonts w:ascii="Times New Roman" w:hAnsi="Times New Roman"/>
        </w:rPr>
      </w:pPr>
      <w:r w:rsidRPr="00D777FE">
        <w:rPr>
          <w:rFonts w:ascii="Times New Roman" w:hAnsi="Times New Roman"/>
          <w:bCs/>
        </w:rPr>
        <w:t xml:space="preserve">Vplyvy </w:t>
      </w:r>
      <w:r w:rsidRPr="00C967D9">
        <w:rPr>
          <w:rFonts w:ascii="Times New Roman" w:hAnsi="Times New Roman"/>
          <w:bCs/>
        </w:rPr>
        <w:t>Návrh</w:t>
      </w:r>
      <w:r>
        <w:rPr>
          <w:rFonts w:ascii="Times New Roman" w:hAnsi="Times New Roman"/>
          <w:bCs/>
        </w:rPr>
        <w:t>u</w:t>
      </w:r>
      <w:r w:rsidRPr="00C967D9">
        <w:rPr>
          <w:rFonts w:ascii="Times New Roman" w:hAnsi="Times New Roman"/>
          <w:bCs/>
        </w:rPr>
        <w:t xml:space="preserve"> zákona, </w:t>
      </w:r>
      <w:r w:rsidRPr="00C967D9">
        <w:rPr>
          <w:rFonts w:ascii="Times New Roman" w:hAnsi="Times New Roman"/>
          <w:color w:val="000000"/>
        </w:rPr>
        <w:t>ktorým sa mení a dopĺňa zákon č. 461/2003 Z. z. o sociálnom poistení v znení neskorších predpisov a o zmene a doplnení niektorých</w:t>
      </w:r>
      <w:r>
        <w:rPr>
          <w:rFonts w:ascii="Times New Roman" w:hAnsi="Times New Roman"/>
          <w:color w:val="000000"/>
        </w:rPr>
        <w:t xml:space="preserve"> zákonov</w:t>
      </w:r>
      <w:r w:rsidRPr="00C967D9">
        <w:rPr>
          <w:rFonts w:ascii="Times New Roman" w:hAnsi="Times New Roman"/>
          <w:color w:val="000000"/>
        </w:rPr>
        <w:t xml:space="preserve"> </w:t>
      </w:r>
      <w:r w:rsidRPr="00D777FE">
        <w:rPr>
          <w:rFonts w:ascii="Times New Roman" w:hAnsi="Times New Roman"/>
          <w:bCs/>
        </w:rPr>
        <w:t>sa porovnávajú s</w:t>
      </w:r>
      <w:r>
        <w:rPr>
          <w:rFonts w:ascii="Times New Roman" w:hAnsi="Times New Roman"/>
          <w:bCs/>
        </w:rPr>
        <w:t> návrhom</w:t>
      </w:r>
      <w:r w:rsidRPr="00D777FE">
        <w:rPr>
          <w:rFonts w:ascii="Times New Roman" w:hAnsi="Times New Roman"/>
          <w:bCs/>
        </w:rPr>
        <w:t xml:space="preserve"> východísk Sociálnej poisťovne na rok 2013 a s rozpočto</w:t>
      </w:r>
      <w:r>
        <w:rPr>
          <w:rFonts w:ascii="Times New Roman" w:hAnsi="Times New Roman"/>
          <w:bCs/>
        </w:rPr>
        <w:t>vým výhľadom na roky 2014 a 2015 a s návrhom východísk rozpočtu verejnej správy na roky 2013 až 2015. Pri kvantifikáciách sa vychádzalo z aktuálnej makroekonomickej prognózy IFP z júna 2012.</w:t>
      </w:r>
    </w:p>
    <w:p w:rsidR="00F63F07" w:rsidP="00B53407">
      <w:pPr>
        <w:bidi w:val="0"/>
        <w:jc w:val="both"/>
        <w:rPr>
          <w:rFonts w:ascii="Times New Roman" w:hAnsi="Times New Roman"/>
          <w:bCs/>
        </w:rPr>
      </w:pPr>
    </w:p>
    <w:p w:rsidR="00F63F07" w:rsidP="00DA1411">
      <w:pPr>
        <w:bidi w:val="0"/>
        <w:jc w:val="center"/>
        <w:rPr>
          <w:rFonts w:ascii="Times New Roman" w:hAnsi="Times New Roman"/>
          <w:sz w:val="20"/>
          <w:szCs w:val="20"/>
        </w:rPr>
      </w:pPr>
      <w:bookmarkStart w:id="0" w:name="OLE_LINK1"/>
      <w:bookmarkEnd w:id="0"/>
      <w:r>
        <w:rPr>
          <w:rFonts w:ascii="Times New Roman" w:hAnsi="Times New Roman"/>
          <w:sz w:val="20"/>
          <w:szCs w:val="20"/>
        </w:rPr>
        <w:t xml:space="preserve">                                                                                                                                                             </w:t>
      </w:r>
      <w:r w:rsidRPr="004161A1">
        <w:rPr>
          <w:rFonts w:ascii="Times New Roman" w:hAnsi="Times New Roman"/>
          <w:sz w:val="20"/>
          <w:szCs w:val="20"/>
        </w:rPr>
        <w:t>Tabuľka č. 1</w:t>
      </w:r>
      <w:r>
        <w:rPr>
          <w:rFonts w:ascii="Times New Roman" w:hAnsi="Times New Roman"/>
          <w:sz w:val="20"/>
          <w:szCs w:val="20"/>
        </w:rPr>
        <w:t>a</w:t>
      </w:r>
    </w:p>
    <w:tbl>
      <w:tblPr>
        <w:tblStyle w:val="TableNormal"/>
        <w:tblW w:w="9224" w:type="dxa"/>
        <w:tblInd w:w="60" w:type="dxa"/>
        <w:tblLayout w:type="fixed"/>
        <w:tblCellMar>
          <w:left w:w="70" w:type="dxa"/>
          <w:right w:w="70" w:type="dxa"/>
        </w:tblCellMar>
        <w:tblLook w:val="00A0"/>
      </w:tblPr>
      <w:tblGrid>
        <w:gridCol w:w="3537"/>
        <w:gridCol w:w="1421"/>
        <w:gridCol w:w="1421"/>
        <w:gridCol w:w="1422"/>
        <w:gridCol w:w="1423"/>
      </w:tblGrid>
      <w:tr>
        <w:tblPrEx>
          <w:tblW w:w="9224" w:type="dxa"/>
          <w:tblInd w:w="60" w:type="dxa"/>
          <w:tblLayout w:type="fixed"/>
          <w:tblCellMar>
            <w:left w:w="70" w:type="dxa"/>
            <w:right w:w="70" w:type="dxa"/>
          </w:tblCellMar>
          <w:tblLook w:val="00A0"/>
        </w:tblPrEx>
        <w:trPr>
          <w:trHeight w:val="315"/>
        </w:trPr>
        <w:tc>
          <w:tcPr>
            <w:tcW w:w="3537"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922B96">
            <w:pPr>
              <w:bidi w:val="0"/>
              <w:rPr>
                <w:rFonts w:ascii="Arial Narrow" w:hAnsi="Arial Narrow"/>
                <w:b/>
                <w:bCs/>
                <w:color w:val="FFFFFF"/>
              </w:rPr>
            </w:pPr>
            <w:r w:rsidRPr="00D414AF">
              <w:rPr>
                <w:rFonts w:ascii="Arial Narrow" w:hAnsi="Arial Narrow"/>
                <w:b/>
                <w:bCs/>
                <w:color w:val="FFFFFF"/>
                <w:sz w:val="22"/>
                <w:szCs w:val="22"/>
              </w:rPr>
              <w:t> </w:t>
            </w:r>
          </w:p>
        </w:tc>
        <w:tc>
          <w:tcPr>
            <w:tcW w:w="5687"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922B96">
            <w:pPr>
              <w:bidi w:val="0"/>
              <w:jc w:val="center"/>
              <w:rPr>
                <w:rFonts w:ascii="Arial Narrow" w:hAnsi="Arial Narrow"/>
                <w:b/>
                <w:bCs/>
                <w:color w:val="FFFFFF"/>
              </w:rPr>
            </w:pPr>
            <w:r w:rsidRPr="00D414AF">
              <w:rPr>
                <w:rFonts w:ascii="Arial Narrow" w:hAnsi="Arial Narrow"/>
                <w:b/>
                <w:bCs/>
                <w:color w:val="FFFFFF"/>
                <w:sz w:val="22"/>
                <w:szCs w:val="22"/>
              </w:rPr>
              <w:t>Vplyv na rozpočet verejnej správy (cash)</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922B96">
            <w:pPr>
              <w:bidi w:val="0"/>
              <w:rPr>
                <w:rFonts w:ascii="Arial Narrow" w:hAnsi="Arial Narrow"/>
                <w:b/>
                <w:bCs/>
                <w:color w:val="FFFFFF"/>
                <w:u w:val="single"/>
              </w:rPr>
            </w:pPr>
            <w:r w:rsidRPr="00D414AF">
              <w:rPr>
                <w:rFonts w:ascii="Arial Narrow" w:hAnsi="Arial Narrow"/>
                <w:b/>
                <w:bCs/>
                <w:color w:val="FFFFFF"/>
                <w:sz w:val="22"/>
                <w:szCs w:val="22"/>
                <w:u w:val="single"/>
              </w:rPr>
              <w:t>Rozpočet verejnej správy (v eur)</w:t>
            </w:r>
          </w:p>
        </w:tc>
        <w:tc>
          <w:tcPr>
            <w:tcW w:w="1421" w:type="dxa"/>
            <w:tcBorders>
              <w:top w:val="nil"/>
              <w:left w:val="nil"/>
              <w:bottom w:val="single" w:sz="4" w:space="0" w:color="auto"/>
              <w:right w:val="single" w:sz="4" w:space="0" w:color="auto"/>
            </w:tcBorders>
            <w:shd w:val="clear" w:color="000000" w:fill="000000"/>
            <w:noWrap/>
            <w:textDirection w:val="lrTb"/>
            <w:vAlign w:val="bottom"/>
          </w:tcPr>
          <w:p w:rsidR="00F63F07" w:rsidRPr="00922B96">
            <w:pPr>
              <w:bidi w:val="0"/>
              <w:jc w:val="center"/>
              <w:rPr>
                <w:rFonts w:ascii="Arial Narrow" w:hAnsi="Arial Narrow"/>
                <w:b/>
                <w:bCs/>
                <w:color w:val="FFFFFF"/>
              </w:rPr>
            </w:pPr>
            <w:r w:rsidRPr="00D414AF">
              <w:rPr>
                <w:rFonts w:ascii="Arial Narrow" w:hAnsi="Arial Narrow"/>
                <w:b/>
                <w:bCs/>
                <w:color w:val="FFFFFF"/>
                <w:sz w:val="22"/>
                <w:szCs w:val="22"/>
              </w:rPr>
              <w:t>2012</w:t>
            </w:r>
          </w:p>
        </w:tc>
        <w:tc>
          <w:tcPr>
            <w:tcW w:w="1421" w:type="dxa"/>
            <w:tcBorders>
              <w:top w:val="nil"/>
              <w:left w:val="nil"/>
              <w:bottom w:val="single" w:sz="4" w:space="0" w:color="auto"/>
              <w:right w:val="single" w:sz="4" w:space="0" w:color="auto"/>
            </w:tcBorders>
            <w:shd w:val="clear" w:color="000000" w:fill="000000"/>
            <w:noWrap/>
            <w:textDirection w:val="lrTb"/>
            <w:vAlign w:val="bottom"/>
          </w:tcPr>
          <w:p w:rsidR="00F63F07" w:rsidRPr="00922B96">
            <w:pPr>
              <w:bidi w:val="0"/>
              <w:jc w:val="center"/>
              <w:rPr>
                <w:rFonts w:ascii="Arial Narrow" w:hAnsi="Arial Narrow"/>
                <w:b/>
                <w:bCs/>
                <w:color w:val="FFFFFF"/>
              </w:rPr>
            </w:pPr>
            <w:r w:rsidRPr="00D414AF">
              <w:rPr>
                <w:rFonts w:ascii="Arial Narrow" w:hAnsi="Arial Narrow"/>
                <w:b/>
                <w:bCs/>
                <w:color w:val="FFFFFF"/>
                <w:sz w:val="22"/>
                <w:szCs w:val="22"/>
              </w:rPr>
              <w:t>2013</w:t>
            </w:r>
          </w:p>
        </w:tc>
        <w:tc>
          <w:tcPr>
            <w:tcW w:w="1422" w:type="dxa"/>
            <w:tcBorders>
              <w:top w:val="nil"/>
              <w:left w:val="nil"/>
              <w:bottom w:val="single" w:sz="4" w:space="0" w:color="auto"/>
              <w:right w:val="single" w:sz="4" w:space="0" w:color="auto"/>
            </w:tcBorders>
            <w:shd w:val="clear" w:color="000000" w:fill="000000"/>
            <w:noWrap/>
            <w:textDirection w:val="lrTb"/>
            <w:vAlign w:val="bottom"/>
          </w:tcPr>
          <w:p w:rsidR="00F63F07" w:rsidRPr="00922B96">
            <w:pPr>
              <w:bidi w:val="0"/>
              <w:jc w:val="center"/>
              <w:rPr>
                <w:rFonts w:ascii="Arial Narrow" w:hAnsi="Arial Narrow"/>
                <w:b/>
                <w:bCs/>
                <w:color w:val="FFFFFF"/>
              </w:rPr>
            </w:pPr>
            <w:r w:rsidRPr="00D414AF">
              <w:rPr>
                <w:rFonts w:ascii="Arial Narrow" w:hAnsi="Arial Narrow"/>
                <w:b/>
                <w:bCs/>
                <w:color w:val="FFFFFF"/>
                <w:sz w:val="22"/>
                <w:szCs w:val="22"/>
              </w:rPr>
              <w:t>2014</w:t>
            </w:r>
          </w:p>
        </w:tc>
        <w:tc>
          <w:tcPr>
            <w:tcW w:w="1423" w:type="dxa"/>
            <w:tcBorders>
              <w:top w:val="nil"/>
              <w:left w:val="nil"/>
              <w:bottom w:val="single" w:sz="4" w:space="0" w:color="auto"/>
              <w:right w:val="single" w:sz="4" w:space="0" w:color="auto"/>
            </w:tcBorders>
            <w:shd w:val="clear" w:color="000000" w:fill="000000"/>
            <w:noWrap/>
            <w:textDirection w:val="lrTb"/>
            <w:vAlign w:val="bottom"/>
          </w:tcPr>
          <w:p w:rsidR="00F63F07" w:rsidRPr="00922B96">
            <w:pPr>
              <w:bidi w:val="0"/>
              <w:jc w:val="center"/>
              <w:rPr>
                <w:rFonts w:ascii="Arial Narrow" w:hAnsi="Arial Narrow"/>
                <w:b/>
                <w:bCs/>
                <w:color w:val="FFFFFF"/>
              </w:rPr>
            </w:pPr>
            <w:r w:rsidRPr="00D414AF">
              <w:rPr>
                <w:rFonts w:ascii="Arial Narrow" w:hAnsi="Arial Narrow"/>
                <w:b/>
                <w:bCs/>
                <w:color w:val="FFFFFF"/>
                <w:sz w:val="22"/>
                <w:szCs w:val="22"/>
              </w:rPr>
              <w:t>2015</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shd w:val="clear" w:color="000000" w:fill="969696"/>
            <w:noWrap/>
            <w:textDirection w:val="lrTb"/>
            <w:vAlign w:val="bottom"/>
          </w:tcPr>
          <w:p w:rsidR="007452E6" w:rsidRPr="00922B96">
            <w:pPr>
              <w:bidi w:val="0"/>
              <w:rPr>
                <w:rFonts w:ascii="Arial Narrow" w:hAnsi="Arial Narrow"/>
                <w:b/>
                <w:bCs/>
                <w:color w:val="000000"/>
                <w:sz w:val="20"/>
                <w:szCs w:val="20"/>
              </w:rPr>
            </w:pPr>
            <w:r w:rsidRPr="00D414AF">
              <w:rPr>
                <w:rFonts w:ascii="Arial Narrow" w:hAnsi="Arial Narrow"/>
                <w:b/>
                <w:bCs/>
                <w:color w:val="000000"/>
                <w:sz w:val="20"/>
                <w:szCs w:val="20"/>
              </w:rPr>
              <w:t>Príjmy verejnej správy celkom</w:t>
            </w:r>
          </w:p>
        </w:tc>
        <w:tc>
          <w:tcPr>
            <w:tcW w:w="1421"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345 296 938</w:t>
            </w:r>
          </w:p>
        </w:tc>
        <w:tc>
          <w:tcPr>
            <w:tcW w:w="1421"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822 462 872</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879 730 950</w:t>
            </w:r>
          </w:p>
        </w:tc>
        <w:tc>
          <w:tcPr>
            <w:tcW w:w="1423"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988 206 020</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Štátny rozpočet </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-4 907 979</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-42 183 903</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-35 831 006</w:t>
            </w:r>
          </w:p>
        </w:tc>
      </w:tr>
      <w:tr>
        <w:tblPrEx>
          <w:tblW w:w="9224" w:type="dxa"/>
          <w:tblInd w:w="60" w:type="dxa"/>
          <w:tblLayout w:type="fixed"/>
          <w:tblCellMar>
            <w:left w:w="70" w:type="dxa"/>
            <w:right w:w="70" w:type="dxa"/>
          </w:tblCellMar>
          <w:tblLook w:val="00A0"/>
        </w:tblPrEx>
        <w:trPr>
          <w:trHeight w:val="600"/>
        </w:trPr>
        <w:tc>
          <w:tcPr>
            <w:tcW w:w="3537" w:type="dxa"/>
            <w:tcBorders>
              <w:top w:val="nil"/>
              <w:left w:val="single" w:sz="4" w:space="0" w:color="auto"/>
              <w:bottom w:val="single" w:sz="4" w:space="0" w:color="auto"/>
              <w:right w:val="single" w:sz="4" w:space="0" w:color="auto"/>
            </w:tcBorders>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07C06  Nesystémové dávky sociálneho poistenia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224" w:type="dxa"/>
          <w:tblInd w:w="60" w:type="dxa"/>
          <w:tblLayout w:type="fixed"/>
          <w:tblCellMar>
            <w:left w:w="70" w:type="dxa"/>
            <w:right w:w="70" w:type="dxa"/>
          </w:tblCellMar>
          <w:tblLook w:val="00A0"/>
        </w:tblPrEx>
        <w:trPr>
          <w:trHeight w:val="945"/>
        </w:trPr>
        <w:tc>
          <w:tcPr>
            <w:tcW w:w="3537" w:type="dxa"/>
            <w:tcBorders>
              <w:top w:val="nil"/>
              <w:left w:val="single" w:sz="4" w:space="0" w:color="auto"/>
              <w:bottom w:val="single" w:sz="4" w:space="0" w:color="auto"/>
              <w:right w:val="single" w:sz="4" w:space="0" w:color="auto"/>
            </w:tcBorders>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07C020A Štátom platené poistné za osoby starajúce sa o dieťa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 - Všeobecná pokladničná správa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-4 907 979</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-42 183 903</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-35 831 006</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Obce</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-25 274 159</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-41 352 123</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-42 194 480</w:t>
            </w:r>
          </w:p>
        </w:tc>
      </w:tr>
      <w:tr>
        <w:tblPrEx>
          <w:tblW w:w="9224" w:type="dxa"/>
          <w:tblInd w:w="60" w:type="dxa"/>
          <w:tblLayout w:type="fixed"/>
          <w:tblCellMar>
            <w:left w:w="70" w:type="dxa"/>
            <w:right w:w="70" w:type="dxa"/>
          </w:tblCellMar>
          <w:tblLook w:val="00A0"/>
        </w:tblPrEx>
        <w:trPr>
          <w:trHeight w:val="330"/>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VÚC</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-8 463 365</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-13 847 270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-14 129 344</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Sociálna poisťovňa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345 296 938</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741 116 193</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832 782 403</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921 445 416</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zdravotné poisťovne</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119 992 182</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144 331 842</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158 915 435</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shd w:val="clear" w:color="000000" w:fill="969696"/>
            <w:noWrap/>
            <w:textDirection w:val="lrTb"/>
            <w:vAlign w:val="bottom"/>
          </w:tcPr>
          <w:p w:rsidR="007452E6" w:rsidRPr="00922B96">
            <w:pPr>
              <w:bidi w:val="0"/>
              <w:rPr>
                <w:rFonts w:ascii="Arial Narrow" w:hAnsi="Arial Narrow"/>
                <w:b/>
                <w:bCs/>
                <w:color w:val="000000"/>
                <w:sz w:val="20"/>
                <w:szCs w:val="20"/>
              </w:rPr>
            </w:pPr>
            <w:r w:rsidRPr="00D414AF">
              <w:rPr>
                <w:rFonts w:ascii="Arial Narrow" w:hAnsi="Arial Narrow"/>
                <w:b/>
                <w:bCs/>
                <w:color w:val="000000"/>
                <w:sz w:val="20"/>
                <w:szCs w:val="20"/>
              </w:rPr>
              <w:t>Výdavky verejnej správy celkom</w:t>
            </w:r>
          </w:p>
        </w:tc>
        <w:tc>
          <w:tcPr>
            <w:tcW w:w="1421"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-2 695</w:t>
            </w:r>
          </w:p>
        </w:tc>
        <w:tc>
          <w:tcPr>
            <w:tcW w:w="1421"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2 694 264</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-3 054 361</w:t>
            </w:r>
          </w:p>
        </w:tc>
        <w:tc>
          <w:tcPr>
            <w:tcW w:w="1423" w:type="dxa"/>
            <w:tcBorders>
              <w:top w:val="nil"/>
              <w:left w:val="nil"/>
              <w:bottom w:val="single" w:sz="4" w:space="0" w:color="auto"/>
              <w:right w:val="single" w:sz="4" w:space="0" w:color="auto"/>
            </w:tcBorders>
            <w:shd w:val="clear" w:color="000000" w:fill="969696"/>
            <w:noWrap/>
            <w:textDirection w:val="lrTb"/>
            <w:vAlign w:val="bottom"/>
          </w:tcPr>
          <w:p w:rsidR="007452E6">
            <w:pPr>
              <w:bidi w:val="0"/>
              <w:jc w:val="right"/>
              <w:rPr>
                <w:rFonts w:ascii="Arial Narrow" w:hAnsi="Arial Narrow" w:cs="Arial"/>
                <w:b/>
                <w:bCs/>
                <w:color w:val="000000"/>
                <w:sz w:val="20"/>
                <w:szCs w:val="20"/>
              </w:rPr>
            </w:pPr>
            <w:r>
              <w:rPr>
                <w:rFonts w:ascii="Arial Narrow" w:hAnsi="Arial Narrow" w:cs="Arial"/>
                <w:b/>
                <w:bCs/>
                <w:color w:val="000000"/>
                <w:sz w:val="20"/>
                <w:szCs w:val="20"/>
              </w:rPr>
              <w:t>-18 168 459</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Štátny rozpočet </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3 596 342</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3 922 294</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4 234 399</w:t>
            </w:r>
          </w:p>
        </w:tc>
      </w:tr>
      <w:tr>
        <w:tblPrEx>
          <w:tblW w:w="9224" w:type="dxa"/>
          <w:tblInd w:w="60" w:type="dxa"/>
          <w:tblLayout w:type="fixed"/>
          <w:tblCellMar>
            <w:left w:w="70" w:type="dxa"/>
            <w:right w:w="70" w:type="dxa"/>
          </w:tblCellMar>
          <w:tblLook w:val="00A0"/>
        </w:tblPrEx>
        <w:trPr>
          <w:trHeight w:val="645"/>
        </w:trPr>
        <w:tc>
          <w:tcPr>
            <w:tcW w:w="3537" w:type="dxa"/>
            <w:tcBorders>
              <w:top w:val="nil"/>
              <w:left w:val="single" w:sz="4" w:space="0" w:color="auto"/>
              <w:bottom w:val="single" w:sz="4" w:space="0" w:color="auto"/>
              <w:right w:val="single" w:sz="4" w:space="0" w:color="auto"/>
            </w:tcBorders>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07C06  Nesystémové dávky sociálneho poistenia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225 420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427 000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589 000</w:t>
            </w:r>
          </w:p>
        </w:tc>
      </w:tr>
      <w:tr>
        <w:tblPrEx>
          <w:tblW w:w="9224" w:type="dxa"/>
          <w:tblInd w:w="60" w:type="dxa"/>
          <w:tblLayout w:type="fixed"/>
          <w:tblCellMar>
            <w:left w:w="70" w:type="dxa"/>
            <w:right w:w="70" w:type="dxa"/>
          </w:tblCellMar>
          <w:tblLook w:val="00A0"/>
        </w:tblPrEx>
        <w:trPr>
          <w:trHeight w:val="1020"/>
        </w:trPr>
        <w:tc>
          <w:tcPr>
            <w:tcW w:w="3537" w:type="dxa"/>
            <w:tcBorders>
              <w:top w:val="nil"/>
              <w:left w:val="single" w:sz="4" w:space="0" w:color="auto"/>
              <w:bottom w:val="single" w:sz="4" w:space="0" w:color="auto"/>
              <w:right w:val="single" w:sz="4" w:space="0" w:color="auto"/>
            </w:tcBorders>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07C020A Štátom platené poistné za osoby starajúce sa o dieťa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3 370 922</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3 495 294</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3 645 399</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 xml:space="preserve"> - Všeobecná pokladničná správa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Obce</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VÚC</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Sociálna poisťovňa</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-2 695</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-902 078</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-6 976 656</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-22 402 858</w:t>
            </w:r>
          </w:p>
        </w:tc>
      </w:tr>
      <w:tr>
        <w:tblPrEx>
          <w:tblW w:w="9224" w:type="dxa"/>
          <w:tblInd w:w="60" w:type="dxa"/>
          <w:tblLayout w:type="fixed"/>
          <w:tblCellMar>
            <w:left w:w="70" w:type="dxa"/>
            <w:right w:w="70" w:type="dxa"/>
          </w:tblCellMar>
          <w:tblLook w:val="00A0"/>
        </w:tblPrEx>
        <w:trPr>
          <w:trHeight w:val="315"/>
        </w:trPr>
        <w:tc>
          <w:tcPr>
            <w:tcW w:w="3537" w:type="dxa"/>
            <w:tcBorders>
              <w:top w:val="nil"/>
              <w:left w:val="single" w:sz="4" w:space="0" w:color="auto"/>
              <w:bottom w:val="single" w:sz="4" w:space="0" w:color="auto"/>
              <w:right w:val="single" w:sz="4" w:space="0" w:color="auto"/>
            </w:tcBorders>
            <w:noWrap/>
            <w:textDirection w:val="lrTb"/>
            <w:vAlign w:val="bottom"/>
          </w:tcPr>
          <w:p w:rsidR="007452E6" w:rsidRPr="00922B96">
            <w:pPr>
              <w:bidi w:val="0"/>
              <w:rPr>
                <w:rFonts w:ascii="Arial Narrow" w:hAnsi="Arial Narrow"/>
                <w:color w:val="000000"/>
                <w:sz w:val="20"/>
                <w:szCs w:val="20"/>
              </w:rPr>
            </w:pPr>
            <w:r w:rsidRPr="00D414AF">
              <w:rPr>
                <w:rFonts w:ascii="Arial Narrow" w:hAnsi="Arial Narrow"/>
                <w:color w:val="000000"/>
                <w:sz w:val="20"/>
                <w:szCs w:val="20"/>
              </w:rPr>
              <w:t>zdravotné poisťovne</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1"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7452E6">
            <w:pPr>
              <w:bidi w:val="0"/>
              <w:jc w:val="right"/>
              <w:rPr>
                <w:rFonts w:ascii="Arial Narrow" w:hAnsi="Arial Narrow" w:cs="Arial"/>
                <w:color w:val="000000"/>
                <w:sz w:val="20"/>
                <w:szCs w:val="20"/>
              </w:rPr>
            </w:pPr>
            <w:r>
              <w:rPr>
                <w:rFonts w:ascii="Arial Narrow" w:hAnsi="Arial Narrow" w:cs="Arial"/>
                <w:color w:val="000000"/>
                <w:sz w:val="20"/>
                <w:szCs w:val="20"/>
              </w:rPr>
              <w:t>0</w:t>
            </w:r>
          </w:p>
        </w:tc>
      </w:tr>
    </w:tbl>
    <w:p w:rsidR="00F63F07" w:rsidP="00922B96">
      <w:pPr>
        <w:bidi w:val="0"/>
        <w:jc w:val="center"/>
        <w:rPr>
          <w:rFonts w:ascii="Times New Roman" w:hAnsi="Times New Roman"/>
          <w:sz w:val="20"/>
          <w:szCs w:val="20"/>
        </w:rPr>
      </w:pPr>
    </w:p>
    <w:p w:rsidR="00F63F07" w:rsidP="00F709F3">
      <w:pPr>
        <w:pageBreakBefore/>
        <w:bidi w:val="0"/>
        <w:jc w:val="right"/>
        <w:rPr>
          <w:rFonts w:ascii="Times New Roman" w:hAnsi="Times New Roman"/>
          <w:sz w:val="20"/>
          <w:szCs w:val="20"/>
        </w:rPr>
      </w:pPr>
      <w:r w:rsidRPr="004161A1">
        <w:rPr>
          <w:rFonts w:ascii="Times New Roman" w:hAnsi="Times New Roman"/>
          <w:sz w:val="20"/>
          <w:szCs w:val="20"/>
        </w:rPr>
        <w:t>Tabuľka č. 1</w:t>
      </w:r>
      <w:r>
        <w:rPr>
          <w:rFonts w:ascii="Times New Roman" w:hAnsi="Times New Roman"/>
          <w:sz w:val="20"/>
          <w:szCs w:val="20"/>
        </w:rPr>
        <w:t>b</w:t>
      </w:r>
    </w:p>
    <w:tbl>
      <w:tblPr>
        <w:tblStyle w:val="TableNormal"/>
        <w:tblW w:w="9229" w:type="dxa"/>
        <w:tblInd w:w="55" w:type="dxa"/>
        <w:tblLayout w:type="fixed"/>
        <w:tblCellMar>
          <w:left w:w="70" w:type="dxa"/>
          <w:right w:w="70" w:type="dxa"/>
        </w:tblCellMar>
        <w:tblLook w:val="00A0"/>
      </w:tblPr>
      <w:tblGrid>
        <w:gridCol w:w="3540"/>
        <w:gridCol w:w="1422"/>
        <w:gridCol w:w="1422"/>
        <w:gridCol w:w="1422"/>
        <w:gridCol w:w="1423"/>
      </w:tblGrid>
      <w:tr>
        <w:tblPrEx>
          <w:tblW w:w="9229" w:type="dxa"/>
          <w:tblInd w:w="55" w:type="dxa"/>
          <w:tblLayout w:type="fixed"/>
          <w:tblCellMar>
            <w:left w:w="70" w:type="dxa"/>
            <w:right w:w="70" w:type="dxa"/>
          </w:tblCellMar>
          <w:tblLook w:val="00A0"/>
        </w:tblPrEx>
        <w:trPr>
          <w:trHeight w:val="315"/>
        </w:trPr>
        <w:tc>
          <w:tcPr>
            <w:tcW w:w="354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922B96" w:rsidP="00922B96">
            <w:pPr>
              <w:bidi w:val="0"/>
              <w:rPr>
                <w:rFonts w:ascii="Arial Narrow" w:hAnsi="Arial Narrow"/>
                <w:b/>
                <w:bCs/>
                <w:color w:val="FFFFFF"/>
              </w:rPr>
            </w:pPr>
            <w:r w:rsidRPr="00D414AF">
              <w:rPr>
                <w:rFonts w:ascii="Arial Narrow" w:hAnsi="Arial Narrow"/>
                <w:b/>
                <w:bCs/>
                <w:color w:val="FFFFFF"/>
                <w:sz w:val="22"/>
                <w:szCs w:val="22"/>
              </w:rPr>
              <w:t> </w:t>
            </w:r>
          </w:p>
        </w:tc>
        <w:tc>
          <w:tcPr>
            <w:tcW w:w="5689"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Vplyv na rozpočet verejnej správy (ESA 95)</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922B96" w:rsidP="00922B96">
            <w:pPr>
              <w:bidi w:val="0"/>
              <w:rPr>
                <w:rFonts w:ascii="Arial Narrow" w:hAnsi="Arial Narrow"/>
                <w:b/>
                <w:bCs/>
                <w:color w:val="FFFFFF"/>
                <w:u w:val="single"/>
              </w:rPr>
            </w:pPr>
            <w:r w:rsidRPr="00D414AF">
              <w:rPr>
                <w:rFonts w:ascii="Arial Narrow" w:hAnsi="Arial Narrow"/>
                <w:b/>
                <w:bCs/>
                <w:color w:val="FFFFFF"/>
                <w:sz w:val="22"/>
                <w:szCs w:val="22"/>
                <w:u w:val="single"/>
              </w:rPr>
              <w:t>Rozpočet verejnej správy (v eur)</w:t>
            </w:r>
          </w:p>
        </w:tc>
        <w:tc>
          <w:tcPr>
            <w:tcW w:w="1422"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2012</w:t>
            </w:r>
          </w:p>
        </w:tc>
        <w:tc>
          <w:tcPr>
            <w:tcW w:w="1422"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2013</w:t>
            </w:r>
          </w:p>
        </w:tc>
        <w:tc>
          <w:tcPr>
            <w:tcW w:w="1422"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2014</w:t>
            </w:r>
          </w:p>
        </w:tc>
        <w:tc>
          <w:tcPr>
            <w:tcW w:w="1423"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2015</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shd w:val="clear" w:color="000000" w:fill="969696"/>
            <w:noWrap/>
            <w:textDirection w:val="lrTb"/>
            <w:vAlign w:val="bottom"/>
          </w:tcPr>
          <w:p w:rsidR="004232EF" w:rsidRPr="00922B96" w:rsidP="00922B96">
            <w:pPr>
              <w:bidi w:val="0"/>
              <w:rPr>
                <w:rFonts w:ascii="Arial Narrow" w:hAnsi="Arial Narrow"/>
                <w:b/>
                <w:bCs/>
                <w:color w:val="000000"/>
                <w:sz w:val="20"/>
                <w:szCs w:val="20"/>
              </w:rPr>
            </w:pPr>
            <w:r w:rsidRPr="00D414AF">
              <w:rPr>
                <w:rFonts w:ascii="Arial Narrow" w:hAnsi="Arial Narrow"/>
                <w:b/>
                <w:bCs/>
                <w:color w:val="000000"/>
                <w:sz w:val="20"/>
                <w:szCs w:val="20"/>
              </w:rPr>
              <w:t>Príjmy verejnej správy celkom</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383 843 178</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820 301 077</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900 817 183</w:t>
            </w:r>
          </w:p>
        </w:tc>
        <w:tc>
          <w:tcPr>
            <w:tcW w:w="1423"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998 554 564</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Štátny rozpočet </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-41 276 239</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-32 564 952</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-37 720 128</w:t>
            </w:r>
          </w:p>
        </w:tc>
      </w:tr>
      <w:tr>
        <w:tblPrEx>
          <w:tblW w:w="9229" w:type="dxa"/>
          <w:tblInd w:w="55" w:type="dxa"/>
          <w:tblLayout w:type="fixed"/>
          <w:tblCellMar>
            <w:left w:w="70" w:type="dxa"/>
            <w:right w:w="70" w:type="dxa"/>
          </w:tblCellMar>
          <w:tblLook w:val="00A0"/>
        </w:tblPrEx>
        <w:trPr>
          <w:trHeight w:val="600"/>
        </w:trPr>
        <w:tc>
          <w:tcPr>
            <w:tcW w:w="3540"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07C06  Nesystémové dávky sociálneho poistenia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29" w:type="dxa"/>
          <w:tblInd w:w="55" w:type="dxa"/>
          <w:tblLayout w:type="fixed"/>
          <w:tblCellMar>
            <w:left w:w="70" w:type="dxa"/>
            <w:right w:w="70" w:type="dxa"/>
          </w:tblCellMar>
          <w:tblLook w:val="00A0"/>
        </w:tblPrEx>
        <w:trPr>
          <w:trHeight w:val="945"/>
        </w:trPr>
        <w:tc>
          <w:tcPr>
            <w:tcW w:w="3540"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07C020A Štátom platené poistné za osoby starajúce sa o dieťa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Všeobecná pokladničná správa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-41 276 239</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-32 564 952</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-37 720 128</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Obce</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-25 274 159</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-41 352 123</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-42 194 480</w:t>
            </w:r>
          </w:p>
        </w:tc>
      </w:tr>
      <w:tr>
        <w:tblPrEx>
          <w:tblW w:w="9229" w:type="dxa"/>
          <w:tblInd w:w="55" w:type="dxa"/>
          <w:tblLayout w:type="fixed"/>
          <w:tblCellMar>
            <w:left w:w="70" w:type="dxa"/>
            <w:right w:w="70" w:type="dxa"/>
          </w:tblCellMar>
          <w:tblLook w:val="00A0"/>
        </w:tblPrEx>
        <w:trPr>
          <w:trHeight w:val="330"/>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VÚC</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-8 463 365</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-13 847 270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-14 129 344</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Sociálna poisťovňa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383 843 178</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766 270 594</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842 968 220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932 630 042</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zdravotné poisťovne</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129 044 245</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145 613 309</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159 968 476</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shd w:val="clear" w:color="000000" w:fill="969696"/>
            <w:noWrap/>
            <w:textDirection w:val="lrTb"/>
            <w:vAlign w:val="bottom"/>
          </w:tcPr>
          <w:p w:rsidR="004232EF" w:rsidRPr="00922B96" w:rsidP="00922B96">
            <w:pPr>
              <w:bidi w:val="0"/>
              <w:rPr>
                <w:rFonts w:ascii="Arial Narrow" w:hAnsi="Arial Narrow"/>
                <w:b/>
                <w:bCs/>
                <w:color w:val="000000"/>
                <w:sz w:val="20"/>
                <w:szCs w:val="20"/>
              </w:rPr>
            </w:pPr>
            <w:r w:rsidRPr="00D414AF">
              <w:rPr>
                <w:rFonts w:ascii="Arial Narrow" w:hAnsi="Arial Narrow"/>
                <w:b/>
                <w:bCs/>
                <w:color w:val="000000"/>
                <w:sz w:val="20"/>
                <w:szCs w:val="20"/>
              </w:rPr>
              <w:t>Výdavky verejnej správy celkom</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-2 695</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2 694 264</w:t>
            </w:r>
          </w:p>
        </w:tc>
        <w:tc>
          <w:tcPr>
            <w:tcW w:w="1422"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-3 054 361</w:t>
            </w:r>
          </w:p>
        </w:tc>
        <w:tc>
          <w:tcPr>
            <w:tcW w:w="1423" w:type="dxa"/>
            <w:tcBorders>
              <w:top w:val="nil"/>
              <w:left w:val="nil"/>
              <w:bottom w:val="single" w:sz="4" w:space="0" w:color="auto"/>
              <w:right w:val="single" w:sz="4" w:space="0" w:color="auto"/>
            </w:tcBorders>
            <w:shd w:val="clear" w:color="000000" w:fill="969696"/>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-18 168 459</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Štátny rozpočet </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3 596 342</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3 922 294</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4 234 399</w:t>
            </w:r>
          </w:p>
        </w:tc>
      </w:tr>
      <w:tr>
        <w:tblPrEx>
          <w:tblW w:w="9229" w:type="dxa"/>
          <w:tblInd w:w="55" w:type="dxa"/>
          <w:tblLayout w:type="fixed"/>
          <w:tblCellMar>
            <w:left w:w="70" w:type="dxa"/>
            <w:right w:w="70" w:type="dxa"/>
          </w:tblCellMar>
          <w:tblLook w:val="00A0"/>
        </w:tblPrEx>
        <w:trPr>
          <w:trHeight w:val="645"/>
        </w:trPr>
        <w:tc>
          <w:tcPr>
            <w:tcW w:w="3540"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07C06  Nesystémové dávky sociálneho poistenia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225 420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427 000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589 000</w:t>
            </w:r>
          </w:p>
        </w:tc>
      </w:tr>
      <w:tr>
        <w:tblPrEx>
          <w:tblW w:w="9229" w:type="dxa"/>
          <w:tblInd w:w="55" w:type="dxa"/>
          <w:tblLayout w:type="fixed"/>
          <w:tblCellMar>
            <w:left w:w="70" w:type="dxa"/>
            <w:right w:w="70" w:type="dxa"/>
          </w:tblCellMar>
          <w:tblLook w:val="00A0"/>
        </w:tblPrEx>
        <w:trPr>
          <w:trHeight w:val="1020"/>
        </w:trPr>
        <w:tc>
          <w:tcPr>
            <w:tcW w:w="3540"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07C020A Štátom platené poistné za osoby starajúce sa o dieťa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3 370 922</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3 495 294</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3 645 399</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Všeobecná pokladničná správa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Obce</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VÚC</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Sociálna poisťovňa</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-2 695</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-902 078</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-6 976 656</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-22 402 858</w:t>
            </w:r>
          </w:p>
        </w:tc>
      </w:tr>
      <w:tr>
        <w:tblPrEx>
          <w:tblW w:w="9229" w:type="dxa"/>
          <w:tblInd w:w="55" w:type="dxa"/>
          <w:tblLayout w:type="fixed"/>
          <w:tblCellMar>
            <w:left w:w="70" w:type="dxa"/>
            <w:right w:w="70" w:type="dxa"/>
          </w:tblCellMar>
          <w:tblLook w:val="00A0"/>
        </w:tblPrEx>
        <w:trPr>
          <w:trHeight w:val="315"/>
        </w:trPr>
        <w:tc>
          <w:tcPr>
            <w:tcW w:w="3540"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zdravotné poisťovne</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2"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23" w:type="dxa"/>
            <w:tcBorders>
              <w:top w:val="nil"/>
              <w:left w:val="nil"/>
              <w:bottom w:val="single" w:sz="4" w:space="0" w:color="auto"/>
              <w:right w:val="single" w:sz="4" w:space="0" w:color="auto"/>
            </w:tcBorders>
            <w:noWrap/>
            <w:textDirection w:val="lrTb"/>
            <w:vAlign w:val="bottom"/>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bl>
    <w:p w:rsidR="00F63F07" w:rsidP="00CD2E72">
      <w:pPr>
        <w:bidi w:val="0"/>
        <w:jc w:val="center"/>
        <w:rPr>
          <w:rFonts w:ascii="Times New Roman" w:hAnsi="Times New Roman"/>
          <w:sz w:val="20"/>
          <w:szCs w:val="20"/>
        </w:rPr>
      </w:pPr>
    </w:p>
    <w:p w:rsidR="00F63F07" w:rsidP="00CD2E72">
      <w:pPr>
        <w:bidi w:val="0"/>
        <w:jc w:val="center"/>
        <w:rPr>
          <w:rFonts w:ascii="Times New Roman" w:hAnsi="Times New Roman"/>
          <w:sz w:val="20"/>
          <w:szCs w:val="20"/>
        </w:rPr>
      </w:pPr>
    </w:p>
    <w:p w:rsidR="00F63F07" w:rsidP="00CD2E72">
      <w:pPr>
        <w:bidi w:val="0"/>
        <w:jc w:val="center"/>
        <w:rPr>
          <w:rFonts w:ascii="Times New Roman" w:hAnsi="Times New Roman"/>
          <w:sz w:val="20"/>
          <w:szCs w:val="20"/>
        </w:rPr>
      </w:pPr>
    </w:p>
    <w:p w:rsidR="00F63F07" w:rsidP="00B53407">
      <w:pPr>
        <w:bidi w:val="0"/>
        <w:rPr>
          <w:rFonts w:ascii="Times New Roman" w:hAnsi="Times New Roman"/>
          <w:b/>
          <w:bCs/>
        </w:rPr>
      </w:pPr>
      <w:r w:rsidRPr="004161A1">
        <w:rPr>
          <w:rFonts w:ascii="Times New Roman" w:hAnsi="Times New Roman"/>
          <w:b/>
          <w:bCs/>
        </w:rPr>
        <w:t>2.2. Financovanie návrhu</w:t>
      </w:r>
    </w:p>
    <w:p w:rsidR="00F63F07" w:rsidP="00B53407">
      <w:pPr>
        <w:bidi w:val="0"/>
        <w:jc w:val="right"/>
        <w:rPr>
          <w:rFonts w:ascii="Times New Roman" w:hAnsi="Times New Roman"/>
          <w:sz w:val="20"/>
          <w:szCs w:val="20"/>
        </w:rPr>
      </w:pPr>
      <w:r w:rsidRPr="004161A1">
        <w:rPr>
          <w:rFonts w:ascii="Times New Roman" w:hAnsi="Times New Roman"/>
          <w:sz w:val="20"/>
          <w:szCs w:val="20"/>
        </w:rPr>
        <w:t>Tabuľka č. 2</w:t>
      </w:r>
      <w:r>
        <w:rPr>
          <w:rFonts w:ascii="Times New Roman" w:hAnsi="Times New Roman"/>
          <w:sz w:val="20"/>
          <w:szCs w:val="20"/>
        </w:rPr>
        <w:t>a</w:t>
      </w:r>
    </w:p>
    <w:tbl>
      <w:tblPr>
        <w:tblStyle w:val="TableNormal"/>
        <w:tblW w:w="9075" w:type="dxa"/>
        <w:tblInd w:w="55" w:type="dxa"/>
        <w:tblCellMar>
          <w:left w:w="70" w:type="dxa"/>
          <w:right w:w="70" w:type="dxa"/>
        </w:tblCellMar>
        <w:tblLook w:val="00A0"/>
      </w:tblPr>
      <w:tblGrid>
        <w:gridCol w:w="3701"/>
        <w:gridCol w:w="1276"/>
        <w:gridCol w:w="1417"/>
        <w:gridCol w:w="1314"/>
        <w:gridCol w:w="1367"/>
      </w:tblGrid>
      <w:tr>
        <w:tblPrEx>
          <w:tblW w:w="9075" w:type="dxa"/>
          <w:tblInd w:w="55" w:type="dxa"/>
          <w:tblCellMar>
            <w:left w:w="70" w:type="dxa"/>
            <w:right w:w="70" w:type="dxa"/>
          </w:tblCellMar>
          <w:tblLook w:val="00A0"/>
        </w:tblPrEx>
        <w:trPr>
          <w:trHeight w:val="315"/>
        </w:trPr>
        <w:tc>
          <w:tcPr>
            <w:tcW w:w="3701"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922B96" w:rsidP="00922B96">
            <w:pPr>
              <w:bidi w:val="0"/>
              <w:rPr>
                <w:rFonts w:ascii="Arial Narrow" w:hAnsi="Arial Narrow"/>
                <w:b/>
                <w:bCs/>
                <w:color w:val="FFFFFF"/>
              </w:rPr>
            </w:pPr>
            <w:r w:rsidRPr="00D414AF">
              <w:rPr>
                <w:rFonts w:ascii="Arial Narrow" w:hAnsi="Arial Narrow"/>
                <w:b/>
                <w:bCs/>
                <w:color w:val="FFFFFF"/>
                <w:sz w:val="22"/>
                <w:szCs w:val="22"/>
              </w:rPr>
              <w:t> </w:t>
            </w:r>
          </w:p>
        </w:tc>
        <w:tc>
          <w:tcPr>
            <w:tcW w:w="5374"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Vplyv na rozpočet verejnej správy (cash)</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922B96" w:rsidP="00922B96">
            <w:pPr>
              <w:bidi w:val="0"/>
              <w:rPr>
                <w:rFonts w:ascii="Arial Narrow" w:hAnsi="Arial Narrow"/>
                <w:b/>
                <w:bCs/>
                <w:color w:val="FFFFFF"/>
                <w:u w:val="single"/>
              </w:rPr>
            </w:pPr>
            <w:r w:rsidRPr="00D414AF">
              <w:rPr>
                <w:rFonts w:ascii="Arial Narrow" w:hAnsi="Arial Narrow"/>
                <w:b/>
                <w:bCs/>
                <w:color w:val="FFFFFF"/>
                <w:sz w:val="22"/>
                <w:szCs w:val="22"/>
                <w:u w:val="single"/>
              </w:rPr>
              <w:t>Financovanie (v eur)</w:t>
            </w:r>
          </w:p>
        </w:tc>
        <w:tc>
          <w:tcPr>
            <w:tcW w:w="1276"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2012</w:t>
            </w:r>
          </w:p>
        </w:tc>
        <w:tc>
          <w:tcPr>
            <w:tcW w:w="1417"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2013</w:t>
            </w:r>
          </w:p>
        </w:tc>
        <w:tc>
          <w:tcPr>
            <w:tcW w:w="1314"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2014</w:t>
            </w:r>
          </w:p>
        </w:tc>
        <w:tc>
          <w:tcPr>
            <w:tcW w:w="1367"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2015</w:t>
            </w:r>
          </w:p>
        </w:tc>
      </w:tr>
      <w:tr>
        <w:tblPrEx>
          <w:tblW w:w="9075" w:type="dxa"/>
          <w:tblInd w:w="55" w:type="dxa"/>
          <w:tblCellMar>
            <w:left w:w="70" w:type="dxa"/>
            <w:right w:w="70" w:type="dxa"/>
          </w:tblCellMar>
          <w:tblLook w:val="00A0"/>
        </w:tblPrEx>
        <w:trPr>
          <w:trHeight w:val="630"/>
        </w:trPr>
        <w:tc>
          <w:tcPr>
            <w:tcW w:w="3701" w:type="dxa"/>
            <w:tcBorders>
              <w:top w:val="nil"/>
              <w:left w:val="single" w:sz="4" w:space="0" w:color="auto"/>
              <w:bottom w:val="single" w:sz="4" w:space="0" w:color="auto"/>
              <w:right w:val="single" w:sz="4" w:space="0" w:color="auto"/>
            </w:tcBorders>
            <w:textDirection w:val="lrTb"/>
            <w:vAlign w:val="center"/>
          </w:tcPr>
          <w:p w:rsidR="00B73B55" w:rsidP="002B3A51">
            <w:pPr>
              <w:bidi w:val="0"/>
              <w:rPr>
                <w:rFonts w:ascii="Arial Narrow" w:hAnsi="Arial Narrow"/>
                <w:b/>
                <w:bCs/>
                <w:color w:val="000000"/>
                <w:sz w:val="20"/>
                <w:szCs w:val="20"/>
              </w:rPr>
            </w:pPr>
            <w:r w:rsidRPr="00D414AF">
              <w:rPr>
                <w:rFonts w:ascii="Arial Narrow" w:hAnsi="Arial Narrow"/>
                <w:b/>
                <w:bCs/>
                <w:color w:val="000000"/>
                <w:sz w:val="20"/>
                <w:szCs w:val="20"/>
              </w:rPr>
              <w:t>Celkový vplyv na rozpočet verejnej správy</w:t>
            </w:r>
          </w:p>
          <w:p w:rsidR="00B73B55" w:rsidRPr="00922B96" w:rsidP="002B3A51">
            <w:pPr>
              <w:bidi w:val="0"/>
              <w:rPr>
                <w:rFonts w:ascii="Arial Narrow" w:hAnsi="Arial Narrow"/>
                <w:b/>
                <w:bCs/>
                <w:color w:val="000000"/>
                <w:sz w:val="20"/>
                <w:szCs w:val="20"/>
              </w:rPr>
            </w:pPr>
            <w:r w:rsidRPr="00D414AF">
              <w:rPr>
                <w:rFonts w:ascii="Arial Narrow" w:hAnsi="Arial Narrow"/>
                <w:b/>
                <w:bCs/>
                <w:color w:val="000000"/>
                <w:sz w:val="20"/>
                <w:szCs w:val="20"/>
              </w:rPr>
              <w:t>(- príjmy, + výdavky)</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-345 299 633</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-819 768 609</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-882 785 311</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-1 006 374 479</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P="00AA3AC7">
            <w:pPr>
              <w:bidi w:val="0"/>
              <w:ind w:firstLine="400" w:firstLineChars="200"/>
              <w:rPr>
                <w:rFonts w:ascii="Arial Narrow" w:hAnsi="Arial Narrow"/>
                <w:color w:val="000000"/>
                <w:sz w:val="20"/>
                <w:szCs w:val="20"/>
              </w:rPr>
            </w:pPr>
            <w:r w:rsidRPr="00D414AF">
              <w:rPr>
                <w:rFonts w:ascii="Arial Narrow" w:hAnsi="Arial Narrow"/>
                <w:color w:val="000000"/>
                <w:sz w:val="20"/>
                <w:szCs w:val="20"/>
              </w:rPr>
              <w:t>z toho vplyv na ŠR</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8 504 321</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46 106 197</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40 065 405</w:t>
            </w:r>
          </w:p>
        </w:tc>
      </w:tr>
      <w:tr>
        <w:tblPrEx>
          <w:tblW w:w="9075" w:type="dxa"/>
          <w:tblInd w:w="55" w:type="dxa"/>
          <w:tblCellMar>
            <w:left w:w="70" w:type="dxa"/>
            <w:right w:w="70" w:type="dxa"/>
          </w:tblCellMar>
          <w:tblLook w:val="00A0"/>
        </w:tblPrEx>
        <w:trPr>
          <w:trHeight w:val="600"/>
        </w:trPr>
        <w:tc>
          <w:tcPr>
            <w:tcW w:w="3701" w:type="dxa"/>
            <w:tcBorders>
              <w:top w:val="nil"/>
              <w:left w:val="single" w:sz="4" w:space="0" w:color="auto"/>
              <w:bottom w:val="single" w:sz="4" w:space="0" w:color="auto"/>
              <w:right w:val="single" w:sz="4" w:space="0" w:color="auto"/>
            </w:tcBorders>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07C06  Nesystémové dávky sociálneho poistenia</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225 420</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427 000</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589 000</w:t>
            </w:r>
          </w:p>
        </w:tc>
      </w:tr>
      <w:tr>
        <w:tblPrEx>
          <w:tblW w:w="9075" w:type="dxa"/>
          <w:tblInd w:w="55" w:type="dxa"/>
          <w:tblCellMar>
            <w:left w:w="70" w:type="dxa"/>
            <w:right w:w="70" w:type="dxa"/>
          </w:tblCellMar>
          <w:tblLook w:val="00A0"/>
        </w:tblPrEx>
        <w:trPr>
          <w:trHeight w:val="900"/>
        </w:trPr>
        <w:tc>
          <w:tcPr>
            <w:tcW w:w="3701" w:type="dxa"/>
            <w:tcBorders>
              <w:top w:val="nil"/>
              <w:left w:val="single" w:sz="4" w:space="0" w:color="auto"/>
              <w:bottom w:val="single" w:sz="4" w:space="0" w:color="auto"/>
              <w:right w:val="single" w:sz="4" w:space="0" w:color="auto"/>
            </w:tcBorders>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07C020A Štátom platené poistné za osoby starajúce sa o dieťa</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3 370 922</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3 495 294</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3 645 399</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Všeobecná pokladničná správa</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4 907 979</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42 183 903</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35 831 006</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Obce</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25 274 159</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41 352 123</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42 194 480</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VÚC</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8 463 365</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13 847 270</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14 129 344</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P="00AA3AC7">
            <w:pPr>
              <w:bidi w:val="0"/>
              <w:ind w:firstLine="400" w:firstLineChars="200"/>
              <w:rPr>
                <w:rFonts w:ascii="Arial Narrow" w:hAnsi="Arial Narrow"/>
                <w:color w:val="000000"/>
                <w:sz w:val="20"/>
                <w:szCs w:val="20"/>
              </w:rPr>
            </w:pPr>
            <w:r w:rsidRPr="00D414AF">
              <w:rPr>
                <w:rFonts w:ascii="Arial Narrow" w:hAnsi="Arial Narrow"/>
                <w:color w:val="000000"/>
                <w:sz w:val="20"/>
                <w:szCs w:val="20"/>
              </w:rPr>
              <w:t>z toho vplyv na Sociálnu poisťovňu</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-345 299 633</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-742 018 271</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-839 759 059</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-943 848 273</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P="00AA3AC7">
            <w:pPr>
              <w:bidi w:val="0"/>
              <w:ind w:firstLine="400" w:firstLineChars="200"/>
              <w:rPr>
                <w:rFonts w:ascii="Arial Narrow" w:hAnsi="Arial Narrow"/>
                <w:color w:val="000000"/>
                <w:sz w:val="20"/>
                <w:szCs w:val="20"/>
              </w:rPr>
            </w:pPr>
            <w:r w:rsidRPr="00D414AF">
              <w:rPr>
                <w:rFonts w:ascii="Arial Narrow" w:hAnsi="Arial Narrow"/>
                <w:color w:val="000000"/>
                <w:sz w:val="20"/>
                <w:szCs w:val="20"/>
              </w:rPr>
              <w:t>z toho vplyv na zdravotné poisťovne</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-119 992 182</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-144 331 842</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-158 915 435</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financovanie zabezpečené v rozpočte SP</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RPr="00922B96" w:rsidP="00922B96">
            <w:pPr>
              <w:bidi w:val="0"/>
              <w:rPr>
                <w:rFonts w:ascii="Arial Narrow" w:hAnsi="Arial Narrow"/>
                <w:color w:val="000000"/>
                <w:sz w:val="20"/>
                <w:szCs w:val="20"/>
              </w:rPr>
            </w:pPr>
            <w:r w:rsidRPr="00D414AF">
              <w:rPr>
                <w:rFonts w:ascii="Arial Narrow" w:hAnsi="Arial Narrow"/>
                <w:color w:val="000000"/>
                <w:sz w:val="20"/>
                <w:szCs w:val="20"/>
              </w:rPr>
              <w:t>ostatné zdroje financovania</w:t>
            </w:r>
          </w:p>
        </w:tc>
        <w:tc>
          <w:tcPr>
            <w:tcW w:w="1276"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1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314"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367" w:type="dxa"/>
            <w:tcBorders>
              <w:top w:val="nil"/>
              <w:left w:val="nil"/>
              <w:bottom w:val="single" w:sz="4" w:space="0" w:color="auto"/>
              <w:right w:val="single" w:sz="4" w:space="0" w:color="auto"/>
            </w:tcBorders>
            <w:noWrap/>
            <w:textDirection w:val="lrTb"/>
            <w:vAlign w:val="center"/>
          </w:tcPr>
          <w:p w:rsidR="00B73B55">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075" w:type="dxa"/>
          <w:tblInd w:w="55" w:type="dxa"/>
          <w:tblCellMar>
            <w:left w:w="70" w:type="dxa"/>
            <w:right w:w="70" w:type="dxa"/>
          </w:tblCellMar>
          <w:tblLook w:val="00A0"/>
        </w:tblPrEx>
        <w:trPr>
          <w:trHeight w:val="315"/>
        </w:trPr>
        <w:tc>
          <w:tcPr>
            <w:tcW w:w="3701" w:type="dxa"/>
            <w:tcBorders>
              <w:top w:val="nil"/>
              <w:left w:val="single" w:sz="4" w:space="0" w:color="auto"/>
              <w:bottom w:val="single" w:sz="4" w:space="0" w:color="auto"/>
              <w:right w:val="single" w:sz="4" w:space="0" w:color="auto"/>
            </w:tcBorders>
            <w:noWrap/>
            <w:textDirection w:val="lrTb"/>
            <w:vAlign w:val="bottom"/>
          </w:tcPr>
          <w:p w:rsidR="00B73B55" w:rsidRPr="00922B96" w:rsidP="00922B96">
            <w:pPr>
              <w:bidi w:val="0"/>
              <w:rPr>
                <w:rFonts w:ascii="Arial Narrow" w:hAnsi="Arial Narrow"/>
                <w:b/>
                <w:bCs/>
                <w:color w:val="000000"/>
                <w:sz w:val="20"/>
                <w:szCs w:val="20"/>
              </w:rPr>
            </w:pPr>
            <w:r w:rsidRPr="00D414AF">
              <w:rPr>
                <w:rFonts w:ascii="Arial Narrow" w:hAnsi="Arial Narrow"/>
                <w:b/>
                <w:bCs/>
                <w:color w:val="000000"/>
                <w:sz w:val="20"/>
                <w:szCs w:val="20"/>
              </w:rPr>
              <w:t>Rozpočtovo nekrytý vplyv / úspora *</w:t>
            </w:r>
          </w:p>
        </w:tc>
        <w:tc>
          <w:tcPr>
            <w:tcW w:w="1276" w:type="dxa"/>
            <w:tcBorders>
              <w:top w:val="nil"/>
              <w:left w:val="nil"/>
              <w:bottom w:val="single" w:sz="4" w:space="0" w:color="auto"/>
              <w:right w:val="single" w:sz="4" w:space="0" w:color="auto"/>
            </w:tcBorders>
            <w:noWrap/>
            <w:textDirection w:val="lrTb"/>
            <w:vAlign w:val="bottom"/>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-345 299 633</w:t>
            </w:r>
          </w:p>
        </w:tc>
        <w:tc>
          <w:tcPr>
            <w:tcW w:w="1417" w:type="dxa"/>
            <w:tcBorders>
              <w:top w:val="nil"/>
              <w:left w:val="nil"/>
              <w:bottom w:val="single" w:sz="4" w:space="0" w:color="auto"/>
              <w:right w:val="single" w:sz="4" w:space="0" w:color="auto"/>
            </w:tcBorders>
            <w:noWrap/>
            <w:textDirection w:val="lrTb"/>
            <w:vAlign w:val="bottom"/>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-819 768 609</w:t>
            </w:r>
          </w:p>
        </w:tc>
        <w:tc>
          <w:tcPr>
            <w:tcW w:w="1314" w:type="dxa"/>
            <w:tcBorders>
              <w:top w:val="nil"/>
              <w:left w:val="nil"/>
              <w:bottom w:val="single" w:sz="4" w:space="0" w:color="auto"/>
              <w:right w:val="single" w:sz="4" w:space="0" w:color="auto"/>
            </w:tcBorders>
            <w:noWrap/>
            <w:textDirection w:val="lrTb"/>
            <w:vAlign w:val="bottom"/>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-882 785 311</w:t>
            </w:r>
          </w:p>
        </w:tc>
        <w:tc>
          <w:tcPr>
            <w:tcW w:w="1367" w:type="dxa"/>
            <w:tcBorders>
              <w:top w:val="nil"/>
              <w:left w:val="nil"/>
              <w:bottom w:val="single" w:sz="4" w:space="0" w:color="auto"/>
              <w:right w:val="single" w:sz="4" w:space="0" w:color="auto"/>
            </w:tcBorders>
            <w:noWrap/>
            <w:textDirection w:val="lrTb"/>
            <w:vAlign w:val="bottom"/>
          </w:tcPr>
          <w:p w:rsidR="00B73B55">
            <w:pPr>
              <w:bidi w:val="0"/>
              <w:jc w:val="right"/>
              <w:rPr>
                <w:rFonts w:ascii="Arial Narrow" w:hAnsi="Arial Narrow" w:cs="Arial"/>
                <w:b/>
                <w:bCs/>
                <w:color w:val="000000"/>
                <w:sz w:val="20"/>
                <w:szCs w:val="20"/>
              </w:rPr>
            </w:pPr>
            <w:r>
              <w:rPr>
                <w:rFonts w:ascii="Arial Narrow" w:hAnsi="Arial Narrow" w:cs="Arial"/>
                <w:b/>
                <w:bCs/>
                <w:color w:val="000000"/>
                <w:sz w:val="20"/>
                <w:szCs w:val="20"/>
              </w:rPr>
              <w:t>-1 006 374 479</w:t>
            </w:r>
          </w:p>
        </w:tc>
      </w:tr>
      <w:tr>
        <w:tblPrEx>
          <w:tblW w:w="9075" w:type="dxa"/>
          <w:tblInd w:w="55" w:type="dxa"/>
          <w:tblCellMar>
            <w:left w:w="70" w:type="dxa"/>
            <w:right w:w="70" w:type="dxa"/>
          </w:tblCellMar>
          <w:tblLook w:val="00A0"/>
        </w:tblPrEx>
        <w:trPr>
          <w:trHeight w:val="315"/>
        </w:trPr>
        <w:tc>
          <w:tcPr>
            <w:tcW w:w="3701" w:type="dxa"/>
            <w:tcBorders>
              <w:top w:val="nil"/>
              <w:left w:val="nil"/>
              <w:bottom w:val="nil"/>
              <w:right w:val="nil"/>
            </w:tcBorders>
            <w:noWrap/>
            <w:textDirection w:val="lrTb"/>
            <w:vAlign w:val="bottom"/>
          </w:tcPr>
          <w:p w:rsidR="00F63F07" w:rsidRPr="00922B96" w:rsidP="00922B96">
            <w:pPr>
              <w:bidi w:val="0"/>
              <w:rPr>
                <w:rFonts w:ascii="Arial Narrow" w:hAnsi="Arial Narrow"/>
                <w:color w:val="000000"/>
                <w:sz w:val="20"/>
                <w:szCs w:val="20"/>
              </w:rPr>
            </w:pPr>
            <w:r w:rsidRPr="00D414AF">
              <w:rPr>
                <w:rFonts w:ascii="Arial Narrow" w:hAnsi="Arial Narrow"/>
                <w:color w:val="000000"/>
                <w:sz w:val="20"/>
                <w:szCs w:val="20"/>
              </w:rPr>
              <w:t>* úspora má znamienko (-)</w:t>
            </w:r>
          </w:p>
        </w:tc>
        <w:tc>
          <w:tcPr>
            <w:tcW w:w="1276" w:type="dxa"/>
            <w:tcBorders>
              <w:top w:val="nil"/>
              <w:left w:val="nil"/>
              <w:bottom w:val="nil"/>
              <w:right w:val="nil"/>
            </w:tcBorders>
            <w:noWrap/>
            <w:textDirection w:val="lrTb"/>
            <w:vAlign w:val="bottom"/>
          </w:tcPr>
          <w:p w:rsidR="00F63F07" w:rsidRPr="00922B96" w:rsidP="00922B96">
            <w:pPr>
              <w:bidi w:val="0"/>
              <w:rPr>
                <w:rFonts w:ascii="Arial Narrow" w:hAnsi="Arial Narrow"/>
                <w:color w:val="000000"/>
                <w:sz w:val="20"/>
                <w:szCs w:val="20"/>
              </w:rPr>
            </w:pPr>
          </w:p>
        </w:tc>
        <w:tc>
          <w:tcPr>
            <w:tcW w:w="1417" w:type="dxa"/>
            <w:tcBorders>
              <w:top w:val="nil"/>
              <w:left w:val="nil"/>
              <w:bottom w:val="nil"/>
              <w:right w:val="nil"/>
            </w:tcBorders>
            <w:noWrap/>
            <w:textDirection w:val="lrTb"/>
            <w:vAlign w:val="bottom"/>
          </w:tcPr>
          <w:p w:rsidR="00F63F07" w:rsidRPr="00922B96" w:rsidP="00922B96">
            <w:pPr>
              <w:bidi w:val="0"/>
              <w:rPr>
                <w:rFonts w:ascii="Arial Narrow" w:hAnsi="Arial Narrow"/>
                <w:color w:val="000000"/>
                <w:sz w:val="20"/>
                <w:szCs w:val="20"/>
              </w:rPr>
            </w:pPr>
          </w:p>
        </w:tc>
        <w:tc>
          <w:tcPr>
            <w:tcW w:w="1314" w:type="dxa"/>
            <w:tcBorders>
              <w:top w:val="nil"/>
              <w:left w:val="nil"/>
              <w:bottom w:val="nil"/>
              <w:right w:val="nil"/>
            </w:tcBorders>
            <w:noWrap/>
            <w:textDirection w:val="lrTb"/>
            <w:vAlign w:val="bottom"/>
          </w:tcPr>
          <w:p w:rsidR="00F63F07" w:rsidRPr="00922B96" w:rsidP="00922B96">
            <w:pPr>
              <w:bidi w:val="0"/>
              <w:rPr>
                <w:rFonts w:ascii="Arial Narrow" w:hAnsi="Arial Narrow"/>
                <w:color w:val="000000"/>
                <w:sz w:val="20"/>
                <w:szCs w:val="20"/>
              </w:rPr>
            </w:pPr>
          </w:p>
        </w:tc>
        <w:tc>
          <w:tcPr>
            <w:tcW w:w="1367" w:type="dxa"/>
            <w:tcBorders>
              <w:top w:val="nil"/>
              <w:left w:val="nil"/>
              <w:bottom w:val="nil"/>
              <w:right w:val="nil"/>
            </w:tcBorders>
            <w:noWrap/>
            <w:textDirection w:val="lrTb"/>
            <w:vAlign w:val="bottom"/>
          </w:tcPr>
          <w:p w:rsidR="00F63F07" w:rsidRPr="00922B96" w:rsidP="00922B96">
            <w:pPr>
              <w:bidi w:val="0"/>
              <w:rPr>
                <w:rFonts w:ascii="Arial Narrow" w:hAnsi="Arial Narrow"/>
                <w:color w:val="000000"/>
                <w:sz w:val="20"/>
                <w:szCs w:val="20"/>
              </w:rPr>
            </w:pPr>
          </w:p>
        </w:tc>
      </w:tr>
    </w:tbl>
    <w:p w:rsidR="00F63F07">
      <w:pPr>
        <w:bidi w:val="0"/>
        <w:jc w:val="right"/>
        <w:rPr>
          <w:rFonts w:ascii="Times New Roman" w:hAnsi="Times New Roman"/>
          <w:sz w:val="20"/>
          <w:szCs w:val="20"/>
        </w:rPr>
      </w:pPr>
    </w:p>
    <w:p w:rsidR="00F63F07">
      <w:pPr>
        <w:bidi w:val="0"/>
        <w:jc w:val="right"/>
        <w:rPr>
          <w:rFonts w:ascii="Times New Roman" w:hAnsi="Times New Roman"/>
          <w:sz w:val="20"/>
          <w:szCs w:val="20"/>
        </w:rPr>
      </w:pPr>
      <w:r w:rsidRPr="004161A1">
        <w:rPr>
          <w:rFonts w:ascii="Times New Roman" w:hAnsi="Times New Roman"/>
          <w:sz w:val="20"/>
          <w:szCs w:val="20"/>
        </w:rPr>
        <w:t>Tabuľka č. 2</w:t>
      </w:r>
      <w:r>
        <w:rPr>
          <w:rFonts w:ascii="Times New Roman" w:hAnsi="Times New Roman"/>
          <w:sz w:val="20"/>
          <w:szCs w:val="20"/>
        </w:rPr>
        <w:t>b</w:t>
      </w:r>
    </w:p>
    <w:tbl>
      <w:tblPr>
        <w:tblStyle w:val="TableNormal"/>
        <w:tblW w:w="9215" w:type="dxa"/>
        <w:tblInd w:w="55" w:type="dxa"/>
        <w:tblCellMar>
          <w:left w:w="70" w:type="dxa"/>
          <w:right w:w="70" w:type="dxa"/>
        </w:tblCellMar>
        <w:tblLook w:val="00A0"/>
      </w:tblPr>
      <w:tblGrid>
        <w:gridCol w:w="3935"/>
        <w:gridCol w:w="1236"/>
        <w:gridCol w:w="1404"/>
        <w:gridCol w:w="1236"/>
        <w:gridCol w:w="1404"/>
      </w:tblGrid>
      <w:tr>
        <w:tblPrEx>
          <w:tblW w:w="9215" w:type="dxa"/>
          <w:tblInd w:w="55" w:type="dxa"/>
          <w:tblCellMar>
            <w:left w:w="70" w:type="dxa"/>
            <w:right w:w="70" w:type="dxa"/>
          </w:tblCellMar>
          <w:tblLook w:val="00A0"/>
        </w:tblPrEx>
        <w:trPr>
          <w:trHeight w:val="315"/>
        </w:trPr>
        <w:tc>
          <w:tcPr>
            <w:tcW w:w="3935"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922B96" w:rsidP="00922B96">
            <w:pPr>
              <w:bidi w:val="0"/>
              <w:rPr>
                <w:rFonts w:ascii="Arial Narrow" w:hAnsi="Arial Narrow"/>
                <w:b/>
                <w:bCs/>
                <w:color w:val="FFFFFF"/>
              </w:rPr>
            </w:pPr>
            <w:r w:rsidRPr="00D414AF">
              <w:rPr>
                <w:rFonts w:ascii="Arial Narrow" w:hAnsi="Arial Narrow"/>
                <w:b/>
                <w:bCs/>
                <w:color w:val="FFFFFF"/>
                <w:sz w:val="22"/>
                <w:szCs w:val="22"/>
              </w:rPr>
              <w:t> </w:t>
            </w:r>
          </w:p>
        </w:tc>
        <w:tc>
          <w:tcPr>
            <w:tcW w:w="5280"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Vplyv na rozpočet verejnej správy (ESA 95)</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922B96" w:rsidP="00922B96">
            <w:pPr>
              <w:bidi w:val="0"/>
              <w:rPr>
                <w:rFonts w:ascii="Arial Narrow" w:hAnsi="Arial Narrow"/>
                <w:b/>
                <w:bCs/>
                <w:color w:val="FFFFFF"/>
                <w:u w:val="single"/>
              </w:rPr>
            </w:pPr>
            <w:r w:rsidRPr="00D414AF">
              <w:rPr>
                <w:rFonts w:ascii="Arial Narrow" w:hAnsi="Arial Narrow"/>
                <w:b/>
                <w:bCs/>
                <w:color w:val="FFFFFF"/>
                <w:sz w:val="22"/>
                <w:szCs w:val="22"/>
                <w:u w:val="single"/>
              </w:rPr>
              <w:t>Financovanie (v eur)</w:t>
            </w:r>
          </w:p>
        </w:tc>
        <w:tc>
          <w:tcPr>
            <w:tcW w:w="1236"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2012</w:t>
            </w:r>
          </w:p>
        </w:tc>
        <w:tc>
          <w:tcPr>
            <w:tcW w:w="1404"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2013</w:t>
            </w:r>
          </w:p>
        </w:tc>
        <w:tc>
          <w:tcPr>
            <w:tcW w:w="1236"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2014</w:t>
            </w:r>
          </w:p>
        </w:tc>
        <w:tc>
          <w:tcPr>
            <w:tcW w:w="1404" w:type="dxa"/>
            <w:tcBorders>
              <w:top w:val="nil"/>
              <w:left w:val="nil"/>
              <w:bottom w:val="single" w:sz="4" w:space="0" w:color="auto"/>
              <w:right w:val="single" w:sz="4" w:space="0" w:color="auto"/>
            </w:tcBorders>
            <w:shd w:val="clear" w:color="000000" w:fill="000000"/>
            <w:noWrap/>
            <w:textDirection w:val="lrTb"/>
            <w:vAlign w:val="bottom"/>
          </w:tcPr>
          <w:p w:rsidR="00F63F07" w:rsidRPr="00922B96" w:rsidP="00922B96">
            <w:pPr>
              <w:bidi w:val="0"/>
              <w:jc w:val="center"/>
              <w:rPr>
                <w:rFonts w:ascii="Arial Narrow" w:hAnsi="Arial Narrow"/>
                <w:b/>
                <w:bCs/>
                <w:color w:val="FFFFFF"/>
              </w:rPr>
            </w:pPr>
            <w:r w:rsidRPr="00D414AF">
              <w:rPr>
                <w:rFonts w:ascii="Arial Narrow" w:hAnsi="Arial Narrow"/>
                <w:b/>
                <w:bCs/>
                <w:color w:val="FFFFFF"/>
                <w:sz w:val="22"/>
                <w:szCs w:val="22"/>
              </w:rPr>
              <w:t>2015</w:t>
            </w:r>
          </w:p>
        </w:tc>
      </w:tr>
      <w:tr>
        <w:tblPrEx>
          <w:tblW w:w="9215" w:type="dxa"/>
          <w:tblInd w:w="55" w:type="dxa"/>
          <w:tblCellMar>
            <w:left w:w="70" w:type="dxa"/>
            <w:right w:w="70" w:type="dxa"/>
          </w:tblCellMar>
          <w:tblLook w:val="00A0"/>
        </w:tblPrEx>
        <w:trPr>
          <w:trHeight w:val="630"/>
        </w:trPr>
        <w:tc>
          <w:tcPr>
            <w:tcW w:w="3935" w:type="dxa"/>
            <w:tcBorders>
              <w:top w:val="nil"/>
              <w:left w:val="single" w:sz="4" w:space="0" w:color="auto"/>
              <w:bottom w:val="single" w:sz="4" w:space="0" w:color="auto"/>
              <w:right w:val="single" w:sz="4" w:space="0" w:color="auto"/>
            </w:tcBorders>
            <w:textDirection w:val="lrTb"/>
            <w:vAlign w:val="center"/>
          </w:tcPr>
          <w:p w:rsidR="004232EF" w:rsidRPr="00922B96" w:rsidP="00922B96">
            <w:pPr>
              <w:bidi w:val="0"/>
              <w:rPr>
                <w:rFonts w:ascii="Arial Narrow" w:hAnsi="Arial Narrow"/>
                <w:b/>
                <w:bCs/>
                <w:color w:val="000000"/>
                <w:sz w:val="20"/>
                <w:szCs w:val="20"/>
              </w:rPr>
            </w:pPr>
            <w:r w:rsidRPr="00D414AF">
              <w:rPr>
                <w:rFonts w:ascii="Arial Narrow" w:hAnsi="Arial Narrow"/>
                <w:b/>
                <w:bCs/>
                <w:color w:val="000000"/>
                <w:sz w:val="20"/>
                <w:szCs w:val="20"/>
              </w:rPr>
              <w:t>Celkový vplyv na rozpočet verejnej správy (- príjmy, + výdavky)</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-383 845 873</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-817 606 813</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-903 871 545</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-1 016 723 023</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P="00AA3AC7">
            <w:pPr>
              <w:bidi w:val="0"/>
              <w:ind w:firstLine="400" w:firstLineChars="200"/>
              <w:rPr>
                <w:rFonts w:ascii="Arial Narrow" w:hAnsi="Arial Narrow"/>
                <w:color w:val="000000"/>
                <w:sz w:val="20"/>
                <w:szCs w:val="20"/>
              </w:rPr>
            </w:pPr>
            <w:r w:rsidRPr="00D414AF">
              <w:rPr>
                <w:rFonts w:ascii="Arial Narrow" w:hAnsi="Arial Narrow"/>
                <w:color w:val="000000"/>
                <w:sz w:val="20"/>
                <w:szCs w:val="20"/>
              </w:rPr>
              <w:t>z toho vplyv na ŠR</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44 872 581</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36 487 247</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41 954 527</w:t>
            </w:r>
          </w:p>
        </w:tc>
      </w:tr>
      <w:tr>
        <w:tblPrEx>
          <w:tblW w:w="9215" w:type="dxa"/>
          <w:tblInd w:w="55" w:type="dxa"/>
          <w:tblCellMar>
            <w:left w:w="70" w:type="dxa"/>
            <w:right w:w="70" w:type="dxa"/>
          </w:tblCellMar>
          <w:tblLook w:val="00A0"/>
        </w:tblPrEx>
        <w:trPr>
          <w:trHeight w:val="600"/>
        </w:trPr>
        <w:tc>
          <w:tcPr>
            <w:tcW w:w="3935"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07C06  Nesystémové dávky sociálneho poistenia</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225 420</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427 000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589 000</w:t>
            </w:r>
          </w:p>
        </w:tc>
      </w:tr>
      <w:tr>
        <w:tblPrEx>
          <w:tblW w:w="9215" w:type="dxa"/>
          <w:tblInd w:w="55" w:type="dxa"/>
          <w:tblCellMar>
            <w:left w:w="70" w:type="dxa"/>
            <w:right w:w="70" w:type="dxa"/>
          </w:tblCellMar>
          <w:tblLook w:val="00A0"/>
        </w:tblPrEx>
        <w:trPr>
          <w:trHeight w:val="900"/>
        </w:trPr>
        <w:tc>
          <w:tcPr>
            <w:tcW w:w="3935" w:type="dxa"/>
            <w:tcBorders>
              <w:top w:val="nil"/>
              <w:left w:val="single" w:sz="4" w:space="0" w:color="auto"/>
              <w:bottom w:val="single" w:sz="4" w:space="0" w:color="auto"/>
              <w:right w:val="single" w:sz="4" w:space="0" w:color="auto"/>
            </w:tcBorders>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MPSVR SR – 07C020A Štátom platené poistné za osoby starajúce sa o dieťa</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3 370 922</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3 495 294</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3 645 399</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 xml:space="preserve"> - Všeobecná pokladničná správa</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41 276 239</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32 564 952</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37 720 128</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Obce</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25 274 159</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41 352 123</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42 194 480</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VÚC</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8 463 365</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13 847 270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14 129 344</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P="00AA3AC7">
            <w:pPr>
              <w:bidi w:val="0"/>
              <w:ind w:firstLine="400" w:firstLineChars="200"/>
              <w:rPr>
                <w:rFonts w:ascii="Arial Narrow" w:hAnsi="Arial Narrow"/>
                <w:color w:val="000000"/>
                <w:sz w:val="20"/>
                <w:szCs w:val="20"/>
              </w:rPr>
            </w:pPr>
            <w:r w:rsidRPr="00D414AF">
              <w:rPr>
                <w:rFonts w:ascii="Arial Narrow" w:hAnsi="Arial Narrow"/>
                <w:color w:val="000000"/>
                <w:sz w:val="20"/>
                <w:szCs w:val="20"/>
              </w:rPr>
              <w:t>z toho vplyv na Sociálnu poisťovňu</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-383 845 873</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-767 172 673</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-849 944 876</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-955 032 899</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P="00AA3AC7">
            <w:pPr>
              <w:bidi w:val="0"/>
              <w:ind w:firstLine="400" w:firstLineChars="200"/>
              <w:rPr>
                <w:rFonts w:ascii="Arial Narrow" w:hAnsi="Arial Narrow"/>
                <w:color w:val="000000"/>
                <w:sz w:val="20"/>
                <w:szCs w:val="20"/>
              </w:rPr>
            </w:pPr>
            <w:r w:rsidRPr="00D414AF">
              <w:rPr>
                <w:rFonts w:ascii="Arial Narrow" w:hAnsi="Arial Narrow"/>
                <w:color w:val="000000"/>
                <w:sz w:val="20"/>
                <w:szCs w:val="20"/>
              </w:rPr>
              <w:t>z toho vplyv na zdravotné poisťovne</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-129 044 245</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-145 613 309</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-159 968 476</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financovanie zabezpečené v rozpočte SP</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15" w:type="dxa"/>
          <w:tblInd w:w="55" w:type="dxa"/>
          <w:tblCellMar>
            <w:left w:w="70" w:type="dxa"/>
            <w:right w:w="70" w:type="dxa"/>
          </w:tblCellMar>
          <w:tblLook w:val="00A0"/>
        </w:tblPrEx>
        <w:trPr>
          <w:trHeight w:val="315"/>
        </w:trPr>
        <w:tc>
          <w:tcPr>
            <w:tcW w:w="3935" w:type="dxa"/>
            <w:tcBorders>
              <w:top w:val="nil"/>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color w:val="000000"/>
                <w:sz w:val="20"/>
                <w:szCs w:val="20"/>
              </w:rPr>
            </w:pPr>
            <w:r w:rsidRPr="00D414AF">
              <w:rPr>
                <w:rFonts w:ascii="Arial Narrow" w:hAnsi="Arial Narrow"/>
                <w:color w:val="000000"/>
                <w:sz w:val="20"/>
                <w:szCs w:val="20"/>
              </w:rPr>
              <w:t>ostatné zdroje financovania</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36"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4" w:type="dxa"/>
            <w:tcBorders>
              <w:top w:val="nil"/>
              <w:left w:val="nil"/>
              <w:bottom w:val="single" w:sz="4" w:space="0" w:color="auto"/>
              <w:right w:val="single" w:sz="4" w:space="0" w:color="auto"/>
            </w:tcBorders>
            <w:noWrap/>
            <w:textDirection w:val="lrTb"/>
            <w:vAlign w:val="center"/>
          </w:tcPr>
          <w:p w:rsidR="004232EF">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15" w:type="dxa"/>
          <w:tblInd w:w="55" w:type="dxa"/>
          <w:tblCellMar>
            <w:left w:w="70" w:type="dxa"/>
            <w:right w:w="70" w:type="dxa"/>
          </w:tblCellMar>
          <w:tblLook w:val="00A0"/>
        </w:tblPrEx>
        <w:trPr>
          <w:trHeight w:val="315"/>
        </w:trPr>
        <w:tc>
          <w:tcPr>
            <w:tcW w:w="3935" w:type="dxa"/>
            <w:tcBorders>
              <w:top w:val="single" w:sz="4" w:space="0" w:color="auto"/>
              <w:left w:val="single" w:sz="4" w:space="0" w:color="auto"/>
              <w:bottom w:val="single" w:sz="4" w:space="0" w:color="auto"/>
              <w:right w:val="single" w:sz="4" w:space="0" w:color="auto"/>
            </w:tcBorders>
            <w:noWrap/>
            <w:textDirection w:val="lrTb"/>
            <w:vAlign w:val="bottom"/>
          </w:tcPr>
          <w:p w:rsidR="004232EF" w:rsidRPr="00922B96" w:rsidP="00922B96">
            <w:pPr>
              <w:bidi w:val="0"/>
              <w:rPr>
                <w:rFonts w:ascii="Arial Narrow" w:hAnsi="Arial Narrow"/>
                <w:b/>
                <w:bCs/>
                <w:color w:val="000000"/>
                <w:sz w:val="20"/>
                <w:szCs w:val="20"/>
              </w:rPr>
            </w:pPr>
            <w:r w:rsidRPr="00D414AF">
              <w:rPr>
                <w:rFonts w:ascii="Arial Narrow" w:hAnsi="Arial Narrow"/>
                <w:b/>
                <w:bCs/>
                <w:color w:val="000000"/>
                <w:sz w:val="20"/>
                <w:szCs w:val="20"/>
              </w:rPr>
              <w:t>Rozpočtovo nekrytý vplyv / úspora *</w:t>
            </w:r>
          </w:p>
        </w:tc>
        <w:tc>
          <w:tcPr>
            <w:tcW w:w="1236" w:type="dxa"/>
            <w:tcBorders>
              <w:top w:val="single" w:sz="4" w:space="0" w:color="auto"/>
              <w:left w:val="nil"/>
              <w:bottom w:val="single" w:sz="4" w:space="0" w:color="auto"/>
              <w:right w:val="single" w:sz="4" w:space="0" w:color="auto"/>
            </w:tcBorders>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-383 845 873</w:t>
            </w:r>
          </w:p>
        </w:tc>
        <w:tc>
          <w:tcPr>
            <w:tcW w:w="1404" w:type="dxa"/>
            <w:tcBorders>
              <w:top w:val="single" w:sz="4" w:space="0" w:color="auto"/>
              <w:left w:val="nil"/>
              <w:bottom w:val="single" w:sz="4" w:space="0" w:color="auto"/>
              <w:right w:val="single" w:sz="4" w:space="0" w:color="auto"/>
            </w:tcBorders>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-817 606 813</w:t>
            </w:r>
          </w:p>
        </w:tc>
        <w:tc>
          <w:tcPr>
            <w:tcW w:w="1236" w:type="dxa"/>
            <w:tcBorders>
              <w:top w:val="single" w:sz="4" w:space="0" w:color="auto"/>
              <w:left w:val="nil"/>
              <w:bottom w:val="single" w:sz="4" w:space="0" w:color="auto"/>
              <w:right w:val="single" w:sz="4" w:space="0" w:color="auto"/>
            </w:tcBorders>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-903 871 545</w:t>
            </w:r>
          </w:p>
        </w:tc>
        <w:tc>
          <w:tcPr>
            <w:tcW w:w="1404" w:type="dxa"/>
            <w:tcBorders>
              <w:top w:val="single" w:sz="4" w:space="0" w:color="auto"/>
              <w:left w:val="nil"/>
              <w:bottom w:val="single" w:sz="4" w:space="0" w:color="auto"/>
              <w:right w:val="single" w:sz="4" w:space="0" w:color="auto"/>
            </w:tcBorders>
            <w:noWrap/>
            <w:textDirection w:val="lrTb"/>
            <w:vAlign w:val="bottom"/>
          </w:tcPr>
          <w:p w:rsidR="004232EF">
            <w:pPr>
              <w:bidi w:val="0"/>
              <w:jc w:val="right"/>
              <w:rPr>
                <w:rFonts w:ascii="Times New Roman" w:hAnsi="Times New Roman"/>
                <w:b/>
                <w:bCs/>
                <w:color w:val="000000"/>
                <w:sz w:val="20"/>
                <w:szCs w:val="20"/>
              </w:rPr>
            </w:pPr>
            <w:r>
              <w:rPr>
                <w:rFonts w:ascii="Times New Roman" w:hAnsi="Times New Roman"/>
                <w:b/>
                <w:bCs/>
                <w:color w:val="000000"/>
                <w:sz w:val="20"/>
                <w:szCs w:val="20"/>
              </w:rPr>
              <w:t>-1 016 723 023</w:t>
            </w:r>
          </w:p>
        </w:tc>
      </w:tr>
      <w:tr>
        <w:tblPrEx>
          <w:tblW w:w="9215" w:type="dxa"/>
          <w:tblInd w:w="55" w:type="dxa"/>
          <w:tblCellMar>
            <w:left w:w="70" w:type="dxa"/>
            <w:right w:w="70" w:type="dxa"/>
          </w:tblCellMar>
          <w:tblLook w:val="00A0"/>
        </w:tblPrEx>
        <w:trPr>
          <w:trHeight w:val="315"/>
        </w:trPr>
        <w:tc>
          <w:tcPr>
            <w:tcW w:w="3935" w:type="dxa"/>
            <w:tcBorders>
              <w:top w:val="single" w:sz="4" w:space="0" w:color="auto"/>
              <w:left w:val="none" w:sz="0" w:space="0" w:color="auto"/>
              <w:bottom w:val="none" w:sz="0" w:space="0" w:color="auto"/>
              <w:right w:val="none" w:sz="0" w:space="0" w:color="auto"/>
            </w:tcBorders>
            <w:noWrap/>
            <w:textDirection w:val="lrTb"/>
            <w:vAlign w:val="bottom"/>
          </w:tcPr>
          <w:p w:rsidR="00F63F07" w:rsidRPr="00922B96" w:rsidP="00922B96">
            <w:pPr>
              <w:bidi w:val="0"/>
              <w:rPr>
                <w:rFonts w:ascii="Arial Narrow" w:hAnsi="Arial Narrow"/>
                <w:bCs/>
                <w:color w:val="000000"/>
                <w:sz w:val="20"/>
                <w:szCs w:val="20"/>
              </w:rPr>
            </w:pPr>
            <w:r w:rsidRPr="00D414AF">
              <w:rPr>
                <w:rFonts w:ascii="Arial Narrow" w:hAnsi="Arial Narrow"/>
                <w:bCs/>
                <w:color w:val="000000"/>
                <w:sz w:val="20"/>
                <w:szCs w:val="20"/>
              </w:rPr>
              <w:t>* úspora má znamienko (-)</w:t>
            </w:r>
          </w:p>
        </w:tc>
        <w:tc>
          <w:tcPr>
            <w:tcW w:w="1236" w:type="dxa"/>
            <w:tcBorders>
              <w:top w:val="single" w:sz="4" w:space="0" w:color="auto"/>
              <w:left w:val="none" w:sz="0" w:space="0" w:color="auto"/>
              <w:bottom w:val="none" w:sz="0" w:space="0" w:color="auto"/>
              <w:right w:val="none" w:sz="0" w:space="0" w:color="auto"/>
            </w:tcBorders>
            <w:noWrap/>
            <w:textDirection w:val="lrTb"/>
            <w:vAlign w:val="bottom"/>
          </w:tcPr>
          <w:p w:rsidR="00F63F07" w:rsidRPr="00922B96" w:rsidP="00922B96">
            <w:pPr>
              <w:bidi w:val="0"/>
              <w:jc w:val="right"/>
              <w:rPr>
                <w:rFonts w:ascii="Arial Narrow" w:hAnsi="Arial Narrow"/>
                <w:bCs/>
                <w:color w:val="000000"/>
                <w:sz w:val="20"/>
                <w:szCs w:val="20"/>
              </w:rPr>
            </w:pPr>
          </w:p>
        </w:tc>
        <w:tc>
          <w:tcPr>
            <w:tcW w:w="1404" w:type="dxa"/>
            <w:tcBorders>
              <w:top w:val="single" w:sz="4" w:space="0" w:color="auto"/>
              <w:left w:val="none" w:sz="0" w:space="0" w:color="auto"/>
              <w:bottom w:val="none" w:sz="0" w:space="0" w:color="auto"/>
              <w:right w:val="none" w:sz="0" w:space="0" w:color="auto"/>
            </w:tcBorders>
            <w:noWrap/>
            <w:textDirection w:val="lrTb"/>
            <w:vAlign w:val="bottom"/>
          </w:tcPr>
          <w:p w:rsidR="00F63F07" w:rsidRPr="00922B96" w:rsidP="00922B96">
            <w:pPr>
              <w:bidi w:val="0"/>
              <w:jc w:val="right"/>
              <w:rPr>
                <w:rFonts w:ascii="Arial Narrow" w:hAnsi="Arial Narrow"/>
                <w:bCs/>
                <w:color w:val="000000"/>
                <w:sz w:val="20"/>
                <w:szCs w:val="20"/>
              </w:rPr>
            </w:pPr>
          </w:p>
        </w:tc>
        <w:tc>
          <w:tcPr>
            <w:tcW w:w="1236" w:type="dxa"/>
            <w:tcBorders>
              <w:top w:val="single" w:sz="4" w:space="0" w:color="auto"/>
              <w:left w:val="none" w:sz="0" w:space="0" w:color="auto"/>
              <w:bottom w:val="none" w:sz="0" w:space="0" w:color="auto"/>
              <w:right w:val="none" w:sz="0" w:space="0" w:color="auto"/>
            </w:tcBorders>
            <w:noWrap/>
            <w:textDirection w:val="lrTb"/>
            <w:vAlign w:val="bottom"/>
          </w:tcPr>
          <w:p w:rsidR="00F63F07" w:rsidRPr="00922B96" w:rsidP="00922B96">
            <w:pPr>
              <w:bidi w:val="0"/>
              <w:jc w:val="right"/>
              <w:rPr>
                <w:rFonts w:ascii="Arial Narrow" w:hAnsi="Arial Narrow"/>
                <w:bCs/>
                <w:color w:val="000000"/>
                <w:sz w:val="20"/>
                <w:szCs w:val="20"/>
              </w:rPr>
            </w:pPr>
          </w:p>
        </w:tc>
        <w:tc>
          <w:tcPr>
            <w:tcW w:w="1404" w:type="dxa"/>
            <w:tcBorders>
              <w:top w:val="single" w:sz="4" w:space="0" w:color="auto"/>
              <w:left w:val="none" w:sz="0" w:space="0" w:color="auto"/>
              <w:bottom w:val="none" w:sz="0" w:space="0" w:color="auto"/>
              <w:right w:val="none" w:sz="0" w:space="0" w:color="auto"/>
            </w:tcBorders>
            <w:noWrap/>
            <w:textDirection w:val="lrTb"/>
            <w:vAlign w:val="bottom"/>
          </w:tcPr>
          <w:p w:rsidR="00F63F07" w:rsidRPr="00922B96" w:rsidP="00922B96">
            <w:pPr>
              <w:bidi w:val="0"/>
              <w:jc w:val="right"/>
              <w:rPr>
                <w:rFonts w:ascii="Arial Narrow" w:hAnsi="Arial Narrow"/>
                <w:bCs/>
                <w:color w:val="000000"/>
                <w:sz w:val="20"/>
                <w:szCs w:val="20"/>
              </w:rPr>
            </w:pPr>
          </w:p>
        </w:tc>
      </w:tr>
    </w:tbl>
    <w:p w:rsidR="00F63F07" w:rsidP="00B53407">
      <w:pPr>
        <w:bidi w:val="0"/>
        <w:rPr>
          <w:rFonts w:ascii="Times New Roman" w:hAnsi="Times New Roman"/>
          <w:b/>
          <w:bCs/>
        </w:rPr>
      </w:pPr>
    </w:p>
    <w:p w:rsidR="00F63F07" w:rsidP="00B53407">
      <w:pPr>
        <w:bidi w:val="0"/>
        <w:rPr>
          <w:rFonts w:ascii="Times New Roman" w:hAnsi="Times New Roman"/>
          <w:b/>
          <w:bCs/>
        </w:rPr>
      </w:pPr>
      <w:r w:rsidRPr="004161A1">
        <w:rPr>
          <w:rFonts w:ascii="Times New Roman" w:hAnsi="Times New Roman"/>
          <w:b/>
          <w:bCs/>
        </w:rPr>
        <w:t>Návrh na riešenie úbytku príjmov alebo zvýšených výdavkov podľa § 33 ods. 1 zákona č. 523/2004 Z. z. o rozpočtových pravidlách verejnej správy:</w:t>
      </w:r>
    </w:p>
    <w:p w:rsidR="00F63F07" w:rsidP="00B53407">
      <w:pPr>
        <w:bidi w:val="0"/>
        <w:rPr>
          <w:rFonts w:ascii="Times New Roman" w:hAnsi="Times New Roman"/>
        </w:rPr>
      </w:pPr>
    </w:p>
    <w:p w:rsidR="00F63F07" w:rsidP="00B5340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Pr>
          <w:rFonts w:ascii="Times New Roman" w:hAnsi="Times New Roman"/>
        </w:rPr>
        <w:t>Prípadné zvýšené nároky na rozpočet kapitoly štátneho rozpočtu vyplývajúce z návrhu zákona si kapitoly štátneho rozpočtu vykryjú v rámci schválených limitov na príslušný rozpočtový rok. V súčasnosti prebieha príprava rozpočtu verejnej správy na roky 2013 až 2015, kde si kapitoly štátneho rozpočtu môžu uplatniť prípadné zvýšené nároky.</w:t>
      </w:r>
    </w:p>
    <w:p w:rsidR="00F63F07" w:rsidP="00B5340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F63F07" w:rsidP="00B5340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F63F07" w:rsidP="00B5340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F63F07" w:rsidP="00B5340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F63F07" w:rsidP="00B53407">
      <w:pPr>
        <w:bidi w:val="0"/>
        <w:rPr>
          <w:rFonts w:ascii="Times New Roman" w:hAnsi="Times New Roman"/>
          <w:b/>
          <w:bCs/>
        </w:rPr>
      </w:pPr>
    </w:p>
    <w:p w:rsidR="00F63F07" w:rsidP="00B53407">
      <w:pPr>
        <w:bidi w:val="0"/>
        <w:rPr>
          <w:rFonts w:ascii="Times New Roman" w:hAnsi="Times New Roman"/>
          <w:b/>
          <w:bCs/>
        </w:rPr>
      </w:pPr>
    </w:p>
    <w:p w:rsidR="00F63F07" w:rsidP="00B53407">
      <w:pPr>
        <w:bidi w:val="0"/>
        <w:rPr>
          <w:rFonts w:ascii="Times New Roman" w:hAnsi="Times New Roman"/>
        </w:rPr>
      </w:pPr>
      <w:r w:rsidRPr="004161A1">
        <w:rPr>
          <w:rFonts w:ascii="Times New Roman" w:hAnsi="Times New Roman"/>
          <w:b/>
          <w:bCs/>
        </w:rPr>
        <w:t>2.3. Popis a charakteristika návrhu</w:t>
      </w:r>
    </w:p>
    <w:p w:rsidR="00F63F07" w:rsidP="00B53407">
      <w:pPr>
        <w:bidi w:val="0"/>
        <w:rPr>
          <w:rFonts w:ascii="Times New Roman" w:hAnsi="Times New Roman"/>
        </w:rPr>
      </w:pPr>
      <w:r>
        <w:rPr>
          <w:rFonts w:ascii="Times New Roman" w:hAnsi="Times New Roman"/>
        </w:rPr>
        <w:t> </w:t>
      </w:r>
    </w:p>
    <w:p w:rsidR="00F63F07" w:rsidP="00B53407">
      <w:pPr>
        <w:bidi w:val="0"/>
        <w:jc w:val="both"/>
        <w:rPr>
          <w:rFonts w:ascii="Times New Roman" w:hAnsi="Times New Roman"/>
          <w:b/>
          <w:bCs/>
        </w:rPr>
      </w:pPr>
      <w:r w:rsidRPr="004161A1">
        <w:rPr>
          <w:rFonts w:ascii="Times New Roman" w:hAnsi="Times New Roman"/>
          <w:b/>
          <w:bCs/>
        </w:rPr>
        <w:t>2.3.1. Popis návrhu:</w:t>
      </w:r>
    </w:p>
    <w:p w:rsidR="00F63F07" w:rsidP="00A64B18">
      <w:pPr>
        <w:bidi w:val="0"/>
        <w:jc w:val="both"/>
        <w:rPr>
          <w:rFonts w:ascii="Times New Roman" w:hAnsi="Times New Roman"/>
          <w:color w:val="000000"/>
        </w:rPr>
      </w:pPr>
      <w:r w:rsidRPr="00C967D9">
        <w:rPr>
          <w:rFonts w:ascii="Times New Roman" w:hAnsi="Times New Roman"/>
          <w:bCs/>
        </w:rPr>
        <w:t xml:space="preserve">Návrh zákona, </w:t>
      </w:r>
      <w:r w:rsidRPr="00C967D9">
        <w:rPr>
          <w:rFonts w:ascii="Times New Roman" w:hAnsi="Times New Roman"/>
          <w:color w:val="000000"/>
        </w:rPr>
        <w:t>ktorým sa mení a dopĺňa zákon č. 461/2003 Z. z. o sociálnom poistení v znení neskorších predpisov a o zmene a doplnení niektorých</w:t>
      </w:r>
      <w:r>
        <w:rPr>
          <w:rFonts w:ascii="Times New Roman" w:hAnsi="Times New Roman"/>
          <w:color w:val="000000"/>
        </w:rPr>
        <w:t xml:space="preserve"> zákonov.</w:t>
      </w:r>
    </w:p>
    <w:p w:rsidR="00F63F07" w:rsidP="00A64B18">
      <w:pPr>
        <w:bidi w:val="0"/>
        <w:jc w:val="both"/>
        <w:rPr>
          <w:rFonts w:ascii="Times New Roman" w:hAnsi="Times New Roman"/>
          <w:color w:val="000000"/>
        </w:rPr>
      </w:pPr>
    </w:p>
    <w:p w:rsidR="00F63F07" w:rsidP="00A64B18">
      <w:pPr>
        <w:bidi w:val="0"/>
        <w:jc w:val="both"/>
        <w:rPr>
          <w:rFonts w:ascii="Times New Roman" w:hAnsi="Times New Roman"/>
          <w:color w:val="000000"/>
        </w:rPr>
      </w:pPr>
      <w:r>
        <w:rPr>
          <w:rFonts w:ascii="Times New Roman" w:hAnsi="Times New Roman"/>
          <w:color w:val="000000"/>
        </w:rPr>
        <w:t xml:space="preserve">Hlavným cieľom návrhu je najmä posilnenie miery solidarity v priebežne financovanom dôchodkovom systéme, zlepšenie dlhodobej finančnej udržateľnosti dôchodkového systému, parametrické zmeny v oblasti starobného dôchodkového sporenia,  primeraná úprava vymeriavacieho základu SZČO, z ktorého sa platí poistné na sociálne a verejné zdravotné poistenie, zavedenie povinnosti platiť poistné na sociálne a verejné zdravotné poistenie z dohôd o prácach vykonávaných mimo pracovného pomeru a zjednotenie a zvýšenie maximálnych vymeriavacích základov na sociálne a verejné zdravotné poistenie.  </w:t>
      </w:r>
    </w:p>
    <w:p w:rsidR="00F63F07" w:rsidP="00B53407">
      <w:pPr>
        <w:bidi w:val="0"/>
        <w:jc w:val="both"/>
        <w:rPr>
          <w:rFonts w:ascii="Times New Roman" w:hAnsi="Times New Roman"/>
          <w:b/>
          <w:bCs/>
        </w:rPr>
      </w:pPr>
    </w:p>
    <w:p w:rsidR="00F63F07" w:rsidRPr="0061539B" w:rsidP="00B53407">
      <w:pPr>
        <w:bidi w:val="0"/>
        <w:jc w:val="both"/>
        <w:rPr>
          <w:rFonts w:ascii="Times New Roman" w:hAnsi="Times New Roman"/>
          <w:b/>
          <w:bCs/>
          <w:i/>
          <w:u w:val="single"/>
        </w:rPr>
      </w:pPr>
      <w:r w:rsidRPr="0061539B">
        <w:rPr>
          <w:rFonts w:ascii="Times New Roman" w:hAnsi="Times New Roman"/>
          <w:b/>
          <w:bCs/>
          <w:i/>
          <w:u w:val="single"/>
        </w:rPr>
        <w:t>Sociálne poistenie:</w:t>
      </w:r>
    </w:p>
    <w:p w:rsidR="00F63F07" w:rsidP="00F123BA">
      <w:pPr>
        <w:tabs>
          <w:tab w:val="left" w:pos="709"/>
        </w:tabs>
        <w:bidi w:val="0"/>
        <w:jc w:val="both"/>
        <w:rPr>
          <w:rFonts w:ascii="Times New Roman" w:hAnsi="Times New Roman"/>
          <w:b/>
        </w:rPr>
      </w:pPr>
    </w:p>
    <w:p w:rsidR="00F63F07" w:rsidP="00F123BA">
      <w:pPr>
        <w:tabs>
          <w:tab w:val="left" w:pos="709"/>
        </w:tabs>
        <w:bidi w:val="0"/>
        <w:spacing w:after="120"/>
        <w:jc w:val="both"/>
        <w:rPr>
          <w:rFonts w:ascii="Times New Roman" w:hAnsi="Times New Roman"/>
          <w:b/>
          <w:color w:val="000000"/>
        </w:rPr>
      </w:pPr>
      <w:r>
        <w:rPr>
          <w:rFonts w:ascii="Times New Roman" w:hAnsi="Times New Roman"/>
          <w:b/>
          <w:color w:val="000000"/>
        </w:rPr>
        <w:t xml:space="preserve">A. Prehĺbenie miery solidarity v priebežne financovanom dôchodkovom systéme. </w:t>
      </w:r>
    </w:p>
    <w:p w:rsidR="00F63F07" w:rsidRPr="00FC5D49" w:rsidP="00F123BA">
      <w:pPr>
        <w:tabs>
          <w:tab w:val="left" w:pos="709"/>
        </w:tabs>
        <w:bidi w:val="0"/>
        <w:spacing w:after="120"/>
        <w:jc w:val="both"/>
        <w:rPr>
          <w:rFonts w:ascii="Times New Roman" w:hAnsi="Times New Roman"/>
          <w:color w:val="000000"/>
        </w:rPr>
      </w:pPr>
      <w:r w:rsidRPr="00FC5D49">
        <w:rPr>
          <w:rFonts w:ascii="Times New Roman" w:hAnsi="Times New Roman"/>
          <w:color w:val="000000"/>
        </w:rPr>
        <w:t>Od roku 2013 dôjde k postupnej úprave koeficientu redukcie priemerného osobného mzdovéh</w:t>
      </w:r>
      <w:r>
        <w:rPr>
          <w:rFonts w:ascii="Times New Roman" w:hAnsi="Times New Roman"/>
          <w:color w:val="000000"/>
        </w:rPr>
        <w:t>o bodu pre hodnotu</w:t>
      </w:r>
      <w:r w:rsidRPr="00FC5D49">
        <w:rPr>
          <w:rFonts w:ascii="Times New Roman" w:hAnsi="Times New Roman"/>
          <w:color w:val="000000"/>
        </w:rPr>
        <w:t xml:space="preserve"> </w:t>
      </w:r>
      <w:r>
        <w:rPr>
          <w:rFonts w:ascii="Times New Roman" w:hAnsi="Times New Roman"/>
          <w:color w:val="000000"/>
        </w:rPr>
        <w:t>vyššiu</w:t>
      </w:r>
      <w:r w:rsidRPr="00FC5D49">
        <w:rPr>
          <w:rFonts w:ascii="Times New Roman" w:hAnsi="Times New Roman"/>
          <w:color w:val="000000"/>
        </w:rPr>
        <w:t xml:space="preserve"> ako 1,25; a to 80 % pre rok 2013, 76 % pre rok 2014, 72 % pre rok 2015, 68 % pre rok 2016, 64 % pre rok 2017 a 60 % pre rok 2018 a nasledujúce roky.  </w:t>
      </w:r>
      <w:r>
        <w:rPr>
          <w:rFonts w:ascii="Times New Roman" w:hAnsi="Times New Roman"/>
          <w:color w:val="000000"/>
        </w:rPr>
        <w:t>Súčasne sa bude zvyšovať koeficient</w:t>
      </w:r>
      <w:r w:rsidRPr="00FC5D49">
        <w:rPr>
          <w:rFonts w:ascii="Times New Roman" w:hAnsi="Times New Roman"/>
          <w:color w:val="000000"/>
        </w:rPr>
        <w:t xml:space="preserve"> úpravy priemerného osobného mzdového bodu</w:t>
      </w:r>
      <w:r>
        <w:rPr>
          <w:rFonts w:ascii="Times New Roman" w:hAnsi="Times New Roman"/>
          <w:color w:val="000000"/>
        </w:rPr>
        <w:t xml:space="preserve"> pre hodnotu nižšiu ako 1</w:t>
      </w:r>
      <w:r w:rsidRPr="00FC5D49">
        <w:rPr>
          <w:rFonts w:ascii="Times New Roman" w:hAnsi="Times New Roman"/>
          <w:color w:val="000000"/>
        </w:rPr>
        <w:t xml:space="preserve">; a to  </w:t>
      </w:r>
      <w:r>
        <w:rPr>
          <w:rFonts w:ascii="Times New Roman" w:hAnsi="Times New Roman"/>
          <w:color w:val="000000"/>
        </w:rPr>
        <w:t xml:space="preserve">17 </w:t>
      </w:r>
      <w:r w:rsidRPr="00FC5D49">
        <w:rPr>
          <w:rFonts w:ascii="Times New Roman" w:hAnsi="Times New Roman"/>
          <w:color w:val="000000"/>
        </w:rPr>
        <w:t xml:space="preserve">% pre rok 2013, </w:t>
      </w:r>
      <w:r>
        <w:rPr>
          <w:rFonts w:ascii="Times New Roman" w:hAnsi="Times New Roman"/>
          <w:color w:val="000000"/>
        </w:rPr>
        <w:t>18</w:t>
      </w:r>
      <w:r w:rsidRPr="00FC5D49">
        <w:rPr>
          <w:rFonts w:ascii="Times New Roman" w:hAnsi="Times New Roman"/>
          <w:color w:val="000000"/>
        </w:rPr>
        <w:t xml:space="preserve"> % pre rok 2014, </w:t>
      </w:r>
      <w:r>
        <w:rPr>
          <w:rFonts w:ascii="Times New Roman" w:hAnsi="Times New Roman"/>
          <w:color w:val="000000"/>
        </w:rPr>
        <w:t>19</w:t>
      </w:r>
      <w:r w:rsidRPr="00FC5D49">
        <w:rPr>
          <w:rFonts w:ascii="Times New Roman" w:hAnsi="Times New Roman"/>
          <w:color w:val="000000"/>
        </w:rPr>
        <w:t xml:space="preserve"> % pre rok 2015, </w:t>
      </w:r>
      <w:r>
        <w:rPr>
          <w:rFonts w:ascii="Times New Roman" w:hAnsi="Times New Roman"/>
          <w:color w:val="000000"/>
        </w:rPr>
        <w:t>20</w:t>
      </w:r>
      <w:r w:rsidRPr="00FC5D49">
        <w:rPr>
          <w:rFonts w:ascii="Times New Roman" w:hAnsi="Times New Roman"/>
          <w:color w:val="000000"/>
        </w:rPr>
        <w:t xml:space="preserve"> % pre rok 2016, </w:t>
      </w:r>
      <w:r>
        <w:rPr>
          <w:rFonts w:ascii="Times New Roman" w:hAnsi="Times New Roman"/>
          <w:color w:val="000000"/>
        </w:rPr>
        <w:t>21</w:t>
      </w:r>
      <w:r w:rsidRPr="00FC5D49">
        <w:rPr>
          <w:rFonts w:ascii="Times New Roman" w:hAnsi="Times New Roman"/>
          <w:color w:val="000000"/>
        </w:rPr>
        <w:t xml:space="preserve"> % pre rok 2017 a </w:t>
      </w:r>
      <w:r>
        <w:rPr>
          <w:rFonts w:ascii="Times New Roman" w:hAnsi="Times New Roman"/>
          <w:color w:val="000000"/>
        </w:rPr>
        <w:t>22</w:t>
      </w:r>
      <w:r w:rsidRPr="00FC5D49">
        <w:rPr>
          <w:rFonts w:ascii="Times New Roman" w:hAnsi="Times New Roman"/>
          <w:color w:val="000000"/>
        </w:rPr>
        <w:t xml:space="preserve"> % pre rok 2018 a nasledujúce roky. Predmetn</w:t>
      </w:r>
      <w:r>
        <w:rPr>
          <w:rFonts w:ascii="Times New Roman" w:hAnsi="Times New Roman"/>
          <w:color w:val="000000"/>
        </w:rPr>
        <w:t>é opatrenie má</w:t>
      </w:r>
      <w:r w:rsidRPr="00FC5D49">
        <w:rPr>
          <w:rFonts w:ascii="Times New Roman" w:hAnsi="Times New Roman"/>
          <w:color w:val="000000"/>
        </w:rPr>
        <w:t xml:space="preserve"> finančne </w:t>
      </w:r>
      <w:r>
        <w:rPr>
          <w:rFonts w:ascii="Times New Roman" w:hAnsi="Times New Roman"/>
          <w:color w:val="000000"/>
        </w:rPr>
        <w:t>neutrálny vplyv na</w:t>
      </w:r>
      <w:r w:rsidRPr="00FC5D49">
        <w:rPr>
          <w:rFonts w:ascii="Times New Roman" w:hAnsi="Times New Roman"/>
          <w:color w:val="000000"/>
        </w:rPr>
        <w:t xml:space="preserve"> bilanciu Sociálnej poisťovne.   </w:t>
      </w:r>
    </w:p>
    <w:p w:rsidR="00F63F07" w:rsidP="00FC5D49">
      <w:pPr>
        <w:tabs>
          <w:tab w:val="left" w:pos="0"/>
        </w:tabs>
        <w:bidi w:val="0"/>
        <w:jc w:val="both"/>
        <w:rPr>
          <w:rFonts w:ascii="Times New Roman" w:hAnsi="Times New Roman"/>
          <w:b/>
          <w:color w:val="000000"/>
        </w:rPr>
      </w:pPr>
    </w:p>
    <w:p w:rsidR="00F63F07" w:rsidRPr="00BC32A2" w:rsidP="00FC5D49">
      <w:pPr>
        <w:tabs>
          <w:tab w:val="left" w:pos="0"/>
        </w:tabs>
        <w:bidi w:val="0"/>
        <w:spacing w:after="120"/>
        <w:jc w:val="both"/>
        <w:rPr>
          <w:rFonts w:ascii="Times New Roman" w:hAnsi="Times New Roman"/>
          <w:color w:val="000000"/>
        </w:rPr>
      </w:pPr>
      <w:r>
        <w:rPr>
          <w:rFonts w:ascii="Times New Roman" w:hAnsi="Times New Roman"/>
          <w:b/>
          <w:color w:val="000000"/>
        </w:rPr>
        <w:t xml:space="preserve">B. Zakomponovanie automatického stabilizátora k predlžovaniu dôchodkového veku. </w:t>
      </w:r>
      <w:r w:rsidRPr="00915A63">
        <w:rPr>
          <w:rFonts w:ascii="Times New Roman" w:hAnsi="Times New Roman"/>
          <w:b/>
          <w:color w:val="000000"/>
        </w:rPr>
        <w:t xml:space="preserve"> </w:t>
      </w:r>
    </w:p>
    <w:p w:rsidR="00F63F07" w:rsidP="00FC5D49">
      <w:pPr>
        <w:tabs>
          <w:tab w:val="left" w:pos="709"/>
        </w:tabs>
        <w:bidi w:val="0"/>
        <w:jc w:val="both"/>
        <w:rPr>
          <w:rFonts w:ascii="Times New Roman" w:hAnsi="Times New Roman"/>
          <w:color w:val="000000"/>
        </w:rPr>
      </w:pPr>
      <w:r w:rsidRPr="00CE11A6">
        <w:rPr>
          <w:rFonts w:ascii="Times New Roman" w:hAnsi="Times New Roman"/>
          <w:color w:val="000000"/>
        </w:rPr>
        <w:t>Dôchodkový vek sa bude od roku 201</w:t>
      </w:r>
      <w:r>
        <w:rPr>
          <w:rFonts w:ascii="Times New Roman" w:hAnsi="Times New Roman"/>
          <w:color w:val="000000"/>
        </w:rPr>
        <w:t>7</w:t>
      </w:r>
      <w:r w:rsidRPr="00CE11A6">
        <w:rPr>
          <w:rFonts w:ascii="Times New Roman" w:hAnsi="Times New Roman"/>
          <w:color w:val="000000"/>
        </w:rPr>
        <w:t xml:space="preserve"> upravovať</w:t>
      </w:r>
      <w:r>
        <w:rPr>
          <w:rFonts w:ascii="Times New Roman" w:hAnsi="Times New Roman"/>
          <w:b/>
          <w:color w:val="000000"/>
        </w:rPr>
        <w:t xml:space="preserve"> </w:t>
      </w:r>
      <w:r w:rsidRPr="00915A63">
        <w:rPr>
          <w:rFonts w:ascii="Times New Roman" w:hAnsi="Times New Roman"/>
          <w:color w:val="000000"/>
        </w:rPr>
        <w:t>v závislosti od určeného demografického ukazovateľa</w:t>
      </w:r>
      <w:r>
        <w:rPr>
          <w:rFonts w:ascii="Times New Roman" w:hAnsi="Times New Roman"/>
          <w:color w:val="000000"/>
        </w:rPr>
        <w:t xml:space="preserve"> (stredná dĺžka života). Z dôvodu, že </w:t>
      </w:r>
      <w:r w:rsidRPr="00915A63">
        <w:rPr>
          <w:rFonts w:ascii="Times New Roman" w:hAnsi="Times New Roman"/>
          <w:color w:val="000000"/>
        </w:rPr>
        <w:t>účinnosť s</w:t>
      </w:r>
      <w:r w:rsidRPr="004B2597">
        <w:rPr>
          <w:rFonts w:ascii="Times New Roman" w:hAnsi="Times New Roman"/>
          <w:color w:val="000000"/>
        </w:rPr>
        <w:t>a navrhuje až od roku 201</w:t>
      </w:r>
      <w:r>
        <w:rPr>
          <w:rFonts w:ascii="Times New Roman" w:hAnsi="Times New Roman"/>
          <w:color w:val="000000"/>
        </w:rPr>
        <w:t>7, u</w:t>
      </w:r>
      <w:r w:rsidRPr="005E6C58">
        <w:rPr>
          <w:rFonts w:ascii="Times New Roman" w:hAnsi="Times New Roman"/>
          <w:color w:val="000000"/>
        </w:rPr>
        <w:t>vedené zmeny nie sú kvantifikované v do</w:t>
      </w:r>
      <w:r w:rsidRPr="00915A63">
        <w:rPr>
          <w:rFonts w:ascii="Times New Roman" w:hAnsi="Times New Roman"/>
          <w:color w:val="000000"/>
        </w:rPr>
        <w:t>ložke vybraný</w:t>
      </w:r>
      <w:r>
        <w:rPr>
          <w:rFonts w:ascii="Times New Roman" w:hAnsi="Times New Roman"/>
          <w:color w:val="000000"/>
        </w:rPr>
        <w:t>ch vplyvov.</w:t>
      </w:r>
    </w:p>
    <w:p w:rsidR="00F63F07" w:rsidP="00FC5D49">
      <w:pPr>
        <w:tabs>
          <w:tab w:val="left" w:pos="709"/>
        </w:tabs>
        <w:bidi w:val="0"/>
        <w:jc w:val="both"/>
        <w:rPr>
          <w:rFonts w:ascii="Times New Roman" w:hAnsi="Times New Roman"/>
          <w:b/>
        </w:rPr>
      </w:pPr>
    </w:p>
    <w:p w:rsidR="00F63F07" w:rsidP="00B1483A">
      <w:pPr>
        <w:tabs>
          <w:tab w:val="left" w:pos="709"/>
        </w:tabs>
        <w:bidi w:val="0"/>
        <w:spacing w:after="120"/>
        <w:jc w:val="both"/>
        <w:rPr>
          <w:rFonts w:ascii="Times New Roman" w:hAnsi="Times New Roman"/>
          <w:color w:val="000000"/>
        </w:rPr>
      </w:pPr>
      <w:r>
        <w:rPr>
          <w:rFonts w:ascii="Times New Roman" w:hAnsi="Times New Roman"/>
          <w:b/>
        </w:rPr>
        <w:t xml:space="preserve">C. Zmena spôsobu zvyšovania dôchodkových dávok, vybraných nesystémových dávok poskytovaných zo systému sociálneho poistenia a úrazových dávok od roku 2013. </w:t>
      </w:r>
    </w:p>
    <w:p w:rsidR="00F63F07" w:rsidRPr="00BC32A2" w:rsidP="00B1483A">
      <w:pPr>
        <w:tabs>
          <w:tab w:val="left" w:pos="709"/>
        </w:tabs>
        <w:bidi w:val="0"/>
        <w:spacing w:after="120"/>
        <w:jc w:val="both"/>
        <w:rPr>
          <w:rFonts w:ascii="Times New Roman" w:hAnsi="Times New Roman"/>
          <w:color w:val="000000"/>
        </w:rPr>
      </w:pPr>
      <w:r w:rsidRPr="00A9372B">
        <w:rPr>
          <w:rFonts w:ascii="Times New Roman" w:hAnsi="Times New Roman"/>
          <w:bCs/>
          <w:color w:val="000000"/>
        </w:rPr>
        <w:t>Zvyšovanie dôchodkových dávok  sa navrhuje o pevnú sumu ustanovenú v závislosti od medziročného rastu inflácie a medziročného rastu priemernej mzdy a priemernej mesačnej sumy:</w:t>
      </w:r>
    </w:p>
    <w:p w:rsidR="00F63F07" w:rsidRPr="00031EEB" w:rsidP="0061539B">
      <w:pPr>
        <w:numPr>
          <w:ilvl w:val="1"/>
          <w:numId w:val="9"/>
        </w:numPr>
        <w:tabs>
          <w:tab w:val="left" w:pos="709"/>
        </w:tabs>
        <w:bidi w:val="0"/>
        <w:spacing w:after="120"/>
        <w:jc w:val="both"/>
        <w:rPr>
          <w:rFonts w:ascii="Times New Roman" w:hAnsi="Times New Roman"/>
          <w:color w:val="000000"/>
        </w:rPr>
      </w:pPr>
      <w:r w:rsidRPr="00031EEB">
        <w:rPr>
          <w:rFonts w:ascii="Times New Roman" w:hAnsi="Times New Roman"/>
          <w:color w:val="000000"/>
        </w:rPr>
        <w:t xml:space="preserve">starobného </w:t>
      </w:r>
      <w:r>
        <w:rPr>
          <w:rFonts w:ascii="Times New Roman" w:hAnsi="Times New Roman"/>
          <w:color w:val="000000"/>
        </w:rPr>
        <w:t xml:space="preserve">sólo </w:t>
      </w:r>
      <w:r w:rsidRPr="00031EEB">
        <w:rPr>
          <w:rFonts w:ascii="Times New Roman" w:hAnsi="Times New Roman"/>
          <w:color w:val="000000"/>
        </w:rPr>
        <w:t>dôchodk</w:t>
      </w:r>
      <w:r>
        <w:rPr>
          <w:rFonts w:ascii="Times New Roman" w:hAnsi="Times New Roman"/>
          <w:color w:val="000000"/>
        </w:rPr>
        <w:t>u</w:t>
      </w:r>
      <w:r w:rsidRPr="00031EEB">
        <w:rPr>
          <w:rFonts w:ascii="Times New Roman" w:hAnsi="Times New Roman"/>
          <w:color w:val="000000"/>
        </w:rPr>
        <w:t xml:space="preserve">; </w:t>
      </w:r>
    </w:p>
    <w:p w:rsidR="00F63F07" w:rsidRPr="00031EEB" w:rsidP="004774EE">
      <w:pPr>
        <w:numPr>
          <w:ilvl w:val="1"/>
          <w:numId w:val="9"/>
        </w:numPr>
        <w:tabs>
          <w:tab w:val="left" w:pos="709"/>
        </w:tabs>
        <w:bidi w:val="0"/>
        <w:spacing w:after="120"/>
        <w:jc w:val="both"/>
        <w:rPr>
          <w:rFonts w:ascii="Times New Roman" w:hAnsi="Times New Roman"/>
          <w:color w:val="000000"/>
        </w:rPr>
      </w:pPr>
      <w:r>
        <w:rPr>
          <w:rFonts w:ascii="Times New Roman" w:hAnsi="Times New Roman"/>
          <w:color w:val="000000"/>
        </w:rPr>
        <w:t xml:space="preserve">predčasného </w:t>
      </w:r>
      <w:r w:rsidRPr="00031EEB">
        <w:rPr>
          <w:rFonts w:ascii="Times New Roman" w:hAnsi="Times New Roman"/>
          <w:color w:val="000000"/>
        </w:rPr>
        <w:t xml:space="preserve">starobného </w:t>
      </w:r>
      <w:r>
        <w:rPr>
          <w:rFonts w:ascii="Times New Roman" w:hAnsi="Times New Roman"/>
          <w:color w:val="000000"/>
        </w:rPr>
        <w:t xml:space="preserve">sólo </w:t>
      </w:r>
      <w:r w:rsidRPr="00031EEB">
        <w:rPr>
          <w:rFonts w:ascii="Times New Roman" w:hAnsi="Times New Roman"/>
          <w:color w:val="000000"/>
        </w:rPr>
        <w:t>dôchodk</w:t>
      </w:r>
      <w:r>
        <w:rPr>
          <w:rFonts w:ascii="Times New Roman" w:hAnsi="Times New Roman"/>
          <w:color w:val="000000"/>
        </w:rPr>
        <w:t xml:space="preserve">u </w:t>
      </w:r>
      <w:r w:rsidRPr="00031EEB">
        <w:rPr>
          <w:rFonts w:ascii="Times New Roman" w:hAnsi="Times New Roman"/>
          <w:color w:val="000000"/>
        </w:rPr>
        <w:t xml:space="preserve">; </w:t>
      </w:r>
    </w:p>
    <w:p w:rsidR="00F63F07" w:rsidRPr="00031EEB" w:rsidP="0061539B">
      <w:pPr>
        <w:numPr>
          <w:ilvl w:val="1"/>
          <w:numId w:val="9"/>
        </w:numPr>
        <w:tabs>
          <w:tab w:val="left" w:pos="709"/>
        </w:tabs>
        <w:bidi w:val="0"/>
        <w:spacing w:after="120"/>
        <w:jc w:val="both"/>
        <w:rPr>
          <w:rFonts w:ascii="Times New Roman" w:hAnsi="Times New Roman"/>
          <w:color w:val="000000"/>
        </w:rPr>
      </w:pPr>
      <w:r w:rsidRPr="00031EEB">
        <w:rPr>
          <w:rFonts w:ascii="Times New Roman" w:hAnsi="Times New Roman"/>
          <w:color w:val="000000"/>
        </w:rPr>
        <w:t xml:space="preserve">invalidného </w:t>
      </w:r>
      <w:r>
        <w:rPr>
          <w:rFonts w:ascii="Times New Roman" w:hAnsi="Times New Roman"/>
          <w:color w:val="000000"/>
        </w:rPr>
        <w:t xml:space="preserve">sólo </w:t>
      </w:r>
      <w:r w:rsidRPr="00031EEB">
        <w:rPr>
          <w:rFonts w:ascii="Times New Roman" w:hAnsi="Times New Roman"/>
          <w:color w:val="000000"/>
        </w:rPr>
        <w:t>dôchodku do 70 %;</w:t>
      </w:r>
    </w:p>
    <w:p w:rsidR="00F63F07" w:rsidP="0061539B">
      <w:pPr>
        <w:numPr>
          <w:ilvl w:val="1"/>
          <w:numId w:val="9"/>
        </w:numPr>
        <w:tabs>
          <w:tab w:val="left" w:pos="709"/>
        </w:tabs>
        <w:bidi w:val="0"/>
        <w:spacing w:after="120"/>
        <w:jc w:val="both"/>
        <w:rPr>
          <w:rFonts w:ascii="Times New Roman" w:hAnsi="Times New Roman"/>
          <w:color w:val="000000"/>
        </w:rPr>
      </w:pPr>
      <w:r w:rsidRPr="00031EEB">
        <w:rPr>
          <w:rFonts w:ascii="Times New Roman" w:hAnsi="Times New Roman"/>
          <w:color w:val="000000"/>
        </w:rPr>
        <w:t>invalidného</w:t>
      </w:r>
      <w:r>
        <w:rPr>
          <w:rFonts w:ascii="Times New Roman" w:hAnsi="Times New Roman"/>
          <w:color w:val="000000"/>
        </w:rPr>
        <w:t xml:space="preserve"> sólo</w:t>
      </w:r>
      <w:r w:rsidRPr="00031EEB">
        <w:rPr>
          <w:rFonts w:ascii="Times New Roman" w:hAnsi="Times New Roman"/>
          <w:color w:val="000000"/>
        </w:rPr>
        <w:t xml:space="preserve"> dôchodku nad 70 %</w:t>
      </w:r>
      <w:r>
        <w:rPr>
          <w:rFonts w:ascii="Times New Roman" w:hAnsi="Times New Roman"/>
          <w:color w:val="000000"/>
        </w:rPr>
        <w:t>;</w:t>
      </w:r>
    </w:p>
    <w:p w:rsidR="00F63F07" w:rsidP="0061539B">
      <w:pPr>
        <w:numPr>
          <w:ilvl w:val="1"/>
          <w:numId w:val="9"/>
        </w:numPr>
        <w:tabs>
          <w:tab w:val="left" w:pos="709"/>
        </w:tabs>
        <w:bidi w:val="0"/>
        <w:spacing w:after="120"/>
        <w:jc w:val="both"/>
        <w:rPr>
          <w:rFonts w:ascii="Times New Roman" w:hAnsi="Times New Roman"/>
          <w:color w:val="000000"/>
        </w:rPr>
      </w:pPr>
      <w:r>
        <w:rPr>
          <w:rFonts w:ascii="Times New Roman" w:hAnsi="Times New Roman"/>
          <w:color w:val="000000"/>
        </w:rPr>
        <w:t>vdovského sólo dôchodku a vdoveckého sólo dôchodku;</w:t>
      </w:r>
    </w:p>
    <w:p w:rsidR="00F63F07" w:rsidP="0061539B">
      <w:pPr>
        <w:numPr>
          <w:ilvl w:val="1"/>
          <w:numId w:val="9"/>
        </w:numPr>
        <w:tabs>
          <w:tab w:val="left" w:pos="709"/>
        </w:tabs>
        <w:bidi w:val="0"/>
        <w:spacing w:after="120"/>
        <w:jc w:val="both"/>
        <w:rPr>
          <w:rFonts w:ascii="Times New Roman" w:hAnsi="Times New Roman"/>
          <w:color w:val="000000"/>
        </w:rPr>
      </w:pPr>
      <w:r>
        <w:rPr>
          <w:rFonts w:ascii="Times New Roman" w:hAnsi="Times New Roman"/>
          <w:color w:val="000000"/>
        </w:rPr>
        <w:t>sirotského sólo dôchodku;</w:t>
      </w:r>
    </w:p>
    <w:p w:rsidR="00F63F07" w:rsidRPr="00031EEB" w:rsidP="004774EE">
      <w:pPr>
        <w:numPr>
          <w:ilvl w:val="1"/>
          <w:numId w:val="9"/>
        </w:numPr>
        <w:tabs>
          <w:tab w:val="left" w:pos="709"/>
        </w:tabs>
        <w:bidi w:val="0"/>
        <w:spacing w:after="120"/>
        <w:jc w:val="both"/>
        <w:rPr>
          <w:rFonts w:ascii="Times New Roman" w:hAnsi="Times New Roman"/>
          <w:color w:val="000000"/>
        </w:rPr>
      </w:pPr>
      <w:r w:rsidRPr="00031EEB">
        <w:rPr>
          <w:rFonts w:ascii="Times New Roman" w:hAnsi="Times New Roman"/>
          <w:color w:val="000000"/>
        </w:rPr>
        <w:t xml:space="preserve">starobného </w:t>
      </w:r>
      <w:r>
        <w:rPr>
          <w:rFonts w:ascii="Times New Roman" w:hAnsi="Times New Roman"/>
          <w:color w:val="000000"/>
        </w:rPr>
        <w:t xml:space="preserve">kráteného </w:t>
      </w:r>
      <w:r w:rsidRPr="00031EEB">
        <w:rPr>
          <w:rFonts w:ascii="Times New Roman" w:hAnsi="Times New Roman"/>
          <w:color w:val="000000"/>
        </w:rPr>
        <w:t>dôchodk</w:t>
      </w:r>
      <w:r>
        <w:rPr>
          <w:rFonts w:ascii="Times New Roman" w:hAnsi="Times New Roman"/>
          <w:color w:val="000000"/>
        </w:rPr>
        <w:t>u</w:t>
      </w:r>
      <w:r w:rsidRPr="00031EEB">
        <w:rPr>
          <w:rFonts w:ascii="Times New Roman" w:hAnsi="Times New Roman"/>
          <w:color w:val="000000"/>
        </w:rPr>
        <w:t xml:space="preserve">; </w:t>
      </w:r>
    </w:p>
    <w:p w:rsidR="00F63F07" w:rsidRPr="00031EEB" w:rsidP="004774EE">
      <w:pPr>
        <w:numPr>
          <w:ilvl w:val="1"/>
          <w:numId w:val="9"/>
        </w:numPr>
        <w:tabs>
          <w:tab w:val="left" w:pos="709"/>
        </w:tabs>
        <w:bidi w:val="0"/>
        <w:spacing w:after="120"/>
        <w:jc w:val="both"/>
        <w:rPr>
          <w:rFonts w:ascii="Times New Roman" w:hAnsi="Times New Roman"/>
          <w:color w:val="000000"/>
        </w:rPr>
      </w:pPr>
      <w:r>
        <w:rPr>
          <w:rFonts w:ascii="Times New Roman" w:hAnsi="Times New Roman"/>
          <w:color w:val="000000"/>
        </w:rPr>
        <w:t xml:space="preserve">predčasného </w:t>
      </w:r>
      <w:r w:rsidRPr="00031EEB">
        <w:rPr>
          <w:rFonts w:ascii="Times New Roman" w:hAnsi="Times New Roman"/>
          <w:color w:val="000000"/>
        </w:rPr>
        <w:t xml:space="preserve">starobného </w:t>
      </w:r>
      <w:r>
        <w:rPr>
          <w:rFonts w:ascii="Times New Roman" w:hAnsi="Times New Roman"/>
          <w:color w:val="000000"/>
        </w:rPr>
        <w:t xml:space="preserve">kráteného </w:t>
      </w:r>
      <w:r w:rsidRPr="00031EEB">
        <w:rPr>
          <w:rFonts w:ascii="Times New Roman" w:hAnsi="Times New Roman"/>
          <w:color w:val="000000"/>
        </w:rPr>
        <w:t>dôchodk</w:t>
      </w:r>
      <w:r>
        <w:rPr>
          <w:rFonts w:ascii="Times New Roman" w:hAnsi="Times New Roman"/>
          <w:color w:val="000000"/>
        </w:rPr>
        <w:t>u</w:t>
      </w:r>
      <w:r w:rsidRPr="00031EEB">
        <w:rPr>
          <w:rFonts w:ascii="Times New Roman" w:hAnsi="Times New Roman"/>
          <w:color w:val="000000"/>
        </w:rPr>
        <w:t xml:space="preserve">; </w:t>
      </w:r>
    </w:p>
    <w:p w:rsidR="00F63F07" w:rsidRPr="00031EEB" w:rsidP="004774EE">
      <w:pPr>
        <w:numPr>
          <w:ilvl w:val="1"/>
          <w:numId w:val="9"/>
        </w:numPr>
        <w:tabs>
          <w:tab w:val="left" w:pos="709"/>
        </w:tabs>
        <w:bidi w:val="0"/>
        <w:spacing w:after="120"/>
        <w:jc w:val="both"/>
        <w:rPr>
          <w:rFonts w:ascii="Times New Roman" w:hAnsi="Times New Roman"/>
          <w:color w:val="000000"/>
        </w:rPr>
      </w:pPr>
      <w:r w:rsidRPr="00031EEB">
        <w:rPr>
          <w:rFonts w:ascii="Times New Roman" w:hAnsi="Times New Roman"/>
          <w:color w:val="000000"/>
        </w:rPr>
        <w:t xml:space="preserve">invalidného </w:t>
      </w:r>
      <w:r>
        <w:rPr>
          <w:rFonts w:ascii="Times New Roman" w:hAnsi="Times New Roman"/>
          <w:color w:val="000000"/>
        </w:rPr>
        <w:t xml:space="preserve">kráteného </w:t>
      </w:r>
      <w:r w:rsidRPr="00031EEB">
        <w:rPr>
          <w:rFonts w:ascii="Times New Roman" w:hAnsi="Times New Roman"/>
          <w:color w:val="000000"/>
        </w:rPr>
        <w:t>dôchodku do 70 %;</w:t>
      </w:r>
    </w:p>
    <w:p w:rsidR="00F63F07" w:rsidP="004774EE">
      <w:pPr>
        <w:numPr>
          <w:ilvl w:val="1"/>
          <w:numId w:val="9"/>
        </w:numPr>
        <w:tabs>
          <w:tab w:val="left" w:pos="709"/>
        </w:tabs>
        <w:bidi w:val="0"/>
        <w:spacing w:after="120"/>
        <w:jc w:val="both"/>
        <w:rPr>
          <w:rFonts w:ascii="Times New Roman" w:hAnsi="Times New Roman"/>
          <w:color w:val="000000"/>
        </w:rPr>
      </w:pPr>
      <w:r w:rsidRPr="00031EEB">
        <w:rPr>
          <w:rFonts w:ascii="Times New Roman" w:hAnsi="Times New Roman"/>
          <w:color w:val="000000"/>
        </w:rPr>
        <w:t>invalidného</w:t>
      </w:r>
      <w:r>
        <w:rPr>
          <w:rFonts w:ascii="Times New Roman" w:hAnsi="Times New Roman"/>
          <w:color w:val="000000"/>
        </w:rPr>
        <w:t xml:space="preserve"> kráteného</w:t>
      </w:r>
      <w:r w:rsidRPr="00031EEB">
        <w:rPr>
          <w:rFonts w:ascii="Times New Roman" w:hAnsi="Times New Roman"/>
          <w:color w:val="000000"/>
        </w:rPr>
        <w:t xml:space="preserve"> dôchodku nad 70 %</w:t>
      </w:r>
      <w:r>
        <w:rPr>
          <w:rFonts w:ascii="Times New Roman" w:hAnsi="Times New Roman"/>
          <w:color w:val="000000"/>
        </w:rPr>
        <w:t>;</w:t>
      </w:r>
    </w:p>
    <w:p w:rsidR="00F63F07" w:rsidP="004774EE">
      <w:pPr>
        <w:numPr>
          <w:ilvl w:val="1"/>
          <w:numId w:val="9"/>
        </w:numPr>
        <w:tabs>
          <w:tab w:val="left" w:pos="709"/>
        </w:tabs>
        <w:bidi w:val="0"/>
        <w:spacing w:after="120"/>
        <w:jc w:val="both"/>
        <w:rPr>
          <w:rFonts w:ascii="Times New Roman" w:hAnsi="Times New Roman"/>
          <w:color w:val="000000"/>
        </w:rPr>
      </w:pPr>
      <w:r>
        <w:rPr>
          <w:rFonts w:ascii="Times New Roman" w:hAnsi="Times New Roman"/>
          <w:color w:val="000000"/>
        </w:rPr>
        <w:t>vdovského kráteného dôchodku a vdoveckého kráteného dôchodku;</w:t>
      </w:r>
    </w:p>
    <w:p w:rsidR="00F63F07" w:rsidP="00BC32A2">
      <w:pPr>
        <w:numPr>
          <w:ilvl w:val="1"/>
          <w:numId w:val="9"/>
        </w:numPr>
        <w:tabs>
          <w:tab w:val="left" w:pos="709"/>
        </w:tabs>
        <w:bidi w:val="0"/>
        <w:spacing w:after="120"/>
        <w:jc w:val="both"/>
        <w:rPr>
          <w:rFonts w:ascii="Times New Roman" w:hAnsi="Times New Roman"/>
          <w:color w:val="000000"/>
        </w:rPr>
      </w:pPr>
      <w:r>
        <w:rPr>
          <w:rFonts w:ascii="Times New Roman" w:hAnsi="Times New Roman"/>
          <w:color w:val="000000"/>
        </w:rPr>
        <w:t>sirotského kráteného dôchodku.</w:t>
      </w:r>
    </w:p>
    <w:p w:rsidR="00F63F07" w:rsidP="00BC32A2">
      <w:pPr>
        <w:tabs>
          <w:tab w:val="left" w:pos="709"/>
        </w:tabs>
        <w:bidi w:val="0"/>
        <w:spacing w:after="120"/>
        <w:jc w:val="both"/>
        <w:rPr>
          <w:rFonts w:ascii="Times New Roman" w:hAnsi="Times New Roman"/>
          <w:color w:val="000000"/>
        </w:rPr>
      </w:pPr>
      <w:r>
        <w:rPr>
          <w:rFonts w:ascii="Times New Roman" w:hAnsi="Times New Roman"/>
          <w:color w:val="000000"/>
        </w:rPr>
        <w:t>Váhy medziročného rastu inflácie a medziročného rastu priemernej mzdy sa navrhujú nasledovne:</w:t>
      </w:r>
    </w:p>
    <w:p w:rsidR="00F63F07" w:rsidP="0061539B">
      <w:pPr>
        <w:numPr>
          <w:numId w:val="11"/>
        </w:numPr>
        <w:tabs>
          <w:tab w:val="left" w:pos="709"/>
        </w:tabs>
        <w:bidi w:val="0"/>
        <w:spacing w:after="120"/>
        <w:jc w:val="both"/>
        <w:rPr>
          <w:rFonts w:ascii="Times New Roman" w:hAnsi="Times New Roman"/>
          <w:color w:val="000000"/>
        </w:rPr>
      </w:pPr>
      <w:r>
        <w:rPr>
          <w:rFonts w:ascii="Times New Roman" w:hAnsi="Times New Roman"/>
          <w:color w:val="000000"/>
        </w:rPr>
        <w:t>rok 2013 váha inflácie 50 % a váha nominálnych miezd 50 %,</w:t>
      </w:r>
    </w:p>
    <w:p w:rsidR="00F63F07" w:rsidP="0061539B">
      <w:pPr>
        <w:numPr>
          <w:numId w:val="11"/>
        </w:numPr>
        <w:tabs>
          <w:tab w:val="left" w:pos="709"/>
        </w:tabs>
        <w:bidi w:val="0"/>
        <w:spacing w:after="120"/>
        <w:jc w:val="both"/>
        <w:rPr>
          <w:rFonts w:ascii="Times New Roman" w:hAnsi="Times New Roman"/>
          <w:color w:val="000000"/>
        </w:rPr>
      </w:pPr>
      <w:r>
        <w:rPr>
          <w:rFonts w:ascii="Times New Roman" w:hAnsi="Times New Roman"/>
          <w:color w:val="000000"/>
        </w:rPr>
        <w:t>rok 2014 váha inflácie 60 % a váha nominálnych miezd 40 %,</w:t>
      </w:r>
    </w:p>
    <w:p w:rsidR="00F63F07" w:rsidRPr="0061539B" w:rsidP="0061539B">
      <w:pPr>
        <w:numPr>
          <w:numId w:val="11"/>
        </w:numPr>
        <w:tabs>
          <w:tab w:val="left" w:pos="709"/>
        </w:tabs>
        <w:bidi w:val="0"/>
        <w:spacing w:after="120"/>
        <w:jc w:val="both"/>
        <w:rPr>
          <w:rFonts w:ascii="Times New Roman" w:hAnsi="Times New Roman"/>
          <w:color w:val="000000"/>
        </w:rPr>
      </w:pPr>
      <w:r>
        <w:rPr>
          <w:rFonts w:ascii="Times New Roman" w:hAnsi="Times New Roman"/>
          <w:color w:val="000000"/>
        </w:rPr>
        <w:t>rok 2015 váha inflácie 70 % a váha nominálnych miezd 30 %,</w:t>
      </w:r>
    </w:p>
    <w:p w:rsidR="00F63F07" w:rsidP="0061539B">
      <w:pPr>
        <w:numPr>
          <w:numId w:val="11"/>
        </w:numPr>
        <w:tabs>
          <w:tab w:val="left" w:pos="709"/>
        </w:tabs>
        <w:bidi w:val="0"/>
        <w:spacing w:after="120"/>
        <w:jc w:val="both"/>
        <w:rPr>
          <w:rFonts w:ascii="Times New Roman" w:hAnsi="Times New Roman"/>
          <w:color w:val="000000"/>
        </w:rPr>
      </w:pPr>
      <w:r>
        <w:rPr>
          <w:rFonts w:ascii="Times New Roman" w:hAnsi="Times New Roman"/>
          <w:color w:val="000000"/>
        </w:rPr>
        <w:t>rok 2016 váha inflácie 80 % a váha nominálnych miezd 20 %,</w:t>
      </w:r>
    </w:p>
    <w:p w:rsidR="00F63F07" w:rsidP="0061539B">
      <w:pPr>
        <w:numPr>
          <w:numId w:val="11"/>
        </w:numPr>
        <w:tabs>
          <w:tab w:val="left" w:pos="709"/>
        </w:tabs>
        <w:bidi w:val="0"/>
        <w:spacing w:after="120"/>
        <w:jc w:val="both"/>
        <w:rPr>
          <w:rFonts w:ascii="Times New Roman" w:hAnsi="Times New Roman"/>
          <w:color w:val="000000"/>
        </w:rPr>
      </w:pPr>
      <w:r>
        <w:rPr>
          <w:rFonts w:ascii="Times New Roman" w:hAnsi="Times New Roman"/>
          <w:color w:val="000000"/>
        </w:rPr>
        <w:t>rok 2017 váha inflácie 90 % a váha nominálnych miezd 10 %</w:t>
      </w:r>
    </w:p>
    <w:p w:rsidR="00F63F07" w:rsidP="0061539B">
      <w:pPr>
        <w:numPr>
          <w:numId w:val="11"/>
        </w:numPr>
        <w:tabs>
          <w:tab w:val="left" w:pos="709"/>
        </w:tabs>
        <w:bidi w:val="0"/>
        <w:spacing w:after="120"/>
        <w:jc w:val="both"/>
        <w:rPr>
          <w:rFonts w:ascii="Times New Roman" w:hAnsi="Times New Roman"/>
          <w:color w:val="000000"/>
        </w:rPr>
      </w:pPr>
      <w:r>
        <w:rPr>
          <w:rFonts w:ascii="Times New Roman" w:hAnsi="Times New Roman"/>
          <w:color w:val="000000"/>
        </w:rPr>
        <w:t>rok 2018 váha inflácie za domácnosti dôchodcov 100 %.</w:t>
      </w:r>
    </w:p>
    <w:p w:rsidR="00F63F07" w:rsidRPr="0061539B" w:rsidP="00C90A98">
      <w:pPr>
        <w:tabs>
          <w:tab w:val="left" w:pos="709"/>
        </w:tabs>
        <w:bidi w:val="0"/>
        <w:spacing w:after="120"/>
        <w:jc w:val="both"/>
        <w:rPr>
          <w:rFonts w:ascii="Times New Roman" w:hAnsi="Times New Roman"/>
          <w:color w:val="000000"/>
        </w:rPr>
      </w:pPr>
      <w:r>
        <w:rPr>
          <w:rFonts w:ascii="Times New Roman" w:hAnsi="Times New Roman"/>
          <w:color w:val="000000"/>
        </w:rPr>
        <w:t xml:space="preserve">Predmetné miery váh budú zohľadnené aj pri percentuálnej valorizácii úrazových dávok s tým, že v cieľovom stave v roku 2018 sa na nich bude vzťahovať miera inflácie za všetky domácnosti.    </w:t>
      </w:r>
    </w:p>
    <w:p w:rsidR="00F63F07" w:rsidRPr="00A9372B" w:rsidP="0061539B">
      <w:pPr>
        <w:bidi w:val="0"/>
        <w:jc w:val="both"/>
        <w:rPr>
          <w:rFonts w:ascii="Times New Roman" w:hAnsi="Times New Roman"/>
          <w:bCs/>
          <w:color w:val="000000"/>
        </w:rPr>
      </w:pPr>
      <w:r w:rsidRPr="00A9372B">
        <w:rPr>
          <w:rFonts w:ascii="Times New Roman" w:hAnsi="Times New Roman"/>
          <w:bCs/>
          <w:color w:val="000000"/>
        </w:rPr>
        <w:t>Zvyšovanie vybraných nesystémových dávok sa navrhuje nasledovne:</w:t>
      </w:r>
    </w:p>
    <w:p w:rsidR="00F63F07" w:rsidRPr="00A9372B" w:rsidP="0061539B">
      <w:pPr>
        <w:numPr>
          <w:numId w:val="10"/>
        </w:numPr>
        <w:bidi w:val="0"/>
        <w:ind w:left="709" w:hanging="283"/>
        <w:jc w:val="both"/>
        <w:rPr>
          <w:rFonts w:ascii="Times New Roman" w:hAnsi="Times New Roman"/>
          <w:color w:val="000000"/>
        </w:rPr>
      </w:pPr>
      <w:r w:rsidRPr="00A9372B">
        <w:rPr>
          <w:rFonts w:ascii="Times New Roman" w:hAnsi="Times New Roman"/>
          <w:bCs/>
          <w:color w:val="000000"/>
        </w:rPr>
        <w:t>sociálny dôchodok rovnako ako invalidný dôchodok z dôvodu poklesu schopnosti vykonávať zárobkovú činnosť o viac ako 70 %;</w:t>
      </w:r>
    </w:p>
    <w:p w:rsidR="00F63F07" w:rsidRPr="00A9372B" w:rsidP="0061539B">
      <w:pPr>
        <w:numPr>
          <w:numId w:val="10"/>
        </w:numPr>
        <w:bidi w:val="0"/>
        <w:ind w:left="709" w:hanging="283"/>
        <w:jc w:val="both"/>
        <w:rPr>
          <w:rFonts w:ascii="Times New Roman" w:hAnsi="Times New Roman"/>
          <w:color w:val="000000"/>
        </w:rPr>
      </w:pPr>
      <w:r w:rsidRPr="00A9372B">
        <w:rPr>
          <w:rFonts w:ascii="Times New Roman" w:hAnsi="Times New Roman"/>
          <w:bCs/>
          <w:color w:val="000000"/>
        </w:rPr>
        <w:t xml:space="preserve">tzv. invalidné dôchodky z mladosti rovnako ako invalidné dôchodky podľa miery </w:t>
      </w:r>
      <w:r>
        <w:rPr>
          <w:rFonts w:ascii="Times New Roman" w:hAnsi="Times New Roman"/>
          <w:bCs/>
          <w:color w:val="000000"/>
        </w:rPr>
        <w:t xml:space="preserve">poklesu </w:t>
      </w:r>
      <w:r w:rsidRPr="00A9372B">
        <w:rPr>
          <w:rFonts w:ascii="Times New Roman" w:hAnsi="Times New Roman"/>
          <w:bCs/>
          <w:color w:val="000000"/>
        </w:rPr>
        <w:t>schopnosti vykonávať zárobkovú činnosť;</w:t>
      </w:r>
    </w:p>
    <w:p w:rsidR="00F63F07" w:rsidRPr="00A9372B" w:rsidP="0061539B">
      <w:pPr>
        <w:numPr>
          <w:numId w:val="10"/>
        </w:numPr>
        <w:bidi w:val="0"/>
        <w:ind w:left="709" w:hanging="283"/>
        <w:jc w:val="both"/>
        <w:rPr>
          <w:rFonts w:ascii="Times New Roman" w:hAnsi="Times New Roman"/>
          <w:color w:val="000000"/>
        </w:rPr>
      </w:pPr>
      <w:r w:rsidRPr="00A9372B">
        <w:rPr>
          <w:rFonts w:ascii="Times New Roman" w:hAnsi="Times New Roman"/>
          <w:bCs/>
          <w:color w:val="000000"/>
        </w:rPr>
        <w:t>prí</w:t>
      </w:r>
      <w:r>
        <w:rPr>
          <w:rFonts w:ascii="Times New Roman" w:hAnsi="Times New Roman"/>
          <w:bCs/>
          <w:color w:val="000000"/>
        </w:rPr>
        <w:t xml:space="preserve">platok </w:t>
      </w:r>
      <w:r w:rsidRPr="00A9372B">
        <w:rPr>
          <w:rFonts w:ascii="Times New Roman" w:hAnsi="Times New Roman"/>
          <w:bCs/>
          <w:color w:val="000000"/>
        </w:rPr>
        <w:t xml:space="preserve">za štátnu službu </w:t>
      </w:r>
      <w:r>
        <w:rPr>
          <w:rFonts w:ascii="Times New Roman" w:hAnsi="Times New Roman"/>
          <w:bCs/>
          <w:color w:val="000000"/>
        </w:rPr>
        <w:t xml:space="preserve">k dôchodku </w:t>
      </w:r>
      <w:r w:rsidRPr="00A9372B">
        <w:rPr>
          <w:rFonts w:ascii="Times New Roman" w:hAnsi="Times New Roman"/>
          <w:bCs/>
          <w:color w:val="000000"/>
        </w:rPr>
        <w:t>ponechanie percentuálnej valorizácie</w:t>
      </w:r>
      <w:r>
        <w:rPr>
          <w:rFonts w:ascii="Times New Roman" w:hAnsi="Times New Roman"/>
          <w:bCs/>
          <w:color w:val="000000"/>
        </w:rPr>
        <w:t xml:space="preserve"> s tým, že aj v prípade predmetného príplatku sa bude uplatňovať postupná zmena váh s prechodom na infláciu za domácnosti dôchodcov</w:t>
      </w:r>
      <w:r w:rsidRPr="00A9372B">
        <w:rPr>
          <w:rFonts w:ascii="Times New Roman" w:hAnsi="Times New Roman"/>
          <w:bCs/>
          <w:color w:val="000000"/>
        </w:rPr>
        <w:t>;</w:t>
      </w:r>
    </w:p>
    <w:p w:rsidR="00F63F07" w:rsidP="0061539B">
      <w:pPr>
        <w:numPr>
          <w:numId w:val="10"/>
        </w:numPr>
        <w:bidi w:val="0"/>
        <w:ind w:left="709" w:hanging="283"/>
        <w:jc w:val="both"/>
        <w:rPr>
          <w:rFonts w:ascii="Times New Roman" w:hAnsi="Times New Roman"/>
          <w:color w:val="000000"/>
        </w:rPr>
      </w:pPr>
      <w:r w:rsidRPr="00A9372B">
        <w:rPr>
          <w:rFonts w:ascii="Times New Roman" w:hAnsi="Times New Roman"/>
          <w:color w:val="000000"/>
        </w:rPr>
        <w:t>zvyšovanie dôchodku z dôvodu účasti v odboji a rehabilitácie spolu s priamy</w:t>
      </w:r>
      <w:r>
        <w:rPr>
          <w:rFonts w:ascii="Times New Roman" w:hAnsi="Times New Roman"/>
          <w:color w:val="000000"/>
        </w:rPr>
        <w:t>m</w:t>
      </w:r>
      <w:r w:rsidRPr="00A9372B">
        <w:rPr>
          <w:rFonts w:ascii="Times New Roman" w:hAnsi="Times New Roman"/>
          <w:color w:val="000000"/>
        </w:rPr>
        <w:t>, resp. odv</w:t>
      </w:r>
      <w:r>
        <w:rPr>
          <w:rFonts w:ascii="Times New Roman" w:hAnsi="Times New Roman"/>
          <w:color w:val="000000"/>
        </w:rPr>
        <w:t>odeným pozostalostným dôchodkom;</w:t>
      </w:r>
    </w:p>
    <w:p w:rsidR="00F63F07" w:rsidP="00EC2DA9">
      <w:pPr>
        <w:numPr>
          <w:numId w:val="10"/>
        </w:numPr>
        <w:bidi w:val="0"/>
        <w:ind w:left="709" w:hanging="283"/>
        <w:jc w:val="both"/>
        <w:rPr>
          <w:rFonts w:ascii="Times New Roman" w:hAnsi="Times New Roman"/>
          <w:color w:val="000000"/>
        </w:rPr>
      </w:pPr>
      <w:r>
        <w:rPr>
          <w:rFonts w:ascii="Times New Roman" w:hAnsi="Times New Roman"/>
          <w:color w:val="000000"/>
        </w:rPr>
        <w:t>príplatok k dôchodku politickým väzňom spolu s priamym, resp. odvodeným pozostalostným dôchodkom.</w:t>
      </w:r>
    </w:p>
    <w:p w:rsidR="00F63F07" w:rsidP="00ED2099">
      <w:pPr>
        <w:bidi w:val="0"/>
        <w:ind w:left="426"/>
        <w:jc w:val="both"/>
        <w:rPr>
          <w:rFonts w:ascii="Times New Roman" w:hAnsi="Times New Roman"/>
          <w:color w:val="000000"/>
        </w:rPr>
      </w:pPr>
    </w:p>
    <w:p w:rsidR="00F63F07" w:rsidP="00A65B75">
      <w:pPr>
        <w:tabs>
          <w:tab w:val="left" w:pos="709"/>
        </w:tabs>
        <w:bidi w:val="0"/>
        <w:spacing w:after="120"/>
        <w:jc w:val="both"/>
        <w:rPr>
          <w:rFonts w:ascii="Times New Roman" w:hAnsi="Times New Roman"/>
          <w:b/>
        </w:rPr>
      </w:pPr>
      <w:r>
        <w:rPr>
          <w:rFonts w:ascii="Times New Roman" w:hAnsi="Times New Roman"/>
          <w:b/>
        </w:rPr>
        <w:t xml:space="preserve">D. Úprava vymeriavacieho základu pre samostatne zárobkovo činné osoby </w:t>
      </w:r>
      <w:r>
        <w:rPr>
          <w:rFonts w:ascii="Times New Roman" w:hAnsi="Times New Roman"/>
        </w:rPr>
        <w:t>(ďalej len SZČO)</w:t>
      </w:r>
      <w:r>
        <w:rPr>
          <w:rFonts w:ascii="Times New Roman" w:hAnsi="Times New Roman"/>
          <w:b/>
        </w:rPr>
        <w:t>.</w:t>
      </w:r>
    </w:p>
    <w:p w:rsidR="00F63F07" w:rsidP="0056471D">
      <w:pPr>
        <w:pStyle w:val="Odsekzoznamu2"/>
        <w:numPr>
          <w:numId w:val="15"/>
        </w:numPr>
        <w:suppressAutoHyphens/>
        <w:bidi w:val="0"/>
        <w:contextualSpacing/>
        <w:jc w:val="both"/>
        <w:rPr>
          <w:rFonts w:ascii="Times New Roman" w:hAnsi="Times New Roman"/>
        </w:rPr>
      </w:pPr>
      <w:r w:rsidRPr="0056471D">
        <w:rPr>
          <w:rFonts w:ascii="Times New Roman" w:hAnsi="Times New Roman"/>
          <w:b/>
          <w:i/>
          <w:color w:val="000000"/>
        </w:rPr>
        <w:t>Pri výpočte vymeriavacieho základu</w:t>
      </w:r>
      <w:r w:rsidRPr="00F22EE1">
        <w:rPr>
          <w:rFonts w:ascii="Times New Roman" w:hAnsi="Times New Roman"/>
          <w:color w:val="0070C0"/>
        </w:rPr>
        <w:t xml:space="preserve"> </w:t>
      </w:r>
      <w:r w:rsidRPr="00362BF8">
        <w:rPr>
          <w:rFonts w:ascii="Times New Roman" w:hAnsi="Times New Roman"/>
        </w:rPr>
        <w:t>na platenie poistnéh</w:t>
      </w:r>
      <w:r>
        <w:rPr>
          <w:rFonts w:ascii="Times New Roman" w:hAnsi="Times New Roman"/>
        </w:rPr>
        <w:t>o</w:t>
      </w:r>
      <w:r w:rsidRPr="00362BF8">
        <w:rPr>
          <w:rFonts w:ascii="Times New Roman" w:hAnsi="Times New Roman"/>
        </w:rPr>
        <w:t xml:space="preserve"> sa bude postupovať tak, že </w:t>
      </w:r>
      <w:r w:rsidRPr="0056471D">
        <w:rPr>
          <w:rFonts w:ascii="Times New Roman" w:hAnsi="Times New Roman"/>
          <w:i/>
        </w:rPr>
        <w:t>čiastkový základ dane z príjmov z podnikania sa</w:t>
      </w:r>
      <w:r w:rsidRPr="00362BF8">
        <w:rPr>
          <w:rFonts w:ascii="Times New Roman" w:hAnsi="Times New Roman"/>
        </w:rPr>
        <w:t xml:space="preserve"> </w:t>
      </w:r>
      <w:r w:rsidRPr="0056471D">
        <w:rPr>
          <w:rFonts w:ascii="Times New Roman" w:hAnsi="Times New Roman"/>
          <w:i/>
        </w:rPr>
        <w:t>zvýši</w:t>
      </w:r>
      <w:r w:rsidRPr="00F22EE1">
        <w:rPr>
          <w:rFonts w:ascii="Times New Roman" w:hAnsi="Times New Roman"/>
          <w:b/>
          <w:i/>
        </w:rPr>
        <w:t xml:space="preserve"> </w:t>
      </w:r>
      <w:r w:rsidRPr="0056471D">
        <w:rPr>
          <w:rFonts w:ascii="Times New Roman" w:hAnsi="Times New Roman"/>
          <w:i/>
        </w:rPr>
        <w:t>o zaplatené poistné a príspevky</w:t>
      </w:r>
      <w:r w:rsidRPr="0056471D">
        <w:rPr>
          <w:rFonts w:ascii="Times New Roman" w:hAnsi="Times New Roman"/>
        </w:rPr>
        <w:t xml:space="preserve"> na starobné dôchodkové sporenie a takto upravený sa </w:t>
      </w:r>
      <w:r w:rsidRPr="0056471D">
        <w:rPr>
          <w:rFonts w:ascii="Times New Roman" w:hAnsi="Times New Roman"/>
          <w:i/>
        </w:rPr>
        <w:t>vydelí koeficientom 1,</w:t>
      </w:r>
      <w:r>
        <w:rPr>
          <w:rFonts w:ascii="Times New Roman" w:hAnsi="Times New Roman"/>
          <w:i/>
        </w:rPr>
        <w:t>486</w:t>
      </w:r>
      <w:r w:rsidRPr="0056471D">
        <w:rPr>
          <w:rFonts w:ascii="Times New Roman" w:hAnsi="Times New Roman"/>
          <w:i/>
        </w:rPr>
        <w:t>.</w:t>
      </w:r>
      <w:r w:rsidRPr="0056471D">
        <w:rPr>
          <w:rFonts w:ascii="Times New Roman" w:hAnsi="Times New Roman"/>
        </w:rPr>
        <w:t xml:space="preserve"> Prechod na uvedený koeficient sa bude realizovať postupne v období 3 rokov</w:t>
      </w:r>
      <w:r w:rsidRPr="00362BF8">
        <w:rPr>
          <w:rFonts w:ascii="Times New Roman" w:hAnsi="Times New Roman"/>
        </w:rPr>
        <w:t xml:space="preserve"> postupným spôsobom, a to od súčasného koeficientu 2 pri sociálnom poistení na koeficient 1,9 v</w:t>
      </w:r>
      <w:r>
        <w:rPr>
          <w:rFonts w:ascii="Times New Roman" w:hAnsi="Times New Roman"/>
        </w:rPr>
        <w:t> roku 2013</w:t>
      </w:r>
      <w:r w:rsidRPr="00362BF8">
        <w:rPr>
          <w:rFonts w:ascii="Times New Roman" w:hAnsi="Times New Roman"/>
        </w:rPr>
        <w:t>, na koeficient 1,6 v</w:t>
      </w:r>
      <w:r>
        <w:rPr>
          <w:rFonts w:ascii="Times New Roman" w:hAnsi="Times New Roman"/>
        </w:rPr>
        <w:t> </w:t>
      </w:r>
      <w:r w:rsidRPr="00362BF8">
        <w:rPr>
          <w:rFonts w:ascii="Times New Roman" w:hAnsi="Times New Roman"/>
        </w:rPr>
        <w:t>roku</w:t>
      </w:r>
      <w:r>
        <w:rPr>
          <w:rFonts w:ascii="Times New Roman" w:hAnsi="Times New Roman"/>
        </w:rPr>
        <w:t xml:space="preserve"> 2014 až po koeficient 1,486</w:t>
      </w:r>
      <w:r w:rsidRPr="00362BF8">
        <w:rPr>
          <w:rFonts w:ascii="Times New Roman" w:hAnsi="Times New Roman"/>
        </w:rPr>
        <w:t xml:space="preserve"> v</w:t>
      </w:r>
      <w:r>
        <w:rPr>
          <w:rFonts w:ascii="Times New Roman" w:hAnsi="Times New Roman"/>
        </w:rPr>
        <w:t> </w:t>
      </w:r>
      <w:r w:rsidRPr="00362BF8">
        <w:rPr>
          <w:rFonts w:ascii="Times New Roman" w:hAnsi="Times New Roman"/>
        </w:rPr>
        <w:t>roku</w:t>
      </w:r>
      <w:r>
        <w:rPr>
          <w:rFonts w:ascii="Times New Roman" w:hAnsi="Times New Roman"/>
        </w:rPr>
        <w:t xml:space="preserve"> 2015</w:t>
      </w:r>
      <w:r w:rsidRPr="00362BF8">
        <w:rPr>
          <w:rFonts w:ascii="Times New Roman" w:hAnsi="Times New Roman"/>
        </w:rPr>
        <w:t>.</w:t>
      </w:r>
    </w:p>
    <w:p w:rsidR="00F63F07" w:rsidP="00F123BA">
      <w:pPr>
        <w:pStyle w:val="Odsekzoznamu2"/>
        <w:numPr>
          <w:numId w:val="15"/>
        </w:numPr>
        <w:suppressAutoHyphens/>
        <w:bidi w:val="0"/>
        <w:contextualSpacing/>
        <w:jc w:val="both"/>
        <w:rPr>
          <w:rFonts w:ascii="Times New Roman" w:hAnsi="Times New Roman"/>
          <w:color w:val="000000"/>
        </w:rPr>
      </w:pPr>
      <w:r w:rsidRPr="0056471D">
        <w:rPr>
          <w:rFonts w:ascii="Times New Roman" w:hAnsi="Times New Roman"/>
          <w:b/>
          <w:i/>
          <w:color w:val="000000"/>
        </w:rPr>
        <w:t>Minimálny vymeriavací základ</w:t>
      </w:r>
      <w:r w:rsidRPr="0056471D">
        <w:rPr>
          <w:rFonts w:ascii="Times New Roman" w:hAnsi="Times New Roman"/>
          <w:color w:val="000000"/>
        </w:rPr>
        <w:t xml:space="preserve"> s účinnosťou od 1.</w:t>
      </w:r>
      <w:r>
        <w:rPr>
          <w:rFonts w:ascii="Times New Roman" w:hAnsi="Times New Roman"/>
          <w:color w:val="000000"/>
        </w:rPr>
        <w:t xml:space="preserve"> januára </w:t>
      </w:r>
      <w:r w:rsidRPr="0056471D">
        <w:rPr>
          <w:rFonts w:ascii="Times New Roman" w:hAnsi="Times New Roman"/>
          <w:color w:val="000000"/>
        </w:rPr>
        <w:t xml:space="preserve">2013 </w:t>
      </w:r>
      <w:r>
        <w:rPr>
          <w:rFonts w:ascii="Times New Roman" w:hAnsi="Times New Roman"/>
          <w:color w:val="000000"/>
        </w:rPr>
        <w:t>sa navrhuje prechod na</w:t>
      </w:r>
      <w:r w:rsidRPr="0056471D">
        <w:rPr>
          <w:rFonts w:ascii="Times New Roman" w:hAnsi="Times New Roman"/>
          <w:b/>
          <w:i/>
          <w:color w:val="000000"/>
        </w:rPr>
        <w:t xml:space="preserve"> 50 % z priemernej mesačnej mzdy</w:t>
      </w:r>
      <w:r w:rsidRPr="0056471D">
        <w:rPr>
          <w:rFonts w:ascii="Times New Roman" w:hAnsi="Times New Roman"/>
          <w:color w:val="000000"/>
        </w:rPr>
        <w:t xml:space="preserve"> </w:t>
      </w:r>
      <w:r>
        <w:rPr>
          <w:rFonts w:ascii="Times New Roman" w:hAnsi="Times New Roman"/>
          <w:color w:val="000000"/>
        </w:rPr>
        <w:t>spred dvoch rokov (vs. súčasných 44,2 %). Z uvedeného dôvodu</w:t>
      </w:r>
      <w:r w:rsidRPr="0056471D">
        <w:rPr>
          <w:rFonts w:ascii="Times New Roman" w:hAnsi="Times New Roman"/>
          <w:color w:val="000000"/>
        </w:rPr>
        <w:t xml:space="preserve"> sa </w:t>
      </w:r>
      <w:r w:rsidRPr="0056471D">
        <w:rPr>
          <w:rFonts w:ascii="Times New Roman" w:hAnsi="Times New Roman"/>
          <w:b/>
          <w:i/>
          <w:color w:val="000000"/>
        </w:rPr>
        <w:t>zvýši aj hranica pre vznik povinného sociálneho</w:t>
      </w:r>
      <w:r w:rsidRPr="0056471D">
        <w:rPr>
          <w:rFonts w:ascii="Times New Roman" w:hAnsi="Times New Roman"/>
          <w:b/>
          <w:color w:val="000000"/>
        </w:rPr>
        <w:t xml:space="preserve"> </w:t>
      </w:r>
      <w:r w:rsidRPr="0056471D">
        <w:rPr>
          <w:rFonts w:ascii="Times New Roman" w:hAnsi="Times New Roman"/>
          <w:b/>
          <w:i/>
          <w:color w:val="000000"/>
        </w:rPr>
        <w:t>poistenia,</w:t>
      </w:r>
      <w:r w:rsidRPr="0056471D">
        <w:rPr>
          <w:rFonts w:ascii="Times New Roman" w:hAnsi="Times New Roman"/>
          <w:color w:val="000000"/>
        </w:rPr>
        <w:t xml:space="preserve"> t.j. zvýši sa hranica, do ktorej živnostníkom nevznikne povinné sociálne poistenie</w:t>
      </w:r>
      <w:r>
        <w:rPr>
          <w:rFonts w:ascii="Times New Roman" w:hAnsi="Times New Roman"/>
          <w:color w:val="000000"/>
        </w:rPr>
        <w:t xml:space="preserve">. </w:t>
      </w:r>
    </w:p>
    <w:p w:rsidR="00F63F07" w:rsidP="00F123BA">
      <w:pPr>
        <w:tabs>
          <w:tab w:val="left" w:pos="709"/>
        </w:tabs>
        <w:bidi w:val="0"/>
        <w:jc w:val="both"/>
        <w:rPr>
          <w:rFonts w:ascii="Times New Roman" w:hAnsi="Times New Roman"/>
          <w:b/>
        </w:rPr>
      </w:pPr>
    </w:p>
    <w:p w:rsidR="00F63F07" w:rsidP="00A65B75">
      <w:pPr>
        <w:tabs>
          <w:tab w:val="left" w:pos="709"/>
        </w:tabs>
        <w:bidi w:val="0"/>
        <w:spacing w:after="120"/>
        <w:jc w:val="both"/>
        <w:rPr>
          <w:rFonts w:ascii="Times New Roman" w:hAnsi="Times New Roman"/>
          <w:b/>
        </w:rPr>
      </w:pPr>
      <w:r>
        <w:rPr>
          <w:rFonts w:ascii="Times New Roman" w:hAnsi="Times New Roman"/>
          <w:b/>
        </w:rPr>
        <w:t>E. Úprava minimálneho vymeriavacieho základu pre vybranú skupinu poistencov štátu a dobrovoľne poistené osoby.</w:t>
      </w:r>
    </w:p>
    <w:p w:rsidR="00F63F07" w:rsidP="00F123BA">
      <w:pPr>
        <w:tabs>
          <w:tab w:val="left" w:pos="709"/>
        </w:tabs>
        <w:bidi w:val="0"/>
        <w:jc w:val="both"/>
        <w:rPr>
          <w:rFonts w:ascii="Times New Roman" w:hAnsi="Times New Roman"/>
        </w:rPr>
      </w:pPr>
      <w:r>
        <w:rPr>
          <w:rFonts w:ascii="Times New Roman" w:hAnsi="Times New Roman"/>
        </w:rPr>
        <w:t xml:space="preserve">Úprava minimálneho vymeriavacieho základu pre vybranú skupinu poistencov štátu (fyzická osoba, ktorej sa poskytuje peňažný príspevok na opatrovanie a fyzická osoba, ktorá má podľa zmluvy o výkone osobnej asistencie vykonávať osobnú asistenciu fyzickej osobe s ťažkým zdravotným postihnutím) a dobrovoľne poistené osoby súvisí so zmenou vymeriavacieho základu pre SZČO. S účinnosťou od 1. januára 2013 sa navrhuje zvýšenie minimálneho vymeriavacieho základu zo 44,2 % priemernej mesačnej mzdy spred dvoch rokov na 50 % priemernej mesačnej mzdy spred dvoch rokov. </w:t>
      </w:r>
    </w:p>
    <w:p w:rsidR="00F63F07" w:rsidP="00F123BA">
      <w:pPr>
        <w:tabs>
          <w:tab w:val="left" w:pos="709"/>
        </w:tabs>
        <w:bidi w:val="0"/>
        <w:jc w:val="both"/>
        <w:rPr>
          <w:rFonts w:ascii="Times New Roman" w:hAnsi="Times New Roman"/>
        </w:rPr>
      </w:pPr>
    </w:p>
    <w:p w:rsidR="00F63F07" w:rsidP="005E7E78">
      <w:pPr>
        <w:tabs>
          <w:tab w:val="left" w:pos="709"/>
        </w:tabs>
        <w:bidi w:val="0"/>
        <w:spacing w:after="120"/>
        <w:jc w:val="both"/>
        <w:rPr>
          <w:rFonts w:ascii="Times New Roman" w:hAnsi="Times New Roman"/>
          <w:b/>
        </w:rPr>
      </w:pPr>
      <w:r w:rsidRPr="006D27E1">
        <w:rPr>
          <w:rFonts w:ascii="Times New Roman" w:hAnsi="Times New Roman"/>
          <w:b/>
        </w:rPr>
        <w:t>F. Zníženie maximálneho denného vymeriavacieho základu používaného</w:t>
      </w:r>
      <w:r>
        <w:rPr>
          <w:rFonts w:ascii="Times New Roman" w:hAnsi="Times New Roman"/>
          <w:b/>
        </w:rPr>
        <w:t xml:space="preserve"> na výpočet dávky v nezamestnanosti.</w:t>
      </w:r>
    </w:p>
    <w:p w:rsidR="00F63F07" w:rsidP="005E7E78">
      <w:pPr>
        <w:tabs>
          <w:tab w:val="left" w:pos="709"/>
        </w:tabs>
        <w:bidi w:val="0"/>
        <w:spacing w:after="120"/>
        <w:jc w:val="both"/>
        <w:rPr>
          <w:rFonts w:ascii="Times New Roman" w:hAnsi="Times New Roman"/>
        </w:rPr>
      </w:pPr>
      <w:r w:rsidRPr="006D27E1">
        <w:rPr>
          <w:rFonts w:ascii="Times New Roman" w:hAnsi="Times New Roman"/>
        </w:rPr>
        <w:t xml:space="preserve">V súčasnosti je maximálna dávka v nezamestnanosti </w:t>
      </w:r>
      <w:r>
        <w:rPr>
          <w:rFonts w:ascii="Times New Roman" w:hAnsi="Times New Roman"/>
        </w:rPr>
        <w:t xml:space="preserve">obmedzená ustanovením zákona o sociálnom poistení, podľa ktorého je denný vymeriavací základ najviac vo výške určenej ako podiel 3-násobku všeobecného vymeriavacieho základu a čísla 365. S účinnosťou od 1. januára 2013 sa navrhuje v tomto prípade zníženie všeobecného vymeriavacieho základu z 3-násobku na 2-násobok, čo zabezpečí, aby nebola vyplácaná vyššia dávka v nezamestnanosti ako priemerná mesačná mzda použitá pre všeobecný vymeriavací základ.    </w:t>
      </w:r>
    </w:p>
    <w:p w:rsidR="00F63F07" w:rsidP="002C09E4">
      <w:pPr>
        <w:tabs>
          <w:tab w:val="left" w:pos="709"/>
        </w:tabs>
        <w:bidi w:val="0"/>
        <w:spacing w:after="120"/>
        <w:jc w:val="both"/>
        <w:rPr>
          <w:rFonts w:ascii="Times New Roman" w:hAnsi="Times New Roman"/>
          <w:b/>
        </w:rPr>
      </w:pPr>
      <w:r>
        <w:rPr>
          <w:rFonts w:ascii="Times New Roman" w:hAnsi="Times New Roman"/>
          <w:b/>
        </w:rPr>
        <w:t>G</w:t>
      </w:r>
      <w:r w:rsidRPr="006D27E1">
        <w:rPr>
          <w:rFonts w:ascii="Times New Roman" w:hAnsi="Times New Roman"/>
          <w:b/>
        </w:rPr>
        <w:t>. Z</w:t>
      </w:r>
      <w:r>
        <w:rPr>
          <w:rFonts w:ascii="Times New Roman" w:hAnsi="Times New Roman"/>
          <w:b/>
        </w:rPr>
        <w:t>avedenie povinnosti platiť poistné na sociálne poistenie z dohôd o prácach vykonávaných mimo pracovného pomeru.</w:t>
      </w:r>
    </w:p>
    <w:p w:rsidR="00F63F07" w:rsidP="005E7E78">
      <w:pPr>
        <w:tabs>
          <w:tab w:val="left" w:pos="709"/>
        </w:tabs>
        <w:bidi w:val="0"/>
        <w:spacing w:after="120"/>
        <w:jc w:val="both"/>
        <w:rPr>
          <w:rFonts w:ascii="Times New Roman" w:hAnsi="Times New Roman"/>
        </w:rPr>
      </w:pPr>
      <w:r>
        <w:rPr>
          <w:rFonts w:ascii="Times New Roman" w:hAnsi="Times New Roman"/>
        </w:rPr>
        <w:t>S účinnosťou od 1. januára 2013 sa navrhuje platenie poistného na sociálne poistenie z dohôd o prácach vykonávaných mimo pracovného pomeru, pričom sa navrhuje ponechanie nižšieho  poistného pre študentov, poberateľov starobných dôchodkov a invalidných dôchodkov, a to nasledovne:</w:t>
      </w:r>
    </w:p>
    <w:p w:rsidR="00F63F07" w:rsidP="008E5187">
      <w:pPr>
        <w:numPr>
          <w:numId w:val="17"/>
        </w:numPr>
        <w:tabs>
          <w:tab w:val="left" w:pos="709"/>
        </w:tabs>
        <w:bidi w:val="0"/>
        <w:spacing w:after="120"/>
        <w:jc w:val="both"/>
        <w:rPr>
          <w:rFonts w:ascii="Times New Roman" w:hAnsi="Times New Roman"/>
        </w:rPr>
      </w:pPr>
      <w:r>
        <w:rPr>
          <w:rFonts w:ascii="Times New Roman" w:hAnsi="Times New Roman"/>
        </w:rPr>
        <w:t>študenti  a poberatelia invalidného dôchodku budú platiť poistné na dôchodkové poistenie a do rezervného fondu solidarity,</w:t>
      </w:r>
    </w:p>
    <w:p w:rsidR="00F63F07" w:rsidRPr="006D27E1" w:rsidP="008E5187">
      <w:pPr>
        <w:numPr>
          <w:numId w:val="17"/>
        </w:numPr>
        <w:tabs>
          <w:tab w:val="left" w:pos="709"/>
        </w:tabs>
        <w:bidi w:val="0"/>
        <w:spacing w:after="120"/>
        <w:jc w:val="both"/>
        <w:rPr>
          <w:rFonts w:ascii="Times New Roman" w:hAnsi="Times New Roman"/>
        </w:rPr>
      </w:pPr>
      <w:r>
        <w:rPr>
          <w:rFonts w:ascii="Times New Roman" w:hAnsi="Times New Roman"/>
        </w:rPr>
        <w:t xml:space="preserve">poberatelia starobného dôchodku budú platiť poistné na starobné poistenie a do rezervného fondu solidarity. </w:t>
      </w:r>
    </w:p>
    <w:p w:rsidR="00F63F07" w:rsidP="00A91FD0">
      <w:pPr>
        <w:bidi w:val="0"/>
        <w:jc w:val="both"/>
        <w:rPr>
          <w:rFonts w:ascii="Times New Roman" w:hAnsi="Times New Roman"/>
          <w:color w:val="000000"/>
        </w:rPr>
      </w:pPr>
      <w:r>
        <w:rPr>
          <w:rFonts w:ascii="Times New Roman" w:hAnsi="Times New Roman"/>
          <w:b/>
        </w:rPr>
        <w:t xml:space="preserve">H. </w:t>
      </w:r>
      <w:r w:rsidRPr="006D27E1">
        <w:rPr>
          <w:rFonts w:ascii="Times New Roman" w:hAnsi="Times New Roman"/>
          <w:b/>
        </w:rPr>
        <w:t>Z</w:t>
      </w:r>
      <w:r>
        <w:rPr>
          <w:rFonts w:ascii="Times New Roman" w:hAnsi="Times New Roman"/>
          <w:b/>
        </w:rPr>
        <w:t>jednotenie a zvýšenie maximálnych vymeriavacích základov na poistné na sociálne poistenie (z 1,5 násobku a 3 násobku na 5 násobok priemernej mesačnej mzdy spred dvoch rokov).</w:t>
      </w:r>
    </w:p>
    <w:p w:rsidR="00F63F07" w:rsidP="00ED2099">
      <w:pPr>
        <w:bidi w:val="0"/>
        <w:ind w:left="426"/>
        <w:jc w:val="both"/>
        <w:rPr>
          <w:rFonts w:ascii="Times New Roman" w:hAnsi="Times New Roman"/>
          <w:color w:val="000000"/>
        </w:rPr>
      </w:pPr>
    </w:p>
    <w:p w:rsidR="00F63F07" w:rsidP="00407E75">
      <w:pPr>
        <w:bidi w:val="0"/>
        <w:jc w:val="both"/>
        <w:rPr>
          <w:rFonts w:ascii="Times New Roman" w:hAnsi="Times New Roman"/>
          <w:color w:val="000000"/>
        </w:rPr>
      </w:pPr>
      <w:r>
        <w:rPr>
          <w:rFonts w:ascii="Times New Roman" w:hAnsi="Times New Roman"/>
          <w:color w:val="000000"/>
        </w:rPr>
        <w:t xml:space="preserve">S účinnosťou od 1. januára 2013 sa navrhuje zjednotenie a zvýšenie maximálnych vymeriavacích základov na 5 násobok priemernej mesačnej mzdy spred dvoch rokov na nemocenské poistenie, poistenie v nezamestnanosti, dôchodkové poistenie, garančné poistenie a poistné do rezervného fondu solidarity. Maximálny vymeriavací základ na úrazové poistenie zostáva naďalej neobmedzený, tak ako je tomu v súčasnosti.  </w:t>
      </w:r>
    </w:p>
    <w:p w:rsidR="00F63F07" w:rsidP="00B53407">
      <w:pPr>
        <w:bidi w:val="0"/>
        <w:jc w:val="both"/>
        <w:rPr>
          <w:rFonts w:ascii="Times New Roman" w:hAnsi="Times New Roman"/>
          <w:b/>
          <w:bCs/>
          <w:i/>
          <w:u w:val="single"/>
        </w:rPr>
      </w:pPr>
    </w:p>
    <w:p w:rsidR="00F63F07" w:rsidP="00606B6B">
      <w:pPr>
        <w:bidi w:val="0"/>
        <w:jc w:val="both"/>
        <w:rPr>
          <w:rFonts w:ascii="Times New Roman" w:hAnsi="Times New Roman"/>
          <w:color w:val="000000"/>
        </w:rPr>
      </w:pPr>
      <w:r>
        <w:rPr>
          <w:rFonts w:ascii="Times New Roman" w:hAnsi="Times New Roman"/>
          <w:b/>
        </w:rPr>
        <w:t>I. Sprísnenie podmienok nároku na priznanie predčasného starobného dôchodku pre sporiteľov vyplácaného z priebežne financovaného dôchodkového systému.</w:t>
      </w:r>
    </w:p>
    <w:p w:rsidR="00F63F07" w:rsidP="00B53407">
      <w:pPr>
        <w:bidi w:val="0"/>
        <w:jc w:val="both"/>
        <w:rPr>
          <w:rFonts w:ascii="Times New Roman" w:hAnsi="Times New Roman"/>
          <w:b/>
          <w:bCs/>
          <w:i/>
          <w:u w:val="single"/>
        </w:rPr>
      </w:pPr>
    </w:p>
    <w:p w:rsidR="00F63F07" w:rsidP="00B53407">
      <w:pPr>
        <w:bidi w:val="0"/>
        <w:jc w:val="both"/>
        <w:rPr>
          <w:rFonts w:ascii="Times New Roman" w:hAnsi="Times New Roman"/>
          <w:bCs/>
        </w:rPr>
      </w:pPr>
      <w:r>
        <w:rPr>
          <w:rFonts w:ascii="Times New Roman" w:hAnsi="Times New Roman"/>
          <w:bCs/>
        </w:rPr>
        <w:t xml:space="preserve">S účinnosťou od 1. októbra 2012 sa navrhuje, aby priznanie predčasného starobného dôchodku pre sporiteľa bolo podmienené výslednou sumou dôchodku vyššou ako 1,2 násobok sumy životného minima pre jednu plnoletú fyzickú osobu - čo znamená zvýšenie zo súčasných 0,6 násobku sumy životného minima,  t. j v rovnakej výške ako pre poistenca, ktorý je výlučne len v priebežne financovanom dôchodkovom systéme. </w:t>
      </w:r>
    </w:p>
    <w:p w:rsidR="00F63F07" w:rsidRPr="00F63F07" w:rsidP="00B53407">
      <w:pPr>
        <w:bidi w:val="0"/>
        <w:jc w:val="both"/>
        <w:rPr>
          <w:rFonts w:ascii="Times New Roman" w:hAnsi="Times New Roman"/>
          <w:bCs/>
        </w:rPr>
      </w:pPr>
    </w:p>
    <w:p w:rsidR="00F63F07" w:rsidRPr="0061539B" w:rsidP="00B53407">
      <w:pPr>
        <w:bidi w:val="0"/>
        <w:jc w:val="both"/>
        <w:rPr>
          <w:rFonts w:ascii="Times New Roman" w:hAnsi="Times New Roman"/>
          <w:b/>
          <w:bCs/>
          <w:i/>
          <w:u w:val="single"/>
        </w:rPr>
      </w:pPr>
      <w:r w:rsidRPr="0061539B">
        <w:rPr>
          <w:rFonts w:ascii="Times New Roman" w:hAnsi="Times New Roman"/>
          <w:b/>
          <w:bCs/>
          <w:i/>
          <w:u w:val="single"/>
        </w:rPr>
        <w:t>Starobné dôchodkové sporenie:</w:t>
      </w:r>
    </w:p>
    <w:p w:rsidR="00F63F07" w:rsidRPr="00CA2B6E" w:rsidP="00B53407">
      <w:pPr>
        <w:bidi w:val="0"/>
        <w:jc w:val="both"/>
        <w:rPr>
          <w:rFonts w:ascii="Times New Roman" w:hAnsi="Times New Roman"/>
          <w:b/>
          <w:bCs/>
        </w:rPr>
      </w:pPr>
    </w:p>
    <w:p w:rsidR="00F63F07" w:rsidP="00236DC6">
      <w:pPr>
        <w:tabs>
          <w:tab w:val="left" w:pos="360"/>
        </w:tabs>
        <w:bidi w:val="0"/>
        <w:spacing w:after="120"/>
        <w:jc w:val="both"/>
        <w:rPr>
          <w:rFonts w:ascii="Times New Roman" w:hAnsi="Times New Roman"/>
          <w:b/>
        </w:rPr>
      </w:pPr>
      <w:r>
        <w:rPr>
          <w:rFonts w:ascii="Times New Roman" w:hAnsi="Times New Roman"/>
          <w:b/>
        </w:rPr>
        <w:t>J. Dobrovoľný</w:t>
      </w:r>
      <w:r w:rsidRPr="00CA2B6E">
        <w:rPr>
          <w:rFonts w:ascii="Times New Roman" w:hAnsi="Times New Roman"/>
          <w:b/>
        </w:rPr>
        <w:t xml:space="preserve"> vstup prvopoistencov</w:t>
      </w:r>
      <w:r>
        <w:rPr>
          <w:rFonts w:ascii="Times New Roman" w:hAnsi="Times New Roman"/>
          <w:b/>
        </w:rPr>
        <w:t xml:space="preserve"> do systému starobného dôchodkového sporenia</w:t>
      </w:r>
      <w:r w:rsidRPr="00CA2B6E">
        <w:rPr>
          <w:rFonts w:ascii="Times New Roman" w:hAnsi="Times New Roman"/>
          <w:b/>
        </w:rPr>
        <w:t xml:space="preserve"> </w:t>
      </w:r>
      <w:r>
        <w:rPr>
          <w:rFonts w:ascii="Times New Roman" w:hAnsi="Times New Roman"/>
          <w:b/>
        </w:rPr>
        <w:t xml:space="preserve">do dosiahnutia 35 rokov veku.  </w:t>
      </w:r>
    </w:p>
    <w:p w:rsidR="00F63F07" w:rsidRPr="00C90A98" w:rsidP="00EC2DA9">
      <w:pPr>
        <w:tabs>
          <w:tab w:val="left" w:pos="360"/>
        </w:tabs>
        <w:bidi w:val="0"/>
        <w:jc w:val="both"/>
        <w:rPr>
          <w:rFonts w:ascii="Times New Roman" w:hAnsi="Times New Roman"/>
          <w:b/>
        </w:rPr>
      </w:pPr>
      <w:r>
        <w:rPr>
          <w:rFonts w:ascii="Times New Roman" w:hAnsi="Times New Roman"/>
        </w:rPr>
        <w:t xml:space="preserve">S účinnosťou </w:t>
      </w:r>
      <w:r w:rsidRPr="003C573B">
        <w:rPr>
          <w:rFonts w:ascii="Times New Roman" w:hAnsi="Times New Roman"/>
        </w:rPr>
        <w:t xml:space="preserve">od 1. </w:t>
      </w:r>
      <w:r>
        <w:rPr>
          <w:rFonts w:ascii="Times New Roman" w:hAnsi="Times New Roman"/>
        </w:rPr>
        <w:t>januára 2013 sa navrhuje dobrovoľný vstup pre prvopoistencov do systému starobného dôchodkového sporenia až do dosiahnutia 35 rokov veku.</w:t>
      </w:r>
    </w:p>
    <w:p w:rsidR="00F63F07" w:rsidP="00EC2DA9">
      <w:pPr>
        <w:tabs>
          <w:tab w:val="left" w:pos="360"/>
        </w:tabs>
        <w:bidi w:val="0"/>
        <w:jc w:val="both"/>
        <w:rPr>
          <w:rFonts w:ascii="Times New Roman" w:hAnsi="Times New Roman"/>
        </w:rPr>
      </w:pPr>
    </w:p>
    <w:p w:rsidR="00F63F07" w:rsidRPr="00DE7DA5" w:rsidP="00236DC6">
      <w:pPr>
        <w:tabs>
          <w:tab w:val="left" w:pos="360"/>
        </w:tabs>
        <w:bidi w:val="0"/>
        <w:spacing w:after="120"/>
        <w:jc w:val="both"/>
        <w:rPr>
          <w:rFonts w:ascii="Times New Roman" w:hAnsi="Times New Roman"/>
          <w:b/>
        </w:rPr>
      </w:pPr>
      <w:r>
        <w:rPr>
          <w:rFonts w:ascii="Times New Roman" w:hAnsi="Times New Roman"/>
          <w:b/>
        </w:rPr>
        <w:t>K</w:t>
      </w:r>
      <w:r w:rsidRPr="00DE7DA5">
        <w:rPr>
          <w:rFonts w:ascii="Times New Roman" w:hAnsi="Times New Roman"/>
          <w:b/>
        </w:rPr>
        <w:t>. Zníženie príspevkovej sadzby na starobné dôchodkové sporenie</w:t>
      </w:r>
      <w:r>
        <w:rPr>
          <w:rFonts w:ascii="Times New Roman" w:hAnsi="Times New Roman"/>
          <w:b/>
        </w:rPr>
        <w:t>.</w:t>
      </w:r>
    </w:p>
    <w:p w:rsidR="00F63F07" w:rsidP="00413C59">
      <w:pPr>
        <w:tabs>
          <w:tab w:val="left" w:pos="360"/>
        </w:tabs>
        <w:bidi w:val="0"/>
        <w:jc w:val="both"/>
        <w:rPr>
          <w:rFonts w:ascii="Times New Roman" w:hAnsi="Times New Roman"/>
        </w:rPr>
      </w:pPr>
      <w:r>
        <w:rPr>
          <w:rFonts w:ascii="Times New Roman" w:hAnsi="Times New Roman"/>
        </w:rPr>
        <w:t xml:space="preserve">S účinnosťou </w:t>
      </w:r>
      <w:r w:rsidRPr="003C573B">
        <w:rPr>
          <w:rFonts w:ascii="Times New Roman" w:hAnsi="Times New Roman"/>
        </w:rPr>
        <w:t>od 1.</w:t>
      </w:r>
      <w:r>
        <w:rPr>
          <w:rFonts w:ascii="Times New Roman" w:hAnsi="Times New Roman"/>
        </w:rPr>
        <w:t xml:space="preserve"> októbra  2012 sa navrhuje zníženie príspevkovej sadzby zo súčasných 9 % na 4 % z vymeriavacieho základu sporiteľa s možnosťou dobrovoľného prispievania si navyše od 1. januára 2013 (dobrovoľné príspevky budú daňovo zvýhodnené do úrovne 2 % z čiastkového základu dane). </w:t>
      </w:r>
    </w:p>
    <w:p w:rsidR="00F63F07" w:rsidP="00413C59">
      <w:pPr>
        <w:tabs>
          <w:tab w:val="left" w:pos="360"/>
        </w:tabs>
        <w:bidi w:val="0"/>
        <w:jc w:val="both"/>
        <w:rPr>
          <w:rFonts w:ascii="Times New Roman" w:hAnsi="Times New Roman"/>
        </w:rPr>
      </w:pPr>
    </w:p>
    <w:p w:rsidR="00F63F07" w:rsidRPr="00DE7DA5" w:rsidP="00F255CC">
      <w:pPr>
        <w:tabs>
          <w:tab w:val="left" w:pos="360"/>
        </w:tabs>
        <w:bidi w:val="0"/>
        <w:spacing w:after="120"/>
        <w:jc w:val="both"/>
        <w:rPr>
          <w:rFonts w:ascii="Times New Roman" w:hAnsi="Times New Roman"/>
          <w:b/>
        </w:rPr>
      </w:pPr>
      <w:r>
        <w:rPr>
          <w:rFonts w:ascii="Times New Roman" w:hAnsi="Times New Roman"/>
          <w:b/>
        </w:rPr>
        <w:t xml:space="preserve">L. Dočasné otvorenie systému starobného dôchodkového sporenia pre vstup a výstup </w:t>
      </w:r>
    </w:p>
    <w:p w:rsidR="00F63F07" w:rsidP="00413C59">
      <w:pPr>
        <w:tabs>
          <w:tab w:val="left" w:pos="360"/>
        </w:tabs>
        <w:bidi w:val="0"/>
        <w:jc w:val="both"/>
        <w:rPr>
          <w:rFonts w:ascii="Times New Roman" w:hAnsi="Times New Roman"/>
        </w:rPr>
      </w:pPr>
      <w:r>
        <w:rPr>
          <w:rFonts w:ascii="Times New Roman" w:hAnsi="Times New Roman"/>
        </w:rPr>
        <w:t xml:space="preserve">S účinnosťou od 1. októbra 2012 do 31. </w:t>
      </w:r>
      <w:r w:rsidR="00C73A63">
        <w:rPr>
          <w:rFonts w:ascii="Times New Roman" w:hAnsi="Times New Roman"/>
        </w:rPr>
        <w:t>decembra 2012</w:t>
      </w:r>
      <w:r>
        <w:rPr>
          <w:rFonts w:ascii="Times New Roman" w:hAnsi="Times New Roman"/>
        </w:rPr>
        <w:t xml:space="preserve"> sa navrhuje dočasné otvorenie systému starobného dôchodkového sporenia obojstranne pre vstup a výstup, t. j. umožnenie vstupu do II. piliera a zároveň umožnenie návratu do jednopilierového dôchodkového systému pre všetkých sporiteľov v II. pilieri.</w:t>
      </w:r>
    </w:p>
    <w:p w:rsidR="00F63F07" w:rsidP="00413C59">
      <w:pPr>
        <w:tabs>
          <w:tab w:val="left" w:pos="360"/>
        </w:tabs>
        <w:bidi w:val="0"/>
        <w:jc w:val="both"/>
        <w:rPr>
          <w:rFonts w:ascii="Times New Roman" w:hAnsi="Times New Roman"/>
        </w:rPr>
      </w:pPr>
    </w:p>
    <w:p w:rsidR="00F63F07" w:rsidP="00413C59">
      <w:pPr>
        <w:tabs>
          <w:tab w:val="left" w:pos="360"/>
        </w:tabs>
        <w:bidi w:val="0"/>
        <w:jc w:val="both"/>
        <w:rPr>
          <w:rFonts w:ascii="Times New Roman" w:hAnsi="Times New Roman"/>
        </w:rPr>
      </w:pPr>
    </w:p>
    <w:p w:rsidR="00F63F07" w:rsidP="0072520C">
      <w:pPr>
        <w:bidi w:val="0"/>
        <w:jc w:val="both"/>
        <w:rPr>
          <w:rFonts w:ascii="Times New Roman" w:hAnsi="Times New Roman"/>
          <w:color w:val="000000"/>
        </w:rPr>
      </w:pPr>
      <w:r>
        <w:rPr>
          <w:rFonts w:ascii="Times New Roman" w:hAnsi="Times New Roman"/>
          <w:color w:val="000000"/>
        </w:rPr>
        <w:t>Všetky vyššie uvedené zmeny budú implementované Sociálnou poisťovňou.</w:t>
      </w:r>
    </w:p>
    <w:p w:rsidR="00F63F07" w:rsidP="0072520C">
      <w:pPr>
        <w:bidi w:val="0"/>
        <w:jc w:val="both"/>
        <w:rPr>
          <w:rFonts w:ascii="Times New Roman" w:hAnsi="Times New Roman"/>
          <w:color w:val="000000"/>
        </w:rPr>
      </w:pPr>
    </w:p>
    <w:p w:rsidR="00F63F07" w:rsidRPr="0061539B" w:rsidP="00281297">
      <w:pPr>
        <w:bidi w:val="0"/>
        <w:jc w:val="both"/>
        <w:rPr>
          <w:rFonts w:ascii="Times New Roman" w:hAnsi="Times New Roman"/>
          <w:b/>
          <w:bCs/>
          <w:i/>
          <w:u w:val="single"/>
        </w:rPr>
      </w:pPr>
      <w:r>
        <w:rPr>
          <w:rFonts w:ascii="Times New Roman" w:hAnsi="Times New Roman"/>
          <w:b/>
          <w:bCs/>
          <w:i/>
          <w:u w:val="single"/>
        </w:rPr>
        <w:t>Verejné zdravotné poistenie</w:t>
      </w:r>
      <w:r w:rsidRPr="0061539B">
        <w:rPr>
          <w:rFonts w:ascii="Times New Roman" w:hAnsi="Times New Roman"/>
          <w:b/>
          <w:bCs/>
          <w:i/>
          <w:u w:val="single"/>
        </w:rPr>
        <w:t>:</w:t>
      </w:r>
    </w:p>
    <w:p w:rsidR="00F63F07" w:rsidP="00281297">
      <w:pPr>
        <w:tabs>
          <w:tab w:val="left" w:pos="709"/>
        </w:tabs>
        <w:bidi w:val="0"/>
        <w:jc w:val="both"/>
        <w:rPr>
          <w:rFonts w:ascii="Times New Roman" w:hAnsi="Times New Roman"/>
          <w:b/>
        </w:rPr>
      </w:pPr>
    </w:p>
    <w:p w:rsidR="00F63F07" w:rsidP="00281297">
      <w:pPr>
        <w:tabs>
          <w:tab w:val="left" w:pos="709"/>
        </w:tabs>
        <w:bidi w:val="0"/>
        <w:spacing w:after="120"/>
        <w:jc w:val="both"/>
        <w:rPr>
          <w:rFonts w:ascii="Times New Roman" w:hAnsi="Times New Roman"/>
          <w:b/>
        </w:rPr>
      </w:pPr>
      <w:r>
        <w:rPr>
          <w:rFonts w:ascii="Times New Roman" w:hAnsi="Times New Roman"/>
          <w:b/>
        </w:rPr>
        <w:t xml:space="preserve">M. Úprava vymeriavacieho základu pre samostatne zárobkovo činné osoby </w:t>
      </w:r>
      <w:r>
        <w:rPr>
          <w:rFonts w:ascii="Times New Roman" w:hAnsi="Times New Roman"/>
        </w:rPr>
        <w:t>(ďalej len SZČO)</w:t>
      </w:r>
      <w:r>
        <w:rPr>
          <w:rFonts w:ascii="Times New Roman" w:hAnsi="Times New Roman"/>
          <w:b/>
        </w:rPr>
        <w:t>.</w:t>
      </w:r>
    </w:p>
    <w:p w:rsidR="00F63F07" w:rsidP="00281297">
      <w:pPr>
        <w:pStyle w:val="Odsekzoznamu2"/>
        <w:numPr>
          <w:numId w:val="15"/>
        </w:numPr>
        <w:suppressAutoHyphens/>
        <w:bidi w:val="0"/>
        <w:contextualSpacing/>
        <w:jc w:val="both"/>
        <w:rPr>
          <w:rFonts w:ascii="Times New Roman" w:hAnsi="Times New Roman"/>
        </w:rPr>
      </w:pPr>
      <w:r w:rsidRPr="0056471D">
        <w:rPr>
          <w:rFonts w:ascii="Times New Roman" w:hAnsi="Times New Roman"/>
          <w:b/>
          <w:i/>
          <w:color w:val="000000"/>
        </w:rPr>
        <w:t>Pri výpočte vymeriavacieho základu</w:t>
      </w:r>
      <w:r w:rsidRPr="00F22EE1">
        <w:rPr>
          <w:rFonts w:ascii="Times New Roman" w:hAnsi="Times New Roman"/>
          <w:color w:val="0070C0"/>
        </w:rPr>
        <w:t xml:space="preserve"> </w:t>
      </w:r>
      <w:r w:rsidRPr="00362BF8">
        <w:rPr>
          <w:rFonts w:ascii="Times New Roman" w:hAnsi="Times New Roman"/>
        </w:rPr>
        <w:t>na platenie poistnéh</w:t>
      </w:r>
      <w:r>
        <w:rPr>
          <w:rFonts w:ascii="Times New Roman" w:hAnsi="Times New Roman"/>
        </w:rPr>
        <w:t>o</w:t>
      </w:r>
      <w:r w:rsidRPr="00362BF8">
        <w:rPr>
          <w:rFonts w:ascii="Times New Roman" w:hAnsi="Times New Roman"/>
        </w:rPr>
        <w:t xml:space="preserve"> sa bude postupovať tak, že </w:t>
      </w:r>
      <w:r w:rsidRPr="0056471D">
        <w:rPr>
          <w:rFonts w:ascii="Times New Roman" w:hAnsi="Times New Roman"/>
          <w:i/>
        </w:rPr>
        <w:t>čiastkový základ dane z príjmov z podnikania sa</w:t>
      </w:r>
      <w:r w:rsidRPr="00362BF8">
        <w:rPr>
          <w:rFonts w:ascii="Times New Roman" w:hAnsi="Times New Roman"/>
        </w:rPr>
        <w:t xml:space="preserve"> </w:t>
      </w:r>
      <w:r w:rsidRPr="0056471D">
        <w:rPr>
          <w:rFonts w:ascii="Times New Roman" w:hAnsi="Times New Roman"/>
          <w:i/>
        </w:rPr>
        <w:t>zvýši</w:t>
      </w:r>
      <w:r w:rsidRPr="00F22EE1">
        <w:rPr>
          <w:rFonts w:ascii="Times New Roman" w:hAnsi="Times New Roman"/>
          <w:b/>
          <w:i/>
        </w:rPr>
        <w:t xml:space="preserve"> </w:t>
      </w:r>
      <w:r w:rsidRPr="0056471D">
        <w:rPr>
          <w:rFonts w:ascii="Times New Roman" w:hAnsi="Times New Roman"/>
          <w:i/>
        </w:rPr>
        <w:t>o zaplatené poistné a príspevky</w:t>
      </w:r>
      <w:r w:rsidRPr="0056471D">
        <w:rPr>
          <w:rFonts w:ascii="Times New Roman" w:hAnsi="Times New Roman"/>
        </w:rPr>
        <w:t xml:space="preserve"> na starobné dôchodkové sporenie a takto upravený sa </w:t>
      </w:r>
      <w:r>
        <w:rPr>
          <w:rFonts w:ascii="Times New Roman" w:hAnsi="Times New Roman"/>
          <w:i/>
        </w:rPr>
        <w:t>vydelí koeficientom 1,486</w:t>
      </w:r>
      <w:r w:rsidRPr="0056471D">
        <w:rPr>
          <w:rFonts w:ascii="Times New Roman" w:hAnsi="Times New Roman"/>
          <w:i/>
        </w:rPr>
        <w:t>.</w:t>
      </w:r>
      <w:r w:rsidRPr="0056471D">
        <w:rPr>
          <w:rFonts w:ascii="Times New Roman" w:hAnsi="Times New Roman"/>
        </w:rPr>
        <w:t xml:space="preserve"> Prechod na uvedený koeficient sa bude realizovať postupne v období 3 rokov</w:t>
      </w:r>
      <w:r w:rsidRPr="00362BF8">
        <w:rPr>
          <w:rFonts w:ascii="Times New Roman" w:hAnsi="Times New Roman"/>
        </w:rPr>
        <w:t xml:space="preserve"> postupným spôsobom, a to od súčasného koeficientu 2</w:t>
      </w:r>
      <w:r>
        <w:rPr>
          <w:rFonts w:ascii="Times New Roman" w:hAnsi="Times New Roman"/>
        </w:rPr>
        <w:t>,14 pri verejnom zdravotnom</w:t>
      </w:r>
      <w:r w:rsidRPr="00362BF8">
        <w:rPr>
          <w:rFonts w:ascii="Times New Roman" w:hAnsi="Times New Roman"/>
        </w:rPr>
        <w:t xml:space="preserve"> poistení na koeficient 1,9 v</w:t>
      </w:r>
      <w:r>
        <w:rPr>
          <w:rFonts w:ascii="Times New Roman" w:hAnsi="Times New Roman"/>
        </w:rPr>
        <w:t> roku 2013</w:t>
      </w:r>
      <w:r w:rsidRPr="00362BF8">
        <w:rPr>
          <w:rFonts w:ascii="Times New Roman" w:hAnsi="Times New Roman"/>
        </w:rPr>
        <w:t>, na koeficient 1,6 v</w:t>
      </w:r>
      <w:r>
        <w:rPr>
          <w:rFonts w:ascii="Times New Roman" w:hAnsi="Times New Roman"/>
        </w:rPr>
        <w:t> </w:t>
      </w:r>
      <w:r w:rsidRPr="00362BF8">
        <w:rPr>
          <w:rFonts w:ascii="Times New Roman" w:hAnsi="Times New Roman"/>
        </w:rPr>
        <w:t>roku</w:t>
      </w:r>
      <w:r>
        <w:rPr>
          <w:rFonts w:ascii="Times New Roman" w:hAnsi="Times New Roman"/>
        </w:rPr>
        <w:t xml:space="preserve"> 2014 až po koeficient 1,486</w:t>
      </w:r>
      <w:r w:rsidRPr="00362BF8">
        <w:rPr>
          <w:rFonts w:ascii="Times New Roman" w:hAnsi="Times New Roman"/>
        </w:rPr>
        <w:t xml:space="preserve"> v</w:t>
      </w:r>
      <w:r>
        <w:rPr>
          <w:rFonts w:ascii="Times New Roman" w:hAnsi="Times New Roman"/>
        </w:rPr>
        <w:t> </w:t>
      </w:r>
      <w:r w:rsidRPr="00362BF8">
        <w:rPr>
          <w:rFonts w:ascii="Times New Roman" w:hAnsi="Times New Roman"/>
        </w:rPr>
        <w:t>roku</w:t>
      </w:r>
      <w:r>
        <w:rPr>
          <w:rFonts w:ascii="Times New Roman" w:hAnsi="Times New Roman"/>
        </w:rPr>
        <w:t xml:space="preserve"> 2015</w:t>
      </w:r>
      <w:r w:rsidRPr="00362BF8">
        <w:rPr>
          <w:rFonts w:ascii="Times New Roman" w:hAnsi="Times New Roman"/>
        </w:rPr>
        <w:t>.</w:t>
      </w:r>
    </w:p>
    <w:p w:rsidR="00F63F07" w:rsidP="00281297">
      <w:pPr>
        <w:pStyle w:val="Odsekzoznamu2"/>
        <w:numPr>
          <w:numId w:val="15"/>
        </w:numPr>
        <w:suppressAutoHyphens/>
        <w:bidi w:val="0"/>
        <w:contextualSpacing/>
        <w:jc w:val="both"/>
        <w:rPr>
          <w:rFonts w:ascii="Times New Roman" w:hAnsi="Times New Roman"/>
        </w:rPr>
      </w:pPr>
      <w:r w:rsidRPr="0056471D">
        <w:rPr>
          <w:rFonts w:ascii="Times New Roman" w:hAnsi="Times New Roman"/>
          <w:b/>
          <w:i/>
        </w:rPr>
        <w:t>Minimálny vymeriavací základ</w:t>
      </w:r>
      <w:r w:rsidRPr="0056471D">
        <w:rPr>
          <w:rFonts w:ascii="Times New Roman" w:hAnsi="Times New Roman"/>
        </w:rPr>
        <w:t xml:space="preserve"> s účinnosťou od 1.</w:t>
      </w:r>
      <w:r>
        <w:rPr>
          <w:rFonts w:ascii="Times New Roman" w:hAnsi="Times New Roman"/>
        </w:rPr>
        <w:t xml:space="preserve"> januára </w:t>
      </w:r>
      <w:r w:rsidRPr="0056471D">
        <w:rPr>
          <w:rFonts w:ascii="Times New Roman" w:hAnsi="Times New Roman"/>
        </w:rPr>
        <w:t xml:space="preserve">2013 </w:t>
      </w:r>
      <w:r>
        <w:rPr>
          <w:rFonts w:ascii="Times New Roman" w:hAnsi="Times New Roman"/>
        </w:rPr>
        <w:t>sa navrhuje prechod na</w:t>
      </w:r>
      <w:r w:rsidRPr="0056471D">
        <w:rPr>
          <w:rFonts w:ascii="Times New Roman" w:hAnsi="Times New Roman"/>
          <w:b/>
          <w:i/>
        </w:rPr>
        <w:t xml:space="preserve"> 50 % z priemernej mesačnej mzdy</w:t>
      </w:r>
      <w:r w:rsidRPr="0056471D">
        <w:rPr>
          <w:rFonts w:ascii="Times New Roman" w:hAnsi="Times New Roman"/>
        </w:rPr>
        <w:t xml:space="preserve"> </w:t>
      </w:r>
      <w:r>
        <w:rPr>
          <w:rFonts w:ascii="Times New Roman" w:hAnsi="Times New Roman"/>
        </w:rPr>
        <w:t xml:space="preserve">spred dvoch rokov (vs. súčasných 44,2 %). </w:t>
      </w:r>
    </w:p>
    <w:p w:rsidR="00F63F07" w:rsidP="00203AC2">
      <w:pPr>
        <w:pStyle w:val="Odsekzoznamu2"/>
        <w:suppressAutoHyphens/>
        <w:bidi w:val="0"/>
        <w:ind w:left="0"/>
        <w:contextualSpacing/>
        <w:jc w:val="both"/>
        <w:rPr>
          <w:rFonts w:ascii="Times New Roman" w:hAnsi="Times New Roman"/>
          <w:b/>
          <w:i/>
        </w:rPr>
      </w:pPr>
    </w:p>
    <w:p w:rsidR="00F63F07" w:rsidP="00203AC2">
      <w:pPr>
        <w:tabs>
          <w:tab w:val="left" w:pos="709"/>
        </w:tabs>
        <w:bidi w:val="0"/>
        <w:spacing w:after="120"/>
        <w:jc w:val="both"/>
        <w:rPr>
          <w:rFonts w:ascii="Times New Roman" w:hAnsi="Times New Roman"/>
          <w:b/>
        </w:rPr>
      </w:pPr>
      <w:r>
        <w:rPr>
          <w:rFonts w:ascii="Times New Roman" w:hAnsi="Times New Roman"/>
          <w:b/>
        </w:rPr>
        <w:t>N. Vplyv úpravy minimálneho vymeriavacieho základu na tzv. samoplatiteľov poistného na verejné zdravotné poistenie.</w:t>
      </w:r>
    </w:p>
    <w:p w:rsidR="00F63F07" w:rsidRPr="001351CD" w:rsidP="001351CD">
      <w:pPr>
        <w:tabs>
          <w:tab w:val="left" w:pos="709"/>
        </w:tabs>
        <w:bidi w:val="0"/>
        <w:spacing w:after="120"/>
        <w:jc w:val="both"/>
        <w:rPr>
          <w:rFonts w:ascii="Times New Roman" w:hAnsi="Times New Roman"/>
        </w:rPr>
      </w:pPr>
      <w:r w:rsidRPr="001351CD">
        <w:rPr>
          <w:rFonts w:ascii="Times New Roman" w:hAnsi="Times New Roman"/>
        </w:rPr>
        <w:t>Osoby, ktoré nie sú zamestnancami, SZČO alebo poistencami štátu</w:t>
      </w:r>
      <w:r>
        <w:rPr>
          <w:rFonts w:ascii="Times New Roman" w:hAnsi="Times New Roman"/>
        </w:rPr>
        <w:t xml:space="preserve"> sú povinné platiť poistné na verejné zdravotné poistenie</w:t>
      </w:r>
      <w:r w:rsidRPr="001351CD">
        <w:rPr>
          <w:rFonts w:ascii="Times New Roman" w:hAnsi="Times New Roman"/>
        </w:rPr>
        <w:t>, pričom ich</w:t>
      </w:r>
      <w:r>
        <w:rPr>
          <w:rFonts w:ascii="Times New Roman" w:hAnsi="Times New Roman"/>
        </w:rPr>
        <w:t xml:space="preserve"> minimálny</w:t>
      </w:r>
      <w:r w:rsidRPr="001351CD">
        <w:rPr>
          <w:rFonts w:ascii="Times New Roman" w:hAnsi="Times New Roman"/>
        </w:rPr>
        <w:t xml:space="preserve"> vymeriavací základ bude</w:t>
      </w:r>
      <w:r>
        <w:rPr>
          <w:rFonts w:ascii="Times New Roman" w:hAnsi="Times New Roman"/>
        </w:rPr>
        <w:t xml:space="preserve"> zvýšený z pôvodných 44,2 % na 50 % z priemernej mesačnej mzdy spred dvoch rokov.  </w:t>
      </w:r>
    </w:p>
    <w:p w:rsidR="00F63F07" w:rsidP="00281297">
      <w:pPr>
        <w:pStyle w:val="Odsekzoznamu2"/>
        <w:suppressAutoHyphens/>
        <w:bidi w:val="0"/>
        <w:ind w:left="360"/>
        <w:contextualSpacing/>
        <w:jc w:val="both"/>
        <w:rPr>
          <w:rFonts w:ascii="Times New Roman" w:hAnsi="Times New Roman"/>
        </w:rPr>
      </w:pPr>
    </w:p>
    <w:p w:rsidR="00F63F07" w:rsidP="002C09E4">
      <w:pPr>
        <w:tabs>
          <w:tab w:val="left" w:pos="709"/>
        </w:tabs>
        <w:bidi w:val="0"/>
        <w:spacing w:after="120"/>
        <w:jc w:val="both"/>
        <w:rPr>
          <w:rFonts w:ascii="Times New Roman" w:hAnsi="Times New Roman"/>
          <w:b/>
        </w:rPr>
      </w:pPr>
      <w:r>
        <w:rPr>
          <w:rFonts w:ascii="Times New Roman" w:hAnsi="Times New Roman"/>
          <w:b/>
        </w:rPr>
        <w:t>O</w:t>
      </w:r>
      <w:r w:rsidRPr="006D27E1">
        <w:rPr>
          <w:rFonts w:ascii="Times New Roman" w:hAnsi="Times New Roman"/>
          <w:b/>
        </w:rPr>
        <w:t>. Z</w:t>
      </w:r>
      <w:r>
        <w:rPr>
          <w:rFonts w:ascii="Times New Roman" w:hAnsi="Times New Roman"/>
          <w:b/>
        </w:rPr>
        <w:t>avedenie povinnosti platiť poistné na verejné zdravotné poistenie z dohôd o prácach vykonávaných mimo pracovného pomeru.</w:t>
      </w:r>
    </w:p>
    <w:p w:rsidR="00F63F07" w:rsidRPr="006D27E1" w:rsidP="002B5C51">
      <w:pPr>
        <w:tabs>
          <w:tab w:val="left" w:pos="709"/>
        </w:tabs>
        <w:bidi w:val="0"/>
        <w:spacing w:after="120"/>
        <w:jc w:val="both"/>
        <w:rPr>
          <w:rFonts w:ascii="Times New Roman" w:hAnsi="Times New Roman"/>
        </w:rPr>
      </w:pPr>
      <w:r>
        <w:rPr>
          <w:rFonts w:ascii="Times New Roman" w:hAnsi="Times New Roman"/>
        </w:rPr>
        <w:t xml:space="preserve">S účinnosťou od 1. januára 2013 sa navrhuje platenie poistného na verejné zdravotné poistenie z dohôd o prácach vykonávaných mimo pracovného pomeru, pričom sa navrhuje, aby príjmy z dohôd o prácach vykonávaných mimo pracovného pomeru pre študentov, poberateľov starobných dôchodkov a invalidných dôchodkov boli od poistného na verejné zdravotné poistenie naďalej oslobodené. </w:t>
      </w:r>
    </w:p>
    <w:p w:rsidR="00F63F07" w:rsidP="00281297">
      <w:pPr>
        <w:pStyle w:val="Odsekzoznamu2"/>
        <w:suppressAutoHyphens/>
        <w:bidi w:val="0"/>
        <w:ind w:left="360"/>
        <w:contextualSpacing/>
        <w:jc w:val="both"/>
        <w:rPr>
          <w:rFonts w:ascii="Times New Roman" w:hAnsi="Times New Roman"/>
        </w:rPr>
      </w:pPr>
    </w:p>
    <w:p w:rsidR="00F63F07" w:rsidP="007F4CA8">
      <w:pPr>
        <w:bidi w:val="0"/>
        <w:jc w:val="both"/>
        <w:rPr>
          <w:rFonts w:ascii="Times New Roman" w:hAnsi="Times New Roman"/>
          <w:color w:val="000000"/>
        </w:rPr>
      </w:pPr>
      <w:r>
        <w:rPr>
          <w:rFonts w:ascii="Times New Roman" w:hAnsi="Times New Roman"/>
          <w:b/>
        </w:rPr>
        <w:t xml:space="preserve">P. </w:t>
      </w:r>
      <w:r w:rsidRPr="006D27E1">
        <w:rPr>
          <w:rFonts w:ascii="Times New Roman" w:hAnsi="Times New Roman"/>
          <w:b/>
        </w:rPr>
        <w:t>Z</w:t>
      </w:r>
      <w:r>
        <w:rPr>
          <w:rFonts w:ascii="Times New Roman" w:hAnsi="Times New Roman"/>
          <w:b/>
        </w:rPr>
        <w:t>výšenie maximálneho vymeriavacieho základu na poistné na verejné zdravotné poistenie (z 3 násobku na 5 násobok priemernej mesačnej mzdy spred dvoch rokov).</w:t>
      </w:r>
    </w:p>
    <w:p w:rsidR="00F63F07" w:rsidP="009C1EBC">
      <w:pPr>
        <w:pStyle w:val="Odsekzoznamu2"/>
        <w:suppressAutoHyphens/>
        <w:bidi w:val="0"/>
        <w:ind w:left="0"/>
        <w:contextualSpacing/>
        <w:jc w:val="both"/>
        <w:rPr>
          <w:rFonts w:ascii="Times New Roman" w:hAnsi="Times New Roman"/>
        </w:rPr>
      </w:pPr>
    </w:p>
    <w:p w:rsidR="00F63F07" w:rsidP="000F7787">
      <w:pPr>
        <w:bidi w:val="0"/>
        <w:jc w:val="both"/>
        <w:rPr>
          <w:rFonts w:ascii="Times New Roman" w:hAnsi="Times New Roman"/>
          <w:color w:val="000000"/>
        </w:rPr>
      </w:pPr>
      <w:r>
        <w:rPr>
          <w:rFonts w:ascii="Times New Roman" w:hAnsi="Times New Roman"/>
          <w:color w:val="000000"/>
        </w:rPr>
        <w:t xml:space="preserve">S účinnosťou od 1. januára 2013 sa navrhuje zvýšenie maximálneho vymeriavacieho základu na 5 násobok priemernej mesačnej mzdy spred dvoch rokov na verejné zdravotné poistenie. </w:t>
      </w:r>
    </w:p>
    <w:p w:rsidR="00F63F07" w:rsidP="009C1EBC">
      <w:pPr>
        <w:pStyle w:val="Odsekzoznamu2"/>
        <w:suppressAutoHyphens/>
        <w:bidi w:val="0"/>
        <w:ind w:left="0"/>
        <w:contextualSpacing/>
        <w:jc w:val="both"/>
        <w:rPr>
          <w:rFonts w:ascii="Times New Roman" w:hAnsi="Times New Roman"/>
        </w:rPr>
      </w:pPr>
    </w:p>
    <w:p w:rsidR="00F63F07" w:rsidP="009C1EBC">
      <w:pPr>
        <w:pStyle w:val="Odsekzoznamu2"/>
        <w:suppressAutoHyphens/>
        <w:bidi w:val="0"/>
        <w:ind w:left="0"/>
        <w:contextualSpacing/>
        <w:jc w:val="both"/>
        <w:rPr>
          <w:rFonts w:ascii="Times New Roman" w:hAnsi="Times New Roman"/>
        </w:rPr>
      </w:pPr>
      <w:r w:rsidRPr="005B411A">
        <w:rPr>
          <w:rFonts w:ascii="Times New Roman" w:hAnsi="Times New Roman"/>
        </w:rPr>
        <w:t>Všetky vyššie uvedené opatrenia budú implementované platiteľmi poistného na verejné zdravotné poistenie podľa § 11 zákona č. 580/2004 Z. z. v znení neskorších predpisov a zdravotnými poisťovňami.</w:t>
      </w:r>
    </w:p>
    <w:p w:rsidR="00F63F07" w:rsidP="009C1EBC">
      <w:pPr>
        <w:pStyle w:val="Odsekzoznamu2"/>
        <w:suppressAutoHyphens/>
        <w:bidi w:val="0"/>
        <w:ind w:left="0"/>
        <w:contextualSpacing/>
        <w:jc w:val="both"/>
        <w:rPr>
          <w:rFonts w:ascii="Times New Roman" w:hAnsi="Times New Roman"/>
        </w:rPr>
      </w:pPr>
    </w:p>
    <w:p w:rsidR="00F63F07" w:rsidP="00B53407">
      <w:pPr>
        <w:bidi w:val="0"/>
        <w:rPr>
          <w:rFonts w:ascii="Times New Roman" w:hAnsi="Times New Roman"/>
          <w:b/>
          <w:bCs/>
        </w:rPr>
      </w:pPr>
      <w:r w:rsidRPr="004161A1">
        <w:rPr>
          <w:rFonts w:ascii="Times New Roman" w:hAnsi="Times New Roman"/>
          <w:b/>
          <w:bCs/>
        </w:rPr>
        <w:t>2.3.2. Ch</w:t>
      </w:r>
      <w:r>
        <w:rPr>
          <w:rFonts w:ascii="Times New Roman" w:hAnsi="Times New Roman"/>
          <w:b/>
          <w:bCs/>
        </w:rPr>
        <w:t>arakteristika návrhu podľa bodu</w:t>
      </w:r>
      <w:r w:rsidRPr="004161A1">
        <w:rPr>
          <w:rFonts w:ascii="Times New Roman" w:hAnsi="Times New Roman"/>
          <w:b/>
          <w:bCs/>
        </w:rPr>
        <w:t xml:space="preserve"> 2.3.2. Metodiky:</w:t>
      </w:r>
    </w:p>
    <w:p w:rsidR="00F63F07" w:rsidP="00B53407">
      <w:pPr>
        <w:bidi w:val="0"/>
        <w:rPr>
          <w:rFonts w:ascii="Times New Roman" w:hAnsi="Times New Roman"/>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2"/>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F63F07" w:rsidP="00BB5D47">
            <w:pPr>
              <w:bidi w:val="0"/>
              <w:suppressOverlap/>
              <w:rPr>
                <w:rFonts w:ascii="Times New Roman" w:hAnsi="Times New Roman"/>
              </w:rPr>
            </w:pP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F63F07" w:rsidP="00BB5D47">
            <w:pPr>
              <w:bidi w:val="0"/>
              <w:suppressOverlap/>
              <w:rPr>
                <w:rFonts w:ascii="Times New Roman" w:hAnsi="Times New Roman"/>
              </w:rPr>
            </w:pP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F63F07" w:rsidP="00BB5D47">
            <w:pPr>
              <w:bidi w:val="0"/>
              <w:suppressOverlap/>
              <w:rPr>
                <w:rFonts w:ascii="Times New Roman" w:hAnsi="Times New Roman"/>
              </w:rPr>
            </w:pP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F63F07" w:rsidP="00BB5D47">
            <w:pPr>
              <w:bidi w:val="0"/>
              <w:suppressOverlap/>
              <w:rPr>
                <w:rFonts w:ascii="Times New Roman" w:hAnsi="Times New Roman"/>
              </w:rPr>
            </w:pPr>
            <w:r>
              <w:rPr>
                <w:rFonts w:ascii="Times New Roman" w:hAnsi="Times New Roman"/>
              </w:rPr>
              <w:t>X</w:t>
            </w: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F63F07" w:rsidP="00BB5D47">
            <w:pPr>
              <w:bidi w:val="0"/>
              <w:suppressOverlap/>
              <w:rPr>
                <w:rFonts w:ascii="Times New Roman" w:hAnsi="Times New Roman"/>
              </w:rPr>
            </w:pPr>
          </w:p>
        </w:tc>
      </w:tr>
    </w:tbl>
    <w:p w:rsidR="00F63F07" w:rsidRPr="00DD4F96" w:rsidP="00B53407">
      <w:pPr>
        <w:bidi w:val="0"/>
        <w:rPr>
          <w:rFonts w:ascii="Times New Roman" w:hAnsi="Times New Roman"/>
        </w:rPr>
      </w:pPr>
      <w:r>
        <w:rPr>
          <w:rFonts w:ascii="Times New Roman" w:hAnsi="Times New Roman"/>
          <w:b/>
          <w:bCs/>
        </w:rPr>
        <w:t xml:space="preserve"> </w:t>
      </w:r>
      <w:r w:rsidRPr="00DD4F96">
        <w:rPr>
          <w:rFonts w:ascii="Times New Roman" w:hAnsi="Times New Roman"/>
        </w:rPr>
        <w:t>zmena sadzby</w:t>
      </w:r>
    </w:p>
    <w:p w:rsidR="00F63F07" w:rsidP="00B53407">
      <w:pPr>
        <w:bidi w:val="0"/>
        <w:rPr>
          <w:rFonts w:ascii="Times New Roman" w:hAnsi="Times New Roman"/>
        </w:rPr>
      </w:pPr>
      <w:r w:rsidRPr="00DD4F96">
        <w:rPr>
          <w:rFonts w:ascii="Times New Roman" w:hAnsi="Times New Roman"/>
        </w:rPr>
        <w:t xml:space="preserve"> zmena v nároku</w:t>
      </w:r>
    </w:p>
    <w:p w:rsidR="00F63F07" w:rsidP="00B53407">
      <w:pPr>
        <w:bidi w:val="0"/>
        <w:rPr>
          <w:rFonts w:ascii="Times New Roman" w:hAnsi="Times New Roman"/>
        </w:rPr>
      </w:pPr>
      <w:r>
        <w:rPr>
          <w:rFonts w:ascii="Times New Roman" w:hAnsi="Times New Roman"/>
        </w:rPr>
        <w:t xml:space="preserve"> nová služba alebo nariadenie (alebo ich zrušenie)</w:t>
      </w:r>
    </w:p>
    <w:p w:rsidR="00F63F07" w:rsidP="00B53407">
      <w:pPr>
        <w:bidi w:val="0"/>
        <w:rPr>
          <w:rFonts w:ascii="Times New Roman" w:hAnsi="Times New Roman"/>
        </w:rPr>
      </w:pPr>
      <w:r>
        <w:rPr>
          <w:rFonts w:ascii="Times New Roman" w:hAnsi="Times New Roman"/>
        </w:rPr>
        <w:t xml:space="preserve"> kombinovaný návrh (zmena sadzieb, zmena vymeriavacích základov a zmena nároku)</w:t>
      </w:r>
    </w:p>
    <w:p w:rsidR="00F63F07" w:rsidP="00B53407">
      <w:pPr>
        <w:bidi w:val="0"/>
        <w:rPr>
          <w:rFonts w:ascii="Times New Roman" w:hAnsi="Times New Roman"/>
        </w:rPr>
      </w:pPr>
      <w:r>
        <w:rPr>
          <w:rFonts w:ascii="Times New Roman" w:hAnsi="Times New Roman"/>
        </w:rPr>
        <w:t xml:space="preserve"> iné </w:t>
      </w:r>
    </w:p>
    <w:p w:rsidR="00F63F07" w:rsidP="00B53407">
      <w:pPr>
        <w:bidi w:val="0"/>
        <w:rPr>
          <w:rFonts w:ascii="Times New Roman" w:hAnsi="Times New Roman"/>
        </w:rPr>
      </w:pPr>
    </w:p>
    <w:p w:rsidR="00F63F07" w:rsidP="00B53407">
      <w:pPr>
        <w:bidi w:val="0"/>
        <w:rPr>
          <w:rFonts w:ascii="Times New Roman" w:hAnsi="Times New Roman"/>
        </w:rPr>
      </w:pPr>
    </w:p>
    <w:p w:rsidR="00F63F07" w:rsidP="00B53407">
      <w:pPr>
        <w:bidi w:val="0"/>
        <w:rPr>
          <w:rFonts w:ascii="Times New Roman" w:hAnsi="Times New Roman"/>
          <w:b/>
          <w:bCs/>
        </w:rPr>
      </w:pPr>
      <w:r w:rsidRPr="004161A1">
        <w:rPr>
          <w:rFonts w:ascii="Times New Roman" w:hAnsi="Times New Roman"/>
          <w:b/>
          <w:bCs/>
        </w:rPr>
        <w:t>2.3.3. Predpoklady vývoja objemu aktivít:</w:t>
      </w:r>
    </w:p>
    <w:p w:rsidR="00F63F07" w:rsidP="00B53407">
      <w:pPr>
        <w:bidi w:val="0"/>
        <w:rPr>
          <w:rFonts w:ascii="Times New Roman" w:hAnsi="Times New Roman"/>
          <w:b/>
          <w:bCs/>
        </w:rPr>
      </w:pPr>
    </w:p>
    <w:p w:rsidR="00F63F07" w:rsidP="008D0D3A">
      <w:pPr>
        <w:bidi w:val="0"/>
        <w:jc w:val="both"/>
        <w:rPr>
          <w:rFonts w:ascii="Times New Roman" w:hAnsi="Times New Roman"/>
        </w:rPr>
      </w:pPr>
      <w:r>
        <w:rPr>
          <w:rFonts w:ascii="Times New Roman" w:hAnsi="Times New Roman"/>
        </w:rPr>
        <w:t>Vyššie uvedené zmeny týkajúce sa sociálneho poistenia si</w:t>
      </w:r>
      <w:r w:rsidRPr="00D827C9">
        <w:rPr>
          <w:rFonts w:ascii="Times New Roman" w:hAnsi="Times New Roman"/>
        </w:rPr>
        <w:t xml:space="preserve"> vyžiada</w:t>
      </w:r>
      <w:r>
        <w:rPr>
          <w:rFonts w:ascii="Times New Roman" w:hAnsi="Times New Roman"/>
        </w:rPr>
        <w:t>jú</w:t>
      </w:r>
      <w:r w:rsidRPr="00D827C9">
        <w:rPr>
          <w:rFonts w:ascii="Times New Roman" w:hAnsi="Times New Roman"/>
        </w:rPr>
        <w:t xml:space="preserve"> zmenu informač</w:t>
      </w:r>
      <w:r>
        <w:rPr>
          <w:rFonts w:ascii="Times New Roman" w:hAnsi="Times New Roman"/>
        </w:rPr>
        <w:t>ného systému Sociálnej poisťovne a mierny nárast jej administratívnej záťaže</w:t>
      </w:r>
      <w:r w:rsidRPr="00D827C9">
        <w:rPr>
          <w:rFonts w:ascii="Times New Roman" w:hAnsi="Times New Roman"/>
        </w:rPr>
        <w:t xml:space="preserve">. </w:t>
      </w:r>
      <w:r>
        <w:rPr>
          <w:rFonts w:ascii="Times New Roman" w:hAnsi="Times New Roman"/>
        </w:rPr>
        <w:t>V</w:t>
      </w:r>
      <w:r w:rsidRPr="00951637">
        <w:rPr>
          <w:rFonts w:ascii="Times New Roman" w:hAnsi="Times New Roman"/>
        </w:rPr>
        <w:t>ýdavk</w:t>
      </w:r>
      <w:r>
        <w:rPr>
          <w:rFonts w:ascii="Times New Roman" w:hAnsi="Times New Roman"/>
        </w:rPr>
        <w:t>y</w:t>
      </w:r>
      <w:r w:rsidRPr="00951637">
        <w:rPr>
          <w:rFonts w:ascii="Times New Roman" w:hAnsi="Times New Roman"/>
        </w:rPr>
        <w:t xml:space="preserve"> súvisiace s implementáciou navrhovaných zmien </w:t>
      </w:r>
      <w:r>
        <w:rPr>
          <w:rFonts w:ascii="Times New Roman" w:hAnsi="Times New Roman"/>
        </w:rPr>
        <w:t xml:space="preserve">budú finančne kryté </w:t>
      </w:r>
      <w:r w:rsidRPr="00951637">
        <w:rPr>
          <w:rFonts w:ascii="Times New Roman" w:hAnsi="Times New Roman"/>
        </w:rPr>
        <w:t>v rámci správneho fondu Sociálnej poisťovne</w:t>
      </w:r>
      <w:r>
        <w:rPr>
          <w:rFonts w:ascii="Times New Roman" w:hAnsi="Times New Roman"/>
        </w:rPr>
        <w:t xml:space="preserve"> bez potreby jeho navýšenia</w:t>
      </w:r>
      <w:r w:rsidRPr="00951637">
        <w:rPr>
          <w:rFonts w:ascii="Times New Roman" w:hAnsi="Times New Roman"/>
        </w:rPr>
        <w:t>.</w:t>
      </w:r>
    </w:p>
    <w:p w:rsidR="00F63F07" w:rsidP="008D0D3A">
      <w:pPr>
        <w:bidi w:val="0"/>
        <w:jc w:val="both"/>
        <w:rPr>
          <w:rFonts w:ascii="Times New Roman" w:hAnsi="Times New Roman"/>
        </w:rPr>
      </w:pPr>
    </w:p>
    <w:p w:rsidR="00F63F07" w:rsidP="008D0D3A">
      <w:pPr>
        <w:bidi w:val="0"/>
        <w:jc w:val="both"/>
        <w:rPr>
          <w:rFonts w:ascii="Times New Roman" w:hAnsi="Times New Roman"/>
        </w:rPr>
      </w:pPr>
      <w:r w:rsidRPr="005B411A">
        <w:rPr>
          <w:rFonts w:ascii="Times New Roman" w:hAnsi="Times New Roman"/>
        </w:rPr>
        <w:t>Navrhované legislatívne zmeny v oblasti verejného zdravotného poistenia si vyžiadajú úpravu informačného systému zdravotných poisťovní z dôvod</w:t>
      </w:r>
      <w:r>
        <w:rPr>
          <w:rFonts w:ascii="Times New Roman" w:hAnsi="Times New Roman"/>
        </w:rPr>
        <w:t>u</w:t>
      </w:r>
      <w:r w:rsidRPr="005B411A">
        <w:rPr>
          <w:rFonts w:ascii="Times New Roman" w:hAnsi="Times New Roman"/>
        </w:rPr>
        <w:t xml:space="preserve"> úpravy vymeriavacieho základu pre SZČO a zavedeni</w:t>
      </w:r>
      <w:r>
        <w:rPr>
          <w:rFonts w:ascii="Times New Roman" w:hAnsi="Times New Roman"/>
        </w:rPr>
        <w:t>a</w:t>
      </w:r>
      <w:r w:rsidRPr="005B411A">
        <w:rPr>
          <w:rFonts w:ascii="Times New Roman" w:hAnsi="Times New Roman"/>
        </w:rPr>
        <w:t xml:space="preserve"> povinnosti platiť poistné na </w:t>
      </w:r>
      <w:r>
        <w:rPr>
          <w:rFonts w:ascii="Times New Roman" w:hAnsi="Times New Roman"/>
        </w:rPr>
        <w:t xml:space="preserve">verejné </w:t>
      </w:r>
      <w:r w:rsidRPr="005B411A">
        <w:rPr>
          <w:rFonts w:ascii="Times New Roman" w:hAnsi="Times New Roman"/>
        </w:rPr>
        <w:t>zdravotné poistenie z dohôd o prácach vykonávaných mimo pracovného pomeru. S uvedeným</w:t>
      </w:r>
      <w:r>
        <w:rPr>
          <w:rFonts w:ascii="Times New Roman" w:hAnsi="Times New Roman"/>
        </w:rPr>
        <w:t>i</w:t>
      </w:r>
      <w:r w:rsidRPr="005B411A">
        <w:rPr>
          <w:rFonts w:ascii="Times New Roman" w:hAnsi="Times New Roman"/>
        </w:rPr>
        <w:t xml:space="preserve"> zmenami súvisí aj mierne zvýšenie administratívnej záťaže zdravotných poisťovní.</w:t>
      </w:r>
    </w:p>
    <w:p w:rsidR="00F63F07" w:rsidP="00B53407">
      <w:pPr>
        <w:bidi w:val="0"/>
        <w:rPr>
          <w:rFonts w:ascii="Times New Roman" w:hAnsi="Times New Roman"/>
          <w:b/>
          <w:bCs/>
        </w:rPr>
      </w:pPr>
    </w:p>
    <w:p w:rsidR="00F63F07" w:rsidP="00B53407">
      <w:pPr>
        <w:bidi w:val="0"/>
        <w:rPr>
          <w:rFonts w:ascii="Times New Roman" w:hAnsi="Times New Roman"/>
          <w:b/>
          <w:bCs/>
        </w:rPr>
      </w:pPr>
      <w:r w:rsidRPr="004161A1">
        <w:rPr>
          <w:rFonts w:ascii="Times New Roman" w:hAnsi="Times New Roman"/>
          <w:b/>
          <w:bCs/>
        </w:rPr>
        <w:t>2.3.4. Výpočty vplyvov na verejné financie</w:t>
      </w:r>
    </w:p>
    <w:p w:rsidR="00F63F07" w:rsidP="00B53407">
      <w:pPr>
        <w:autoSpaceDE w:val="0"/>
        <w:autoSpaceDN w:val="0"/>
        <w:bidi w:val="0"/>
        <w:adjustRightInd w:val="0"/>
        <w:jc w:val="both"/>
        <w:rPr>
          <w:rFonts w:ascii="Times New Roman" w:hAnsi="Times New Roman"/>
          <w:szCs w:val="22"/>
        </w:rPr>
      </w:pPr>
    </w:p>
    <w:p w:rsidR="00F63F07" w:rsidRPr="00C73A63" w:rsidP="00C1443E">
      <w:pPr>
        <w:autoSpaceDE w:val="0"/>
        <w:autoSpaceDN w:val="0"/>
        <w:bidi w:val="0"/>
        <w:adjustRightInd w:val="0"/>
        <w:jc w:val="both"/>
        <w:rPr>
          <w:rFonts w:ascii="Times New Roman" w:hAnsi="Times New Roman"/>
          <w:color w:val="FF0000"/>
        </w:rPr>
      </w:pPr>
      <w:r w:rsidRPr="009550C7" w:rsidR="00E159A7">
        <w:rPr>
          <w:rFonts w:ascii="Times New Roman" w:hAnsi="Times New Roman"/>
          <w:color w:val="000000" w:themeColor="tx1" w:themeShade="FF"/>
        </w:rPr>
        <w:t xml:space="preserve">Kvantifikácia predpokladá pozitívny vplyv na rozpočet verejnej správy na úrovni </w:t>
      </w:r>
      <w:r w:rsidRPr="009550C7" w:rsidR="00FD0DE5">
        <w:rPr>
          <w:rFonts w:ascii="Times New Roman" w:hAnsi="Times New Roman"/>
          <w:color w:val="000000" w:themeColor="tx1" w:themeShade="FF"/>
        </w:rPr>
        <w:t>345,3</w:t>
      </w:r>
      <w:r w:rsidRPr="009550C7" w:rsidR="00E159A7">
        <w:rPr>
          <w:rFonts w:ascii="Times New Roman" w:hAnsi="Times New Roman"/>
          <w:color w:val="000000" w:themeColor="tx1" w:themeShade="FF"/>
        </w:rPr>
        <w:t xml:space="preserve"> mil. eur v roku 2012 (0,</w:t>
      </w:r>
      <w:r w:rsidRPr="009550C7" w:rsidR="00FD0DE5">
        <w:rPr>
          <w:rFonts w:ascii="Times New Roman" w:hAnsi="Times New Roman"/>
          <w:color w:val="000000" w:themeColor="tx1" w:themeShade="FF"/>
        </w:rPr>
        <w:t>48</w:t>
      </w:r>
      <w:r w:rsidRPr="009550C7" w:rsidR="00E159A7">
        <w:rPr>
          <w:rFonts w:ascii="Times New Roman" w:hAnsi="Times New Roman"/>
          <w:color w:val="000000" w:themeColor="tx1" w:themeShade="FF"/>
        </w:rPr>
        <w:t xml:space="preserve"> % HDP), </w:t>
      </w:r>
      <w:r w:rsidRPr="009550C7" w:rsidR="00FD0DE5">
        <w:rPr>
          <w:rFonts w:ascii="Times New Roman" w:hAnsi="Times New Roman"/>
          <w:color w:val="000000" w:themeColor="tx1" w:themeShade="FF"/>
        </w:rPr>
        <w:t>819,8</w:t>
      </w:r>
      <w:r w:rsidRPr="009550C7" w:rsidR="00E159A7">
        <w:rPr>
          <w:rFonts w:ascii="Times New Roman" w:hAnsi="Times New Roman"/>
          <w:color w:val="000000" w:themeColor="tx1" w:themeShade="FF"/>
        </w:rPr>
        <w:t xml:space="preserve"> mil. eur v roku 2013 (1,</w:t>
      </w:r>
      <w:r w:rsidRPr="009550C7" w:rsidR="00FD0DE5">
        <w:rPr>
          <w:rFonts w:ascii="Times New Roman" w:hAnsi="Times New Roman"/>
          <w:color w:val="000000" w:themeColor="tx1" w:themeShade="FF"/>
        </w:rPr>
        <w:t>09</w:t>
      </w:r>
      <w:r w:rsidRPr="009550C7" w:rsidR="00E159A7">
        <w:rPr>
          <w:rFonts w:ascii="Times New Roman" w:hAnsi="Times New Roman"/>
          <w:color w:val="000000" w:themeColor="tx1" w:themeShade="FF"/>
        </w:rPr>
        <w:t xml:space="preserve"> % HDP), v roku 2014 vo výške 882,</w:t>
      </w:r>
      <w:r w:rsidRPr="009550C7" w:rsidR="00FD0DE5">
        <w:rPr>
          <w:rFonts w:ascii="Times New Roman" w:hAnsi="Times New Roman"/>
          <w:color w:val="000000" w:themeColor="tx1" w:themeShade="FF"/>
        </w:rPr>
        <w:t>8</w:t>
      </w:r>
      <w:r w:rsidRPr="009550C7" w:rsidR="00E159A7">
        <w:rPr>
          <w:rFonts w:ascii="Times New Roman" w:hAnsi="Times New Roman"/>
          <w:color w:val="000000" w:themeColor="tx1" w:themeShade="FF"/>
        </w:rPr>
        <w:t xml:space="preserve"> mil. eur (1,11 % HDP) a v roku 2015 v sume 1 006,</w:t>
      </w:r>
      <w:r w:rsidRPr="009550C7" w:rsidR="00FD0DE5">
        <w:rPr>
          <w:rFonts w:ascii="Times New Roman" w:hAnsi="Times New Roman"/>
          <w:color w:val="000000" w:themeColor="tx1" w:themeShade="FF"/>
        </w:rPr>
        <w:t>3</w:t>
      </w:r>
      <w:r w:rsidRPr="009550C7" w:rsidR="00E159A7">
        <w:rPr>
          <w:rFonts w:ascii="Times New Roman" w:hAnsi="Times New Roman"/>
          <w:color w:val="000000" w:themeColor="tx1" w:themeShade="FF"/>
        </w:rPr>
        <w:t xml:space="preserve"> mil. eur (1,2</w:t>
      </w:r>
      <w:r w:rsidRPr="009550C7" w:rsidR="00FD0DE5">
        <w:rPr>
          <w:rFonts w:ascii="Times New Roman" w:hAnsi="Times New Roman"/>
          <w:color w:val="000000" w:themeColor="tx1" w:themeShade="FF"/>
        </w:rPr>
        <w:t>0</w:t>
      </w:r>
      <w:r w:rsidRPr="009550C7" w:rsidR="00E159A7">
        <w:rPr>
          <w:rFonts w:ascii="Times New Roman" w:hAnsi="Times New Roman"/>
          <w:color w:val="000000" w:themeColor="tx1" w:themeShade="FF"/>
        </w:rPr>
        <w:t xml:space="preserve"> % HDP). Z dôvodu vyšších príjmov na sociálne poistenie bol kvantifikovaný vplyv na tvorbu správneho fondu Sociálnej poisťovne vo výške 2,4 % z prijatého poistného, 0,</w:t>
      </w:r>
      <w:r w:rsidRPr="009550C7" w:rsidR="004725A7">
        <w:rPr>
          <w:rFonts w:ascii="Times New Roman" w:hAnsi="Times New Roman"/>
          <w:color w:val="000000" w:themeColor="tx1" w:themeShade="FF"/>
        </w:rPr>
        <w:t>2</w:t>
      </w:r>
      <w:r w:rsidRPr="009550C7" w:rsidR="00E159A7">
        <w:rPr>
          <w:rFonts w:ascii="Times New Roman" w:hAnsi="Times New Roman"/>
          <w:color w:val="000000" w:themeColor="tx1" w:themeShade="FF"/>
        </w:rPr>
        <w:t xml:space="preserve">5 % z postúpených príspevkov na starobné dôchodkové sporenie a 1,9 % z prostriedkov postúpených z dôchodkových správcovských spoločností z dôvodu dočasného otvorenia systému starobného dôchodkového sporenia, pričom v uvedenej výške sa očakáva nárast výdavkov Sociálnej poisťovne. Vplyv na tvorbu správneho fondu sa predpokladá nasledovný: </w:t>
      </w:r>
      <w:r w:rsidRPr="009550C7" w:rsidR="009550C7">
        <w:rPr>
          <w:rFonts w:ascii="Times New Roman" w:hAnsi="Times New Roman"/>
          <w:color w:val="000000" w:themeColor="tx1" w:themeShade="FF"/>
        </w:rPr>
        <w:t>6,6</w:t>
      </w:r>
      <w:r w:rsidRPr="009550C7" w:rsidR="00E159A7">
        <w:rPr>
          <w:rFonts w:ascii="Times New Roman" w:hAnsi="Times New Roman"/>
          <w:color w:val="000000" w:themeColor="tx1" w:themeShade="FF"/>
        </w:rPr>
        <w:t xml:space="preserve"> mil. eur v roku 2012, 1</w:t>
      </w:r>
      <w:r w:rsidRPr="009550C7" w:rsidR="009550C7">
        <w:rPr>
          <w:rFonts w:ascii="Times New Roman" w:hAnsi="Times New Roman"/>
          <w:color w:val="000000" w:themeColor="tx1" w:themeShade="FF"/>
        </w:rPr>
        <w:t>4,4</w:t>
      </w:r>
      <w:r w:rsidRPr="009550C7" w:rsidR="00E159A7">
        <w:rPr>
          <w:rFonts w:ascii="Times New Roman" w:hAnsi="Times New Roman"/>
          <w:color w:val="000000" w:themeColor="tx1" w:themeShade="FF"/>
        </w:rPr>
        <w:t xml:space="preserve"> mil. eur v roku 2013, v roku 2014 vo výške 16,3 mil. eur a v roku 2015 v sume 18</w:t>
      </w:r>
      <w:bookmarkStart w:id="1" w:name="_GoBack"/>
      <w:bookmarkEnd w:id="1"/>
      <w:r w:rsidRPr="009550C7" w:rsidR="00E159A7">
        <w:rPr>
          <w:rFonts w:ascii="Times New Roman" w:hAnsi="Times New Roman"/>
          <w:color w:val="000000" w:themeColor="tx1" w:themeShade="FF"/>
        </w:rPr>
        <w:t>,</w:t>
      </w:r>
      <w:r w:rsidRPr="009550C7" w:rsidR="00D83916">
        <w:rPr>
          <w:rFonts w:ascii="Times New Roman" w:hAnsi="Times New Roman"/>
          <w:color w:val="000000" w:themeColor="tx1" w:themeShade="FF"/>
        </w:rPr>
        <w:t>1</w:t>
      </w:r>
      <w:r w:rsidRPr="009550C7" w:rsidR="00E159A7">
        <w:rPr>
          <w:rFonts w:ascii="Times New Roman" w:hAnsi="Times New Roman"/>
          <w:color w:val="000000" w:themeColor="tx1" w:themeShade="FF"/>
        </w:rPr>
        <w:t xml:space="preserve"> mil. eur</w:t>
      </w:r>
      <w:r w:rsidRPr="009550C7">
        <w:rPr>
          <w:rFonts w:ascii="Times New Roman" w:hAnsi="Times New Roman"/>
          <w:color w:val="000000" w:themeColor="tx1" w:themeShade="FF"/>
        </w:rPr>
        <w:t xml:space="preserve">. Uvedené </w:t>
      </w:r>
      <w:r w:rsidRPr="009550C7" w:rsidR="004725A7">
        <w:rPr>
          <w:rFonts w:ascii="Times New Roman" w:hAnsi="Times New Roman"/>
          <w:color w:val="000000" w:themeColor="tx1" w:themeShade="FF"/>
        </w:rPr>
        <w:t xml:space="preserve">teda </w:t>
      </w:r>
      <w:r w:rsidRPr="009550C7">
        <w:rPr>
          <w:rFonts w:ascii="Times New Roman" w:hAnsi="Times New Roman"/>
          <w:color w:val="000000" w:themeColor="tx1" w:themeShade="FF"/>
        </w:rPr>
        <w:t>zahŕňa aj vplyv zníženia tvorby správneho fondu Sociálnej poisťovne z 0,5 % z príspevkov na starobné dôchodkové sporenie na 0,25 % s účinnosťou od 1. januára 2013.</w:t>
      </w:r>
    </w:p>
    <w:p w:rsidR="00F63F07" w:rsidP="00963EE8">
      <w:pPr>
        <w:autoSpaceDE w:val="0"/>
        <w:autoSpaceDN w:val="0"/>
        <w:bidi w:val="0"/>
        <w:adjustRightInd w:val="0"/>
        <w:jc w:val="both"/>
        <w:rPr>
          <w:rFonts w:ascii="Times New Roman" w:hAnsi="Times New Roman"/>
          <w:b/>
          <w:szCs w:val="22"/>
        </w:rPr>
      </w:pPr>
    </w:p>
    <w:p w:rsidR="00F63F07" w:rsidRPr="00904741" w:rsidP="00963EE8">
      <w:pPr>
        <w:autoSpaceDE w:val="0"/>
        <w:autoSpaceDN w:val="0"/>
        <w:bidi w:val="0"/>
        <w:adjustRightInd w:val="0"/>
        <w:jc w:val="both"/>
        <w:rPr>
          <w:rFonts w:ascii="Times New Roman" w:hAnsi="Times New Roman"/>
          <w:b/>
          <w:szCs w:val="22"/>
        </w:rPr>
      </w:pPr>
      <w:r w:rsidRPr="00904741">
        <w:rPr>
          <w:rFonts w:ascii="Times New Roman" w:hAnsi="Times New Roman"/>
          <w:b/>
          <w:szCs w:val="22"/>
        </w:rPr>
        <w:t>Kvantifikácia príjmov</w:t>
      </w:r>
    </w:p>
    <w:p w:rsidR="00F63F07" w:rsidP="00963EE8">
      <w:pPr>
        <w:tabs>
          <w:tab w:val="left" w:pos="709"/>
        </w:tabs>
        <w:bidi w:val="0"/>
        <w:spacing w:after="120"/>
        <w:jc w:val="both"/>
        <w:rPr>
          <w:rFonts w:ascii="Times New Roman" w:hAnsi="Times New Roman"/>
          <w:b/>
        </w:rPr>
      </w:pPr>
    </w:p>
    <w:p w:rsidR="00F63F07" w:rsidP="00963EE8">
      <w:pPr>
        <w:tabs>
          <w:tab w:val="left" w:pos="709"/>
        </w:tabs>
        <w:bidi w:val="0"/>
        <w:spacing w:after="120"/>
        <w:jc w:val="both"/>
        <w:rPr>
          <w:rFonts w:ascii="Times New Roman" w:hAnsi="Times New Roman"/>
          <w:b/>
        </w:rPr>
      </w:pPr>
      <w:r>
        <w:rPr>
          <w:rFonts w:ascii="Times New Roman" w:hAnsi="Times New Roman"/>
          <w:b/>
        </w:rPr>
        <w:t xml:space="preserve">D. Úprava vymeriavacieho základu pre samostatne zárobkovo činné osoby </w:t>
      </w:r>
      <w:r>
        <w:rPr>
          <w:rFonts w:ascii="Times New Roman" w:hAnsi="Times New Roman"/>
        </w:rPr>
        <w:t>(ďalej len SZČO)</w:t>
      </w:r>
      <w:r>
        <w:rPr>
          <w:rFonts w:ascii="Times New Roman" w:hAnsi="Times New Roman"/>
          <w:b/>
        </w:rPr>
        <w:t>.</w:t>
      </w:r>
    </w:p>
    <w:p w:rsidR="00F63F07" w:rsidRPr="002334D1" w:rsidP="00963EE8">
      <w:pPr>
        <w:autoSpaceDE w:val="0"/>
        <w:autoSpaceDN w:val="0"/>
        <w:bidi w:val="0"/>
        <w:jc w:val="both"/>
        <w:rPr>
          <w:rFonts w:ascii="Times New Roman" w:hAnsi="Times New Roman"/>
          <w:color w:val="000000"/>
        </w:rPr>
      </w:pPr>
      <w:r w:rsidRPr="002334D1">
        <w:rPr>
          <w:rFonts w:ascii="Times New Roman" w:hAnsi="Times New Roman"/>
          <w:color w:val="000000"/>
        </w:rPr>
        <w:t xml:space="preserve">Postupným znížením konštanty používanej na úpravu vymeriavacieho základu SZČO na platenie poistného na sociálne poistenie zo súčasnej hodnoty 2 na 1,486 sa odstraňuje dlhoročné zvýhodnenie SZČO a ich zaťaženie sa približuje k úrovni zaťaženia závislej činnosti. Rovnako dochádza k zvýšeniu minimálneho vymeriavacieho základu u SZČO zo súčasnej úrovne 44,2 % priemernej mzdy na úroveň 50 % priemernej mzdy s cieľom zabezpečenia si dôchodkov minimálne na úrovni 25 % z priemerného zárobku v SR.  Pri kvantifikácii sa vychádzalo z údajov z daňových priznaní typu „B“, keďže vymeriavací základ SZČO je stanovený na základe vykázaného základu dane z príjmov a údajov zo Sociálnej poisťovne o počte platiteľov sociálneho poistenia ako aj expertných odhadov MF SR. Na základe rozboru týchto údajov je možné konštatovať, že v súčasnosti cca 28 % SZČO neplatí poistné na sociálne poistenie z titulu neprekročenia obratu pre platenie poistného na sociálne poistenie a zo zvyšných platiacich SZČO až 87 % SZČO platí poistné z minimálneho vymeriavacieho základu. Zníženie koeficientu pre výpočet vymeriavacieho základu pri súčasnom zvýšení minimálneho vymeriavacieho základu sa premietne do zníženia disponibilných príjmov všetkých SZČO, ktoré v súčasnosti platia poistné na sociálne poistenie s výnimkou približne 9 000 SZČO, ktorým po zvýšení obratu pre platenie poistného na 50 % zanikne povinnosť platenia poistného od 1.7.2013. Rovnako zmena konštánt prispeje k situácii, že sa zníži počet SZČO platiacich z minimálneho vymeriavacieho základu  zo súčasných 87 % na cca 70 %. Výpočet zohľadňuje aj zvýšenú motiváciu na optimalizáciu základu dane cez daňové výdavky, či iné nelegálne možnosti optimalizácie. </w:t>
      </w:r>
    </w:p>
    <w:p w:rsidR="00F63F07" w:rsidP="00963EE8">
      <w:pPr>
        <w:autoSpaceDE w:val="0"/>
        <w:autoSpaceDN w:val="0"/>
        <w:bidi w:val="0"/>
        <w:adjustRightInd w:val="0"/>
        <w:spacing w:after="120"/>
        <w:jc w:val="both"/>
        <w:rPr>
          <w:rFonts w:ascii="Times New Roman" w:hAnsi="Times New Roman"/>
          <w:b/>
        </w:rPr>
      </w:pPr>
    </w:p>
    <w:p w:rsidR="00F63F07" w:rsidP="00963EE8">
      <w:pPr>
        <w:tabs>
          <w:tab w:val="left" w:pos="709"/>
        </w:tabs>
        <w:bidi w:val="0"/>
        <w:spacing w:after="120"/>
        <w:jc w:val="both"/>
        <w:rPr>
          <w:rFonts w:ascii="Times New Roman" w:hAnsi="Times New Roman"/>
          <w:b/>
        </w:rPr>
      </w:pPr>
      <w:r>
        <w:rPr>
          <w:rFonts w:ascii="Times New Roman" w:hAnsi="Times New Roman"/>
          <w:b/>
        </w:rPr>
        <w:t>E. Úprava minimálneho vymeriavacieho základu pre vybranú skupinu poistencov štátu a dobrovoľne poistené osoby.</w:t>
      </w:r>
    </w:p>
    <w:p w:rsidR="00F63F07" w:rsidP="00963EE8">
      <w:pPr>
        <w:tabs>
          <w:tab w:val="left" w:pos="709"/>
        </w:tabs>
        <w:bidi w:val="0"/>
        <w:spacing w:after="120"/>
        <w:jc w:val="both"/>
        <w:rPr>
          <w:rFonts w:ascii="Times New Roman" w:hAnsi="Times New Roman"/>
        </w:rPr>
      </w:pPr>
      <w:r w:rsidRPr="00B2003B">
        <w:rPr>
          <w:rFonts w:ascii="Times New Roman" w:hAnsi="Times New Roman"/>
          <w:bCs/>
        </w:rPr>
        <w:t>Pre poistencov štátu sa vychádzalo z údajov z </w:t>
      </w:r>
      <w:r>
        <w:rPr>
          <w:rFonts w:ascii="Times New Roman" w:hAnsi="Times New Roman"/>
          <w:bCs/>
        </w:rPr>
        <w:t>východísk</w:t>
      </w:r>
      <w:r w:rsidRPr="00B2003B">
        <w:rPr>
          <w:rFonts w:ascii="Times New Roman" w:hAnsi="Times New Roman"/>
          <w:bCs/>
        </w:rPr>
        <w:t xml:space="preserve"> Sociálnej poisťovne, že</w:t>
      </w:r>
      <w:r>
        <w:rPr>
          <w:rFonts w:ascii="Times New Roman" w:hAnsi="Times New Roman"/>
          <w:bCs/>
        </w:rPr>
        <w:t xml:space="preserve"> počet</w:t>
      </w:r>
      <w:r w:rsidRPr="00B2003B">
        <w:rPr>
          <w:rFonts w:ascii="Times New Roman" w:hAnsi="Times New Roman"/>
          <w:bCs/>
        </w:rPr>
        <w:t xml:space="preserve"> </w:t>
      </w:r>
      <w:r w:rsidRPr="00272AB3">
        <w:rPr>
          <w:rFonts w:ascii="Times New Roman" w:hAnsi="Times New Roman"/>
        </w:rPr>
        <w:t xml:space="preserve">poberateľov peňažného príspevku </w:t>
      </w:r>
      <w:r>
        <w:rPr>
          <w:rFonts w:ascii="Times New Roman" w:hAnsi="Times New Roman"/>
        </w:rPr>
        <w:t>n</w:t>
      </w:r>
      <w:r w:rsidRPr="00272AB3">
        <w:rPr>
          <w:rFonts w:ascii="Times New Roman" w:hAnsi="Times New Roman"/>
        </w:rPr>
        <w:t>a opatrovanie a osobných asistentov</w:t>
      </w:r>
      <w:r>
        <w:rPr>
          <w:rFonts w:ascii="Times New Roman" w:hAnsi="Times New Roman"/>
        </w:rPr>
        <w:t xml:space="preserve"> </w:t>
      </w:r>
      <w:r>
        <w:rPr>
          <w:rFonts w:ascii="Times New Roman" w:hAnsi="Times New Roman"/>
          <w:bCs/>
        </w:rPr>
        <w:t>bude 23 700 v roku 2013; 23 913 v roku 2014 a 24 152 v roku 2015</w:t>
      </w:r>
      <w:r w:rsidRPr="00B2003B">
        <w:rPr>
          <w:rFonts w:ascii="Times New Roman" w:hAnsi="Times New Roman"/>
          <w:bCs/>
        </w:rPr>
        <w:t>. Vymeriavací základ bol prispôsobený novému mechanizmu</w:t>
      </w:r>
      <w:r>
        <w:rPr>
          <w:rFonts w:ascii="Times New Roman" w:hAnsi="Times New Roman"/>
          <w:bCs/>
        </w:rPr>
        <w:t xml:space="preserve"> (50 % z priemernej mzdy z pred dvoch rokov)</w:t>
      </w:r>
      <w:r w:rsidRPr="00B2003B">
        <w:rPr>
          <w:rFonts w:ascii="Times New Roman" w:hAnsi="Times New Roman"/>
          <w:bCs/>
        </w:rPr>
        <w:t xml:space="preserve"> a sadzba štátu bola ponechaná vo výške 26 %. </w:t>
      </w:r>
      <w:r>
        <w:rPr>
          <w:rFonts w:ascii="Times New Roman" w:hAnsi="Times New Roman"/>
        </w:rPr>
        <w:t xml:space="preserve">Uvedená vyššia platba bude hradená zo štátneho rozpočtu a priamo úmerne vzrastú príjmy z poistného v Sociálnej poisťovni. Zároveň je zohľadnená 20 percentná účasť dotknutých osôb na starobnom dôchodkovom sporení. </w:t>
      </w:r>
    </w:p>
    <w:p w:rsidR="00F63F07" w:rsidP="00963EE8">
      <w:pPr>
        <w:tabs>
          <w:tab w:val="left" w:pos="709"/>
        </w:tabs>
        <w:bidi w:val="0"/>
        <w:jc w:val="both"/>
        <w:rPr>
          <w:rFonts w:ascii="Times New Roman" w:hAnsi="Times New Roman"/>
        </w:rPr>
      </w:pPr>
      <w:r>
        <w:rPr>
          <w:rFonts w:ascii="Times New Roman" w:hAnsi="Times New Roman"/>
          <w:bCs/>
        </w:rPr>
        <w:t>Pre dobrovoľne poistené osoby</w:t>
      </w:r>
      <w:r w:rsidRPr="00B2003B">
        <w:rPr>
          <w:rFonts w:ascii="Times New Roman" w:hAnsi="Times New Roman"/>
          <w:bCs/>
        </w:rPr>
        <w:t xml:space="preserve"> sa vychádzalo z údajov z </w:t>
      </w:r>
      <w:r>
        <w:rPr>
          <w:rFonts w:ascii="Times New Roman" w:hAnsi="Times New Roman"/>
          <w:bCs/>
        </w:rPr>
        <w:t>východísk</w:t>
      </w:r>
      <w:r w:rsidRPr="00B2003B">
        <w:rPr>
          <w:rFonts w:ascii="Times New Roman" w:hAnsi="Times New Roman"/>
          <w:bCs/>
        </w:rPr>
        <w:t xml:space="preserve"> Sociálnej poisťovne, že</w:t>
      </w:r>
      <w:r>
        <w:rPr>
          <w:rFonts w:ascii="Times New Roman" w:hAnsi="Times New Roman"/>
          <w:bCs/>
        </w:rPr>
        <w:t xml:space="preserve"> počet</w:t>
      </w:r>
      <w:r w:rsidRPr="00B2003B">
        <w:rPr>
          <w:rFonts w:ascii="Times New Roman" w:hAnsi="Times New Roman"/>
          <w:bCs/>
        </w:rPr>
        <w:t xml:space="preserve"> </w:t>
      </w:r>
      <w:r>
        <w:rPr>
          <w:rFonts w:ascii="Times New Roman" w:hAnsi="Times New Roman"/>
        </w:rPr>
        <w:t>dobrovoľne poistených osôb na nemocenské poistenie bude</w:t>
      </w:r>
      <w:r>
        <w:rPr>
          <w:rFonts w:ascii="Times New Roman" w:hAnsi="Times New Roman"/>
          <w:bCs/>
        </w:rPr>
        <w:t xml:space="preserve"> 3 127 v roku 2013; na dôchodkové poistenie 15 677 a na poistenie v nezamestnanosti 12 258</w:t>
      </w:r>
      <w:r w:rsidRPr="00B2003B">
        <w:rPr>
          <w:rFonts w:ascii="Times New Roman" w:hAnsi="Times New Roman"/>
          <w:bCs/>
        </w:rPr>
        <w:t xml:space="preserve">. </w:t>
      </w:r>
      <w:r>
        <w:rPr>
          <w:rFonts w:ascii="Times New Roman" w:hAnsi="Times New Roman"/>
          <w:bCs/>
        </w:rPr>
        <w:t>Minimálny v</w:t>
      </w:r>
      <w:r w:rsidRPr="00B2003B">
        <w:rPr>
          <w:rFonts w:ascii="Times New Roman" w:hAnsi="Times New Roman"/>
          <w:bCs/>
        </w:rPr>
        <w:t>ymeriavací základ bol prispôsobený novému mechanizmu</w:t>
      </w:r>
      <w:r>
        <w:rPr>
          <w:rFonts w:ascii="Times New Roman" w:hAnsi="Times New Roman"/>
          <w:bCs/>
        </w:rPr>
        <w:t xml:space="preserve"> (50 % z priemernej mzdy  spred dvoch rokov), pričom sa predpokladá, že až 90 % dobrovoľne poistených osôb bude platiť z tohto vymeriavacieho základu</w:t>
      </w:r>
      <w:r w:rsidRPr="00B2003B">
        <w:rPr>
          <w:rFonts w:ascii="Times New Roman" w:hAnsi="Times New Roman"/>
          <w:bCs/>
        </w:rPr>
        <w:t xml:space="preserve">. </w:t>
      </w:r>
      <w:r>
        <w:rPr>
          <w:rFonts w:ascii="Times New Roman" w:hAnsi="Times New Roman"/>
        </w:rPr>
        <w:t xml:space="preserve">Zároveň je zohľadnená 40 percentná účasť dotknutých osôb na starobnom dôchodkovom sporení. </w:t>
      </w:r>
    </w:p>
    <w:p w:rsidR="00F63F07" w:rsidP="00963EE8">
      <w:pPr>
        <w:tabs>
          <w:tab w:val="left" w:pos="709"/>
        </w:tabs>
        <w:bidi w:val="0"/>
        <w:jc w:val="both"/>
        <w:rPr>
          <w:rFonts w:ascii="Times New Roman" w:hAnsi="Times New Roman"/>
        </w:rPr>
      </w:pPr>
    </w:p>
    <w:p w:rsidR="00F63F07" w:rsidP="00963EE8">
      <w:pPr>
        <w:tabs>
          <w:tab w:val="left" w:pos="709"/>
        </w:tabs>
        <w:bidi w:val="0"/>
        <w:spacing w:after="120"/>
        <w:jc w:val="both"/>
        <w:rPr>
          <w:rFonts w:ascii="Times New Roman" w:hAnsi="Times New Roman"/>
          <w:b/>
        </w:rPr>
      </w:pPr>
      <w:r>
        <w:rPr>
          <w:rFonts w:ascii="Times New Roman" w:hAnsi="Times New Roman"/>
          <w:b/>
        </w:rPr>
        <w:t>G</w:t>
      </w:r>
      <w:r w:rsidRPr="006D27E1">
        <w:rPr>
          <w:rFonts w:ascii="Times New Roman" w:hAnsi="Times New Roman"/>
          <w:b/>
        </w:rPr>
        <w:t>. Z</w:t>
      </w:r>
      <w:r>
        <w:rPr>
          <w:rFonts w:ascii="Times New Roman" w:hAnsi="Times New Roman"/>
          <w:b/>
        </w:rPr>
        <w:t>avedenie povinnosti platiť poistné na sociálne poistenie z dohôd o prácach vykonávaných mimo pracovného pomeru.</w:t>
      </w:r>
    </w:p>
    <w:p w:rsidR="00F63F07" w:rsidP="0095532A">
      <w:pPr>
        <w:autoSpaceDE w:val="0"/>
        <w:autoSpaceDN w:val="0"/>
        <w:bidi w:val="0"/>
        <w:adjustRightInd w:val="0"/>
        <w:jc w:val="both"/>
        <w:rPr>
          <w:rFonts w:ascii="Arial Narrow" w:hAnsi="Arial Narrow"/>
        </w:rPr>
      </w:pPr>
      <w:r w:rsidRPr="004B44C9">
        <w:rPr>
          <w:rFonts w:ascii="Times New Roman" w:hAnsi="Times New Roman"/>
        </w:rPr>
        <w:t>Kvantifikácia vychádza z </w:t>
      </w:r>
      <w:r>
        <w:rPr>
          <w:rFonts w:ascii="Times New Roman" w:hAnsi="Times New Roman"/>
        </w:rPr>
        <w:t>priemerných mesačných</w:t>
      </w:r>
      <w:r w:rsidRPr="004B44C9">
        <w:rPr>
          <w:rFonts w:ascii="Times New Roman" w:hAnsi="Times New Roman"/>
        </w:rPr>
        <w:t xml:space="preserve"> údajov o počte poistných vzťahov na </w:t>
      </w:r>
      <w:r w:rsidRPr="008527B7">
        <w:rPr>
          <w:rFonts w:ascii="Times New Roman" w:hAnsi="Times New Roman"/>
        </w:rPr>
        <w:t xml:space="preserve">dohody </w:t>
      </w:r>
      <w:r w:rsidRPr="00D414AF">
        <w:rPr>
          <w:rFonts w:ascii="Times New Roman" w:hAnsi="Times New Roman"/>
        </w:rPr>
        <w:t xml:space="preserve">za rok 2011 (celkový objem vyplatených dohôd na úrovni približne 800 </w:t>
      </w:r>
      <w:r w:rsidRPr="00D414AF">
        <w:rPr>
          <w:rFonts w:ascii="Times New Roman" w:hAnsi="Times New Roman"/>
          <w:bCs/>
        </w:rPr>
        <w:t>mil. eur, pri priemernom mesačnom počte úväzkov</w:t>
      </w:r>
      <w:r>
        <w:rPr>
          <w:rFonts w:ascii="Times New Roman" w:hAnsi="Times New Roman"/>
          <w:bCs/>
        </w:rPr>
        <w:t xml:space="preserve"> </w:t>
      </w:r>
      <w:r w:rsidRPr="00D414AF">
        <w:rPr>
          <w:rFonts w:ascii="Times New Roman" w:hAnsi="Times New Roman"/>
          <w:bCs/>
        </w:rPr>
        <w:t>cca 399 000, z čoho 205 000 bolo bez súbehu s iným úväzkom</w:t>
      </w:r>
      <w:r w:rsidRPr="00D414AF">
        <w:rPr>
          <w:rFonts w:ascii="Times New Roman" w:hAnsi="Times New Roman"/>
        </w:rPr>
        <w:t>)</w:t>
      </w:r>
      <w:r w:rsidRPr="008527B7">
        <w:rPr>
          <w:rFonts w:ascii="Times New Roman" w:hAnsi="Times New Roman"/>
        </w:rPr>
        <w:t>,</w:t>
      </w:r>
      <w:r w:rsidRPr="004B44C9">
        <w:rPr>
          <w:rFonts w:ascii="Times New Roman" w:hAnsi="Times New Roman"/>
        </w:rPr>
        <w:t xml:space="preserve"> ktoré boli následne indexované. Ďalej sa predpokladá, že finančné prostriedky určené na výplatu miezd u zamestnávateľov sa po zavedení povinnosti platiť poistné na sociálne a</w:t>
      </w:r>
      <w:r>
        <w:rPr>
          <w:rFonts w:ascii="Times New Roman" w:hAnsi="Times New Roman"/>
        </w:rPr>
        <w:t xml:space="preserve"> verejné</w:t>
      </w:r>
      <w:r w:rsidRPr="004B44C9">
        <w:rPr>
          <w:rFonts w:ascii="Times New Roman" w:hAnsi="Times New Roman"/>
        </w:rPr>
        <w:t> zdravotné poistenie  nezmenia, resp. zmenia len mierne (napr. vplyvo</w:t>
      </w:r>
      <w:r>
        <w:rPr>
          <w:rFonts w:ascii="Times New Roman" w:hAnsi="Times New Roman"/>
        </w:rPr>
        <w:t>m vyššej produktivity dohodárov a</w:t>
      </w:r>
      <w:r w:rsidRPr="004B44C9">
        <w:rPr>
          <w:rFonts w:ascii="Times New Roman" w:hAnsi="Times New Roman"/>
        </w:rPr>
        <w:t xml:space="preserve"> úsporných opatrení).</w:t>
      </w:r>
      <w:r w:rsidRPr="004B44C9">
        <w:rPr>
          <w:rFonts w:ascii="Arial Narrow" w:hAnsi="Arial Narrow"/>
        </w:rPr>
        <w:t xml:space="preserve"> </w:t>
      </w:r>
    </w:p>
    <w:p w:rsidR="00F63F07" w:rsidP="0095532A">
      <w:pPr>
        <w:autoSpaceDE w:val="0"/>
        <w:autoSpaceDN w:val="0"/>
        <w:bidi w:val="0"/>
        <w:adjustRightInd w:val="0"/>
        <w:jc w:val="both"/>
        <w:rPr>
          <w:rFonts w:ascii="Arial Narrow" w:hAnsi="Arial Narrow"/>
        </w:rPr>
      </w:pPr>
    </w:p>
    <w:p w:rsidR="00F63F07" w:rsidP="0095532A">
      <w:pPr>
        <w:bidi w:val="0"/>
        <w:jc w:val="both"/>
        <w:rPr>
          <w:rFonts w:ascii="Times New Roman" w:hAnsi="Times New Roman"/>
          <w:color w:val="000000"/>
        </w:rPr>
      </w:pPr>
      <w:r>
        <w:rPr>
          <w:rFonts w:ascii="Times New Roman" w:hAnsi="Times New Roman"/>
          <w:b/>
        </w:rPr>
        <w:t xml:space="preserve">H. </w:t>
      </w:r>
      <w:r w:rsidRPr="006D27E1">
        <w:rPr>
          <w:rFonts w:ascii="Times New Roman" w:hAnsi="Times New Roman"/>
          <w:b/>
        </w:rPr>
        <w:t>Z</w:t>
      </w:r>
      <w:r>
        <w:rPr>
          <w:rFonts w:ascii="Times New Roman" w:hAnsi="Times New Roman"/>
          <w:b/>
        </w:rPr>
        <w:t>jednotenie a zvýšenie maximálnych vymeriavacích základov na poistné na sociálne poistenie.</w:t>
      </w:r>
    </w:p>
    <w:p w:rsidR="00F63F07" w:rsidP="0095532A">
      <w:pPr>
        <w:bidi w:val="0"/>
        <w:spacing w:before="120"/>
        <w:jc w:val="both"/>
        <w:rPr>
          <w:rFonts w:ascii="Times New Roman" w:hAnsi="Times New Roman"/>
          <w:color w:val="000000"/>
        </w:rPr>
      </w:pPr>
      <w:r>
        <w:rPr>
          <w:rFonts w:ascii="Times New Roman" w:hAnsi="Times New Roman"/>
          <w:color w:val="000000"/>
        </w:rPr>
        <w:t xml:space="preserve">Kvantifikácia vychádza z príjmového rozloženia poistencov Sociálnej poisťovne v jednotlivých fondoch. Na základe uvedených štatistických údajov sa zmena dotkne približne 212 tisíc osôb pri nemocenskom poistení, 183 tisíc osôb pri garančnom poistení, 27 tisíc osôb pri dôchodkovom poistení a 25 tisíc osôb pri poistení v nezamestnanosti. </w:t>
      </w:r>
    </w:p>
    <w:p w:rsidR="00F63F07" w:rsidP="00963EE8">
      <w:pPr>
        <w:autoSpaceDE w:val="0"/>
        <w:autoSpaceDN w:val="0"/>
        <w:bidi w:val="0"/>
        <w:adjustRightInd w:val="0"/>
        <w:jc w:val="both"/>
        <w:rPr>
          <w:rFonts w:ascii="Times New Roman" w:hAnsi="Times New Roman"/>
          <w:b/>
        </w:rPr>
      </w:pPr>
    </w:p>
    <w:p w:rsidR="00F63F07" w:rsidP="00963EE8">
      <w:pPr>
        <w:autoSpaceDE w:val="0"/>
        <w:autoSpaceDN w:val="0"/>
        <w:bidi w:val="0"/>
        <w:adjustRightInd w:val="0"/>
        <w:spacing w:after="120"/>
        <w:jc w:val="both"/>
        <w:rPr>
          <w:rFonts w:ascii="Times New Roman" w:hAnsi="Times New Roman"/>
        </w:rPr>
      </w:pPr>
      <w:r>
        <w:rPr>
          <w:rFonts w:ascii="Times New Roman" w:hAnsi="Times New Roman"/>
          <w:b/>
        </w:rPr>
        <w:t>J</w:t>
      </w:r>
      <w:r w:rsidRPr="008F386F">
        <w:rPr>
          <w:rFonts w:ascii="Times New Roman" w:hAnsi="Times New Roman"/>
          <w:b/>
        </w:rPr>
        <w:t>.</w:t>
      </w:r>
      <w:r>
        <w:rPr>
          <w:rFonts w:ascii="Times New Roman" w:hAnsi="Times New Roman"/>
        </w:rPr>
        <w:t xml:space="preserve"> </w:t>
      </w:r>
      <w:r>
        <w:rPr>
          <w:rFonts w:ascii="Times New Roman" w:hAnsi="Times New Roman"/>
          <w:b/>
        </w:rPr>
        <w:t>Dobrovoľn</w:t>
      </w:r>
      <w:r w:rsidRPr="00CA2B6E">
        <w:rPr>
          <w:rFonts w:ascii="Times New Roman" w:hAnsi="Times New Roman"/>
          <w:b/>
        </w:rPr>
        <w:t>ý vstup prvopoistencov</w:t>
      </w:r>
      <w:r>
        <w:rPr>
          <w:rFonts w:ascii="Times New Roman" w:hAnsi="Times New Roman"/>
          <w:b/>
        </w:rPr>
        <w:t xml:space="preserve"> do systému starobného dôchodkového sporenia</w:t>
      </w:r>
      <w:r w:rsidRPr="00CA2B6E">
        <w:rPr>
          <w:rFonts w:ascii="Times New Roman" w:hAnsi="Times New Roman"/>
          <w:b/>
        </w:rPr>
        <w:t xml:space="preserve"> </w:t>
      </w:r>
      <w:r>
        <w:rPr>
          <w:rFonts w:ascii="Times New Roman" w:hAnsi="Times New Roman"/>
          <w:b/>
        </w:rPr>
        <w:t>do 35 rokov veku.</w:t>
      </w:r>
    </w:p>
    <w:p w:rsidR="00F63F07" w:rsidP="00963EE8">
      <w:pPr>
        <w:autoSpaceDE w:val="0"/>
        <w:autoSpaceDN w:val="0"/>
        <w:bidi w:val="0"/>
        <w:adjustRightInd w:val="0"/>
        <w:spacing w:after="120"/>
        <w:jc w:val="both"/>
        <w:rPr>
          <w:rFonts w:ascii="Times New Roman" w:hAnsi="Times New Roman"/>
        </w:rPr>
      </w:pPr>
      <w:r>
        <w:rPr>
          <w:rFonts w:ascii="Times New Roman" w:hAnsi="Times New Roman"/>
        </w:rPr>
        <w:t>Pri prepočtoch sa vychádzalo z nasledovných predpokladov:</w:t>
      </w:r>
    </w:p>
    <w:p w:rsidR="00F63F07" w:rsidRPr="00F43575" w:rsidP="00963EE8">
      <w:pPr>
        <w:pStyle w:val="Odsekzoznamu2"/>
        <w:numPr>
          <w:numId w:val="4"/>
        </w:numPr>
        <w:autoSpaceDE w:val="0"/>
        <w:autoSpaceDN w:val="0"/>
        <w:bidi w:val="0"/>
        <w:adjustRightInd w:val="0"/>
        <w:contextualSpacing/>
        <w:jc w:val="both"/>
        <w:rPr>
          <w:rFonts w:ascii="Times New Roman" w:hAnsi="Times New Roman"/>
          <w:color w:val="000000"/>
        </w:rPr>
      </w:pPr>
      <w:r w:rsidRPr="00F43575">
        <w:rPr>
          <w:rFonts w:ascii="Times New Roman" w:hAnsi="Times New Roman"/>
          <w:color w:val="000000"/>
        </w:rPr>
        <w:t>dobrovoľný vstup do systému starobného dôchodkového sporenia do 35 rokov veku - prvopoistenci v danom roku vstúpia na základe tohto kľúča: 1. rok 10 %, 2. až 9. rok po 1 % a 10. rok 2 %, čo je spolu 20 % prvopoistencov z daného konkrétneho roku;</w:t>
      </w:r>
    </w:p>
    <w:p w:rsidR="00F63F07" w:rsidRPr="00F43575" w:rsidP="00963EE8">
      <w:pPr>
        <w:pStyle w:val="Odsekzoznamu2"/>
        <w:numPr>
          <w:numId w:val="4"/>
        </w:numPr>
        <w:autoSpaceDE w:val="0"/>
        <w:autoSpaceDN w:val="0"/>
        <w:bidi w:val="0"/>
        <w:adjustRightInd w:val="0"/>
        <w:contextualSpacing/>
        <w:jc w:val="both"/>
        <w:rPr>
          <w:rFonts w:ascii="Times New Roman" w:hAnsi="Times New Roman"/>
          <w:color w:val="000000"/>
        </w:rPr>
      </w:pPr>
      <w:r w:rsidRPr="00F43575">
        <w:rPr>
          <w:rFonts w:ascii="Times New Roman" w:hAnsi="Times New Roman"/>
          <w:color w:val="000000"/>
        </w:rPr>
        <w:t>priemerný počet prvopoistencov 57 250 (vychádza sa z predpokladov Sociálnej poisťovne);</w:t>
      </w:r>
    </w:p>
    <w:p w:rsidR="00F63F07" w:rsidRPr="003D1C4A" w:rsidP="00963EE8">
      <w:pPr>
        <w:pStyle w:val="Odsekzoznamu2"/>
        <w:numPr>
          <w:numId w:val="4"/>
        </w:numPr>
        <w:autoSpaceDE w:val="0"/>
        <w:autoSpaceDN w:val="0"/>
        <w:bidi w:val="0"/>
        <w:adjustRightInd w:val="0"/>
        <w:contextualSpacing/>
        <w:jc w:val="both"/>
        <w:rPr>
          <w:rFonts w:ascii="Times New Roman" w:hAnsi="Times New Roman"/>
          <w:szCs w:val="22"/>
        </w:rPr>
      </w:pPr>
      <w:r w:rsidRPr="00F43575">
        <w:rPr>
          <w:rFonts w:ascii="Times New Roman" w:hAnsi="Times New Roman"/>
          <w:color w:val="000000"/>
        </w:rPr>
        <w:t>vývoj priemernej</w:t>
      </w:r>
      <w:r>
        <w:rPr>
          <w:rFonts w:ascii="Times New Roman" w:hAnsi="Times New Roman"/>
        </w:rPr>
        <w:t xml:space="preserve"> mesačnej mzdy do roku 2015 vychádza z makroekonomickej prognózy IFP z júna 2012.</w:t>
      </w:r>
    </w:p>
    <w:p w:rsidR="00F63F07" w:rsidP="00963EE8">
      <w:pPr>
        <w:autoSpaceDE w:val="0"/>
        <w:autoSpaceDN w:val="0"/>
        <w:bidi w:val="0"/>
        <w:adjustRightInd w:val="0"/>
        <w:jc w:val="both"/>
        <w:rPr>
          <w:rFonts w:ascii="Times New Roman" w:hAnsi="Times New Roman"/>
          <w:b/>
        </w:rPr>
      </w:pPr>
    </w:p>
    <w:p w:rsidR="00F63F07" w:rsidP="00963EE8">
      <w:pPr>
        <w:autoSpaceDE w:val="0"/>
        <w:autoSpaceDN w:val="0"/>
        <w:bidi w:val="0"/>
        <w:adjustRightInd w:val="0"/>
        <w:jc w:val="both"/>
        <w:rPr>
          <w:rFonts w:ascii="Times New Roman" w:hAnsi="Times New Roman"/>
          <w:b/>
        </w:rPr>
      </w:pPr>
      <w:r>
        <w:rPr>
          <w:rFonts w:ascii="Times New Roman" w:hAnsi="Times New Roman"/>
          <w:b/>
        </w:rPr>
        <w:t xml:space="preserve">K.   </w:t>
      </w:r>
      <w:r w:rsidRPr="00DE7DA5">
        <w:rPr>
          <w:rFonts w:ascii="Times New Roman" w:hAnsi="Times New Roman"/>
          <w:b/>
        </w:rPr>
        <w:t>Zníženie príspevkovej sadzby na starobné dôchodkové sporenie</w:t>
      </w:r>
      <w:r>
        <w:rPr>
          <w:rFonts w:ascii="Times New Roman" w:hAnsi="Times New Roman"/>
          <w:b/>
        </w:rPr>
        <w:t>.</w:t>
      </w:r>
    </w:p>
    <w:p w:rsidR="00F63F07" w:rsidP="00963EE8">
      <w:pPr>
        <w:autoSpaceDE w:val="0"/>
        <w:autoSpaceDN w:val="0"/>
        <w:bidi w:val="0"/>
        <w:adjustRightInd w:val="0"/>
        <w:jc w:val="both"/>
        <w:rPr>
          <w:rFonts w:ascii="Times New Roman" w:hAnsi="Times New Roman"/>
          <w:szCs w:val="22"/>
        </w:rPr>
      </w:pPr>
    </w:p>
    <w:p w:rsidR="00F63F07" w:rsidP="00963EE8">
      <w:pPr>
        <w:autoSpaceDE w:val="0"/>
        <w:autoSpaceDN w:val="0"/>
        <w:bidi w:val="0"/>
        <w:adjustRightInd w:val="0"/>
        <w:spacing w:after="120"/>
        <w:jc w:val="both"/>
        <w:rPr>
          <w:rFonts w:ascii="Times New Roman" w:hAnsi="Times New Roman"/>
        </w:rPr>
      </w:pPr>
      <w:r>
        <w:rPr>
          <w:rFonts w:ascii="Times New Roman" w:hAnsi="Times New Roman"/>
        </w:rPr>
        <w:t>Pri prepočtoch sa vychádzalo z nasledovných predpokladov:</w:t>
      </w:r>
    </w:p>
    <w:p w:rsidR="00F63F07" w:rsidRPr="00A936BA" w:rsidP="00963EE8">
      <w:pPr>
        <w:pStyle w:val="Odsekzoznamu2"/>
        <w:numPr>
          <w:numId w:val="4"/>
        </w:numPr>
        <w:autoSpaceDE w:val="0"/>
        <w:autoSpaceDN w:val="0"/>
        <w:bidi w:val="0"/>
        <w:adjustRightInd w:val="0"/>
        <w:contextualSpacing/>
        <w:jc w:val="both"/>
        <w:rPr>
          <w:rFonts w:ascii="Times New Roman" w:hAnsi="Times New Roman"/>
          <w:color w:val="000000"/>
        </w:rPr>
      </w:pPr>
      <w:r w:rsidRPr="00A936BA">
        <w:rPr>
          <w:rFonts w:ascii="Times New Roman" w:hAnsi="Times New Roman"/>
          <w:color w:val="000000"/>
        </w:rPr>
        <w:t>dobrovoľný vstup do systému starobného dôchodkového sporenia do 35 rokov veku - prvopoistenci v danom roku vstúpia na základe tohto kľúča: 1. rok 10 %, 2. až 9. rok po 1 % a 10. rok 2 %, čo je spolu 20 % prvopoistencov z daného konkrétneho roku;</w:t>
      </w:r>
    </w:p>
    <w:p w:rsidR="00F63F07" w:rsidRPr="00A936BA" w:rsidP="00963EE8">
      <w:pPr>
        <w:pStyle w:val="Odsekzoznamu2"/>
        <w:numPr>
          <w:numId w:val="4"/>
        </w:numPr>
        <w:autoSpaceDE w:val="0"/>
        <w:autoSpaceDN w:val="0"/>
        <w:bidi w:val="0"/>
        <w:adjustRightInd w:val="0"/>
        <w:contextualSpacing/>
        <w:jc w:val="both"/>
        <w:rPr>
          <w:rFonts w:ascii="Times New Roman" w:hAnsi="Times New Roman"/>
          <w:color w:val="000000"/>
        </w:rPr>
      </w:pPr>
      <w:r w:rsidRPr="00A936BA">
        <w:rPr>
          <w:rFonts w:ascii="Times New Roman" w:hAnsi="Times New Roman"/>
          <w:color w:val="000000"/>
        </w:rPr>
        <w:t>počet aktívne si prispievajúcich sporiteľov k 31.12.2011  predstavoval 1 080 648 a predpokladá sa jeho rast z dôvodu povinného vstupu v roku 2012 a dobrovoľného vstupu od roku 2013, od roku 2015 sa počíta už aj s odchodom časti sporiteľov na dôchodok (vychádzajúc z vekovej štruktúry sporiteľov podľa údajov Sociálnej poisťovne);</w:t>
      </w:r>
    </w:p>
    <w:p w:rsidR="00F63F07" w:rsidRPr="003D1C4A" w:rsidP="00963EE8">
      <w:pPr>
        <w:pStyle w:val="Odsekzoznamu2"/>
        <w:numPr>
          <w:numId w:val="4"/>
        </w:numPr>
        <w:autoSpaceDE w:val="0"/>
        <w:autoSpaceDN w:val="0"/>
        <w:bidi w:val="0"/>
        <w:adjustRightInd w:val="0"/>
        <w:contextualSpacing/>
        <w:jc w:val="both"/>
        <w:rPr>
          <w:rFonts w:ascii="Times New Roman" w:hAnsi="Times New Roman"/>
          <w:szCs w:val="22"/>
        </w:rPr>
      </w:pPr>
      <w:r>
        <w:rPr>
          <w:rFonts w:ascii="Times New Roman" w:hAnsi="Times New Roman"/>
        </w:rPr>
        <w:t>vývoj priemernej mesačnej mzdy do roku 2015 vychádza z makroekonomickej prognózy IFP z júna 2012.</w:t>
      </w:r>
    </w:p>
    <w:p w:rsidR="00F63F07" w:rsidP="00963EE8">
      <w:pPr>
        <w:autoSpaceDE w:val="0"/>
        <w:autoSpaceDN w:val="0"/>
        <w:bidi w:val="0"/>
        <w:adjustRightInd w:val="0"/>
        <w:jc w:val="both"/>
        <w:rPr>
          <w:rFonts w:ascii="Times New Roman" w:hAnsi="Times New Roman"/>
          <w:color w:val="FF0000"/>
          <w:szCs w:val="22"/>
        </w:rPr>
      </w:pPr>
    </w:p>
    <w:p w:rsidR="00F63F07" w:rsidRPr="00DE7DA5" w:rsidP="00F24EAF">
      <w:pPr>
        <w:tabs>
          <w:tab w:val="left" w:pos="360"/>
        </w:tabs>
        <w:bidi w:val="0"/>
        <w:spacing w:after="120"/>
        <w:jc w:val="both"/>
        <w:rPr>
          <w:rFonts w:ascii="Times New Roman" w:hAnsi="Times New Roman"/>
          <w:b/>
        </w:rPr>
      </w:pPr>
      <w:r>
        <w:rPr>
          <w:rFonts w:ascii="Times New Roman" w:hAnsi="Times New Roman"/>
          <w:b/>
        </w:rPr>
        <w:t xml:space="preserve">L. Dočasné otvorenie systému starobného dôchodkového sporenia pre vstup a výstup </w:t>
      </w:r>
    </w:p>
    <w:p w:rsidR="00F63F07" w:rsidRPr="00870953" w:rsidP="00D30585">
      <w:pPr>
        <w:tabs>
          <w:tab w:val="left" w:pos="709"/>
        </w:tabs>
        <w:bidi w:val="0"/>
        <w:spacing w:after="120"/>
        <w:jc w:val="both"/>
        <w:rPr>
          <w:rFonts w:ascii="Times New Roman" w:hAnsi="Times New Roman"/>
        </w:rPr>
      </w:pPr>
      <w:r w:rsidRPr="00D414AF">
        <w:rPr>
          <w:rFonts w:ascii="Times New Roman" w:hAnsi="Times New Roman"/>
        </w:rPr>
        <w:t>Pri kvantifikácii vplyvu otvorenia systému starobného dôchodkového sporenia pre vstup a výstup sa vychádzalo z nasled</w:t>
      </w:r>
      <w:r>
        <w:rPr>
          <w:rFonts w:ascii="Times New Roman" w:hAnsi="Times New Roman"/>
        </w:rPr>
        <w:t>ovných</w:t>
      </w:r>
      <w:r w:rsidRPr="00D414AF">
        <w:rPr>
          <w:rFonts w:ascii="Times New Roman" w:hAnsi="Times New Roman"/>
        </w:rPr>
        <w:t xml:space="preserve"> predpokladov:</w:t>
      </w:r>
    </w:p>
    <w:p w:rsidR="00F63F07">
      <w:pPr>
        <w:pStyle w:val="ListParagraph"/>
        <w:numPr>
          <w:numId w:val="18"/>
        </w:numPr>
        <w:bidi w:val="0"/>
        <w:jc w:val="both"/>
        <w:rPr>
          <w:rFonts w:ascii="Times New Roman" w:hAnsi="Times New Roman" w:cs="Times New Roman"/>
          <w:sz w:val="24"/>
          <w:szCs w:val="24"/>
        </w:rPr>
      </w:pPr>
      <w:r w:rsidRPr="001A31A6">
        <w:rPr>
          <w:rFonts w:ascii="Times New Roman" w:hAnsi="Times New Roman" w:cs="Times New Roman"/>
          <w:sz w:val="24"/>
          <w:szCs w:val="24"/>
        </w:rPr>
        <w:t>vývoj priemernej mesačnej mzdy do roku 2015 vychádza z makroekonomickej prognózy IFP z júna 2012</w:t>
      </w:r>
      <w:r>
        <w:rPr>
          <w:rFonts w:ascii="Times New Roman" w:hAnsi="Times New Roman" w:cs="Times New Roman"/>
          <w:sz w:val="24"/>
          <w:szCs w:val="24"/>
        </w:rPr>
        <w:t>,</w:t>
      </w:r>
    </w:p>
    <w:p w:rsidR="00F63F07">
      <w:pPr>
        <w:pStyle w:val="ListParagraph"/>
        <w:numPr>
          <w:numId w:val="18"/>
        </w:numPr>
        <w:bidi w:val="0"/>
        <w:jc w:val="both"/>
        <w:rPr>
          <w:rFonts w:ascii="Times New Roman" w:hAnsi="Times New Roman" w:cs="Times New Roman"/>
          <w:sz w:val="24"/>
          <w:szCs w:val="24"/>
        </w:rPr>
      </w:pPr>
      <w:r>
        <w:rPr>
          <w:rFonts w:ascii="Times New Roman" w:hAnsi="Times New Roman" w:cs="Times New Roman"/>
          <w:sz w:val="24"/>
          <w:szCs w:val="24"/>
        </w:rPr>
        <w:t>sporiteľom, ktorí vystúpia zo systému starobného dôchodkového sporenia, sa presunie alikvótna časť majetku z dôchodkových fondov, pričom sa vychádzalo zo stavu majetku k 31. 3. 2012 navýšeného o dodatočné príspevky ku dňu výstupu</w:t>
      </w:r>
      <w:r w:rsidRPr="00D30585">
        <w:rPr>
          <w:rFonts w:ascii="Times New Roman" w:hAnsi="Times New Roman" w:cs="Times New Roman"/>
          <w:sz w:val="24"/>
          <w:szCs w:val="24"/>
        </w:rPr>
        <w:t>,</w:t>
      </w:r>
    </w:p>
    <w:p w:rsidR="00F63F07">
      <w:pPr>
        <w:pStyle w:val="ListParagraph"/>
        <w:numPr>
          <w:numId w:val="18"/>
        </w:numPr>
        <w:bidi w:val="0"/>
        <w:jc w:val="both"/>
        <w:rPr>
          <w:rFonts w:ascii="Times New Roman" w:hAnsi="Times New Roman" w:cs="Times New Roman"/>
          <w:sz w:val="24"/>
          <w:szCs w:val="24"/>
        </w:rPr>
      </w:pPr>
      <w:r>
        <w:rPr>
          <w:rFonts w:ascii="Times New Roman" w:hAnsi="Times New Roman" w:cs="Times New Roman"/>
          <w:sz w:val="24"/>
          <w:szCs w:val="24"/>
        </w:rPr>
        <w:t>Sociálna poisťovňa si bude tvoriť správny fond na úrovni 1,9 % zo sumy prostriedkov presunutých z dôvodu vystúpenia sporiteľov zo systému starobného dôchodkového sporenia,</w:t>
      </w:r>
    </w:p>
    <w:p w:rsidR="00F63F07">
      <w:pPr>
        <w:pStyle w:val="ListParagraph"/>
        <w:numPr>
          <w:numId w:val="18"/>
        </w:numPr>
        <w:bidi w:val="0"/>
        <w:jc w:val="both"/>
        <w:rPr>
          <w:rFonts w:ascii="Times New Roman" w:hAnsi="Times New Roman" w:cs="Times New Roman"/>
          <w:sz w:val="24"/>
          <w:szCs w:val="24"/>
        </w:rPr>
      </w:pPr>
      <w:r>
        <w:rPr>
          <w:rFonts w:ascii="Times New Roman" w:hAnsi="Times New Roman" w:cs="Times New Roman"/>
          <w:sz w:val="24"/>
          <w:szCs w:val="24"/>
        </w:rPr>
        <w:t>na účely celkového vplyvu návrhu zákona v sumárnej tabuľke vplyvov sa použil variant: vstup 10 000 poistencov, výstup 60 000 sporiteľov,</w:t>
      </w:r>
    </w:p>
    <w:p w:rsidR="00F63F07">
      <w:pPr>
        <w:pStyle w:val="ListParagraph"/>
        <w:numPr>
          <w:numId w:val="18"/>
        </w:numPr>
        <w:bidi w:val="0"/>
        <w:jc w:val="both"/>
        <w:rPr>
          <w:rFonts w:ascii="Times New Roman" w:hAnsi="Times New Roman" w:cs="Times New Roman"/>
          <w:sz w:val="24"/>
          <w:szCs w:val="24"/>
        </w:rPr>
      </w:pPr>
      <w:r>
        <w:rPr>
          <w:rFonts w:ascii="Times New Roman" w:hAnsi="Times New Roman" w:cs="Times New Roman"/>
          <w:sz w:val="24"/>
          <w:szCs w:val="24"/>
        </w:rPr>
        <w:t>varianty vstupu a výstupu sú uvedené v nasledovnej tabuľke:</w:t>
      </w:r>
    </w:p>
    <w:p w:rsidR="00F63F07">
      <w:pPr>
        <w:pStyle w:val="ListParagraph"/>
        <w:bidi w:val="0"/>
      </w:pPr>
    </w:p>
    <w:tbl>
      <w:tblPr>
        <w:tblStyle w:val="TableNormal"/>
        <w:tblW w:w="6420" w:type="dxa"/>
        <w:jc w:val="center"/>
        <w:tblInd w:w="-13" w:type="dxa"/>
        <w:tblCellMar>
          <w:left w:w="0" w:type="dxa"/>
          <w:right w:w="0" w:type="dxa"/>
        </w:tblCellMar>
        <w:tblLook w:val="00A0"/>
      </w:tblPr>
      <w:tblGrid>
        <w:gridCol w:w="1248"/>
        <w:gridCol w:w="1248"/>
        <w:gridCol w:w="1248"/>
        <w:gridCol w:w="1368"/>
        <w:gridCol w:w="1308"/>
      </w:tblGrid>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vstupujúci</w:t>
            </w:r>
          </w:p>
        </w:tc>
        <w:tc>
          <w:tcPr>
            <w:tcW w:w="124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rsidRPr="00566FF6" w:rsidP="00566FF6">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2012</w:t>
            </w:r>
          </w:p>
        </w:tc>
        <w:tc>
          <w:tcPr>
            <w:tcW w:w="124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2013</w:t>
            </w:r>
          </w:p>
        </w:tc>
        <w:tc>
          <w:tcPr>
            <w:tcW w:w="136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2014</w:t>
            </w:r>
          </w:p>
        </w:tc>
        <w:tc>
          <w:tcPr>
            <w:tcW w:w="130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2015</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5</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134 760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1 685 149</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1 761 110</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1 853 064</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10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269 520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3 370 297</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3 522 220</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3 706 127</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20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539 039</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6 740 594</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7 044 441</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7 412 255</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30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808 559</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10 110 891</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10 566 661</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11 118 382</w:t>
            </w:r>
          </w:p>
        </w:tc>
      </w:tr>
      <w:tr>
        <w:tblPrEx>
          <w:tblW w:w="6420" w:type="dxa"/>
          <w:jc w:val="center"/>
          <w:tblInd w:w="-13" w:type="dxa"/>
          <w:tblCellMar>
            <w:left w:w="0" w:type="dxa"/>
            <w:right w:w="0" w:type="dxa"/>
          </w:tblCellMar>
          <w:tblLook w:val="00A0"/>
        </w:tblPrEx>
        <w:trPr>
          <w:trHeight w:val="300"/>
          <w:jc w:val="center"/>
        </w:trPr>
        <w:tc>
          <w:tcPr>
            <w:tcW w:w="1248" w:type="dxa"/>
            <w:tcBorders>
              <w:top w:val="none" w:sz="0" w:space="0" w:color="auto"/>
              <w:left w:val="none" w:sz="0" w:space="0" w:color="auto"/>
              <w:bottom w:val="single" w:sz="4" w:space="0" w:color="auto"/>
              <w:right w:val="none" w:sz="0" w:space="0" w:color="auto"/>
            </w:tcBorders>
            <w:noWrap/>
            <w:tcMar>
              <w:top w:w="0" w:type="dxa"/>
              <w:left w:w="70" w:type="dxa"/>
              <w:bottom w:w="0" w:type="dxa"/>
              <w:right w:w="70" w:type="dxa"/>
            </w:tcMar>
            <w:textDirection w:val="lrTb"/>
            <w:vAlign w:val="center"/>
          </w:tcPr>
          <w:p w:rsidR="00F63F07">
            <w:pPr>
              <w:bidi w:val="0"/>
              <w:jc w:val="right"/>
              <w:rPr>
                <w:rFonts w:ascii="Arial Narrow" w:hAnsi="Arial Narrow"/>
                <w:sz w:val="20"/>
                <w:szCs w:val="20"/>
              </w:rPr>
            </w:pPr>
          </w:p>
        </w:tc>
        <w:tc>
          <w:tcPr>
            <w:tcW w:w="1248" w:type="dxa"/>
            <w:tcBorders>
              <w:top w:val="none" w:sz="0" w:space="0" w:color="auto"/>
              <w:left w:val="none" w:sz="0" w:space="0" w:color="auto"/>
              <w:bottom w:val="single" w:sz="4" w:space="0" w:color="auto"/>
              <w:right w:val="none" w:sz="0" w:space="0" w:color="auto"/>
            </w:tcBorders>
            <w:noWrap/>
            <w:tcMar>
              <w:top w:w="0" w:type="dxa"/>
              <w:left w:w="70" w:type="dxa"/>
              <w:bottom w:w="0" w:type="dxa"/>
              <w:right w:w="70" w:type="dxa"/>
            </w:tcMar>
            <w:textDirection w:val="lrTb"/>
            <w:vAlign w:val="center"/>
          </w:tcPr>
          <w:p w:rsidR="00F63F07">
            <w:pPr>
              <w:bidi w:val="0"/>
              <w:jc w:val="right"/>
              <w:rPr>
                <w:rFonts w:ascii="Arial Narrow" w:hAnsi="Arial Narrow"/>
                <w:sz w:val="20"/>
                <w:szCs w:val="20"/>
              </w:rPr>
            </w:pPr>
          </w:p>
        </w:tc>
        <w:tc>
          <w:tcPr>
            <w:tcW w:w="1248" w:type="dxa"/>
            <w:tcBorders>
              <w:top w:val="none" w:sz="0" w:space="0" w:color="auto"/>
              <w:left w:val="none" w:sz="0" w:space="0" w:color="auto"/>
              <w:bottom w:val="single" w:sz="4" w:space="0" w:color="auto"/>
              <w:right w:val="none" w:sz="0" w:space="0" w:color="auto"/>
            </w:tcBorders>
            <w:noWrap/>
            <w:tcMar>
              <w:top w:w="0" w:type="dxa"/>
              <w:left w:w="70" w:type="dxa"/>
              <w:bottom w:w="0" w:type="dxa"/>
              <w:right w:w="70" w:type="dxa"/>
            </w:tcMar>
            <w:textDirection w:val="lrTb"/>
            <w:vAlign w:val="center"/>
          </w:tcPr>
          <w:p w:rsidR="00F63F07">
            <w:pPr>
              <w:bidi w:val="0"/>
              <w:jc w:val="right"/>
              <w:rPr>
                <w:rFonts w:ascii="Arial Narrow" w:hAnsi="Arial Narrow"/>
                <w:sz w:val="20"/>
                <w:szCs w:val="20"/>
              </w:rPr>
            </w:pPr>
          </w:p>
        </w:tc>
        <w:tc>
          <w:tcPr>
            <w:tcW w:w="1368" w:type="dxa"/>
            <w:tcBorders>
              <w:top w:val="none" w:sz="0" w:space="0" w:color="auto"/>
              <w:left w:val="none" w:sz="0" w:space="0" w:color="auto"/>
              <w:bottom w:val="single" w:sz="4" w:space="0" w:color="auto"/>
              <w:right w:val="none" w:sz="0" w:space="0" w:color="auto"/>
            </w:tcBorders>
            <w:noWrap/>
            <w:tcMar>
              <w:top w:w="0" w:type="dxa"/>
              <w:left w:w="70" w:type="dxa"/>
              <w:bottom w:w="0" w:type="dxa"/>
              <w:right w:w="70" w:type="dxa"/>
            </w:tcMar>
            <w:textDirection w:val="lrTb"/>
            <w:vAlign w:val="center"/>
          </w:tcPr>
          <w:p w:rsidR="00F63F07">
            <w:pPr>
              <w:bidi w:val="0"/>
              <w:jc w:val="right"/>
              <w:rPr>
                <w:rFonts w:ascii="Arial Narrow" w:hAnsi="Arial Narrow"/>
                <w:sz w:val="20"/>
                <w:szCs w:val="20"/>
              </w:rPr>
            </w:pPr>
          </w:p>
        </w:tc>
        <w:tc>
          <w:tcPr>
            <w:tcW w:w="1308" w:type="dxa"/>
            <w:tcBorders>
              <w:top w:val="none" w:sz="0" w:space="0" w:color="auto"/>
              <w:left w:val="none" w:sz="0" w:space="0" w:color="auto"/>
              <w:bottom w:val="single" w:sz="4" w:space="0" w:color="auto"/>
              <w:right w:val="none" w:sz="0" w:space="0" w:color="auto"/>
            </w:tcBorders>
            <w:noWrap/>
            <w:tcMar>
              <w:top w:w="0" w:type="dxa"/>
              <w:left w:w="70" w:type="dxa"/>
              <w:bottom w:w="0" w:type="dxa"/>
              <w:right w:w="70" w:type="dxa"/>
            </w:tcMar>
            <w:textDirection w:val="lrTb"/>
            <w:vAlign w:val="center"/>
          </w:tcPr>
          <w:p w:rsidR="00F63F07">
            <w:pPr>
              <w:bidi w:val="0"/>
              <w:jc w:val="right"/>
              <w:rPr>
                <w:rFonts w:ascii="Arial Narrow" w:hAnsi="Arial Narrow"/>
                <w:sz w:val="20"/>
                <w:szCs w:val="20"/>
              </w:rPr>
            </w:pP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vystupujúci</w:t>
            </w:r>
          </w:p>
        </w:tc>
        <w:tc>
          <w:tcPr>
            <w:tcW w:w="124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rsidRPr="00566FF6" w:rsidP="00566FF6">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2012</w:t>
            </w:r>
          </w:p>
        </w:tc>
        <w:tc>
          <w:tcPr>
            <w:tcW w:w="124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2013</w:t>
            </w:r>
          </w:p>
        </w:tc>
        <w:tc>
          <w:tcPr>
            <w:tcW w:w="136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2014</w:t>
            </w:r>
          </w:p>
        </w:tc>
        <w:tc>
          <w:tcPr>
            <w:tcW w:w="1308" w:type="dxa"/>
            <w:tcBorders>
              <w:top w:val="single" w:sz="4" w:space="0" w:color="auto"/>
              <w:left w:val="single" w:sz="4" w:space="0" w:color="auto"/>
              <w:bottom w:val="single" w:sz="4" w:space="0" w:color="auto"/>
              <w:right w:val="single" w:sz="4" w:space="0" w:color="auto"/>
            </w:tcBorders>
            <w:shd w:val="clear" w:color="auto" w:fill="000000"/>
            <w:noWrap/>
            <w:tcMar>
              <w:top w:w="0" w:type="dxa"/>
              <w:left w:w="70" w:type="dxa"/>
              <w:bottom w:w="0" w:type="dxa"/>
              <w:right w:w="70" w:type="dxa"/>
            </w:tcMar>
            <w:textDirection w:val="lrTb"/>
            <w:vAlign w:val="center"/>
          </w:tcPr>
          <w:p w:rsidR="00F63F07">
            <w:pPr>
              <w:bidi w:val="0"/>
              <w:jc w:val="right"/>
              <w:rPr>
                <w:rFonts w:ascii="Arial Narrow" w:hAnsi="Arial Narrow" w:cs="Calibri"/>
                <w:b/>
                <w:bCs/>
                <w:color w:val="FFFFFF"/>
                <w:sz w:val="20"/>
                <w:szCs w:val="20"/>
              </w:rPr>
            </w:pPr>
            <w:r w:rsidRPr="00D414AF">
              <w:rPr>
                <w:rFonts w:ascii="Arial Narrow" w:hAnsi="Arial Narrow"/>
                <w:b/>
                <w:bCs/>
                <w:color w:val="FFFFFF"/>
                <w:sz w:val="20"/>
                <w:szCs w:val="20"/>
              </w:rPr>
              <w:t>2015</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20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90 427 520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6 740 594</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7 044 441</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7 412 255</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40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180 855 040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13 481 189</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14 088 882</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14 824 510</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60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271 282 560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20 221 783</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21 133 322</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22 236 765</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80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361 710 080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26 962 377</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28 177 763</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29 649 020</w:t>
            </w:r>
          </w:p>
        </w:tc>
      </w:tr>
      <w:tr>
        <w:tblPrEx>
          <w:tblW w:w="6420" w:type="dxa"/>
          <w:jc w:val="center"/>
          <w:tblInd w:w="-13" w:type="dxa"/>
          <w:tblCellMar>
            <w:left w:w="0" w:type="dxa"/>
            <w:right w:w="0" w:type="dxa"/>
          </w:tblCellMar>
          <w:tblLook w:val="00A0"/>
        </w:tblPrEx>
        <w:trPr>
          <w:trHeight w:val="300"/>
          <w:jc w:val="center"/>
        </w:trPr>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6D0A2B" w:rsidRPr="00566FF6" w:rsidP="00566FF6">
            <w:pPr>
              <w:bidi w:val="0"/>
              <w:jc w:val="right"/>
              <w:rPr>
                <w:rFonts w:ascii="Arial Narrow" w:hAnsi="Arial Narrow" w:cs="Calibri"/>
                <w:b/>
                <w:bCs/>
                <w:color w:val="000000"/>
                <w:sz w:val="20"/>
                <w:szCs w:val="20"/>
              </w:rPr>
            </w:pPr>
            <w:r w:rsidRPr="00D414AF">
              <w:rPr>
                <w:rFonts w:ascii="Arial Narrow" w:hAnsi="Arial Narrow"/>
                <w:b/>
                <w:bCs/>
                <w:color w:val="000000"/>
                <w:sz w:val="20"/>
                <w:szCs w:val="20"/>
              </w:rPr>
              <w:t>100</w:t>
            </w:r>
            <w:r>
              <w:rPr>
                <w:rFonts w:ascii="Arial Narrow" w:hAnsi="Arial Narrow"/>
                <w:b/>
                <w:bCs/>
                <w:color w:val="000000"/>
                <w:sz w:val="20"/>
                <w:szCs w:val="20"/>
              </w:rPr>
              <w:t xml:space="preserve"> </w:t>
            </w:r>
            <w:r w:rsidRPr="00D414AF">
              <w:rPr>
                <w:rFonts w:ascii="Arial Narrow" w:hAnsi="Arial Narrow"/>
                <w:b/>
                <w:bCs/>
                <w:color w:val="000000"/>
                <w:sz w:val="20"/>
                <w:szCs w:val="20"/>
              </w:rPr>
              <w:t>000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452 137 600</w:t>
            </w:r>
          </w:p>
        </w:tc>
        <w:tc>
          <w:tcPr>
            <w:tcW w:w="12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33 702 971</w:t>
            </w:r>
          </w:p>
        </w:tc>
        <w:tc>
          <w:tcPr>
            <w:tcW w:w="136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35 222 204</w:t>
            </w:r>
          </w:p>
        </w:tc>
        <w:tc>
          <w:tcPr>
            <w:tcW w:w="13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bottom"/>
          </w:tcPr>
          <w:p w:rsidR="006D0A2B" w:rsidRPr="006D0A2B">
            <w:pPr>
              <w:bidi w:val="0"/>
              <w:jc w:val="right"/>
              <w:rPr>
                <w:rFonts w:ascii="Arial Narrow" w:hAnsi="Arial Narrow"/>
                <w:color w:val="000000"/>
                <w:sz w:val="20"/>
                <w:szCs w:val="20"/>
              </w:rPr>
            </w:pPr>
            <w:r w:rsidRPr="006D0A2B">
              <w:rPr>
                <w:rFonts w:ascii="Arial Narrow" w:hAnsi="Arial Narrow"/>
                <w:color w:val="000000"/>
                <w:sz w:val="20"/>
                <w:szCs w:val="20"/>
              </w:rPr>
              <w:t>37 061 275</w:t>
            </w:r>
          </w:p>
        </w:tc>
      </w:tr>
    </w:tbl>
    <w:p w:rsidR="00F63F07">
      <w:pPr>
        <w:pStyle w:val="ListParagraph"/>
        <w:bidi w:val="0"/>
        <w:jc w:val="both"/>
        <w:rPr>
          <w:rFonts w:ascii="Times New Roman" w:hAnsi="Times New Roman" w:cs="Times New Roman"/>
          <w:sz w:val="24"/>
          <w:szCs w:val="24"/>
        </w:rPr>
      </w:pPr>
    </w:p>
    <w:p w:rsidR="00F63F07" w:rsidP="00963EE8">
      <w:pPr>
        <w:tabs>
          <w:tab w:val="left" w:pos="709"/>
        </w:tabs>
        <w:bidi w:val="0"/>
        <w:spacing w:after="120"/>
        <w:jc w:val="both"/>
        <w:rPr>
          <w:rFonts w:ascii="Times New Roman" w:hAnsi="Times New Roman"/>
          <w:b/>
        </w:rPr>
      </w:pPr>
    </w:p>
    <w:p w:rsidR="00F63F07" w:rsidRPr="0046106F" w:rsidP="00963EE8">
      <w:pPr>
        <w:tabs>
          <w:tab w:val="left" w:pos="709"/>
        </w:tabs>
        <w:bidi w:val="0"/>
        <w:spacing w:after="120"/>
        <w:jc w:val="both"/>
        <w:rPr>
          <w:rFonts w:ascii="Times New Roman" w:hAnsi="Times New Roman"/>
          <w:b/>
          <w:color w:val="000000"/>
        </w:rPr>
      </w:pPr>
      <w:r>
        <w:rPr>
          <w:rFonts w:ascii="Times New Roman" w:hAnsi="Times New Roman"/>
          <w:b/>
        </w:rPr>
        <w:t xml:space="preserve">M. Úprava vymeriavacieho základu pre samostatne zárobkovo činné osoby pri verejnom </w:t>
      </w:r>
      <w:r w:rsidRPr="0046106F">
        <w:rPr>
          <w:rFonts w:ascii="Times New Roman" w:hAnsi="Times New Roman"/>
          <w:b/>
          <w:color w:val="000000"/>
        </w:rPr>
        <w:t xml:space="preserve">zdravotnom poistení </w:t>
      </w:r>
      <w:r w:rsidRPr="0046106F">
        <w:rPr>
          <w:rFonts w:ascii="Times New Roman" w:hAnsi="Times New Roman"/>
          <w:color w:val="000000"/>
        </w:rPr>
        <w:t>(ďalej len SZČO)</w:t>
      </w:r>
      <w:r w:rsidRPr="0046106F">
        <w:rPr>
          <w:rFonts w:ascii="Times New Roman" w:hAnsi="Times New Roman"/>
          <w:b/>
          <w:color w:val="000000"/>
        </w:rPr>
        <w:t>.</w:t>
      </w:r>
    </w:p>
    <w:p w:rsidR="00F63F07" w:rsidRPr="0046106F" w:rsidP="00963EE8">
      <w:pPr>
        <w:autoSpaceDE w:val="0"/>
        <w:autoSpaceDN w:val="0"/>
        <w:bidi w:val="0"/>
        <w:jc w:val="both"/>
        <w:rPr>
          <w:rFonts w:ascii="Times New Roman" w:hAnsi="Times New Roman"/>
          <w:color w:val="000000"/>
        </w:rPr>
      </w:pPr>
      <w:r w:rsidRPr="0046106F">
        <w:rPr>
          <w:rFonts w:ascii="Times New Roman" w:hAnsi="Times New Roman"/>
          <w:color w:val="000000"/>
        </w:rPr>
        <w:t xml:space="preserve">Postupným znížením konštanty používanej na úpravu vymeriavacieho základu SZČO na platenie poistného na </w:t>
      </w:r>
      <w:r>
        <w:rPr>
          <w:rFonts w:ascii="Times New Roman" w:hAnsi="Times New Roman"/>
          <w:color w:val="000000"/>
        </w:rPr>
        <w:t xml:space="preserve">verejné </w:t>
      </w:r>
      <w:r w:rsidRPr="0046106F">
        <w:rPr>
          <w:rFonts w:ascii="Times New Roman" w:hAnsi="Times New Roman"/>
          <w:color w:val="000000"/>
        </w:rPr>
        <w:t>zdravotné poistenie zo súčasnej hodnoty 2,14 na 1,486 sa odstraňuje dlhoročné zvýhodnenie SZČO a ich zaťaženie sa približuje k úrovni zaťaženia závislej činnosti. Rovnako dochádza k zvýšeniu minimálneho vymeriavacieho základu u SZČO zo súčasnej úrovne 44,2 % priemernej mzdy na úroveň 50 % priemernej mzdy. Pri kvantifikácii sa vychádzalo z údajov z daňových priznaní typu „B“, keďže vymeriavací základ SZČO je stanovený na základe vykázaného základu dane z príjmov a údajov z prehľadu o priemernom počte poistencov v</w:t>
      </w:r>
      <w:r>
        <w:rPr>
          <w:rFonts w:ascii="Times New Roman" w:hAnsi="Times New Roman"/>
          <w:color w:val="000000"/>
        </w:rPr>
        <w:t xml:space="preserve">o verejnom </w:t>
      </w:r>
      <w:r w:rsidRPr="0046106F">
        <w:rPr>
          <w:rFonts w:ascii="Times New Roman" w:hAnsi="Times New Roman"/>
          <w:color w:val="000000"/>
        </w:rPr>
        <w:t xml:space="preserve">zdravotnom poistení ako aj expertných odhadov MF SR. Na základe rozboru týchto údajov je možné konštatovať, že v súčasnosti takmer 91 % SZČO platí poistné z minimálneho vymeriavacieho základu (v prípade SZČO vzniká povinnosť platenia poistného na </w:t>
      </w:r>
      <w:r>
        <w:rPr>
          <w:rFonts w:ascii="Times New Roman" w:hAnsi="Times New Roman"/>
          <w:color w:val="000000"/>
        </w:rPr>
        <w:t xml:space="preserve">verejné </w:t>
      </w:r>
      <w:r w:rsidRPr="0046106F">
        <w:rPr>
          <w:rFonts w:ascii="Times New Roman" w:hAnsi="Times New Roman"/>
          <w:color w:val="000000"/>
        </w:rPr>
        <w:t xml:space="preserve">zdravotne poistenie bez ohľadu na výšku jeho obratu). Zníženie koeficientu pre výpočet vymeriavacieho základu pri súčasnom zvýšení minimálneho vymeriavacieho základu sa premietne do zníženia disponibilných príjmov všetkých SZČO, ktoré v súčasnosti platia poistné na </w:t>
      </w:r>
      <w:r>
        <w:rPr>
          <w:rFonts w:ascii="Times New Roman" w:hAnsi="Times New Roman"/>
          <w:color w:val="000000"/>
        </w:rPr>
        <w:t xml:space="preserve">verejné </w:t>
      </w:r>
      <w:r w:rsidRPr="0046106F">
        <w:rPr>
          <w:rFonts w:ascii="Times New Roman" w:hAnsi="Times New Roman"/>
          <w:color w:val="000000"/>
        </w:rPr>
        <w:t>zdravotné poistenie</w:t>
      </w:r>
      <w:r>
        <w:rPr>
          <w:rFonts w:ascii="Times New Roman" w:hAnsi="Times New Roman"/>
          <w:color w:val="000000"/>
        </w:rPr>
        <w:t>.</w:t>
      </w:r>
      <w:r w:rsidRPr="0046106F">
        <w:rPr>
          <w:rFonts w:ascii="Times New Roman" w:hAnsi="Times New Roman"/>
          <w:color w:val="000000"/>
        </w:rPr>
        <w:t xml:space="preserve"> Rovnako zmena konštánt prispeje k situácii, že sa zníži počet SZČO platiacich z minimálneho vymeriavacieho základu  zo súčasných 91 % na cca 80 %. Výpočet zohľadňuje aj zvýšenú motiváciu na optimalizáciu základu dane cez daňové výdavky, či iné nelegálne možnosti optimalizácie. </w:t>
      </w:r>
    </w:p>
    <w:p w:rsidR="00F63F07" w:rsidP="00963EE8">
      <w:pPr>
        <w:autoSpaceDE w:val="0"/>
        <w:autoSpaceDN w:val="0"/>
        <w:bidi w:val="0"/>
        <w:adjustRightInd w:val="0"/>
        <w:jc w:val="both"/>
        <w:rPr>
          <w:rFonts w:ascii="Times New Roman" w:hAnsi="Times New Roman"/>
          <w:szCs w:val="22"/>
        </w:rPr>
      </w:pPr>
    </w:p>
    <w:p w:rsidR="00F63F07" w:rsidP="00241235">
      <w:pPr>
        <w:tabs>
          <w:tab w:val="left" w:pos="709"/>
        </w:tabs>
        <w:bidi w:val="0"/>
        <w:spacing w:after="120"/>
        <w:jc w:val="both"/>
        <w:rPr>
          <w:rFonts w:ascii="Times New Roman" w:hAnsi="Times New Roman"/>
          <w:b/>
        </w:rPr>
      </w:pPr>
      <w:r>
        <w:rPr>
          <w:rFonts w:ascii="Times New Roman" w:hAnsi="Times New Roman"/>
          <w:b/>
        </w:rPr>
        <w:t>N. Vplyv úpravy minimálneho vymeriavacieho základu na tzv. samoplatiteľov poistného na verejné zdravotné poistenie.</w:t>
      </w:r>
    </w:p>
    <w:p w:rsidR="00F63F07" w:rsidRPr="005627F0" w:rsidP="00241235">
      <w:pPr>
        <w:tabs>
          <w:tab w:val="left" w:pos="709"/>
        </w:tabs>
        <w:bidi w:val="0"/>
        <w:spacing w:after="120"/>
        <w:jc w:val="both"/>
        <w:rPr>
          <w:rFonts w:ascii="Times New Roman" w:hAnsi="Times New Roman"/>
          <w:szCs w:val="22"/>
        </w:rPr>
      </w:pPr>
      <w:r>
        <w:rPr>
          <w:rFonts w:ascii="Times New Roman" w:hAnsi="Times New Roman"/>
        </w:rPr>
        <w:t xml:space="preserve"> Kvantifikácia vplyvu úpravy min. vymeriavacieho základu u tzv. samoplatiteľov verejného zdravotného poistenia vychádzala z údajov roka 2011 a navrhovanej úpravy v oblasti dohodárov (zavedenie povinnosti platiť verejné zdravotné poistné z príjmov z dohôd o prácach vykonávaných mimo pracovného pomeru). Zvýšenie min. vymeriavacieho základu z 44,2% na 50% priemernej mzdy spôsobí zvýšenie minimálneho ročného preddavku samoplatiteľa o 76,68 eur. Počet samoplatiteľov v roku 2011 predstavoval 116 525 osôb. Zavedenie povinnosti platenia verejného zdravotného poistenia z vybraných príjmov z dohôd spôsobí, že počet samoplatiteľov sa zníži, nakoľko podľa návrhu zákona doterajší samoplatitelia (osoby len s príjmom z dohôd) získajú status zamestnancov. Pri kvantifikácii s a tak vychádzalo z predpokladu, že táto zmena zníži počet samoplatiteľov o cca 22 000 osôb.  </w:t>
      </w:r>
    </w:p>
    <w:p w:rsidR="00F63F07" w:rsidP="00241235">
      <w:pPr>
        <w:tabs>
          <w:tab w:val="left" w:pos="709"/>
        </w:tabs>
        <w:bidi w:val="0"/>
        <w:spacing w:after="120"/>
        <w:jc w:val="both"/>
        <w:rPr>
          <w:rFonts w:ascii="Times New Roman" w:hAnsi="Times New Roman"/>
          <w:b/>
        </w:rPr>
      </w:pPr>
    </w:p>
    <w:p w:rsidR="00F63F07" w:rsidP="00241235">
      <w:pPr>
        <w:tabs>
          <w:tab w:val="left" w:pos="709"/>
        </w:tabs>
        <w:bidi w:val="0"/>
        <w:spacing w:after="120"/>
        <w:jc w:val="both"/>
        <w:rPr>
          <w:rFonts w:ascii="Times New Roman" w:hAnsi="Times New Roman"/>
          <w:b/>
        </w:rPr>
      </w:pPr>
      <w:r>
        <w:rPr>
          <w:rFonts w:ascii="Times New Roman" w:hAnsi="Times New Roman"/>
          <w:b/>
        </w:rPr>
        <w:t>O</w:t>
      </w:r>
      <w:r w:rsidRPr="006D27E1">
        <w:rPr>
          <w:rFonts w:ascii="Times New Roman" w:hAnsi="Times New Roman"/>
          <w:b/>
        </w:rPr>
        <w:t>. Z</w:t>
      </w:r>
      <w:r>
        <w:rPr>
          <w:rFonts w:ascii="Times New Roman" w:hAnsi="Times New Roman"/>
          <w:b/>
        </w:rPr>
        <w:t>avedenie povinnosti platiť poistné na verejné zdravotné poistenie z dohôd o prácach vykonávaných mimo pracovného pomeru</w:t>
      </w:r>
    </w:p>
    <w:p w:rsidR="00F63F07" w:rsidRPr="004B44C9" w:rsidP="00241235">
      <w:pPr>
        <w:autoSpaceDE w:val="0"/>
        <w:autoSpaceDN w:val="0"/>
        <w:bidi w:val="0"/>
        <w:adjustRightInd w:val="0"/>
        <w:jc w:val="both"/>
        <w:rPr>
          <w:rFonts w:ascii="Times New Roman" w:hAnsi="Times New Roman"/>
          <w:b/>
        </w:rPr>
      </w:pPr>
      <w:r w:rsidRPr="008527B7">
        <w:rPr>
          <w:rFonts w:ascii="Times New Roman" w:hAnsi="Times New Roman"/>
        </w:rPr>
        <w:t>Kvantifikácia vychádza z </w:t>
      </w:r>
      <w:r>
        <w:rPr>
          <w:rFonts w:ascii="Times New Roman" w:hAnsi="Times New Roman"/>
        </w:rPr>
        <w:t xml:space="preserve">priemerných mesačných údajov o počte poistných vzťahov na dohody za rok 2011 (celkový objem vyplatených dohôd na úrovni približne 800 </w:t>
      </w:r>
      <w:r w:rsidRPr="00D414AF">
        <w:rPr>
          <w:rFonts w:ascii="Times New Roman" w:hAnsi="Times New Roman"/>
          <w:bCs/>
        </w:rPr>
        <w:t>mil. eur, pri priemernom mesačnom počte úväzkov</w:t>
      </w:r>
      <w:r>
        <w:rPr>
          <w:rFonts w:ascii="Times New Roman" w:hAnsi="Times New Roman"/>
          <w:bCs/>
        </w:rPr>
        <w:t xml:space="preserve"> </w:t>
      </w:r>
      <w:r w:rsidRPr="00D414AF">
        <w:rPr>
          <w:rFonts w:ascii="Times New Roman" w:hAnsi="Times New Roman"/>
          <w:bCs/>
        </w:rPr>
        <w:t>cca 399 000, z čoho 205 000 bolo bez súbehu s iným úväzkom</w:t>
      </w:r>
      <w:r w:rsidRPr="00D414AF">
        <w:rPr>
          <w:rFonts w:ascii="Times New Roman" w:hAnsi="Times New Roman"/>
        </w:rPr>
        <w:t>)</w:t>
      </w:r>
      <w:r w:rsidRPr="008527B7">
        <w:rPr>
          <w:rFonts w:ascii="Times New Roman" w:hAnsi="Times New Roman"/>
        </w:rPr>
        <w:t>,</w:t>
      </w:r>
      <w:r>
        <w:rPr>
          <w:rFonts w:ascii="Times New Roman" w:hAnsi="Times New Roman"/>
        </w:rPr>
        <w:t>, ktoré boli</w:t>
      </w:r>
      <w:r w:rsidRPr="004B44C9">
        <w:rPr>
          <w:rFonts w:ascii="Times New Roman" w:hAnsi="Times New Roman"/>
        </w:rPr>
        <w:t xml:space="preserve"> následne indexované.</w:t>
      </w:r>
      <w:r>
        <w:rPr>
          <w:rFonts w:ascii="Times New Roman" w:hAnsi="Times New Roman"/>
        </w:rPr>
        <w:t xml:space="preserve"> V prípade študentov  a poberateľov starobného alebo invalidného dôchodku sa neuvažuje s platením verejného zdravotného poistenia z príjmov z dohôd, čo bolo zohľadnené vo výslednej kvantifikácii.</w:t>
      </w:r>
      <w:r w:rsidRPr="004B44C9">
        <w:rPr>
          <w:rFonts w:ascii="Times New Roman" w:hAnsi="Times New Roman"/>
        </w:rPr>
        <w:t xml:space="preserve"> Ďalej sa predpokladá, že finančné prostriedky určené na výplatu miezd u zamestnávateľov sa po zavedení povinnosti platiť poistné na sociálne a</w:t>
      </w:r>
      <w:r>
        <w:rPr>
          <w:rFonts w:ascii="Times New Roman" w:hAnsi="Times New Roman"/>
        </w:rPr>
        <w:t xml:space="preserve"> verejné </w:t>
      </w:r>
      <w:r w:rsidRPr="004B44C9">
        <w:rPr>
          <w:rFonts w:ascii="Times New Roman" w:hAnsi="Times New Roman"/>
        </w:rPr>
        <w:t>zdravotné poistenie  nezmenia, resp. zmenia len mierne (napr. vplyvo</w:t>
      </w:r>
      <w:r>
        <w:rPr>
          <w:rFonts w:ascii="Times New Roman" w:hAnsi="Times New Roman"/>
        </w:rPr>
        <w:t>m vyššej produktivity dohodárov a</w:t>
      </w:r>
      <w:r w:rsidRPr="004B44C9">
        <w:rPr>
          <w:rFonts w:ascii="Times New Roman" w:hAnsi="Times New Roman"/>
        </w:rPr>
        <w:t xml:space="preserve"> úsporných opatrení).</w:t>
      </w:r>
      <w:r w:rsidRPr="004B44C9">
        <w:rPr>
          <w:rFonts w:ascii="Arial Narrow" w:hAnsi="Arial Narrow"/>
        </w:rPr>
        <w:t xml:space="preserve"> </w:t>
      </w:r>
    </w:p>
    <w:p w:rsidR="00F63F07" w:rsidP="00241235">
      <w:pPr>
        <w:autoSpaceDE w:val="0"/>
        <w:autoSpaceDN w:val="0"/>
        <w:bidi w:val="0"/>
        <w:adjustRightInd w:val="0"/>
        <w:jc w:val="both"/>
        <w:rPr>
          <w:rFonts w:ascii="Times New Roman" w:hAnsi="Times New Roman"/>
          <w:szCs w:val="22"/>
        </w:rPr>
      </w:pPr>
    </w:p>
    <w:p w:rsidR="00F63F07" w:rsidP="00241235">
      <w:pPr>
        <w:bidi w:val="0"/>
        <w:spacing w:after="120"/>
        <w:jc w:val="both"/>
        <w:rPr>
          <w:rFonts w:ascii="Times New Roman" w:hAnsi="Times New Roman"/>
          <w:color w:val="000000"/>
        </w:rPr>
      </w:pPr>
      <w:r>
        <w:rPr>
          <w:rFonts w:ascii="Times New Roman" w:hAnsi="Times New Roman"/>
          <w:b/>
        </w:rPr>
        <w:t xml:space="preserve">P. </w:t>
      </w:r>
      <w:r w:rsidRPr="006D27E1">
        <w:rPr>
          <w:rFonts w:ascii="Times New Roman" w:hAnsi="Times New Roman"/>
          <w:b/>
        </w:rPr>
        <w:t>Z</w:t>
      </w:r>
      <w:r>
        <w:rPr>
          <w:rFonts w:ascii="Times New Roman" w:hAnsi="Times New Roman"/>
          <w:b/>
        </w:rPr>
        <w:t>výšenie maximálneho vymeriavacieho základu na poistné na verejné zdravotné poistenie.</w:t>
      </w:r>
    </w:p>
    <w:p w:rsidR="00F63F07" w:rsidP="00963EE8">
      <w:pPr>
        <w:autoSpaceDE w:val="0"/>
        <w:autoSpaceDN w:val="0"/>
        <w:bidi w:val="0"/>
        <w:adjustRightInd w:val="0"/>
        <w:jc w:val="both"/>
        <w:rPr>
          <w:rFonts w:ascii="Times New Roman" w:hAnsi="Times New Roman"/>
          <w:szCs w:val="22"/>
        </w:rPr>
      </w:pPr>
      <w:r w:rsidRPr="00D414AF">
        <w:rPr>
          <w:rFonts w:ascii="Times New Roman" w:hAnsi="Times New Roman"/>
          <w:color w:val="000000"/>
        </w:rPr>
        <w:t xml:space="preserve">Kvantifikácia vychádza z údajov Sociálnej poisťovne o výške vymeriavacích základov. </w:t>
      </w:r>
      <w:r w:rsidRPr="00D414AF">
        <w:rPr>
          <w:rFonts w:ascii="Times New Roman" w:hAnsi="Times New Roman"/>
        </w:rPr>
        <w:t xml:space="preserve">Podľa predmetných údajov z celkového počtu zamestnancov v národnom hospodárstve Slovenskej republiky (1 760 000) malo cca 2,5 % príjmy nad úrovňou trojnásobku priemernej mzdy, čo zodpovedá 44 300 osobám. Na základe distribúcie zamestnancov s príjmom nad úrovňou 3 násobku priemernej mzdy sa určil priemerný vymeriavací základ (berúc v úvahu maximálnu hodnotu na úrovni 5 násobku) týchto osôb na úrovni 3 228 eur. </w:t>
      </w:r>
      <w:r w:rsidRPr="00D414AF">
        <w:rPr>
          <w:rFonts w:ascii="Times New Roman" w:hAnsi="Times New Roman"/>
          <w:color w:val="000000"/>
        </w:rPr>
        <w:t>Predpokladá sa, že uvedená zmena sa minimálne dotkne samoplatiteľov a SZČO.</w:t>
      </w:r>
    </w:p>
    <w:p w:rsidR="00F63F07" w:rsidP="00963EE8">
      <w:pPr>
        <w:autoSpaceDE w:val="0"/>
        <w:autoSpaceDN w:val="0"/>
        <w:bidi w:val="0"/>
        <w:adjustRightInd w:val="0"/>
        <w:jc w:val="both"/>
        <w:rPr>
          <w:rFonts w:ascii="Times New Roman" w:hAnsi="Times New Roman"/>
          <w:b/>
          <w:szCs w:val="22"/>
        </w:rPr>
      </w:pPr>
    </w:p>
    <w:p w:rsidR="00F63F07" w:rsidP="00963EE8">
      <w:pPr>
        <w:autoSpaceDE w:val="0"/>
        <w:autoSpaceDN w:val="0"/>
        <w:bidi w:val="0"/>
        <w:adjustRightInd w:val="0"/>
        <w:jc w:val="both"/>
        <w:rPr>
          <w:rFonts w:ascii="Times New Roman" w:hAnsi="Times New Roman"/>
          <w:b/>
          <w:szCs w:val="22"/>
        </w:rPr>
      </w:pPr>
      <w:r w:rsidRPr="00472DEB">
        <w:rPr>
          <w:rFonts w:ascii="Times New Roman" w:hAnsi="Times New Roman"/>
          <w:b/>
          <w:szCs w:val="22"/>
        </w:rPr>
        <w:t>Kvantifikácia výdavkov</w:t>
      </w:r>
    </w:p>
    <w:p w:rsidR="00F63F07" w:rsidP="00963EE8">
      <w:pPr>
        <w:autoSpaceDE w:val="0"/>
        <w:autoSpaceDN w:val="0"/>
        <w:bidi w:val="0"/>
        <w:adjustRightInd w:val="0"/>
        <w:jc w:val="both"/>
        <w:rPr>
          <w:rFonts w:ascii="Times New Roman" w:hAnsi="Times New Roman"/>
          <w:b/>
          <w:szCs w:val="22"/>
        </w:rPr>
      </w:pPr>
    </w:p>
    <w:p w:rsidR="00F63F07" w:rsidP="00963EE8">
      <w:pPr>
        <w:tabs>
          <w:tab w:val="left" w:pos="709"/>
        </w:tabs>
        <w:bidi w:val="0"/>
        <w:spacing w:after="120"/>
        <w:jc w:val="both"/>
        <w:rPr>
          <w:rFonts w:ascii="Times New Roman" w:hAnsi="Times New Roman"/>
          <w:color w:val="000000"/>
        </w:rPr>
      </w:pPr>
      <w:r>
        <w:rPr>
          <w:rFonts w:ascii="Times New Roman" w:hAnsi="Times New Roman"/>
          <w:b/>
        </w:rPr>
        <w:t xml:space="preserve">C. Zmena spôsobu zvyšovania dôchodkových dávok, vybraných nesystémových dávok poskytovaných zo systému sociálneho poistenia a úrazových dávok od roku 2013. </w:t>
      </w:r>
    </w:p>
    <w:p w:rsidR="00F63F07" w:rsidP="00963EE8">
      <w:pPr>
        <w:autoSpaceDE w:val="0"/>
        <w:autoSpaceDN w:val="0"/>
        <w:bidi w:val="0"/>
        <w:adjustRightInd w:val="0"/>
        <w:jc w:val="both"/>
        <w:rPr>
          <w:rFonts w:ascii="Times New Roman" w:hAnsi="Times New Roman"/>
          <w:szCs w:val="22"/>
        </w:rPr>
      </w:pPr>
      <w:r w:rsidRPr="004B2597">
        <w:rPr>
          <w:rFonts w:ascii="Times New Roman" w:hAnsi="Times New Roman"/>
          <w:color w:val="000000"/>
        </w:rPr>
        <w:t>V súlade s</w:t>
      </w:r>
      <w:r>
        <w:rPr>
          <w:rFonts w:ascii="Times New Roman" w:hAnsi="Times New Roman"/>
          <w:color w:val="000000"/>
        </w:rPr>
        <w:t xml:space="preserve"> aktuálnou makroekonomickou prognózou IFP z júna 2012 </w:t>
      </w:r>
      <w:r w:rsidRPr="004B2597">
        <w:rPr>
          <w:rFonts w:ascii="Times New Roman" w:hAnsi="Times New Roman"/>
          <w:color w:val="000000"/>
        </w:rPr>
        <w:t>kvantifikácia predp</w:t>
      </w:r>
      <w:r>
        <w:rPr>
          <w:rFonts w:ascii="Times New Roman" w:hAnsi="Times New Roman"/>
          <w:color w:val="000000"/>
        </w:rPr>
        <w:t>okladala valorizáciu v roku 2014 vo výške 3,06 % (pôvodné percento bez zmeny právnej úpravy by bolo 3,2 % na základe júnovej makroekonomickej prognózy) a v roku 2015 vo výške 2</w:t>
      </w:r>
      <w:r w:rsidRPr="004B2597">
        <w:rPr>
          <w:rFonts w:ascii="Times New Roman" w:hAnsi="Times New Roman"/>
          <w:color w:val="000000"/>
        </w:rPr>
        <w:t>,</w:t>
      </w:r>
      <w:r>
        <w:rPr>
          <w:rFonts w:ascii="Times New Roman" w:hAnsi="Times New Roman"/>
          <w:color w:val="000000"/>
        </w:rPr>
        <w:t>72</w:t>
      </w:r>
      <w:r w:rsidRPr="004B2597">
        <w:rPr>
          <w:rFonts w:ascii="Times New Roman" w:hAnsi="Times New Roman"/>
          <w:color w:val="000000"/>
        </w:rPr>
        <w:t xml:space="preserve"> %</w:t>
      </w:r>
      <w:r>
        <w:rPr>
          <w:rFonts w:ascii="Times New Roman" w:hAnsi="Times New Roman"/>
          <w:color w:val="000000"/>
        </w:rPr>
        <w:t xml:space="preserve"> (pôvodné percento bez zmeny právnej úpravy by bolo 3,0 %)</w:t>
      </w:r>
      <w:r w:rsidRPr="004B2597">
        <w:rPr>
          <w:rFonts w:ascii="Times New Roman" w:hAnsi="Times New Roman"/>
          <w:color w:val="000000"/>
        </w:rPr>
        <w:t>.</w:t>
      </w:r>
      <w:r>
        <w:rPr>
          <w:rFonts w:ascii="Times New Roman" w:hAnsi="Times New Roman"/>
          <w:color w:val="000000"/>
        </w:rPr>
        <w:t xml:space="preserve"> Rovnaké valorizačné percentá boli použité na výpočet nových výdavkov pre vybrané nesystémové dôchodkové dávky poskytované zo systému sociálneho poistenia a úrazové dávky. </w:t>
      </w:r>
    </w:p>
    <w:p w:rsidR="00F63F07" w:rsidP="00963EE8">
      <w:pPr>
        <w:autoSpaceDE w:val="0"/>
        <w:autoSpaceDN w:val="0"/>
        <w:bidi w:val="0"/>
        <w:adjustRightInd w:val="0"/>
        <w:jc w:val="both"/>
        <w:rPr>
          <w:rFonts w:ascii="Times New Roman" w:hAnsi="Times New Roman"/>
          <w:b/>
          <w:szCs w:val="22"/>
        </w:rPr>
      </w:pPr>
    </w:p>
    <w:p w:rsidR="00F63F07" w:rsidP="00963EE8">
      <w:pPr>
        <w:tabs>
          <w:tab w:val="left" w:pos="709"/>
        </w:tabs>
        <w:bidi w:val="0"/>
        <w:spacing w:after="120"/>
        <w:jc w:val="both"/>
        <w:rPr>
          <w:rFonts w:ascii="Times New Roman" w:hAnsi="Times New Roman"/>
          <w:b/>
        </w:rPr>
      </w:pPr>
      <w:r>
        <w:rPr>
          <w:rFonts w:ascii="Times New Roman" w:hAnsi="Times New Roman"/>
          <w:b/>
        </w:rPr>
        <w:t xml:space="preserve">D. Úprava vymeriavacieho základu pre samostatne zárobkovo činné osoby </w:t>
      </w:r>
      <w:r>
        <w:rPr>
          <w:rFonts w:ascii="Times New Roman" w:hAnsi="Times New Roman"/>
        </w:rPr>
        <w:t>(ďalej len SZČO)</w:t>
      </w:r>
      <w:r>
        <w:rPr>
          <w:rFonts w:ascii="Times New Roman" w:hAnsi="Times New Roman"/>
          <w:b/>
        </w:rPr>
        <w:t>.</w:t>
      </w:r>
    </w:p>
    <w:p w:rsidR="00F63F07" w:rsidP="00963EE8">
      <w:pPr>
        <w:bidi w:val="0"/>
        <w:jc w:val="both"/>
        <w:rPr>
          <w:rFonts w:ascii="Times New Roman" w:hAnsi="Times New Roman"/>
        </w:rPr>
      </w:pPr>
      <w:r>
        <w:rPr>
          <w:rFonts w:ascii="Times New Roman" w:hAnsi="Times New Roman"/>
        </w:rPr>
        <w:t xml:space="preserve">Vplyvom zníženia konštanty a nárastu minimálneho vymeriavacieho základu bol priemerný vymeriavací základ SZČO na výpočet dávky na základe údajov o vymeriavacích základoch na nemocenské poistenie zvýšený o 11,7 % v roku 2014 a o 14,6 % v roku 2015. V roku 2013 sa predpokladá iba mierny vplyv na výdavky, nakoľko sa pri výpočte dávok nemocenského poistenia prednostne vychádza z vymeriavacieho základu z predchádzajúceho roka. Pri kvantifikácii sa vychádza z výdavkov na nemocenské poistenie </w:t>
      </w:r>
      <w:r>
        <w:rPr>
          <w:rFonts w:ascii="Times New Roman" w:hAnsi="Times New Roman"/>
          <w:bCs/>
        </w:rPr>
        <w:t>z návrhu</w:t>
      </w:r>
      <w:r w:rsidRPr="00D777FE">
        <w:rPr>
          <w:rFonts w:ascii="Times New Roman" w:hAnsi="Times New Roman"/>
          <w:bCs/>
        </w:rPr>
        <w:t xml:space="preserve"> východísk Soc</w:t>
      </w:r>
      <w:r>
        <w:rPr>
          <w:rFonts w:ascii="Times New Roman" w:hAnsi="Times New Roman"/>
          <w:bCs/>
        </w:rPr>
        <w:t>iálnej poisťovne na rok 2013 a </w:t>
      </w:r>
      <w:r w:rsidRPr="00D777FE">
        <w:rPr>
          <w:rFonts w:ascii="Times New Roman" w:hAnsi="Times New Roman"/>
          <w:bCs/>
        </w:rPr>
        <w:t>rozpočto</w:t>
      </w:r>
      <w:r>
        <w:rPr>
          <w:rFonts w:ascii="Times New Roman" w:hAnsi="Times New Roman"/>
          <w:bCs/>
        </w:rPr>
        <w:t>vého výhľadu na roky 2014 a 2015</w:t>
      </w:r>
      <w:r>
        <w:rPr>
          <w:rFonts w:ascii="Times New Roman" w:hAnsi="Times New Roman"/>
        </w:rPr>
        <w:t xml:space="preserve"> s váhou 7,9 % pre SZČO (skutočné čerpanie nemocenských dávok SZČO v roku 2011). </w:t>
      </w:r>
    </w:p>
    <w:p w:rsidR="00F63F07" w:rsidP="00963EE8">
      <w:pPr>
        <w:autoSpaceDE w:val="0"/>
        <w:autoSpaceDN w:val="0"/>
        <w:bidi w:val="0"/>
        <w:adjustRightInd w:val="0"/>
        <w:spacing w:after="120"/>
        <w:jc w:val="both"/>
        <w:rPr>
          <w:rFonts w:ascii="Times New Roman" w:hAnsi="Times New Roman"/>
          <w:b/>
        </w:rPr>
      </w:pPr>
    </w:p>
    <w:p w:rsidR="00F63F07" w:rsidP="00963EE8">
      <w:pPr>
        <w:tabs>
          <w:tab w:val="left" w:pos="709"/>
        </w:tabs>
        <w:bidi w:val="0"/>
        <w:spacing w:after="120"/>
        <w:jc w:val="both"/>
        <w:rPr>
          <w:rFonts w:ascii="Times New Roman" w:hAnsi="Times New Roman"/>
          <w:b/>
        </w:rPr>
      </w:pPr>
      <w:r>
        <w:rPr>
          <w:rFonts w:ascii="Times New Roman" w:hAnsi="Times New Roman"/>
          <w:b/>
        </w:rPr>
        <w:t>E. Úprava minimálneho vymeriavacieho základu pre vybranú skupinu poistencov štátu a dobrovoľne poistené osoby.</w:t>
      </w:r>
    </w:p>
    <w:p w:rsidR="00F63F07" w:rsidP="00963EE8">
      <w:pPr>
        <w:tabs>
          <w:tab w:val="left" w:pos="709"/>
        </w:tabs>
        <w:bidi w:val="0"/>
        <w:spacing w:after="120"/>
        <w:jc w:val="both"/>
        <w:rPr>
          <w:rFonts w:ascii="Times New Roman" w:hAnsi="Times New Roman"/>
          <w:bCs/>
        </w:rPr>
      </w:pPr>
      <w:r>
        <w:rPr>
          <w:rFonts w:ascii="Times New Roman" w:hAnsi="Times New Roman"/>
          <w:bCs/>
        </w:rPr>
        <w:t>Pre dobrovoľne poistené osoby sa na nemocenské poistenie vychádzalo z výdavkov</w:t>
      </w:r>
      <w:r w:rsidRPr="00B2003B">
        <w:rPr>
          <w:rFonts w:ascii="Times New Roman" w:hAnsi="Times New Roman"/>
          <w:bCs/>
        </w:rPr>
        <w:t xml:space="preserve"> z</w:t>
      </w:r>
      <w:r>
        <w:rPr>
          <w:rFonts w:ascii="Times New Roman" w:hAnsi="Times New Roman"/>
          <w:bCs/>
        </w:rPr>
        <w:t xml:space="preserve"> východísk </w:t>
      </w:r>
      <w:r w:rsidRPr="00B2003B">
        <w:rPr>
          <w:rFonts w:ascii="Times New Roman" w:hAnsi="Times New Roman"/>
          <w:bCs/>
        </w:rPr>
        <w:t>rozpočtu Sociá</w:t>
      </w:r>
      <w:r>
        <w:rPr>
          <w:rFonts w:ascii="Times New Roman" w:hAnsi="Times New Roman"/>
          <w:bCs/>
        </w:rPr>
        <w:t>lnej poisťovne na rok 2013 a rozpočtového výhľadu na roky 2014 a 2015, ktoré sa predpokladajú 23,1 mil. eur v roku 2013; 5,4 mil. eur v roku 2014 a 5,7 mil. eur v roku 2015. Predmetné výdavky sú priamo úmerne zvýšené v súlade s predpokladom, že 90 % dobrovoľne poistených osôb bude platiť z tohto vymeriavacieho základu</w:t>
      </w:r>
      <w:r w:rsidRPr="00B2003B">
        <w:rPr>
          <w:rFonts w:ascii="Times New Roman" w:hAnsi="Times New Roman"/>
          <w:bCs/>
        </w:rPr>
        <w:t>.</w:t>
      </w:r>
      <w:r>
        <w:rPr>
          <w:rFonts w:ascii="Times New Roman" w:hAnsi="Times New Roman"/>
          <w:bCs/>
        </w:rPr>
        <w:t xml:space="preserve"> Výnimkou je rok 2013, keďže podstatnú časť výdavkov (približne 80 %) tvoria tie súvisiace so zavedením „balíčkov“ dobrovoľného poistenia s účinnosťou od 1.  januára 2012 a plynutím prechodného obdobia, kedy je poistencom umožnené získať 270 dní poistenia za podmienok účinných pred rokom 2012. </w:t>
      </w:r>
    </w:p>
    <w:p w:rsidR="00F63F07" w:rsidP="00963EE8">
      <w:pPr>
        <w:tabs>
          <w:tab w:val="left" w:pos="709"/>
        </w:tabs>
        <w:bidi w:val="0"/>
        <w:jc w:val="both"/>
        <w:rPr>
          <w:rFonts w:ascii="Times New Roman" w:hAnsi="Times New Roman"/>
        </w:rPr>
      </w:pPr>
      <w:r w:rsidRPr="00B91085">
        <w:rPr>
          <w:rFonts w:ascii="Times New Roman" w:hAnsi="Times New Roman"/>
        </w:rPr>
        <w:t>K</w:t>
      </w:r>
      <w:r>
        <w:rPr>
          <w:rFonts w:ascii="Times New Roman" w:hAnsi="Times New Roman"/>
        </w:rPr>
        <w:t> </w:t>
      </w:r>
      <w:r w:rsidRPr="00B91085">
        <w:rPr>
          <w:rFonts w:ascii="Times New Roman" w:hAnsi="Times New Roman"/>
        </w:rPr>
        <w:t>zvýšeniu</w:t>
      </w:r>
      <w:r>
        <w:rPr>
          <w:rFonts w:ascii="Times New Roman" w:hAnsi="Times New Roman"/>
        </w:rPr>
        <w:t xml:space="preserve"> výdavkov</w:t>
      </w:r>
      <w:r w:rsidRPr="00B91085">
        <w:rPr>
          <w:rFonts w:ascii="Times New Roman" w:hAnsi="Times New Roman"/>
        </w:rPr>
        <w:t xml:space="preserve"> dôjde aj v prípade pravdepodobného vymeriavacieho základu, ktorý sa za určitých podmienok používa k výpočtu nemocenských dávok alebo dávky v nezamestnanosti. </w:t>
      </w:r>
      <w:r>
        <w:rPr>
          <w:rFonts w:ascii="Times New Roman" w:hAnsi="Times New Roman"/>
        </w:rPr>
        <w:t>Obdobne ako minimálny vymeriavací základ vzrastie zo 44,2 % priemernej mzdy na 50 % priemernej mzdy. Pre výpočet výdavkov bol použitý predpoklad, že sa pravdepodobný vymeriavací základ bude týkať 2 % prípadov, čo znamená 2 844 prípadov nemocenského a ošetrovného, 491 prípadov materského a 878 dávok v nezamestnanosti v roku 2013; 2 901 prípadov nemocenského a ošetrovného, 501 prípadov materského a 871 dávok v nezamestnanosti v roku 2014; 2 959  prípadov nemocenského a ošetrovného, 511 prípadov materského a 852 dávok v nezamestnanosti v roku 2015.</w:t>
      </w:r>
    </w:p>
    <w:p w:rsidR="00F63F07" w:rsidP="00963EE8">
      <w:pPr>
        <w:autoSpaceDE w:val="0"/>
        <w:autoSpaceDN w:val="0"/>
        <w:bidi w:val="0"/>
        <w:adjustRightInd w:val="0"/>
        <w:jc w:val="both"/>
        <w:rPr>
          <w:rFonts w:ascii="Times New Roman" w:hAnsi="Times New Roman"/>
          <w:b/>
          <w:szCs w:val="22"/>
        </w:rPr>
      </w:pPr>
    </w:p>
    <w:p w:rsidR="00F63F07" w:rsidP="00963EE8">
      <w:pPr>
        <w:tabs>
          <w:tab w:val="left" w:pos="709"/>
        </w:tabs>
        <w:bidi w:val="0"/>
        <w:spacing w:after="120"/>
        <w:jc w:val="both"/>
        <w:rPr>
          <w:rFonts w:ascii="Times New Roman" w:hAnsi="Times New Roman"/>
          <w:b/>
        </w:rPr>
      </w:pPr>
      <w:r w:rsidRPr="006D27E1">
        <w:rPr>
          <w:rFonts w:ascii="Times New Roman" w:hAnsi="Times New Roman"/>
          <w:b/>
        </w:rPr>
        <w:t>F. Zníženie maximálneho denného vymeriavacieho základu používaného</w:t>
      </w:r>
      <w:r>
        <w:rPr>
          <w:rFonts w:ascii="Times New Roman" w:hAnsi="Times New Roman"/>
          <w:b/>
        </w:rPr>
        <w:t xml:space="preserve"> na výpočet dávky v nezamestnanosti.</w:t>
      </w:r>
    </w:p>
    <w:p w:rsidR="00F63F07" w:rsidP="00963EE8">
      <w:pPr>
        <w:tabs>
          <w:tab w:val="left" w:pos="709"/>
        </w:tabs>
        <w:bidi w:val="0"/>
        <w:jc w:val="both"/>
        <w:rPr>
          <w:rFonts w:ascii="Times New Roman" w:hAnsi="Times New Roman"/>
          <w:b/>
        </w:rPr>
      </w:pPr>
      <w:r>
        <w:rPr>
          <w:rFonts w:ascii="Times New Roman" w:hAnsi="Times New Roman"/>
          <w:bCs/>
        </w:rPr>
        <w:t>Pri kvantifikácii sa vychádzalo z priemerného mesačného počtu poberateľov dávky v nezamestnanosti  </w:t>
      </w:r>
      <w:r w:rsidRPr="00B2003B">
        <w:rPr>
          <w:rFonts w:ascii="Times New Roman" w:hAnsi="Times New Roman"/>
          <w:bCs/>
        </w:rPr>
        <w:t>z</w:t>
      </w:r>
      <w:r>
        <w:rPr>
          <w:rFonts w:ascii="Times New Roman" w:hAnsi="Times New Roman"/>
          <w:bCs/>
        </w:rPr>
        <w:t xml:space="preserve"> východísk </w:t>
      </w:r>
      <w:r w:rsidRPr="00B2003B">
        <w:rPr>
          <w:rFonts w:ascii="Times New Roman" w:hAnsi="Times New Roman"/>
          <w:bCs/>
        </w:rPr>
        <w:t>rozpočtu Sociá</w:t>
      </w:r>
      <w:r>
        <w:rPr>
          <w:rFonts w:ascii="Times New Roman" w:hAnsi="Times New Roman"/>
          <w:bCs/>
        </w:rPr>
        <w:t xml:space="preserve">lnej poisťovne na rok 2013 a rozpočtového výhľadu na roky 2014 a 2015, ktoré sa predpokladajú v hodnote 43 878 v roku 2013 a 43 555 v roku 2014. Ďalej bolo použité rozloženie poberateľov podľa výškových pásiem v eur z januára až mája 2012 na základe ktorého bolo nad úrovňou priemernej mzdy približne 4,7 % poberateľov dávky v nezamestnanosti. Vzhľadom na skutočnosť, že v roku 2013 bude určitá časť poberateľov mať priznanú dávku v nezamestnanosti na základe podmienok účinných do 31. decembra 2012 - počíta sa s tzv. presahom prípadov z roka 2012. </w:t>
      </w:r>
    </w:p>
    <w:p w:rsidR="00F63F07" w:rsidP="00963EE8">
      <w:pPr>
        <w:autoSpaceDE w:val="0"/>
        <w:autoSpaceDN w:val="0"/>
        <w:bidi w:val="0"/>
        <w:adjustRightInd w:val="0"/>
        <w:jc w:val="both"/>
        <w:rPr>
          <w:rFonts w:ascii="Times New Roman" w:hAnsi="Times New Roman"/>
          <w:b/>
          <w:szCs w:val="22"/>
        </w:rPr>
      </w:pPr>
    </w:p>
    <w:p w:rsidR="00F63F07" w:rsidP="00963EE8">
      <w:pPr>
        <w:tabs>
          <w:tab w:val="left" w:pos="709"/>
        </w:tabs>
        <w:bidi w:val="0"/>
        <w:spacing w:after="120"/>
        <w:jc w:val="both"/>
        <w:rPr>
          <w:rFonts w:ascii="Times New Roman" w:hAnsi="Times New Roman"/>
          <w:b/>
        </w:rPr>
      </w:pPr>
      <w:r>
        <w:rPr>
          <w:rFonts w:ascii="Times New Roman" w:hAnsi="Times New Roman"/>
          <w:b/>
        </w:rPr>
        <w:t>G</w:t>
      </w:r>
      <w:r w:rsidRPr="006D27E1">
        <w:rPr>
          <w:rFonts w:ascii="Times New Roman" w:hAnsi="Times New Roman"/>
          <w:b/>
        </w:rPr>
        <w:t>. Z</w:t>
      </w:r>
      <w:r>
        <w:rPr>
          <w:rFonts w:ascii="Times New Roman" w:hAnsi="Times New Roman"/>
          <w:b/>
        </w:rPr>
        <w:t>avedenie povinnosti platiť poistné na sociálne poistenie z dohôd o prácach vykonávaných mimo pracovného pomeru.</w:t>
      </w:r>
    </w:p>
    <w:p w:rsidR="00F63F07" w:rsidRPr="00D0651B" w:rsidP="00963EE8">
      <w:pPr>
        <w:autoSpaceDE w:val="0"/>
        <w:autoSpaceDN w:val="0"/>
        <w:bidi w:val="0"/>
        <w:adjustRightInd w:val="0"/>
        <w:jc w:val="both"/>
        <w:rPr>
          <w:rFonts w:ascii="Times New Roman" w:hAnsi="Times New Roman"/>
          <w:szCs w:val="22"/>
        </w:rPr>
      </w:pPr>
      <w:r w:rsidRPr="00D0651B">
        <w:rPr>
          <w:rFonts w:ascii="Times New Roman" w:hAnsi="Times New Roman"/>
          <w:szCs w:val="22"/>
        </w:rPr>
        <w:t>Pri kvantifikácii sa vychádzalo z príjmového rozloženia dohodárov k 31. decembru 2011</w:t>
      </w:r>
      <w:r>
        <w:rPr>
          <w:rFonts w:ascii="Times New Roman" w:hAnsi="Times New Roman"/>
          <w:szCs w:val="22"/>
        </w:rPr>
        <w:t xml:space="preserve">. Z predmetných štatistických údajov by im vychádzal  </w:t>
      </w:r>
      <w:r w:rsidRPr="00D0651B">
        <w:rPr>
          <w:rFonts w:ascii="Times New Roman" w:hAnsi="Times New Roman"/>
          <w:szCs w:val="22"/>
        </w:rPr>
        <w:t>priemerný vymeriavací základ na určenie dáv</w:t>
      </w:r>
      <w:r>
        <w:rPr>
          <w:rFonts w:ascii="Times New Roman" w:hAnsi="Times New Roman"/>
          <w:szCs w:val="22"/>
        </w:rPr>
        <w:t>ok nemocenského poistenia v sume</w:t>
      </w:r>
      <w:r w:rsidRPr="00D0651B">
        <w:rPr>
          <w:rFonts w:ascii="Times New Roman" w:hAnsi="Times New Roman"/>
          <w:szCs w:val="22"/>
        </w:rPr>
        <w:t xml:space="preserve"> 137</w:t>
      </w:r>
      <w:r>
        <w:rPr>
          <w:rFonts w:ascii="Times New Roman" w:hAnsi="Times New Roman"/>
          <w:szCs w:val="22"/>
        </w:rPr>
        <w:t>,1</w:t>
      </w:r>
      <w:r w:rsidRPr="00D0651B">
        <w:rPr>
          <w:rFonts w:ascii="Times New Roman" w:hAnsi="Times New Roman"/>
          <w:szCs w:val="22"/>
        </w:rPr>
        <w:t xml:space="preserve"> eur</w:t>
      </w:r>
      <w:r>
        <w:rPr>
          <w:rFonts w:ascii="Times New Roman" w:hAnsi="Times New Roman"/>
          <w:szCs w:val="22"/>
        </w:rPr>
        <w:t>a</w:t>
      </w:r>
      <w:r w:rsidRPr="00D0651B">
        <w:rPr>
          <w:rFonts w:ascii="Times New Roman" w:hAnsi="Times New Roman"/>
          <w:szCs w:val="22"/>
        </w:rPr>
        <w:t xml:space="preserve"> a na určenie dávky v nezamestnanosti 147,9 eura. </w:t>
      </w:r>
      <w:r>
        <w:rPr>
          <w:rFonts w:ascii="Times New Roman" w:hAnsi="Times New Roman"/>
          <w:szCs w:val="22"/>
        </w:rPr>
        <w:t xml:space="preserve">Vzhľadom na legislatívne nastavenie, t. j., že krátkodobé dávky sa nevzťahujú na študentov, poberateľov starobného a invalidného dôchodku a osôb s nepravidelným príjmom, tak sa predpokladá, že sa pri nemocenskom poistení dotknú iba 6 % z celkového počtu  a v prvých dvoch rokoch iba 4 % pri dávke v nezamestnanosti (prvé dva roky budú môcť splniť podmienky na dávku v nezamestnanosti len dohodári v súbehu s inou zárobkovou činnosťou).     </w:t>
      </w:r>
    </w:p>
    <w:p w:rsidR="00F63F07" w:rsidP="00963EE8">
      <w:pPr>
        <w:autoSpaceDE w:val="0"/>
        <w:autoSpaceDN w:val="0"/>
        <w:bidi w:val="0"/>
        <w:adjustRightInd w:val="0"/>
        <w:jc w:val="both"/>
        <w:rPr>
          <w:rFonts w:ascii="Times New Roman" w:hAnsi="Times New Roman"/>
          <w:b/>
          <w:szCs w:val="22"/>
        </w:rPr>
      </w:pPr>
    </w:p>
    <w:p w:rsidR="00F63F07" w:rsidP="002B6C41">
      <w:pPr>
        <w:bidi w:val="0"/>
        <w:spacing w:after="120"/>
        <w:jc w:val="both"/>
        <w:rPr>
          <w:rFonts w:ascii="Times New Roman" w:hAnsi="Times New Roman"/>
          <w:color w:val="000000"/>
        </w:rPr>
      </w:pPr>
      <w:r>
        <w:rPr>
          <w:rFonts w:ascii="Times New Roman" w:hAnsi="Times New Roman"/>
          <w:b/>
        </w:rPr>
        <w:t>I. Sprísnenie podmienok nároku na priznanie predčasného starobného dôchodku pre sporiteľov vyplácaného z priebežne financovaného dôchodkového systému.</w:t>
      </w:r>
    </w:p>
    <w:p w:rsidR="00F63F07" w:rsidP="002B6C41">
      <w:pPr>
        <w:autoSpaceDE w:val="0"/>
        <w:autoSpaceDN w:val="0"/>
        <w:bidi w:val="0"/>
        <w:adjustRightInd w:val="0"/>
        <w:spacing w:after="120"/>
        <w:jc w:val="both"/>
        <w:rPr>
          <w:rFonts w:ascii="Times New Roman" w:hAnsi="Times New Roman"/>
          <w:b/>
          <w:szCs w:val="22"/>
        </w:rPr>
      </w:pPr>
      <w:r>
        <w:rPr>
          <w:rFonts w:ascii="Times New Roman" w:hAnsi="Times New Roman"/>
          <w:bCs/>
        </w:rPr>
        <w:t xml:space="preserve">Pri kvantifikácii sa vychádzalo z mesačného počtu priznaných predčasných starobných dôchodkov pre sporiteľov v období od januára do mája 2012. Z celkového počtu 40 novopriznaných predčasných starobných dôchodkov u sporiteľov, by podmienka 1,2 násobku životného minima nebola splnená v 17 prípadoch. Priemerná výška predčasného starobného dôchodku pod 1,2 násobkom predstavovala hodnotu 176,1 eura. Zohľadnený je postupný nábeh prípadov a skutočnosť, že je možné predčasný starobný dôchodok priznať max. 2 roky pred dovŕšením dôchodkového veku. </w:t>
      </w:r>
    </w:p>
    <w:p w:rsidR="00F63F07" w:rsidP="00963EE8">
      <w:pPr>
        <w:autoSpaceDE w:val="0"/>
        <w:autoSpaceDN w:val="0"/>
        <w:bidi w:val="0"/>
        <w:adjustRightInd w:val="0"/>
        <w:jc w:val="both"/>
        <w:rPr>
          <w:rFonts w:ascii="Times New Roman" w:hAnsi="Times New Roman"/>
          <w:b/>
          <w:szCs w:val="22"/>
        </w:rPr>
      </w:pPr>
    </w:p>
    <w:p w:rsidR="00F63F07" w:rsidRPr="00CF55EC" w:rsidP="00963EE8">
      <w:pPr>
        <w:autoSpaceDE w:val="0"/>
        <w:autoSpaceDN w:val="0"/>
        <w:bidi w:val="0"/>
        <w:adjustRightInd w:val="0"/>
        <w:jc w:val="both"/>
        <w:rPr>
          <w:rFonts w:ascii="Times New Roman" w:hAnsi="Times New Roman"/>
          <w:b/>
          <w:szCs w:val="22"/>
        </w:rPr>
      </w:pPr>
      <w:r w:rsidRPr="00CF55EC">
        <w:rPr>
          <w:rFonts w:ascii="Times New Roman" w:hAnsi="Times New Roman"/>
          <w:b/>
          <w:szCs w:val="22"/>
        </w:rPr>
        <w:t>Vplyv na jednotlivé kategórie príjmov a výdavkov rozpočtu verejnej správy</w:t>
      </w:r>
    </w:p>
    <w:p w:rsidR="00F63F07" w:rsidP="00963EE8">
      <w:pPr>
        <w:autoSpaceDE w:val="0"/>
        <w:autoSpaceDN w:val="0"/>
        <w:bidi w:val="0"/>
        <w:adjustRightInd w:val="0"/>
        <w:jc w:val="both"/>
        <w:rPr>
          <w:rFonts w:ascii="Times New Roman" w:hAnsi="Times New Roman"/>
          <w:b/>
          <w:szCs w:val="22"/>
          <w:highlight w:val="yellow"/>
        </w:rPr>
      </w:pPr>
    </w:p>
    <w:p w:rsidR="00F63F07" w:rsidP="00963EE8">
      <w:pPr>
        <w:autoSpaceDE w:val="0"/>
        <w:autoSpaceDN w:val="0"/>
        <w:bidi w:val="0"/>
        <w:adjustRightInd w:val="0"/>
        <w:jc w:val="both"/>
        <w:rPr>
          <w:rFonts w:ascii="Times New Roman" w:hAnsi="Times New Roman"/>
          <w:szCs w:val="22"/>
        </w:rPr>
      </w:pPr>
      <w:r>
        <w:rPr>
          <w:rFonts w:ascii="Times New Roman" w:hAnsi="Times New Roman"/>
          <w:i/>
          <w:szCs w:val="22"/>
        </w:rPr>
        <w:t>Príjmy</w:t>
      </w:r>
      <w:r w:rsidRPr="00CF55EC">
        <w:rPr>
          <w:rFonts w:ascii="Times New Roman" w:hAnsi="Times New Roman"/>
          <w:i/>
          <w:szCs w:val="22"/>
        </w:rPr>
        <w:t xml:space="preserve"> </w:t>
      </w:r>
      <w:r>
        <w:rPr>
          <w:rFonts w:ascii="Times New Roman" w:hAnsi="Times New Roman"/>
          <w:i/>
          <w:szCs w:val="22"/>
        </w:rPr>
        <w:t>štátneho rozpočtu (VPS)</w:t>
      </w:r>
      <w:r w:rsidRPr="00CF55EC">
        <w:rPr>
          <w:rFonts w:ascii="Times New Roman" w:hAnsi="Times New Roman"/>
          <w:szCs w:val="22"/>
        </w:rPr>
        <w:t xml:space="preserve"> – </w:t>
      </w:r>
      <w:r>
        <w:rPr>
          <w:rFonts w:ascii="Times New Roman" w:hAnsi="Times New Roman"/>
          <w:szCs w:val="22"/>
        </w:rPr>
        <w:t>predpokladá sa negatívny vplyv na príjmy štátneho rozpočtu z dôvodu zavedenia možnosti 2 % dobrovoľného platenia príspevkov na starobné dôchodkové sporenie s daňovým zvýhodnením, z dôvodu zvýšenia maximálnych vymeriavacích základov, z dôvodu úprav navrhovaných pre SZČO, z dôvodu zavedenia povinnosti platiť poistné na sociálne a verejné zdravotné poistenie z dohôd o prácach vykonávaných mimo pracovného pomeru.</w:t>
      </w:r>
    </w:p>
    <w:p w:rsidR="00F63F07" w:rsidP="00963EE8">
      <w:pPr>
        <w:autoSpaceDE w:val="0"/>
        <w:autoSpaceDN w:val="0"/>
        <w:bidi w:val="0"/>
        <w:adjustRightInd w:val="0"/>
        <w:jc w:val="both"/>
        <w:rPr>
          <w:rFonts w:ascii="Times New Roman" w:hAnsi="Times New Roman"/>
          <w:i/>
          <w:szCs w:val="22"/>
        </w:rPr>
      </w:pPr>
    </w:p>
    <w:p w:rsidR="00F63F07" w:rsidP="00963EE8">
      <w:pPr>
        <w:autoSpaceDE w:val="0"/>
        <w:autoSpaceDN w:val="0"/>
        <w:bidi w:val="0"/>
        <w:adjustRightInd w:val="0"/>
        <w:jc w:val="both"/>
        <w:rPr>
          <w:rFonts w:ascii="Times New Roman" w:hAnsi="Times New Roman"/>
          <w:szCs w:val="22"/>
        </w:rPr>
      </w:pPr>
      <w:r>
        <w:rPr>
          <w:rFonts w:ascii="Times New Roman" w:hAnsi="Times New Roman"/>
          <w:i/>
          <w:szCs w:val="22"/>
        </w:rPr>
        <w:t>Príjmy</w:t>
      </w:r>
      <w:r w:rsidRPr="00CF55EC">
        <w:rPr>
          <w:rFonts w:ascii="Times New Roman" w:hAnsi="Times New Roman"/>
          <w:i/>
          <w:szCs w:val="22"/>
        </w:rPr>
        <w:t xml:space="preserve"> </w:t>
      </w:r>
      <w:r>
        <w:rPr>
          <w:rFonts w:ascii="Times New Roman" w:hAnsi="Times New Roman"/>
          <w:i/>
          <w:szCs w:val="22"/>
        </w:rPr>
        <w:t>rozpočtu obcí</w:t>
      </w:r>
      <w:r w:rsidRPr="00CF55EC">
        <w:rPr>
          <w:rFonts w:ascii="Times New Roman" w:hAnsi="Times New Roman"/>
          <w:szCs w:val="22"/>
        </w:rPr>
        <w:t xml:space="preserve"> – </w:t>
      </w:r>
      <w:r>
        <w:rPr>
          <w:rFonts w:ascii="Times New Roman" w:hAnsi="Times New Roman"/>
          <w:szCs w:val="22"/>
        </w:rPr>
        <w:t>predpokladá sa negatívny vplyv na príjmy obcí z dôvodu zavedenia možnosti 2 % dobrovoľného platenia príspevkov na starobné dôchodkové sporenie s daňovým zvýhodnením, z dôvodu zvýšenia maximálnych vymeriavacích základov, z dôvodu úprav navrhovaných pre SZČO, z dôvodu zavedenia povinnosti platiť poistné na sociálne a verejné zdravotné poistenie z dohôd o prácach vykonávaných mimo pracovného pomeru.</w:t>
      </w:r>
    </w:p>
    <w:p w:rsidR="00F63F07" w:rsidP="00963EE8">
      <w:pPr>
        <w:autoSpaceDE w:val="0"/>
        <w:autoSpaceDN w:val="0"/>
        <w:bidi w:val="0"/>
        <w:adjustRightInd w:val="0"/>
        <w:jc w:val="both"/>
        <w:rPr>
          <w:rFonts w:ascii="Times New Roman" w:hAnsi="Times New Roman"/>
          <w:i/>
          <w:szCs w:val="22"/>
        </w:rPr>
      </w:pPr>
    </w:p>
    <w:p w:rsidR="00F63F07" w:rsidP="00963EE8">
      <w:pPr>
        <w:autoSpaceDE w:val="0"/>
        <w:autoSpaceDN w:val="0"/>
        <w:bidi w:val="0"/>
        <w:adjustRightInd w:val="0"/>
        <w:jc w:val="both"/>
        <w:rPr>
          <w:rFonts w:ascii="Times New Roman" w:hAnsi="Times New Roman"/>
          <w:szCs w:val="22"/>
        </w:rPr>
      </w:pPr>
      <w:r>
        <w:rPr>
          <w:rFonts w:ascii="Times New Roman" w:hAnsi="Times New Roman"/>
          <w:i/>
          <w:szCs w:val="22"/>
        </w:rPr>
        <w:t>Príjmy</w:t>
      </w:r>
      <w:r w:rsidRPr="00CF55EC">
        <w:rPr>
          <w:rFonts w:ascii="Times New Roman" w:hAnsi="Times New Roman"/>
          <w:i/>
          <w:szCs w:val="22"/>
        </w:rPr>
        <w:t xml:space="preserve"> </w:t>
      </w:r>
      <w:r>
        <w:rPr>
          <w:rFonts w:ascii="Times New Roman" w:hAnsi="Times New Roman"/>
          <w:i/>
          <w:szCs w:val="22"/>
        </w:rPr>
        <w:t xml:space="preserve">rozpočtu VÚC </w:t>
      </w:r>
      <w:r w:rsidRPr="00CF55EC">
        <w:rPr>
          <w:rFonts w:ascii="Times New Roman" w:hAnsi="Times New Roman"/>
          <w:szCs w:val="22"/>
        </w:rPr>
        <w:t xml:space="preserve">– </w:t>
      </w:r>
      <w:r>
        <w:rPr>
          <w:rFonts w:ascii="Times New Roman" w:hAnsi="Times New Roman"/>
          <w:szCs w:val="22"/>
        </w:rPr>
        <w:t>predpokladá sa negatívny vplyv na príjmy VÚC z dôvodu zavedenia možnosti 2 % dobrovoľného platenia príspevkov na starobné dôchodkové sporenie s daňovým zvýhodnením, z dôvodu zvýšenia maximálnych vymeriavacích základov, z dôvodu úprav navrhovaných pre SZČO, z dôvodu zavedenia povinnosti platiť poistné na sociálne a verejné zdravotné poistenie z dohôd o prácach vykonávaných mimo pracovného pomeru.</w:t>
      </w:r>
    </w:p>
    <w:p w:rsidR="00F63F07" w:rsidP="00963EE8">
      <w:pPr>
        <w:autoSpaceDE w:val="0"/>
        <w:autoSpaceDN w:val="0"/>
        <w:bidi w:val="0"/>
        <w:adjustRightInd w:val="0"/>
        <w:jc w:val="both"/>
        <w:rPr>
          <w:rFonts w:ascii="Times New Roman" w:hAnsi="Times New Roman"/>
          <w:i/>
          <w:szCs w:val="22"/>
        </w:rPr>
      </w:pPr>
    </w:p>
    <w:p w:rsidR="00F63F07" w:rsidP="00963EE8">
      <w:pPr>
        <w:autoSpaceDE w:val="0"/>
        <w:autoSpaceDN w:val="0"/>
        <w:bidi w:val="0"/>
        <w:adjustRightInd w:val="0"/>
        <w:jc w:val="both"/>
        <w:rPr>
          <w:rFonts w:ascii="Times New Roman" w:hAnsi="Times New Roman"/>
          <w:szCs w:val="22"/>
        </w:rPr>
      </w:pPr>
      <w:r>
        <w:rPr>
          <w:rFonts w:ascii="Times New Roman" w:hAnsi="Times New Roman"/>
          <w:i/>
          <w:szCs w:val="22"/>
        </w:rPr>
        <w:t>Príjmy</w:t>
      </w:r>
      <w:r w:rsidRPr="00CF55EC">
        <w:rPr>
          <w:rFonts w:ascii="Times New Roman" w:hAnsi="Times New Roman"/>
          <w:i/>
          <w:szCs w:val="22"/>
        </w:rPr>
        <w:t xml:space="preserve"> Sociálnej poisťovne</w:t>
      </w:r>
      <w:r w:rsidRPr="00CF55EC">
        <w:rPr>
          <w:rFonts w:ascii="Times New Roman" w:hAnsi="Times New Roman"/>
          <w:szCs w:val="22"/>
        </w:rPr>
        <w:t xml:space="preserve"> – </w:t>
      </w:r>
      <w:r>
        <w:rPr>
          <w:rFonts w:ascii="Times New Roman" w:hAnsi="Times New Roman"/>
          <w:szCs w:val="22"/>
        </w:rPr>
        <w:t xml:space="preserve">celkovo sa predpokladá </w:t>
      </w:r>
      <w:r w:rsidRPr="00CF55EC">
        <w:rPr>
          <w:rFonts w:ascii="Times New Roman" w:hAnsi="Times New Roman"/>
          <w:szCs w:val="22"/>
        </w:rPr>
        <w:t>nárast</w:t>
      </w:r>
      <w:r>
        <w:rPr>
          <w:rFonts w:ascii="Times New Roman" w:hAnsi="Times New Roman"/>
          <w:szCs w:val="22"/>
        </w:rPr>
        <w:t xml:space="preserve"> príjmov</w:t>
      </w:r>
      <w:r w:rsidRPr="00CF55EC">
        <w:rPr>
          <w:rFonts w:ascii="Times New Roman" w:hAnsi="Times New Roman"/>
          <w:szCs w:val="22"/>
        </w:rPr>
        <w:t xml:space="preserve"> Sociálnej poisťovne z dôvodu </w:t>
      </w:r>
      <w:r>
        <w:rPr>
          <w:rFonts w:ascii="Times New Roman" w:hAnsi="Times New Roman"/>
          <w:szCs w:val="22"/>
        </w:rPr>
        <w:t>navrhovaných zmien pre SZČO, poistencov štátu a dobrovoľne poistené osoby,  dobrovoľného vstupu prvopoistencov do systému starobného dôchodkového sporenia, zníženia príspevkovej sadzby na starobné dôchodkové sporenie, dočasného otvorenia systému starobného dôchodkového sporenia pre vstup a výstup,</w:t>
      </w:r>
      <w:r w:rsidRPr="0003733C">
        <w:rPr>
          <w:rFonts w:ascii="Times New Roman" w:hAnsi="Times New Roman"/>
          <w:szCs w:val="22"/>
        </w:rPr>
        <w:t xml:space="preserve"> </w:t>
      </w:r>
      <w:r>
        <w:rPr>
          <w:rFonts w:ascii="Times New Roman" w:hAnsi="Times New Roman"/>
          <w:szCs w:val="22"/>
        </w:rPr>
        <w:t>z dôvodu zjednotenia a zvýšenia maximálnych vymeriavacích základov a</w:t>
      </w:r>
      <w:r w:rsidRPr="0003733C">
        <w:rPr>
          <w:rFonts w:ascii="Times New Roman" w:hAnsi="Times New Roman"/>
          <w:szCs w:val="22"/>
        </w:rPr>
        <w:t xml:space="preserve"> </w:t>
      </w:r>
      <w:r>
        <w:rPr>
          <w:rFonts w:ascii="Times New Roman" w:hAnsi="Times New Roman"/>
          <w:szCs w:val="22"/>
        </w:rPr>
        <w:t xml:space="preserve">z dôvodu zavedenia povinnosti platiť poistné na sociálne a verejné zdravotné poistenie z dohôd o prácach vykonávaných mimo pracovného pomeru. </w:t>
      </w:r>
    </w:p>
    <w:p w:rsidR="00F63F07" w:rsidP="00963EE8">
      <w:pPr>
        <w:autoSpaceDE w:val="0"/>
        <w:autoSpaceDN w:val="0"/>
        <w:bidi w:val="0"/>
        <w:adjustRightInd w:val="0"/>
        <w:jc w:val="both"/>
        <w:rPr>
          <w:rFonts w:ascii="Times New Roman" w:hAnsi="Times New Roman"/>
          <w:b/>
          <w:szCs w:val="22"/>
          <w:highlight w:val="yellow"/>
        </w:rPr>
      </w:pPr>
    </w:p>
    <w:p w:rsidR="00F63F07" w:rsidP="00963EE8">
      <w:pPr>
        <w:autoSpaceDE w:val="0"/>
        <w:autoSpaceDN w:val="0"/>
        <w:bidi w:val="0"/>
        <w:adjustRightInd w:val="0"/>
        <w:jc w:val="both"/>
        <w:rPr>
          <w:rFonts w:ascii="Times New Roman" w:hAnsi="Times New Roman"/>
          <w:szCs w:val="22"/>
        </w:rPr>
      </w:pPr>
      <w:r>
        <w:rPr>
          <w:rFonts w:ascii="Times New Roman" w:hAnsi="Times New Roman"/>
          <w:i/>
          <w:szCs w:val="22"/>
        </w:rPr>
        <w:t>Príjmy</w:t>
      </w:r>
      <w:r w:rsidRPr="00CF55EC">
        <w:rPr>
          <w:rFonts w:ascii="Times New Roman" w:hAnsi="Times New Roman"/>
          <w:i/>
          <w:szCs w:val="22"/>
        </w:rPr>
        <w:t xml:space="preserve"> </w:t>
      </w:r>
      <w:r>
        <w:rPr>
          <w:rFonts w:ascii="Times New Roman" w:hAnsi="Times New Roman"/>
          <w:i/>
          <w:szCs w:val="22"/>
        </w:rPr>
        <w:t>zdravotných poisťovní</w:t>
      </w:r>
      <w:r w:rsidRPr="00CF55EC">
        <w:rPr>
          <w:rFonts w:ascii="Times New Roman" w:hAnsi="Times New Roman"/>
          <w:szCs w:val="22"/>
        </w:rPr>
        <w:t xml:space="preserve"> – </w:t>
      </w:r>
      <w:r>
        <w:rPr>
          <w:rFonts w:ascii="Times New Roman" w:hAnsi="Times New Roman"/>
          <w:szCs w:val="22"/>
        </w:rPr>
        <w:t xml:space="preserve">predpokladá sa </w:t>
      </w:r>
      <w:r w:rsidRPr="00CF55EC">
        <w:rPr>
          <w:rFonts w:ascii="Times New Roman" w:hAnsi="Times New Roman"/>
          <w:szCs w:val="22"/>
        </w:rPr>
        <w:t>nárast</w:t>
      </w:r>
      <w:r>
        <w:rPr>
          <w:rFonts w:ascii="Times New Roman" w:hAnsi="Times New Roman"/>
          <w:szCs w:val="22"/>
        </w:rPr>
        <w:t xml:space="preserve"> príjmov zdravotných poisťovní</w:t>
      </w:r>
      <w:r w:rsidRPr="00CF55EC">
        <w:rPr>
          <w:rFonts w:ascii="Times New Roman" w:hAnsi="Times New Roman"/>
          <w:szCs w:val="22"/>
        </w:rPr>
        <w:t xml:space="preserve"> z dôvodu </w:t>
      </w:r>
      <w:r>
        <w:rPr>
          <w:rFonts w:ascii="Times New Roman" w:hAnsi="Times New Roman"/>
          <w:szCs w:val="22"/>
        </w:rPr>
        <w:t>navrhovaných zmien pre SZČO (postupné zníženie koeficientu zo súčasných 2,14 na 1,486 a zvýšenie minimálneho vymeriavacieho základu na úroveň 50 % z priemernej mzdy spred dvoch rokov),</w:t>
      </w:r>
      <w:r w:rsidRPr="0003733C">
        <w:rPr>
          <w:rFonts w:ascii="Times New Roman" w:hAnsi="Times New Roman"/>
          <w:szCs w:val="22"/>
        </w:rPr>
        <w:t xml:space="preserve"> </w:t>
      </w:r>
      <w:r>
        <w:rPr>
          <w:rFonts w:ascii="Times New Roman" w:hAnsi="Times New Roman"/>
          <w:szCs w:val="22"/>
        </w:rPr>
        <w:t>z dôvodu zvýšenia maximálnych vymeriavacích základov a</w:t>
      </w:r>
      <w:r w:rsidRPr="0003733C">
        <w:rPr>
          <w:rFonts w:ascii="Times New Roman" w:hAnsi="Times New Roman"/>
          <w:szCs w:val="22"/>
        </w:rPr>
        <w:t xml:space="preserve"> </w:t>
      </w:r>
      <w:r>
        <w:rPr>
          <w:rFonts w:ascii="Times New Roman" w:hAnsi="Times New Roman"/>
          <w:szCs w:val="22"/>
        </w:rPr>
        <w:t>z dôvodu zavedenia povinnosti platiť poistné na sociálne a verejné zdravotné poistenie z dohôd o prácach vykonávaných mimo pracovného pomeru.</w:t>
      </w:r>
    </w:p>
    <w:p w:rsidR="00F63F07" w:rsidP="00963EE8">
      <w:pPr>
        <w:autoSpaceDE w:val="0"/>
        <w:autoSpaceDN w:val="0"/>
        <w:bidi w:val="0"/>
        <w:adjustRightInd w:val="0"/>
        <w:jc w:val="both"/>
        <w:rPr>
          <w:rFonts w:ascii="Times New Roman" w:hAnsi="Times New Roman"/>
          <w:szCs w:val="22"/>
        </w:rPr>
      </w:pPr>
    </w:p>
    <w:p w:rsidR="00F63F07">
      <w:pPr>
        <w:autoSpaceDE w:val="0"/>
        <w:autoSpaceDN w:val="0"/>
        <w:bidi w:val="0"/>
        <w:adjustRightInd w:val="0"/>
        <w:jc w:val="right"/>
        <w:rPr>
          <w:rFonts w:ascii="Times New Roman" w:hAnsi="Times New Roman"/>
          <w:sz w:val="20"/>
          <w:szCs w:val="20"/>
        </w:rPr>
      </w:pPr>
      <w:r w:rsidRPr="00D414AF">
        <w:rPr>
          <w:rFonts w:ascii="Times New Roman" w:hAnsi="Times New Roman"/>
          <w:sz w:val="20"/>
          <w:szCs w:val="20"/>
        </w:rPr>
        <w:t>Tabuľky 3a</w:t>
      </w:r>
    </w:p>
    <w:tbl>
      <w:tblPr>
        <w:tblStyle w:val="TableNormal"/>
        <w:tblW w:w="9480" w:type="dxa"/>
        <w:tblInd w:w="55" w:type="dxa"/>
        <w:tblCellMar>
          <w:left w:w="70" w:type="dxa"/>
          <w:right w:w="70" w:type="dxa"/>
        </w:tblCellMar>
        <w:tblLook w:val="00A0"/>
      </w:tblPr>
      <w:tblGrid>
        <w:gridCol w:w="960"/>
        <w:gridCol w:w="3500"/>
        <w:gridCol w:w="1171"/>
        <w:gridCol w:w="1339"/>
        <w:gridCol w:w="1171"/>
        <w:gridCol w:w="1339"/>
      </w:tblGrid>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bottom"/>
          </w:tcPr>
          <w:p w:rsidR="00F63F07" w:rsidRPr="00E70684" w:rsidP="00922B96">
            <w:pPr>
              <w:bidi w:val="0"/>
              <w:rPr>
                <w:rFonts w:ascii="Arial Narrow" w:hAnsi="Arial Narrow" w:cs="Arial"/>
                <w:b/>
                <w:bCs/>
                <w:color w:val="FFFFFF"/>
                <w:u w:val="single"/>
              </w:rPr>
            </w:pPr>
            <w:r w:rsidRPr="00D414AF">
              <w:rPr>
                <w:rFonts w:ascii="Arial Narrow" w:hAnsi="Arial Narrow" w:cs="Arial"/>
                <w:b/>
                <w:bCs/>
                <w:color w:val="FFFFFF"/>
                <w:sz w:val="22"/>
                <w:szCs w:val="22"/>
                <w:u w:val="single"/>
              </w:rPr>
              <w:t>Štátny rozpočet (VPS) - príjmy (v eur)</w:t>
            </w:r>
          </w:p>
        </w:tc>
        <w:tc>
          <w:tcPr>
            <w:tcW w:w="5020"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Vplyv na štátny rozpočet (cash)</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tcBorders>
              <w:top w:val="single" w:sz="4" w:space="0" w:color="auto"/>
              <w:left w:val="single" w:sz="4" w:space="0" w:color="auto"/>
              <w:bottom w:val="single" w:sz="4" w:space="0" w:color="auto"/>
              <w:right w:val="single" w:sz="4" w:space="0" w:color="auto"/>
            </w:tcBorders>
            <w:textDirection w:val="lrTb"/>
            <w:vAlign w:val="center"/>
          </w:tcPr>
          <w:p w:rsidR="00F63F07" w:rsidRPr="00E70684" w:rsidP="00922B96">
            <w:pPr>
              <w:bidi w:val="0"/>
              <w:rPr>
                <w:rFonts w:ascii="Arial Narrow" w:hAnsi="Arial Narrow" w:cs="Arial"/>
                <w:b/>
                <w:bCs/>
                <w:color w:val="FFFFFF"/>
                <w:u w:val="single"/>
              </w:rPr>
            </w:pPr>
          </w:p>
        </w:tc>
        <w:tc>
          <w:tcPr>
            <w:tcW w:w="1171"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2012</w:t>
            </w:r>
          </w:p>
        </w:tc>
        <w:tc>
          <w:tcPr>
            <w:tcW w:w="1339"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2013</w:t>
            </w:r>
          </w:p>
        </w:tc>
        <w:tc>
          <w:tcPr>
            <w:tcW w:w="1171"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2014</w:t>
            </w:r>
          </w:p>
        </w:tc>
        <w:tc>
          <w:tcPr>
            <w:tcW w:w="1339"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2015</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b/>
                <w:bCs/>
                <w:color w:val="000000"/>
                <w:sz w:val="20"/>
                <w:szCs w:val="20"/>
              </w:rPr>
            </w:pPr>
            <w:r w:rsidRPr="00922B96">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b/>
                <w:bCs/>
                <w:color w:val="000000"/>
                <w:sz w:val="20"/>
                <w:szCs w:val="20"/>
              </w:rPr>
            </w:pPr>
            <w:r w:rsidRPr="00922B96">
              <w:rPr>
                <w:rFonts w:ascii="Arial Narrow" w:hAnsi="Arial Narrow" w:cs="Arial"/>
                <w:b/>
                <w:bCs/>
                <w:color w:val="000000"/>
                <w:sz w:val="20"/>
                <w:szCs w:val="20"/>
              </w:rPr>
              <w:t>Daňové príjmy</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-4 907 979</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-42 183 903</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-35 831 006</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Dane z príjmov a kapitálového majetku</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-4 907 979</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-42 183 903</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-35 831 006</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Daň z príjmov fyzickej osoby</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-4 907 979</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-8 030 152</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-8 193 729</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112</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Daň z príjmov právnickej osoby</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-34 153 750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-27 637 276</w:t>
            </w:r>
          </w:p>
        </w:tc>
      </w:tr>
      <w:tr>
        <w:tblPrEx>
          <w:tblW w:w="948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bottom"/>
          </w:tcPr>
          <w:p w:rsidR="00F63F07" w:rsidRPr="00E70684" w:rsidP="00922B96">
            <w:pPr>
              <w:bidi w:val="0"/>
              <w:rPr>
                <w:rFonts w:ascii="Arial Narrow" w:hAnsi="Arial Narrow" w:cs="Arial"/>
                <w:b/>
                <w:bCs/>
                <w:color w:val="FFFFFF"/>
                <w:u w:val="single"/>
              </w:rPr>
            </w:pPr>
            <w:r w:rsidRPr="00D414AF">
              <w:rPr>
                <w:rFonts w:ascii="Arial Narrow" w:hAnsi="Arial Narrow" w:cs="Arial"/>
                <w:b/>
                <w:bCs/>
                <w:color w:val="FFFFFF"/>
                <w:sz w:val="22"/>
                <w:szCs w:val="22"/>
                <w:u w:val="single"/>
              </w:rPr>
              <w:t>Rozpočet obcí - príjmy (v eur)</w:t>
            </w:r>
          </w:p>
        </w:tc>
        <w:tc>
          <w:tcPr>
            <w:tcW w:w="5020"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Vplyv na rozpočet obcí (cash)</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tcBorders>
              <w:top w:val="single" w:sz="4" w:space="0" w:color="auto"/>
              <w:left w:val="single" w:sz="4" w:space="0" w:color="auto"/>
              <w:bottom w:val="single" w:sz="4" w:space="0" w:color="auto"/>
              <w:right w:val="single" w:sz="4" w:space="0" w:color="auto"/>
            </w:tcBorders>
            <w:textDirection w:val="lrTb"/>
            <w:vAlign w:val="center"/>
          </w:tcPr>
          <w:p w:rsidR="00F63F07" w:rsidRPr="00E70684" w:rsidP="00922B96">
            <w:pPr>
              <w:bidi w:val="0"/>
              <w:rPr>
                <w:rFonts w:ascii="Arial Narrow" w:hAnsi="Arial Narrow" w:cs="Arial"/>
                <w:b/>
                <w:bCs/>
                <w:color w:val="FFFFFF"/>
                <w:u w:val="single"/>
              </w:rPr>
            </w:pPr>
          </w:p>
        </w:tc>
        <w:tc>
          <w:tcPr>
            <w:tcW w:w="1171"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2012</w:t>
            </w:r>
          </w:p>
        </w:tc>
        <w:tc>
          <w:tcPr>
            <w:tcW w:w="1339"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2013</w:t>
            </w:r>
          </w:p>
        </w:tc>
        <w:tc>
          <w:tcPr>
            <w:tcW w:w="1171"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2014</w:t>
            </w:r>
          </w:p>
        </w:tc>
        <w:tc>
          <w:tcPr>
            <w:tcW w:w="1339"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2015</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b/>
                <w:bCs/>
                <w:color w:val="000000"/>
                <w:sz w:val="20"/>
                <w:szCs w:val="20"/>
              </w:rPr>
            </w:pPr>
            <w:r w:rsidRPr="00922B96">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b/>
                <w:bCs/>
                <w:color w:val="000000"/>
                <w:sz w:val="20"/>
                <w:szCs w:val="20"/>
              </w:rPr>
            </w:pPr>
            <w:r w:rsidRPr="00922B96">
              <w:rPr>
                <w:rFonts w:ascii="Arial Narrow" w:hAnsi="Arial Narrow" w:cs="Arial"/>
                <w:b/>
                <w:bCs/>
                <w:color w:val="000000"/>
                <w:sz w:val="20"/>
                <w:szCs w:val="20"/>
              </w:rPr>
              <w:t>Daňové príjmy</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-25 274 159</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-41 352 123</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-42 194 480</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Dane z príjmov a kapitálového majetku</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-25 274 159</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-41 352 123</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-42 194 480</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Daň z príjmov fyzickej osoby</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-25 274 159</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-41 352 123</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-42 194 480</w:t>
            </w:r>
          </w:p>
        </w:tc>
      </w:tr>
      <w:tr>
        <w:tblPrEx>
          <w:tblW w:w="948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r>
      <w:tr>
        <w:tblPrEx>
          <w:tblW w:w="948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bottom"/>
          </w:tcPr>
          <w:p w:rsidR="00F63F07" w:rsidRPr="00E70684" w:rsidP="00922B96">
            <w:pPr>
              <w:bidi w:val="0"/>
              <w:rPr>
                <w:rFonts w:ascii="Arial Narrow" w:hAnsi="Arial Narrow" w:cs="Arial"/>
                <w:b/>
                <w:bCs/>
                <w:color w:val="FFFFFF"/>
                <w:u w:val="single"/>
              </w:rPr>
            </w:pPr>
            <w:r w:rsidRPr="00D414AF">
              <w:rPr>
                <w:rFonts w:ascii="Arial Narrow" w:hAnsi="Arial Narrow" w:cs="Arial"/>
                <w:b/>
                <w:bCs/>
                <w:color w:val="FFFFFF"/>
                <w:sz w:val="22"/>
                <w:szCs w:val="22"/>
                <w:u w:val="single"/>
              </w:rPr>
              <w:t>Rozpočet VÚC - príjmy (v eur)</w:t>
            </w:r>
          </w:p>
        </w:tc>
        <w:tc>
          <w:tcPr>
            <w:tcW w:w="5020" w:type="dxa"/>
            <w:gridSpan w:val="4"/>
            <w:tcBorders>
              <w:top w:val="single" w:sz="4" w:space="0" w:color="auto"/>
              <w:left w:val="nil"/>
              <w:bottom w:val="single" w:sz="4" w:space="0" w:color="auto"/>
              <w:right w:val="single" w:sz="4" w:space="0" w:color="000000"/>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Vplyv na rozpočet VÚC (cash)</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tcBorders>
              <w:top w:val="single" w:sz="4" w:space="0" w:color="auto"/>
              <w:left w:val="single" w:sz="4" w:space="0" w:color="auto"/>
              <w:bottom w:val="single" w:sz="4" w:space="0" w:color="auto"/>
              <w:right w:val="single" w:sz="4" w:space="0" w:color="auto"/>
            </w:tcBorders>
            <w:textDirection w:val="lrTb"/>
            <w:vAlign w:val="center"/>
          </w:tcPr>
          <w:p w:rsidR="00F63F07" w:rsidRPr="00E70684" w:rsidP="00922B96">
            <w:pPr>
              <w:bidi w:val="0"/>
              <w:rPr>
                <w:rFonts w:ascii="Arial Narrow" w:hAnsi="Arial Narrow" w:cs="Arial"/>
                <w:b/>
                <w:bCs/>
                <w:color w:val="FFFFFF"/>
                <w:u w:val="single"/>
              </w:rPr>
            </w:pPr>
          </w:p>
        </w:tc>
        <w:tc>
          <w:tcPr>
            <w:tcW w:w="1171"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2012</w:t>
            </w:r>
          </w:p>
        </w:tc>
        <w:tc>
          <w:tcPr>
            <w:tcW w:w="1339"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2013</w:t>
            </w:r>
          </w:p>
        </w:tc>
        <w:tc>
          <w:tcPr>
            <w:tcW w:w="1171"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2014</w:t>
            </w:r>
          </w:p>
        </w:tc>
        <w:tc>
          <w:tcPr>
            <w:tcW w:w="1339"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2015</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b/>
                <w:bCs/>
                <w:color w:val="000000"/>
                <w:sz w:val="20"/>
                <w:szCs w:val="20"/>
              </w:rPr>
            </w:pPr>
            <w:r w:rsidRPr="00922B96">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b/>
                <w:bCs/>
                <w:color w:val="000000"/>
                <w:sz w:val="20"/>
                <w:szCs w:val="20"/>
              </w:rPr>
            </w:pPr>
            <w:r w:rsidRPr="00922B96">
              <w:rPr>
                <w:rFonts w:ascii="Arial Narrow" w:hAnsi="Arial Narrow" w:cs="Arial"/>
                <w:b/>
                <w:bCs/>
                <w:color w:val="000000"/>
                <w:sz w:val="20"/>
                <w:szCs w:val="20"/>
              </w:rPr>
              <w:t>Daňové príjmy</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-8 463 365</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-13 847 270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-14 129 344</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Dane z príjmov a kapitálového majetku</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-8 463 365</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-13 847 270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-14 129 344</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Daň z príjmov fyzickej osoby</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-8 463 365</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-13 847 270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-14 129 344</w:t>
            </w:r>
          </w:p>
        </w:tc>
      </w:tr>
      <w:tr>
        <w:tblPrEx>
          <w:tblW w:w="948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color w:val="000000"/>
                <w:sz w:val="20"/>
                <w:szCs w:val="20"/>
              </w:rPr>
            </w:pP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000000" w:fill="000000"/>
            <w:textDirection w:val="lrTb"/>
            <w:vAlign w:val="bottom"/>
          </w:tcPr>
          <w:p w:rsidR="00F63F07" w:rsidRPr="00E70684" w:rsidP="00922B96">
            <w:pPr>
              <w:bidi w:val="0"/>
              <w:rPr>
                <w:rFonts w:ascii="Arial Narrow" w:hAnsi="Arial Narrow" w:cs="Arial"/>
                <w:b/>
                <w:bCs/>
                <w:color w:val="FFFFFF"/>
                <w:u w:val="single"/>
              </w:rPr>
            </w:pPr>
            <w:r w:rsidRPr="00D414AF">
              <w:rPr>
                <w:rFonts w:ascii="Arial Narrow" w:hAnsi="Arial Narrow" w:cs="Arial"/>
                <w:b/>
                <w:bCs/>
                <w:color w:val="FFFFFF"/>
                <w:sz w:val="22"/>
                <w:szCs w:val="22"/>
                <w:u w:val="single"/>
              </w:rPr>
              <w:t>Rozpočet Sociálnej poisťovne - príjmy (v eur)</w:t>
            </w:r>
          </w:p>
        </w:tc>
        <w:tc>
          <w:tcPr>
            <w:tcW w:w="5020" w:type="dxa"/>
            <w:gridSpan w:val="4"/>
            <w:tcBorders>
              <w:top w:val="single" w:sz="4" w:space="0" w:color="auto"/>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Vplyv na rozpočet Sociálnej poisťovne (cash)</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nil"/>
              <w:right w:val="nil"/>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F63F07" w:rsidRPr="00E70684" w:rsidP="00922B96">
            <w:pPr>
              <w:bidi w:val="0"/>
              <w:rPr>
                <w:rFonts w:ascii="Arial Narrow" w:hAnsi="Arial Narrow" w:cs="Arial"/>
                <w:b/>
                <w:bCs/>
                <w:color w:val="FFFFFF"/>
                <w:u w:val="single"/>
              </w:rPr>
            </w:pPr>
          </w:p>
        </w:tc>
        <w:tc>
          <w:tcPr>
            <w:tcW w:w="1171"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2012</w:t>
            </w:r>
          </w:p>
        </w:tc>
        <w:tc>
          <w:tcPr>
            <w:tcW w:w="1339"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2013</w:t>
            </w:r>
          </w:p>
        </w:tc>
        <w:tc>
          <w:tcPr>
            <w:tcW w:w="1171"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2014</w:t>
            </w:r>
          </w:p>
        </w:tc>
        <w:tc>
          <w:tcPr>
            <w:tcW w:w="1339"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2015</w:t>
            </w: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b/>
                <w:bCs/>
                <w:color w:val="000000"/>
                <w:sz w:val="20"/>
                <w:szCs w:val="20"/>
              </w:rPr>
            </w:pPr>
            <w:r w:rsidRPr="00922B96">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b/>
                <w:bCs/>
                <w:color w:val="000000"/>
                <w:sz w:val="20"/>
                <w:szCs w:val="20"/>
              </w:rPr>
            </w:pPr>
            <w:r w:rsidRPr="00922B96">
              <w:rPr>
                <w:rFonts w:ascii="Arial Narrow" w:hAnsi="Arial Narrow" w:cs="Arial"/>
                <w:b/>
                <w:bCs/>
                <w:color w:val="000000"/>
                <w:sz w:val="20"/>
                <w:szCs w:val="20"/>
              </w:rPr>
              <w:t>Daňové príjmy</w:t>
            </w:r>
          </w:p>
        </w:tc>
        <w:tc>
          <w:tcPr>
            <w:tcW w:w="1171"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345 296 938</w:t>
            </w:r>
          </w:p>
        </w:tc>
        <w:tc>
          <w:tcPr>
            <w:tcW w:w="1339"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741 116 193</w:t>
            </w:r>
          </w:p>
        </w:tc>
        <w:tc>
          <w:tcPr>
            <w:tcW w:w="1171"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832 782 403</w:t>
            </w:r>
          </w:p>
        </w:tc>
        <w:tc>
          <w:tcPr>
            <w:tcW w:w="1339"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921 445 416</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Poistné</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345 296 938</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741 116 193</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832 782 403</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921 445 416</w:t>
            </w:r>
          </w:p>
        </w:tc>
      </w:tr>
      <w:tr>
        <w:tblPrEx>
          <w:tblW w:w="9480" w:type="dxa"/>
          <w:tblInd w:w="55" w:type="dxa"/>
          <w:tblCellMar>
            <w:left w:w="70" w:type="dxa"/>
            <w:right w:w="70" w:type="dxa"/>
          </w:tblCellMar>
          <w:tblLook w:val="00A0"/>
        </w:tblPrEx>
        <w:trPr>
          <w:trHeight w:val="510"/>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151-153, 155-158</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Sociálne poistenie</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345 296 938</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741 116 193</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832 782 403</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921 445 416</w:t>
            </w:r>
          </w:p>
        </w:tc>
      </w:tr>
      <w:tr>
        <w:tblPrEx>
          <w:tblW w:w="9480" w:type="dxa"/>
          <w:tblInd w:w="55" w:type="dxa"/>
          <w:tblCellMar>
            <w:left w:w="70" w:type="dxa"/>
            <w:right w:w="70" w:type="dxa"/>
          </w:tblCellMar>
          <w:tblLook w:val="00A0"/>
        </w:tblPrEx>
        <w:trPr>
          <w:trHeight w:val="315"/>
        </w:trPr>
        <w:tc>
          <w:tcPr>
            <w:tcW w:w="960" w:type="dxa"/>
            <w:tcBorders>
              <w:top w:val="nil"/>
              <w:left w:val="nil"/>
              <w:bottom w:val="nil"/>
              <w:right w:val="nil"/>
            </w:tcBorders>
            <w:textDirection w:val="lrTb"/>
            <w:vAlign w:val="center"/>
          </w:tcPr>
          <w:p w:rsidR="00F63F07" w:rsidRPr="00922B96" w:rsidP="00922B96">
            <w:pPr>
              <w:bidi w:val="0"/>
              <w:jc w:val="right"/>
              <w:rPr>
                <w:rFonts w:ascii="Arial Narrow" w:hAnsi="Arial Narrow" w:cs="Arial"/>
                <w:color w:val="000000"/>
                <w:sz w:val="20"/>
                <w:szCs w:val="20"/>
              </w:rPr>
            </w:pPr>
          </w:p>
        </w:tc>
        <w:tc>
          <w:tcPr>
            <w:tcW w:w="3500"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000000" w:fill="000000"/>
            <w:textDirection w:val="lrTb"/>
            <w:vAlign w:val="bottom"/>
          </w:tcPr>
          <w:p w:rsidR="00F63F07" w:rsidRPr="00E70684" w:rsidP="00922B96">
            <w:pPr>
              <w:bidi w:val="0"/>
              <w:rPr>
                <w:rFonts w:ascii="Arial Narrow" w:hAnsi="Arial Narrow" w:cs="Arial"/>
                <w:b/>
                <w:bCs/>
                <w:color w:val="FFFFFF"/>
                <w:u w:val="single"/>
              </w:rPr>
            </w:pPr>
            <w:r w:rsidRPr="00D414AF">
              <w:rPr>
                <w:rFonts w:ascii="Arial Narrow" w:hAnsi="Arial Narrow" w:cs="Arial"/>
                <w:b/>
                <w:bCs/>
                <w:color w:val="FFFFFF"/>
                <w:sz w:val="22"/>
                <w:szCs w:val="22"/>
                <w:u w:val="single"/>
              </w:rPr>
              <w:t>Rozpočet zdravotných poisťovní - príjmy (v eur)</w:t>
            </w:r>
          </w:p>
        </w:tc>
        <w:tc>
          <w:tcPr>
            <w:tcW w:w="5020" w:type="dxa"/>
            <w:gridSpan w:val="4"/>
            <w:tcBorders>
              <w:top w:val="single" w:sz="4" w:space="0" w:color="auto"/>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Vplyv na rozpočet zdravotných poisťovní (cash)</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nil"/>
              <w:right w:val="nil"/>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F63F07" w:rsidRPr="00E70684" w:rsidP="00922B96">
            <w:pPr>
              <w:bidi w:val="0"/>
              <w:rPr>
                <w:rFonts w:ascii="Arial Narrow" w:hAnsi="Arial Narrow" w:cs="Arial"/>
                <w:b/>
                <w:bCs/>
                <w:color w:val="FFFFFF"/>
                <w:u w:val="single"/>
              </w:rPr>
            </w:pPr>
          </w:p>
        </w:tc>
        <w:tc>
          <w:tcPr>
            <w:tcW w:w="1171"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2012</w:t>
            </w:r>
          </w:p>
        </w:tc>
        <w:tc>
          <w:tcPr>
            <w:tcW w:w="1339"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2013</w:t>
            </w:r>
          </w:p>
        </w:tc>
        <w:tc>
          <w:tcPr>
            <w:tcW w:w="1171"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2014</w:t>
            </w:r>
          </w:p>
        </w:tc>
        <w:tc>
          <w:tcPr>
            <w:tcW w:w="1339"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2015</w:t>
            </w: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b/>
                <w:bCs/>
                <w:color w:val="000000"/>
                <w:sz w:val="20"/>
                <w:szCs w:val="20"/>
              </w:rPr>
            </w:pPr>
            <w:r w:rsidRPr="00922B96">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b/>
                <w:bCs/>
                <w:color w:val="000000"/>
                <w:sz w:val="20"/>
                <w:szCs w:val="20"/>
              </w:rPr>
            </w:pPr>
            <w:r w:rsidRPr="00922B96">
              <w:rPr>
                <w:rFonts w:ascii="Arial Narrow" w:hAnsi="Arial Narrow" w:cs="Arial"/>
                <w:b/>
                <w:bCs/>
                <w:color w:val="000000"/>
                <w:sz w:val="20"/>
                <w:szCs w:val="20"/>
              </w:rPr>
              <w:t>Daňové príjmy</w:t>
            </w:r>
          </w:p>
        </w:tc>
        <w:tc>
          <w:tcPr>
            <w:tcW w:w="1171"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0</w:t>
            </w:r>
          </w:p>
        </w:tc>
        <w:tc>
          <w:tcPr>
            <w:tcW w:w="1339"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119 992 182</w:t>
            </w:r>
          </w:p>
        </w:tc>
        <w:tc>
          <w:tcPr>
            <w:tcW w:w="1171"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144 331 842</w:t>
            </w:r>
          </w:p>
        </w:tc>
        <w:tc>
          <w:tcPr>
            <w:tcW w:w="1339"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158 915 435</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Poistné</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119 992 182</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144 331 842</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158 915 435</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154</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Zdravotné poistenie</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119 992 182</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144 331 842</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158 915 435</w:t>
            </w:r>
          </w:p>
        </w:tc>
      </w:tr>
      <w:tr>
        <w:tblPrEx>
          <w:tblW w:w="9480" w:type="dxa"/>
          <w:tblInd w:w="55" w:type="dxa"/>
          <w:tblCellMar>
            <w:left w:w="70" w:type="dxa"/>
            <w:right w:w="70" w:type="dxa"/>
          </w:tblCellMar>
          <w:tblLook w:val="00A0"/>
        </w:tblPrEx>
        <w:trPr>
          <w:trHeight w:val="315"/>
        </w:trPr>
        <w:tc>
          <w:tcPr>
            <w:tcW w:w="960" w:type="dxa"/>
            <w:tcBorders>
              <w:top w:val="nil"/>
              <w:left w:val="nil"/>
              <w:bottom w:val="nil"/>
              <w:right w:val="nil"/>
            </w:tcBorders>
            <w:textDirection w:val="lrTb"/>
            <w:vAlign w:val="center"/>
          </w:tcPr>
          <w:p w:rsidR="00F63F07" w:rsidRPr="00922B96" w:rsidP="00922B96">
            <w:pPr>
              <w:bidi w:val="0"/>
              <w:jc w:val="right"/>
              <w:rPr>
                <w:rFonts w:ascii="Arial Narrow" w:hAnsi="Arial Narrow" w:cs="Arial"/>
                <w:color w:val="000000"/>
                <w:sz w:val="20"/>
                <w:szCs w:val="20"/>
              </w:rPr>
            </w:pPr>
          </w:p>
        </w:tc>
        <w:tc>
          <w:tcPr>
            <w:tcW w:w="3500"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171" w:type="dxa"/>
            <w:tcBorders>
              <w:top w:val="nil"/>
              <w:left w:val="nil"/>
              <w:bottom w:val="nil"/>
              <w:right w:val="nil"/>
            </w:tcBorders>
            <w:noWrap/>
            <w:textDirection w:val="lrTb"/>
            <w:vAlign w:val="center"/>
          </w:tcPr>
          <w:p w:rsidR="00F63F07" w:rsidRPr="00922B96" w:rsidP="00922B96">
            <w:pPr>
              <w:bidi w:val="0"/>
              <w:rPr>
                <w:rFonts w:ascii="Arial Narrow" w:hAnsi="Arial Narrow" w:cs="Arial"/>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i/>
                <w:iCs/>
                <w:color w:val="000000"/>
                <w:sz w:val="20"/>
                <w:szCs w:val="20"/>
              </w:rPr>
            </w:pPr>
          </w:p>
        </w:tc>
        <w:tc>
          <w:tcPr>
            <w:tcW w:w="1171" w:type="dxa"/>
            <w:tcBorders>
              <w:top w:val="nil"/>
              <w:left w:val="nil"/>
              <w:bottom w:val="nil"/>
              <w:right w:val="nil"/>
            </w:tcBorders>
            <w:noWrap/>
            <w:textDirection w:val="lrTb"/>
            <w:vAlign w:val="bottom"/>
          </w:tcPr>
          <w:p w:rsidR="00F63F07" w:rsidRPr="00922B96" w:rsidP="00922B96">
            <w:pPr>
              <w:bidi w:val="0"/>
              <w:rPr>
                <w:rFonts w:ascii="Arial Narrow" w:hAnsi="Arial Narrow" w:cs="Arial"/>
                <w:i/>
                <w:iCs/>
                <w:color w:val="000000"/>
                <w:sz w:val="20"/>
                <w:szCs w:val="20"/>
              </w:rPr>
            </w:pPr>
          </w:p>
        </w:tc>
        <w:tc>
          <w:tcPr>
            <w:tcW w:w="1339" w:type="dxa"/>
            <w:tcBorders>
              <w:top w:val="nil"/>
              <w:left w:val="nil"/>
              <w:bottom w:val="nil"/>
              <w:right w:val="nil"/>
            </w:tcBorders>
            <w:noWrap/>
            <w:textDirection w:val="lrTb"/>
            <w:vAlign w:val="bottom"/>
          </w:tcPr>
          <w:p w:rsidR="00F63F07" w:rsidRPr="00922B96" w:rsidP="00922B96">
            <w:pPr>
              <w:bidi w:val="0"/>
              <w:rPr>
                <w:rFonts w:ascii="Arial Narrow" w:hAnsi="Arial Narrow" w:cs="Arial"/>
                <w:i/>
                <w:iCs/>
                <w:color w:val="000000"/>
                <w:sz w:val="20"/>
                <w:szCs w:val="20"/>
              </w:rPr>
            </w:pP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000000" w:fill="000000"/>
            <w:textDirection w:val="lrTb"/>
            <w:vAlign w:val="bottom"/>
          </w:tcPr>
          <w:p w:rsidR="00F63F07" w:rsidRPr="00E70684" w:rsidP="00922B96">
            <w:pPr>
              <w:bidi w:val="0"/>
              <w:rPr>
                <w:rFonts w:ascii="Arial Narrow" w:hAnsi="Arial Narrow" w:cs="Arial"/>
                <w:b/>
                <w:bCs/>
                <w:color w:val="FFFFFF"/>
                <w:u w:val="single"/>
              </w:rPr>
            </w:pPr>
            <w:r w:rsidRPr="00D414AF">
              <w:rPr>
                <w:rFonts w:ascii="Arial Narrow" w:hAnsi="Arial Narrow" w:cs="Arial"/>
                <w:b/>
                <w:bCs/>
                <w:color w:val="FFFFFF"/>
                <w:sz w:val="22"/>
                <w:szCs w:val="22"/>
                <w:u w:val="single"/>
              </w:rPr>
              <w:t>Rozpočet verejnej správy - príjmy (v eur)</w:t>
            </w:r>
          </w:p>
        </w:tc>
        <w:tc>
          <w:tcPr>
            <w:tcW w:w="5020" w:type="dxa"/>
            <w:gridSpan w:val="4"/>
            <w:tcBorders>
              <w:top w:val="single" w:sz="4" w:space="0" w:color="auto"/>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Vplyv na rozpočet verejnej správy (cash)</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nil"/>
              <w:right w:val="nil"/>
            </w:tcBorders>
            <w:shd w:val="clear" w:color="000000" w:fill="000000"/>
            <w:noWrap/>
            <w:textDirection w:val="lrTb"/>
            <w:vAlign w:val="bottom"/>
          </w:tcPr>
          <w:p w:rsidR="00F63F07" w:rsidRPr="00E70684" w:rsidP="00922B96">
            <w:pPr>
              <w:bidi w:val="0"/>
              <w:rPr>
                <w:rFonts w:ascii="Arial Narrow" w:hAnsi="Arial Narrow" w:cs="Arial"/>
                <w:b/>
                <w:bCs/>
                <w:color w:val="FFFFFF"/>
              </w:rPr>
            </w:pPr>
            <w:r w:rsidRPr="00D414AF">
              <w:rPr>
                <w:rFonts w:ascii="Arial Narrow" w:hAnsi="Arial Narrow" w:cs="Arial"/>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F63F07" w:rsidRPr="00E70684" w:rsidP="00922B96">
            <w:pPr>
              <w:bidi w:val="0"/>
              <w:rPr>
                <w:rFonts w:ascii="Arial Narrow" w:hAnsi="Arial Narrow" w:cs="Arial"/>
                <w:b/>
                <w:bCs/>
                <w:color w:val="FFFFFF"/>
                <w:u w:val="single"/>
              </w:rPr>
            </w:pPr>
          </w:p>
        </w:tc>
        <w:tc>
          <w:tcPr>
            <w:tcW w:w="1171"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2012</w:t>
            </w:r>
          </w:p>
        </w:tc>
        <w:tc>
          <w:tcPr>
            <w:tcW w:w="1339"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2013</w:t>
            </w:r>
          </w:p>
        </w:tc>
        <w:tc>
          <w:tcPr>
            <w:tcW w:w="1171"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2014</w:t>
            </w:r>
          </w:p>
        </w:tc>
        <w:tc>
          <w:tcPr>
            <w:tcW w:w="1339" w:type="dxa"/>
            <w:tcBorders>
              <w:top w:val="nil"/>
              <w:left w:val="nil"/>
              <w:bottom w:val="nil"/>
              <w:right w:val="nil"/>
            </w:tcBorders>
            <w:shd w:val="clear" w:color="000000" w:fill="000000"/>
            <w:noWrap/>
            <w:textDirection w:val="lrTb"/>
            <w:vAlign w:val="bottom"/>
          </w:tcPr>
          <w:p w:rsidR="00F63F07" w:rsidRPr="00E70684" w:rsidP="00922B96">
            <w:pPr>
              <w:bidi w:val="0"/>
              <w:jc w:val="center"/>
              <w:rPr>
                <w:rFonts w:ascii="Arial Narrow" w:hAnsi="Arial Narrow" w:cs="Arial"/>
                <w:b/>
                <w:bCs/>
                <w:color w:val="FFFFFF"/>
              </w:rPr>
            </w:pPr>
            <w:r w:rsidRPr="00D414AF">
              <w:rPr>
                <w:rFonts w:ascii="Arial Narrow" w:hAnsi="Arial Narrow" w:cs="Arial"/>
                <w:b/>
                <w:bCs/>
                <w:color w:val="FFFFFF"/>
                <w:sz w:val="22"/>
                <w:szCs w:val="22"/>
              </w:rPr>
              <w:t>2015</w:t>
            </w:r>
          </w:p>
        </w:tc>
      </w:tr>
      <w:tr>
        <w:tblPrEx>
          <w:tblW w:w="948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b/>
                <w:bCs/>
                <w:color w:val="000000"/>
                <w:sz w:val="20"/>
                <w:szCs w:val="20"/>
              </w:rPr>
            </w:pPr>
            <w:r w:rsidRPr="00922B96">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b/>
                <w:bCs/>
                <w:color w:val="000000"/>
                <w:sz w:val="20"/>
                <w:szCs w:val="20"/>
              </w:rPr>
            </w:pPr>
            <w:r w:rsidRPr="00922B96">
              <w:rPr>
                <w:rFonts w:ascii="Arial Narrow" w:hAnsi="Arial Narrow" w:cs="Arial"/>
                <w:b/>
                <w:bCs/>
                <w:color w:val="000000"/>
                <w:sz w:val="20"/>
                <w:szCs w:val="20"/>
              </w:rPr>
              <w:t>Daňové príjmy</w:t>
            </w:r>
          </w:p>
        </w:tc>
        <w:tc>
          <w:tcPr>
            <w:tcW w:w="1171"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345 296 938</w:t>
            </w:r>
          </w:p>
        </w:tc>
        <w:tc>
          <w:tcPr>
            <w:tcW w:w="1339"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822 462 872</w:t>
            </w:r>
          </w:p>
        </w:tc>
        <w:tc>
          <w:tcPr>
            <w:tcW w:w="1171"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879 730 950</w:t>
            </w:r>
          </w:p>
        </w:tc>
        <w:tc>
          <w:tcPr>
            <w:tcW w:w="1339" w:type="dxa"/>
            <w:tcBorders>
              <w:top w:val="single" w:sz="4" w:space="0" w:color="auto"/>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b/>
                <w:bCs/>
                <w:color w:val="000000"/>
                <w:sz w:val="20"/>
                <w:szCs w:val="20"/>
              </w:rPr>
            </w:pPr>
            <w:r w:rsidRPr="00347448">
              <w:rPr>
                <w:rFonts w:ascii="Arial Narrow" w:hAnsi="Arial Narrow" w:cs="Arial"/>
                <w:b/>
                <w:bCs/>
                <w:color w:val="000000"/>
                <w:sz w:val="20"/>
                <w:szCs w:val="20"/>
              </w:rPr>
              <w:t>988 206 020</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Dane z príjmov a kapitálového majetku</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-38 645 503</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-97 383 296</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-92 154 830</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Daň z príjmov fyzickej osoby</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-38 645 503</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-63 229 545</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-64 517 554</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112</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Daň z príjmov právnických osôb</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-34 153 750</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-27 637 276</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347448" w:rsidRPr="00922B96" w:rsidP="00922B96">
            <w:pPr>
              <w:bidi w:val="0"/>
              <w:jc w:val="right"/>
              <w:rPr>
                <w:rFonts w:ascii="Arial Narrow" w:hAnsi="Arial Narrow" w:cs="Arial"/>
                <w:i/>
                <w:iCs/>
                <w:color w:val="000000"/>
                <w:sz w:val="20"/>
                <w:szCs w:val="20"/>
              </w:rPr>
            </w:pPr>
            <w:r w:rsidRPr="00922B96">
              <w:rPr>
                <w:rFonts w:ascii="Arial Narrow" w:hAnsi="Arial Narrow" w:cs="Arial"/>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347448" w:rsidRPr="00922B96" w:rsidP="00922B96">
            <w:pPr>
              <w:bidi w:val="0"/>
              <w:rPr>
                <w:rFonts w:ascii="Arial Narrow" w:hAnsi="Arial Narrow" w:cs="Arial"/>
                <w:i/>
                <w:iCs/>
                <w:color w:val="000000"/>
                <w:sz w:val="20"/>
                <w:szCs w:val="20"/>
              </w:rPr>
            </w:pPr>
            <w:r w:rsidRPr="00922B96">
              <w:rPr>
                <w:rFonts w:ascii="Arial Narrow" w:hAnsi="Arial Narrow" w:cs="Arial"/>
                <w:i/>
                <w:iCs/>
                <w:color w:val="000000"/>
                <w:sz w:val="20"/>
                <w:szCs w:val="20"/>
              </w:rPr>
              <w:t>Poistné</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345 296 938</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861 108 375</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977 114 246</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i/>
                <w:iCs/>
                <w:color w:val="000000"/>
                <w:sz w:val="20"/>
                <w:szCs w:val="20"/>
              </w:rPr>
            </w:pPr>
            <w:r w:rsidRPr="00347448">
              <w:rPr>
                <w:rFonts w:ascii="Arial Narrow" w:hAnsi="Arial Narrow" w:cs="Arial"/>
                <w:i/>
                <w:iCs/>
                <w:color w:val="000000"/>
                <w:sz w:val="20"/>
                <w:szCs w:val="20"/>
              </w:rPr>
              <w:t>1 080 360 850</w:t>
            </w:r>
          </w:p>
        </w:tc>
      </w:tr>
      <w:tr>
        <w:tblPrEx>
          <w:tblW w:w="9480" w:type="dxa"/>
          <w:tblInd w:w="55" w:type="dxa"/>
          <w:tblCellMar>
            <w:left w:w="70" w:type="dxa"/>
            <w:right w:w="70" w:type="dxa"/>
          </w:tblCellMar>
          <w:tblLook w:val="00A0"/>
        </w:tblPrEx>
        <w:trPr>
          <w:trHeight w:val="510"/>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151-153, 155-158</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Sociálne poistenie</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345 296 938</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741 116 193</w:t>
            </w:r>
          </w:p>
        </w:tc>
        <w:tc>
          <w:tcPr>
            <w:tcW w:w="1171"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832 782 403</w:t>
            </w:r>
          </w:p>
        </w:tc>
        <w:tc>
          <w:tcPr>
            <w:tcW w:w="1339" w:type="dxa"/>
            <w:tcBorders>
              <w:top w:val="nil"/>
              <w:left w:val="nil"/>
              <w:bottom w:val="single" w:sz="4" w:space="0" w:color="auto"/>
              <w:right w:val="single" w:sz="4" w:space="0" w:color="auto"/>
            </w:tcBorders>
            <w:noWrap/>
            <w:textDirection w:val="lrTb"/>
            <w:vAlign w:val="bottom"/>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921 445 416</w:t>
            </w:r>
          </w:p>
        </w:tc>
      </w:tr>
      <w:tr>
        <w:tblPrEx>
          <w:tblW w:w="948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347448" w:rsidRPr="00922B96" w:rsidP="00922B96">
            <w:pPr>
              <w:bidi w:val="0"/>
              <w:jc w:val="right"/>
              <w:rPr>
                <w:rFonts w:ascii="Arial Narrow" w:hAnsi="Arial Narrow" w:cs="Arial"/>
                <w:color w:val="000000"/>
                <w:sz w:val="20"/>
                <w:szCs w:val="20"/>
              </w:rPr>
            </w:pPr>
            <w:r w:rsidRPr="00922B96">
              <w:rPr>
                <w:rFonts w:ascii="Arial Narrow" w:hAnsi="Arial Narrow" w:cs="Arial"/>
                <w:color w:val="000000"/>
                <w:sz w:val="20"/>
                <w:szCs w:val="20"/>
              </w:rPr>
              <w:t>154</w:t>
            </w:r>
          </w:p>
        </w:tc>
        <w:tc>
          <w:tcPr>
            <w:tcW w:w="3500" w:type="dxa"/>
            <w:tcBorders>
              <w:top w:val="nil"/>
              <w:left w:val="nil"/>
              <w:bottom w:val="single" w:sz="4" w:space="0" w:color="auto"/>
              <w:right w:val="single" w:sz="4" w:space="0" w:color="auto"/>
            </w:tcBorders>
            <w:noWrap/>
            <w:textDirection w:val="lrTb"/>
            <w:vAlign w:val="center"/>
          </w:tcPr>
          <w:p w:rsidR="00347448" w:rsidRPr="00922B96" w:rsidP="00922B96">
            <w:pPr>
              <w:bidi w:val="0"/>
              <w:rPr>
                <w:rFonts w:ascii="Arial Narrow" w:hAnsi="Arial Narrow" w:cs="Arial"/>
                <w:color w:val="000000"/>
                <w:sz w:val="20"/>
                <w:szCs w:val="20"/>
              </w:rPr>
            </w:pPr>
            <w:r w:rsidRPr="00922B96">
              <w:rPr>
                <w:rFonts w:ascii="Arial Narrow" w:hAnsi="Arial Narrow" w:cs="Arial"/>
                <w:color w:val="000000"/>
                <w:sz w:val="20"/>
                <w:szCs w:val="20"/>
              </w:rPr>
              <w:t>Zdravotné poistenie</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0</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119 992 182</w:t>
            </w:r>
          </w:p>
        </w:tc>
        <w:tc>
          <w:tcPr>
            <w:tcW w:w="1171"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144 331 842</w:t>
            </w:r>
          </w:p>
        </w:tc>
        <w:tc>
          <w:tcPr>
            <w:tcW w:w="1339" w:type="dxa"/>
            <w:tcBorders>
              <w:top w:val="nil"/>
              <w:left w:val="nil"/>
              <w:bottom w:val="single" w:sz="4" w:space="0" w:color="auto"/>
              <w:right w:val="single" w:sz="4" w:space="0" w:color="auto"/>
            </w:tcBorders>
            <w:noWrap/>
            <w:textDirection w:val="lrTb"/>
            <w:vAlign w:val="center"/>
          </w:tcPr>
          <w:p w:rsidR="00347448" w:rsidRPr="00347448">
            <w:pPr>
              <w:bidi w:val="0"/>
              <w:jc w:val="right"/>
              <w:rPr>
                <w:rFonts w:ascii="Arial Narrow" w:hAnsi="Arial Narrow" w:cs="Arial"/>
                <w:color w:val="000000"/>
                <w:sz w:val="20"/>
                <w:szCs w:val="20"/>
              </w:rPr>
            </w:pPr>
            <w:r w:rsidRPr="00347448">
              <w:rPr>
                <w:rFonts w:ascii="Arial Narrow" w:hAnsi="Arial Narrow" w:cs="Arial"/>
                <w:color w:val="000000"/>
                <w:sz w:val="20"/>
                <w:szCs w:val="20"/>
              </w:rPr>
              <w:t>158 915 435</w:t>
            </w:r>
          </w:p>
        </w:tc>
      </w:tr>
    </w:tbl>
    <w:p w:rsidR="00F63F07" w:rsidP="00963EE8">
      <w:pPr>
        <w:bidi w:val="0"/>
        <w:jc w:val="right"/>
        <w:rPr>
          <w:rFonts w:ascii="Times New Roman" w:hAnsi="Times New Roman"/>
          <w:sz w:val="20"/>
          <w:szCs w:val="20"/>
        </w:rPr>
      </w:pPr>
    </w:p>
    <w:p w:rsidR="00F63F07" w:rsidP="00963EE8">
      <w:pPr>
        <w:bidi w:val="0"/>
        <w:jc w:val="right"/>
        <w:rPr>
          <w:rFonts w:ascii="Times New Roman" w:hAnsi="Times New Roman"/>
          <w:sz w:val="20"/>
          <w:szCs w:val="20"/>
        </w:rPr>
      </w:pPr>
    </w:p>
    <w:p w:rsidR="00F63F07" w:rsidP="00963EE8">
      <w:pPr>
        <w:bidi w:val="0"/>
        <w:jc w:val="right"/>
        <w:rPr>
          <w:rFonts w:ascii="Times New Roman" w:hAnsi="Times New Roman"/>
          <w:sz w:val="20"/>
          <w:szCs w:val="20"/>
        </w:rPr>
      </w:pPr>
    </w:p>
    <w:p w:rsidR="00F63F07">
      <w:pPr>
        <w:autoSpaceDE w:val="0"/>
        <w:autoSpaceDN w:val="0"/>
        <w:bidi w:val="0"/>
        <w:adjustRightInd w:val="0"/>
        <w:jc w:val="right"/>
        <w:rPr>
          <w:rFonts w:ascii="Times New Roman" w:hAnsi="Times New Roman"/>
          <w:sz w:val="20"/>
          <w:szCs w:val="20"/>
        </w:rPr>
      </w:pPr>
      <w:r>
        <w:rPr>
          <w:rFonts w:ascii="Times New Roman" w:hAnsi="Times New Roman"/>
          <w:sz w:val="20"/>
          <w:szCs w:val="20"/>
        </w:rPr>
        <w:t>Tabuľky 3b</w:t>
      </w:r>
    </w:p>
    <w:tbl>
      <w:tblPr>
        <w:tblStyle w:val="TableNormal"/>
        <w:tblW w:w="9420" w:type="dxa"/>
        <w:tblInd w:w="55" w:type="dxa"/>
        <w:tblCellMar>
          <w:left w:w="70" w:type="dxa"/>
          <w:right w:w="70" w:type="dxa"/>
        </w:tblCellMar>
        <w:tblLook w:val="00A0"/>
      </w:tblPr>
      <w:tblGrid>
        <w:gridCol w:w="960"/>
        <w:gridCol w:w="3500"/>
        <w:gridCol w:w="1157"/>
        <w:gridCol w:w="1323"/>
        <w:gridCol w:w="1157"/>
        <w:gridCol w:w="1323"/>
      </w:tblGrid>
      <w:tr>
        <w:tblPrEx>
          <w:tblW w:w="942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Štátny rozpočet (VPS) - príjmy (v eur)</w:t>
            </w:r>
          </w:p>
        </w:tc>
        <w:tc>
          <w:tcPr>
            <w:tcW w:w="4960" w:type="dxa"/>
            <w:gridSpan w:val="4"/>
            <w:tcBorders>
              <w:top w:val="single" w:sz="4" w:space="0" w:color="auto"/>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štátny rozpočet (ESA 95)</w:t>
            </w:r>
          </w:p>
        </w:tc>
      </w:tr>
      <w:tr>
        <w:tblPrEx>
          <w:tblW w:w="9420" w:type="dxa"/>
          <w:tblInd w:w="55" w:type="dxa"/>
          <w:tblCellMar>
            <w:left w:w="70" w:type="dxa"/>
            <w:right w:w="70" w:type="dxa"/>
          </w:tblCellMar>
          <w:tblLook w:val="00A0"/>
        </w:tblPrEx>
        <w:trPr>
          <w:trHeight w:val="330"/>
        </w:trPr>
        <w:tc>
          <w:tcPr>
            <w:tcW w:w="96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tcBorders>
              <w:top w:val="single" w:sz="4" w:space="0" w:color="auto"/>
              <w:left w:val="single" w:sz="4" w:space="0" w:color="auto"/>
              <w:bottom w:val="single" w:sz="4" w:space="0" w:color="auto"/>
              <w:right w:val="single" w:sz="4" w:space="0" w:color="auto"/>
            </w:tcBorders>
            <w:textDirection w:val="lrTb"/>
            <w:vAlign w:val="center"/>
          </w:tcPr>
          <w:p w:rsidR="00F63F07" w:rsidRPr="00E70684" w:rsidP="00E70684">
            <w:pPr>
              <w:bidi w:val="0"/>
              <w:rPr>
                <w:rFonts w:ascii="Arial Narrow" w:hAnsi="Arial Narrow" w:cs="Arial"/>
                <w:b/>
                <w:bCs/>
                <w:color w:val="FFFFFF"/>
                <w:u w:val="single"/>
              </w:rPr>
            </w:pPr>
          </w:p>
        </w:tc>
        <w:tc>
          <w:tcPr>
            <w:tcW w:w="1157"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323"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157"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323"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Daňové príjmy</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-41 276 239</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-32 564 952</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-37 720 128</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Dane z príjmov a kapitálového majetku</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-41 276 239</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-32 564 952</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-37 720 128</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4232EF"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4232EF"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Daň z príjmov fyzickej osoby</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-16 095 460</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-5 646 038</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-8 646 128</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4232EF"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112</w:t>
            </w:r>
          </w:p>
        </w:tc>
        <w:tc>
          <w:tcPr>
            <w:tcW w:w="3500" w:type="dxa"/>
            <w:tcBorders>
              <w:top w:val="nil"/>
              <w:left w:val="nil"/>
              <w:bottom w:val="single" w:sz="4" w:space="0" w:color="auto"/>
              <w:right w:val="single" w:sz="4" w:space="0" w:color="auto"/>
            </w:tcBorders>
            <w:noWrap/>
            <w:textDirection w:val="lrTb"/>
            <w:vAlign w:val="center"/>
          </w:tcPr>
          <w:p w:rsidR="004232EF"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Daň z príjmov právnických osôb</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-25 180 779</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-26 918 914</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-29 074 000</w:t>
            </w:r>
          </w:p>
        </w:tc>
      </w:tr>
      <w:tr>
        <w:tblPrEx>
          <w:tblW w:w="942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r>
      <w:tr>
        <w:tblPrEx>
          <w:tblW w:w="9420" w:type="dxa"/>
          <w:tblInd w:w="55" w:type="dxa"/>
          <w:tblCellMar>
            <w:left w:w="70" w:type="dxa"/>
            <w:right w:w="70" w:type="dxa"/>
          </w:tblCellMar>
          <w:tblLook w:val="00A0"/>
        </w:tblPrEx>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obcí - príjmy (v eur)</w:t>
            </w:r>
          </w:p>
        </w:tc>
        <w:tc>
          <w:tcPr>
            <w:tcW w:w="4960" w:type="dxa"/>
            <w:gridSpan w:val="4"/>
            <w:tcBorders>
              <w:top w:val="single" w:sz="4" w:space="0" w:color="auto"/>
              <w:left w:val="nil"/>
              <w:bottom w:val="single" w:sz="4" w:space="0" w:color="auto"/>
              <w:right w:val="single" w:sz="4" w:space="0" w:color="000000"/>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obcí (ESA 95)</w:t>
            </w:r>
          </w:p>
        </w:tc>
      </w:tr>
      <w:tr>
        <w:tblPrEx>
          <w:tblW w:w="9420" w:type="dxa"/>
          <w:tblInd w:w="55" w:type="dxa"/>
          <w:tblCellMar>
            <w:left w:w="70" w:type="dxa"/>
            <w:right w:w="70" w:type="dxa"/>
          </w:tblCellMar>
          <w:tblLook w:val="00A0"/>
        </w:tblPrEx>
        <w:trPr>
          <w:trHeight w:val="330"/>
        </w:trPr>
        <w:tc>
          <w:tcPr>
            <w:tcW w:w="96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tcBorders>
              <w:top w:val="single" w:sz="4" w:space="0" w:color="auto"/>
              <w:left w:val="single" w:sz="4" w:space="0" w:color="auto"/>
              <w:bottom w:val="single" w:sz="4" w:space="0" w:color="auto"/>
              <w:right w:val="single" w:sz="4" w:space="0" w:color="auto"/>
            </w:tcBorders>
            <w:textDirection w:val="lrTb"/>
            <w:vAlign w:val="center"/>
          </w:tcPr>
          <w:p w:rsidR="00F63F07" w:rsidRPr="00E70684" w:rsidP="00E70684">
            <w:pPr>
              <w:bidi w:val="0"/>
              <w:rPr>
                <w:rFonts w:ascii="Arial Narrow" w:hAnsi="Arial Narrow" w:cs="Arial"/>
                <w:b/>
                <w:bCs/>
                <w:color w:val="FFFFFF"/>
                <w:u w:val="single"/>
              </w:rPr>
            </w:pPr>
          </w:p>
        </w:tc>
        <w:tc>
          <w:tcPr>
            <w:tcW w:w="1157"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323"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157"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323"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Daňové príjmy</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-25 274 159</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-41 352 123</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-42 194 480</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Dane z príjmov a kapitálového majetku</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-25 274 159</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-41 352 123</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-42 194 480</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4232EF"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4232EF"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Daň z príjmov fyzickej osoby</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-25 274 159</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-41 352 123</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-42 194 480</w:t>
            </w:r>
          </w:p>
        </w:tc>
      </w:tr>
      <w:tr>
        <w:tblPrEx>
          <w:tblW w:w="942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r>
      <w:tr>
        <w:tblPrEx>
          <w:tblW w:w="9420" w:type="dxa"/>
          <w:tblInd w:w="55" w:type="dxa"/>
          <w:tblCellMar>
            <w:left w:w="70" w:type="dxa"/>
            <w:right w:w="70" w:type="dxa"/>
          </w:tblCellMar>
          <w:tblLook w:val="00A0"/>
        </w:tblPrEx>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VÚC - príjmy (v eur)</w:t>
            </w:r>
          </w:p>
        </w:tc>
        <w:tc>
          <w:tcPr>
            <w:tcW w:w="4960" w:type="dxa"/>
            <w:gridSpan w:val="4"/>
            <w:tcBorders>
              <w:top w:val="single" w:sz="4" w:space="0" w:color="auto"/>
              <w:left w:val="nil"/>
              <w:bottom w:val="single" w:sz="4" w:space="0" w:color="auto"/>
              <w:right w:val="single" w:sz="4" w:space="0" w:color="000000"/>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VÚC (ESA 95)</w:t>
            </w:r>
          </w:p>
        </w:tc>
      </w:tr>
      <w:tr>
        <w:tblPrEx>
          <w:tblW w:w="9420" w:type="dxa"/>
          <w:tblInd w:w="55" w:type="dxa"/>
          <w:tblCellMar>
            <w:left w:w="70" w:type="dxa"/>
            <w:right w:w="70" w:type="dxa"/>
          </w:tblCellMar>
          <w:tblLook w:val="00A0"/>
        </w:tblPrEx>
        <w:trPr>
          <w:trHeight w:val="330"/>
        </w:trPr>
        <w:tc>
          <w:tcPr>
            <w:tcW w:w="960" w:type="dxa"/>
            <w:tcBorders>
              <w:top w:val="nil"/>
              <w:left w:val="single" w:sz="4" w:space="0" w:color="auto"/>
              <w:bottom w:val="single" w:sz="4" w:space="0" w:color="auto"/>
              <w:right w:val="single" w:sz="4" w:space="0" w:color="auto"/>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tcBorders>
              <w:top w:val="single" w:sz="4" w:space="0" w:color="auto"/>
              <w:left w:val="single" w:sz="4" w:space="0" w:color="auto"/>
              <w:bottom w:val="single" w:sz="4" w:space="0" w:color="auto"/>
              <w:right w:val="single" w:sz="4" w:space="0" w:color="auto"/>
            </w:tcBorders>
            <w:textDirection w:val="lrTb"/>
            <w:vAlign w:val="center"/>
          </w:tcPr>
          <w:p w:rsidR="00F63F07" w:rsidRPr="00E70684" w:rsidP="00E70684">
            <w:pPr>
              <w:bidi w:val="0"/>
              <w:rPr>
                <w:rFonts w:ascii="Arial Narrow" w:hAnsi="Arial Narrow" w:cs="Arial"/>
                <w:b/>
                <w:bCs/>
                <w:color w:val="FFFFFF"/>
                <w:u w:val="single"/>
              </w:rPr>
            </w:pPr>
          </w:p>
        </w:tc>
        <w:tc>
          <w:tcPr>
            <w:tcW w:w="1157"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323"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157"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323" w:type="dxa"/>
            <w:tcBorders>
              <w:top w:val="nil"/>
              <w:left w:val="nil"/>
              <w:bottom w:val="single" w:sz="4" w:space="0" w:color="auto"/>
              <w:right w:val="single" w:sz="4" w:space="0" w:color="auto"/>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Daňové príjmy</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-8 463 365</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-13 847 270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-14 129 344</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Dane z príjmov a kapitálového majetku</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-8 463 365</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-13 847 270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-14 129 344</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4232EF"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4232EF"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Daň z príjmov fyzickej osoby</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-8 463 365</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-13 847 270</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-14 129 344</w:t>
            </w:r>
          </w:p>
        </w:tc>
      </w:tr>
      <w:tr>
        <w:tblPrEx>
          <w:tblW w:w="9420" w:type="dxa"/>
          <w:tblInd w:w="55" w:type="dxa"/>
          <w:tblCellMar>
            <w:left w:w="70" w:type="dxa"/>
            <w:right w:w="70" w:type="dxa"/>
          </w:tblCellMar>
          <w:tblLook w:val="00A0"/>
        </w:tblPrEx>
        <w:trPr>
          <w:trHeight w:val="315"/>
        </w:trPr>
        <w:tc>
          <w:tcPr>
            <w:tcW w:w="96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350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r>
      <w:tr>
        <w:tblPrEx>
          <w:tblW w:w="9420" w:type="dxa"/>
          <w:tblInd w:w="55" w:type="dxa"/>
          <w:tblCellMar>
            <w:left w:w="70" w:type="dxa"/>
            <w:right w:w="70" w:type="dxa"/>
          </w:tblCellMar>
          <w:tblLook w:val="00A0"/>
        </w:tblPrEx>
        <w:trPr>
          <w:trHeight w:val="330"/>
        </w:trPr>
        <w:tc>
          <w:tcPr>
            <w:tcW w:w="960"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000000" w:fill="000000"/>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Sociálnej poisťovne - príjmy (v eur)</w:t>
            </w:r>
          </w:p>
        </w:tc>
        <w:tc>
          <w:tcPr>
            <w:tcW w:w="4960" w:type="dxa"/>
            <w:gridSpan w:val="4"/>
            <w:tcBorders>
              <w:top w:val="single" w:sz="4" w:space="0" w:color="auto"/>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Sociálnej poisťovne (ESA 95)</w:t>
            </w:r>
          </w:p>
        </w:tc>
      </w:tr>
      <w:tr>
        <w:tblPrEx>
          <w:tblW w:w="9420" w:type="dxa"/>
          <w:tblInd w:w="55" w:type="dxa"/>
          <w:tblCellMar>
            <w:left w:w="70" w:type="dxa"/>
            <w:right w:w="70" w:type="dxa"/>
          </w:tblCellMar>
          <w:tblLook w:val="00A0"/>
        </w:tblPrEx>
        <w:trPr>
          <w:trHeight w:val="330"/>
        </w:trPr>
        <w:tc>
          <w:tcPr>
            <w:tcW w:w="960" w:type="dxa"/>
            <w:tcBorders>
              <w:top w:val="nil"/>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F63F07" w:rsidRPr="00E70684" w:rsidP="00E70684">
            <w:pPr>
              <w:bidi w:val="0"/>
              <w:rPr>
                <w:rFonts w:ascii="Arial Narrow" w:hAnsi="Arial Narrow" w:cs="Arial"/>
                <w:b/>
                <w:bCs/>
                <w:color w:val="FFFFFF"/>
                <w:u w:val="single"/>
              </w:rPr>
            </w:pPr>
          </w:p>
        </w:tc>
        <w:tc>
          <w:tcPr>
            <w:tcW w:w="1157"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323"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157"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323"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2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Daňové príjmy</w:t>
            </w:r>
          </w:p>
        </w:tc>
        <w:tc>
          <w:tcPr>
            <w:tcW w:w="1157" w:type="dxa"/>
            <w:tcBorders>
              <w:top w:val="single" w:sz="4" w:space="0" w:color="auto"/>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383 843 178</w:t>
            </w:r>
          </w:p>
        </w:tc>
        <w:tc>
          <w:tcPr>
            <w:tcW w:w="1323" w:type="dxa"/>
            <w:tcBorders>
              <w:top w:val="single" w:sz="4" w:space="0" w:color="auto"/>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766 270 594</w:t>
            </w:r>
          </w:p>
        </w:tc>
        <w:tc>
          <w:tcPr>
            <w:tcW w:w="1157" w:type="dxa"/>
            <w:tcBorders>
              <w:top w:val="single" w:sz="4" w:space="0" w:color="auto"/>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842 968 220</w:t>
            </w:r>
          </w:p>
        </w:tc>
        <w:tc>
          <w:tcPr>
            <w:tcW w:w="1323" w:type="dxa"/>
            <w:tcBorders>
              <w:top w:val="single" w:sz="4" w:space="0" w:color="auto"/>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b/>
                <w:bCs/>
                <w:color w:val="000000"/>
                <w:sz w:val="20"/>
                <w:szCs w:val="20"/>
              </w:rPr>
            </w:pPr>
            <w:r w:rsidRPr="004232EF">
              <w:rPr>
                <w:rFonts w:ascii="Times New Roman" w:hAnsi="Times New Roman"/>
                <w:b/>
                <w:bCs/>
                <w:color w:val="000000"/>
                <w:sz w:val="20"/>
                <w:szCs w:val="20"/>
              </w:rPr>
              <w:t>932 630 042</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4232EF"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4232EF"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Poistné</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383 843 178</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766 270 594</w:t>
            </w:r>
          </w:p>
        </w:tc>
        <w:tc>
          <w:tcPr>
            <w:tcW w:w="1157"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842 968 220</w:t>
            </w:r>
          </w:p>
        </w:tc>
        <w:tc>
          <w:tcPr>
            <w:tcW w:w="1323" w:type="dxa"/>
            <w:tcBorders>
              <w:top w:val="nil"/>
              <w:left w:val="nil"/>
              <w:bottom w:val="single" w:sz="4" w:space="0" w:color="auto"/>
              <w:right w:val="single" w:sz="4" w:space="0" w:color="auto"/>
            </w:tcBorders>
            <w:noWrap/>
            <w:textDirection w:val="lrTb"/>
            <w:vAlign w:val="bottom"/>
          </w:tcPr>
          <w:p w:rsidR="004232EF" w:rsidRPr="004232EF">
            <w:pPr>
              <w:bidi w:val="0"/>
              <w:jc w:val="right"/>
              <w:rPr>
                <w:rFonts w:ascii="Times New Roman" w:hAnsi="Times New Roman"/>
                <w:i/>
                <w:iCs/>
                <w:color w:val="000000"/>
                <w:sz w:val="20"/>
                <w:szCs w:val="20"/>
              </w:rPr>
            </w:pPr>
            <w:r w:rsidRPr="004232EF">
              <w:rPr>
                <w:rFonts w:ascii="Times New Roman" w:hAnsi="Times New Roman"/>
                <w:i/>
                <w:iCs/>
                <w:color w:val="000000"/>
                <w:sz w:val="20"/>
                <w:szCs w:val="20"/>
              </w:rPr>
              <w:t>932 630 042</w:t>
            </w:r>
          </w:p>
        </w:tc>
      </w:tr>
      <w:tr>
        <w:tblPrEx>
          <w:tblW w:w="9420" w:type="dxa"/>
          <w:tblInd w:w="55" w:type="dxa"/>
          <w:tblCellMar>
            <w:left w:w="70" w:type="dxa"/>
            <w:right w:w="70" w:type="dxa"/>
          </w:tblCellMar>
          <w:tblLook w:val="00A0"/>
        </w:tblPrEx>
        <w:trPr>
          <w:trHeight w:val="510"/>
        </w:trPr>
        <w:tc>
          <w:tcPr>
            <w:tcW w:w="960" w:type="dxa"/>
            <w:tcBorders>
              <w:top w:val="nil"/>
              <w:left w:val="single" w:sz="4" w:space="0" w:color="auto"/>
              <w:bottom w:val="single" w:sz="4" w:space="0" w:color="auto"/>
              <w:right w:val="single" w:sz="4" w:space="0" w:color="auto"/>
            </w:tcBorders>
            <w:textDirection w:val="lrTb"/>
            <w:vAlign w:val="center"/>
          </w:tcPr>
          <w:p w:rsidR="004232EF"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151-153, 155-158</w:t>
            </w:r>
          </w:p>
        </w:tc>
        <w:tc>
          <w:tcPr>
            <w:tcW w:w="3500" w:type="dxa"/>
            <w:tcBorders>
              <w:top w:val="nil"/>
              <w:left w:val="nil"/>
              <w:bottom w:val="single" w:sz="4" w:space="0" w:color="auto"/>
              <w:right w:val="single" w:sz="4" w:space="0" w:color="auto"/>
            </w:tcBorders>
            <w:noWrap/>
            <w:textDirection w:val="lrTb"/>
            <w:vAlign w:val="center"/>
          </w:tcPr>
          <w:p w:rsidR="004232EF"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Sociálne poistenie</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383 843 178</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766 270 594</w:t>
            </w:r>
          </w:p>
        </w:tc>
        <w:tc>
          <w:tcPr>
            <w:tcW w:w="1157"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842 968 220</w:t>
            </w:r>
          </w:p>
        </w:tc>
        <w:tc>
          <w:tcPr>
            <w:tcW w:w="1323" w:type="dxa"/>
            <w:tcBorders>
              <w:top w:val="nil"/>
              <w:left w:val="nil"/>
              <w:bottom w:val="single" w:sz="4" w:space="0" w:color="auto"/>
              <w:right w:val="single" w:sz="4" w:space="0" w:color="auto"/>
            </w:tcBorders>
            <w:noWrap/>
            <w:textDirection w:val="lrTb"/>
            <w:vAlign w:val="center"/>
          </w:tcPr>
          <w:p w:rsidR="004232EF" w:rsidRPr="004232EF">
            <w:pPr>
              <w:bidi w:val="0"/>
              <w:jc w:val="right"/>
              <w:rPr>
                <w:rFonts w:ascii="Times New Roman" w:hAnsi="Times New Roman"/>
                <w:color w:val="000000"/>
                <w:sz w:val="20"/>
                <w:szCs w:val="20"/>
              </w:rPr>
            </w:pPr>
            <w:r w:rsidRPr="004232EF">
              <w:rPr>
                <w:rFonts w:ascii="Times New Roman" w:hAnsi="Times New Roman"/>
                <w:color w:val="000000"/>
                <w:sz w:val="20"/>
                <w:szCs w:val="20"/>
              </w:rPr>
              <w:t>932 630 042</w:t>
            </w:r>
          </w:p>
        </w:tc>
      </w:tr>
      <w:tr>
        <w:tblPrEx>
          <w:tblW w:w="9420" w:type="dxa"/>
          <w:tblInd w:w="55" w:type="dxa"/>
          <w:tblCellMar>
            <w:left w:w="70" w:type="dxa"/>
            <w:right w:w="70" w:type="dxa"/>
          </w:tblCellMar>
          <w:tblLook w:val="00A0"/>
        </w:tblPrEx>
        <w:trPr>
          <w:trHeight w:val="315"/>
        </w:trPr>
        <w:tc>
          <w:tcPr>
            <w:tcW w:w="960" w:type="dxa"/>
            <w:tcBorders>
              <w:top w:val="nil"/>
              <w:left w:val="nil"/>
              <w:bottom w:val="nil"/>
              <w:right w:val="nil"/>
            </w:tcBorders>
            <w:textDirection w:val="lrTb"/>
            <w:vAlign w:val="center"/>
          </w:tcPr>
          <w:p w:rsidR="00F63F07" w:rsidRPr="00E70684" w:rsidP="00E70684">
            <w:pPr>
              <w:bidi w:val="0"/>
              <w:jc w:val="right"/>
              <w:rPr>
                <w:rFonts w:ascii="Arial Narrow" w:hAnsi="Arial Narrow" w:cs="Arial"/>
                <w:color w:val="000000"/>
                <w:sz w:val="20"/>
                <w:szCs w:val="20"/>
              </w:rPr>
            </w:pPr>
          </w:p>
        </w:tc>
        <w:tc>
          <w:tcPr>
            <w:tcW w:w="3500"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r>
      <w:tr>
        <w:tblPrEx>
          <w:tblW w:w="942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000000" w:fill="000000"/>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zdravotných poisťovní - príjmy (v eur)</w:t>
            </w:r>
          </w:p>
        </w:tc>
        <w:tc>
          <w:tcPr>
            <w:tcW w:w="4960" w:type="dxa"/>
            <w:gridSpan w:val="4"/>
            <w:tcBorders>
              <w:top w:val="single" w:sz="4" w:space="0" w:color="auto"/>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zdravotných poisťovní (ESA 95)</w:t>
            </w:r>
          </w:p>
        </w:tc>
      </w:tr>
      <w:tr>
        <w:tblPrEx>
          <w:tblW w:w="9420" w:type="dxa"/>
          <w:tblInd w:w="55" w:type="dxa"/>
          <w:tblCellMar>
            <w:left w:w="70" w:type="dxa"/>
            <w:right w:w="70" w:type="dxa"/>
          </w:tblCellMar>
          <w:tblLook w:val="00A0"/>
        </w:tblPrEx>
        <w:trPr>
          <w:trHeight w:val="330"/>
        </w:trPr>
        <w:tc>
          <w:tcPr>
            <w:tcW w:w="960" w:type="dxa"/>
            <w:tcBorders>
              <w:top w:val="nil"/>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F63F07" w:rsidRPr="00E70684" w:rsidP="00E70684">
            <w:pPr>
              <w:bidi w:val="0"/>
              <w:rPr>
                <w:rFonts w:ascii="Arial Narrow" w:hAnsi="Arial Narrow" w:cs="Arial"/>
                <w:b/>
                <w:bCs/>
                <w:color w:val="FFFFFF"/>
                <w:u w:val="single"/>
              </w:rPr>
            </w:pPr>
          </w:p>
        </w:tc>
        <w:tc>
          <w:tcPr>
            <w:tcW w:w="1157"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323"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157"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323"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2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5D74D8"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Daňové príjmy</w:t>
            </w:r>
          </w:p>
        </w:tc>
        <w:tc>
          <w:tcPr>
            <w:tcW w:w="1157"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0</w:t>
            </w:r>
          </w:p>
        </w:tc>
        <w:tc>
          <w:tcPr>
            <w:tcW w:w="1323"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129 044 245</w:t>
            </w:r>
          </w:p>
        </w:tc>
        <w:tc>
          <w:tcPr>
            <w:tcW w:w="1157"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145 613 309</w:t>
            </w:r>
          </w:p>
        </w:tc>
        <w:tc>
          <w:tcPr>
            <w:tcW w:w="1323"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159 968 476</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5D74D8"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Poistné</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129 044 245</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145 613 309</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159 968 476</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5D74D8"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154</w:t>
            </w:r>
          </w:p>
        </w:tc>
        <w:tc>
          <w:tcPr>
            <w:tcW w:w="3500" w:type="dxa"/>
            <w:tcBorders>
              <w:top w:val="nil"/>
              <w:left w:val="nil"/>
              <w:bottom w:val="single" w:sz="4" w:space="0" w:color="auto"/>
              <w:right w:val="single" w:sz="4" w:space="0" w:color="auto"/>
            </w:tcBorders>
            <w:noWrap/>
            <w:textDirection w:val="lrTb"/>
            <w:vAlign w:val="center"/>
          </w:tcPr>
          <w:p w:rsidR="005D74D8"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Zdravotné poistenie</w:t>
            </w:r>
          </w:p>
        </w:tc>
        <w:tc>
          <w:tcPr>
            <w:tcW w:w="1157"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129 044 245</w:t>
            </w:r>
          </w:p>
        </w:tc>
        <w:tc>
          <w:tcPr>
            <w:tcW w:w="1157"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145 613 309</w:t>
            </w:r>
          </w:p>
        </w:tc>
        <w:tc>
          <w:tcPr>
            <w:tcW w:w="1323"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159 968 476</w:t>
            </w:r>
          </w:p>
        </w:tc>
      </w:tr>
      <w:tr>
        <w:tblPrEx>
          <w:tblW w:w="9420" w:type="dxa"/>
          <w:tblInd w:w="55" w:type="dxa"/>
          <w:tblCellMar>
            <w:left w:w="70" w:type="dxa"/>
            <w:right w:w="70" w:type="dxa"/>
          </w:tblCellMar>
          <w:tblLook w:val="00A0"/>
        </w:tblPrEx>
        <w:trPr>
          <w:trHeight w:val="315"/>
        </w:trPr>
        <w:tc>
          <w:tcPr>
            <w:tcW w:w="960" w:type="dxa"/>
            <w:tcBorders>
              <w:top w:val="nil"/>
              <w:left w:val="nil"/>
              <w:bottom w:val="nil"/>
              <w:right w:val="nil"/>
            </w:tcBorders>
            <w:textDirection w:val="lrTb"/>
            <w:vAlign w:val="center"/>
          </w:tcPr>
          <w:p w:rsidR="00F63F07" w:rsidRPr="00E70684" w:rsidP="00E70684">
            <w:pPr>
              <w:bidi w:val="0"/>
              <w:jc w:val="right"/>
              <w:rPr>
                <w:rFonts w:ascii="Arial Narrow" w:hAnsi="Arial Narrow" w:cs="Arial"/>
                <w:color w:val="000000"/>
                <w:sz w:val="20"/>
                <w:szCs w:val="20"/>
              </w:rPr>
            </w:pPr>
          </w:p>
        </w:tc>
        <w:tc>
          <w:tcPr>
            <w:tcW w:w="3500"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c>
          <w:tcPr>
            <w:tcW w:w="1157" w:type="dxa"/>
            <w:tcBorders>
              <w:top w:val="nil"/>
              <w:left w:val="nil"/>
              <w:bottom w:val="nil"/>
              <w:right w:val="nil"/>
            </w:tcBorders>
            <w:noWrap/>
            <w:textDirection w:val="lrTb"/>
            <w:vAlign w:val="center"/>
          </w:tcPr>
          <w:p w:rsidR="00F63F07" w:rsidRPr="00E70684" w:rsidP="00E70684">
            <w:pPr>
              <w:bidi w:val="0"/>
              <w:rPr>
                <w:rFonts w:ascii="Arial Narrow" w:hAnsi="Arial Narrow" w:cs="Arial"/>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i/>
                <w:iCs/>
                <w:color w:val="000000"/>
                <w:sz w:val="20"/>
                <w:szCs w:val="20"/>
              </w:rPr>
            </w:pPr>
          </w:p>
        </w:tc>
        <w:tc>
          <w:tcPr>
            <w:tcW w:w="1157" w:type="dxa"/>
            <w:tcBorders>
              <w:top w:val="nil"/>
              <w:left w:val="nil"/>
              <w:bottom w:val="nil"/>
              <w:right w:val="nil"/>
            </w:tcBorders>
            <w:noWrap/>
            <w:textDirection w:val="lrTb"/>
            <w:vAlign w:val="bottom"/>
          </w:tcPr>
          <w:p w:rsidR="00F63F07" w:rsidRPr="00E70684" w:rsidP="00E70684">
            <w:pPr>
              <w:bidi w:val="0"/>
              <w:rPr>
                <w:rFonts w:ascii="Arial Narrow" w:hAnsi="Arial Narrow" w:cs="Arial"/>
                <w:i/>
                <w:iCs/>
                <w:color w:val="000000"/>
                <w:sz w:val="20"/>
                <w:szCs w:val="20"/>
              </w:rPr>
            </w:pPr>
          </w:p>
        </w:tc>
        <w:tc>
          <w:tcPr>
            <w:tcW w:w="1323" w:type="dxa"/>
            <w:tcBorders>
              <w:top w:val="nil"/>
              <w:left w:val="nil"/>
              <w:bottom w:val="nil"/>
              <w:right w:val="nil"/>
            </w:tcBorders>
            <w:noWrap/>
            <w:textDirection w:val="lrTb"/>
            <w:vAlign w:val="bottom"/>
          </w:tcPr>
          <w:p w:rsidR="00F63F07" w:rsidRPr="00E70684" w:rsidP="00E70684">
            <w:pPr>
              <w:bidi w:val="0"/>
              <w:rPr>
                <w:rFonts w:ascii="Arial Narrow" w:hAnsi="Arial Narrow" w:cs="Arial"/>
                <w:i/>
                <w:iCs/>
                <w:color w:val="000000"/>
                <w:sz w:val="20"/>
                <w:szCs w:val="20"/>
              </w:rPr>
            </w:pPr>
          </w:p>
        </w:tc>
      </w:tr>
      <w:tr>
        <w:tblPrEx>
          <w:tblW w:w="9420" w:type="dxa"/>
          <w:tblInd w:w="55" w:type="dxa"/>
          <w:tblCellMar>
            <w:left w:w="70" w:type="dxa"/>
            <w:right w:w="70" w:type="dxa"/>
          </w:tblCellMar>
          <w:tblLook w:val="00A0"/>
        </w:tblPrEx>
        <w:trPr>
          <w:trHeight w:val="330"/>
        </w:trPr>
        <w:tc>
          <w:tcPr>
            <w:tcW w:w="960"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000000" w:fill="000000"/>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verejnej správy - príjmy (v eur)</w:t>
            </w:r>
          </w:p>
        </w:tc>
        <w:tc>
          <w:tcPr>
            <w:tcW w:w="4960" w:type="dxa"/>
            <w:gridSpan w:val="4"/>
            <w:tcBorders>
              <w:top w:val="single" w:sz="4" w:space="0" w:color="auto"/>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verejnej správy (ESA 95)</w:t>
            </w:r>
          </w:p>
        </w:tc>
      </w:tr>
      <w:tr>
        <w:tblPrEx>
          <w:tblW w:w="9420" w:type="dxa"/>
          <w:tblInd w:w="55" w:type="dxa"/>
          <w:tblCellMar>
            <w:left w:w="70" w:type="dxa"/>
            <w:right w:w="70" w:type="dxa"/>
          </w:tblCellMar>
          <w:tblLook w:val="00A0"/>
        </w:tblPrEx>
        <w:trPr>
          <w:trHeight w:val="330"/>
        </w:trPr>
        <w:tc>
          <w:tcPr>
            <w:tcW w:w="960" w:type="dxa"/>
            <w:tcBorders>
              <w:top w:val="nil"/>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F63F07" w:rsidRPr="00E70684" w:rsidP="00E70684">
            <w:pPr>
              <w:bidi w:val="0"/>
              <w:rPr>
                <w:rFonts w:ascii="Arial Narrow" w:hAnsi="Arial Narrow" w:cs="Arial"/>
                <w:b/>
                <w:bCs/>
                <w:color w:val="FFFFFF"/>
                <w:u w:val="single"/>
              </w:rPr>
            </w:pPr>
          </w:p>
        </w:tc>
        <w:tc>
          <w:tcPr>
            <w:tcW w:w="1157"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323"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157"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323"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20" w:type="dxa"/>
          <w:tblInd w:w="55" w:type="dxa"/>
          <w:tblCellMar>
            <w:left w:w="70" w:type="dxa"/>
            <w:right w:w="70" w:type="dxa"/>
          </w:tblCellMar>
          <w:tblLook w:val="00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5D74D8"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Daňové príjmy</w:t>
            </w:r>
          </w:p>
        </w:tc>
        <w:tc>
          <w:tcPr>
            <w:tcW w:w="1157"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383 843 178</w:t>
            </w:r>
          </w:p>
        </w:tc>
        <w:tc>
          <w:tcPr>
            <w:tcW w:w="1323"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820 301 077</w:t>
            </w:r>
          </w:p>
        </w:tc>
        <w:tc>
          <w:tcPr>
            <w:tcW w:w="1157"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900 817 183</w:t>
            </w:r>
          </w:p>
        </w:tc>
        <w:tc>
          <w:tcPr>
            <w:tcW w:w="1323" w:type="dxa"/>
            <w:tcBorders>
              <w:top w:val="single" w:sz="4" w:space="0" w:color="auto"/>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b/>
                <w:bCs/>
                <w:color w:val="000000"/>
                <w:sz w:val="20"/>
                <w:szCs w:val="20"/>
              </w:rPr>
            </w:pPr>
            <w:r w:rsidRPr="005D74D8">
              <w:rPr>
                <w:rFonts w:ascii="Times New Roman" w:hAnsi="Times New Roman"/>
                <w:b/>
                <w:bCs/>
                <w:color w:val="000000"/>
                <w:sz w:val="20"/>
                <w:szCs w:val="20"/>
              </w:rPr>
              <w:t>998 554 564</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110</w:t>
            </w:r>
          </w:p>
        </w:tc>
        <w:tc>
          <w:tcPr>
            <w:tcW w:w="3500" w:type="dxa"/>
            <w:tcBorders>
              <w:top w:val="nil"/>
              <w:left w:val="nil"/>
              <w:bottom w:val="single" w:sz="4" w:space="0" w:color="auto"/>
              <w:right w:val="single" w:sz="4" w:space="0" w:color="auto"/>
            </w:tcBorders>
            <w:noWrap/>
            <w:textDirection w:val="lrTb"/>
            <w:vAlign w:val="bottom"/>
          </w:tcPr>
          <w:p w:rsidR="005D74D8"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Dane z príjmov a kapitálového majetku</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-75 013 763</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-87 764 346</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-94 043 953</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111</w:t>
            </w:r>
          </w:p>
        </w:tc>
        <w:tc>
          <w:tcPr>
            <w:tcW w:w="3500" w:type="dxa"/>
            <w:tcBorders>
              <w:top w:val="nil"/>
              <w:left w:val="nil"/>
              <w:bottom w:val="single" w:sz="4" w:space="0" w:color="auto"/>
              <w:right w:val="single" w:sz="4" w:space="0" w:color="auto"/>
            </w:tcBorders>
            <w:noWrap/>
            <w:textDirection w:val="lrTb"/>
            <w:vAlign w:val="center"/>
          </w:tcPr>
          <w:p w:rsidR="005D74D8"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Daň z príjmov fyzickej osoby</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-49 832 984</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-60 845 432</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-64 969 952</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112</w:t>
            </w:r>
          </w:p>
        </w:tc>
        <w:tc>
          <w:tcPr>
            <w:tcW w:w="3500" w:type="dxa"/>
            <w:tcBorders>
              <w:top w:val="nil"/>
              <w:left w:val="nil"/>
              <w:bottom w:val="single" w:sz="4" w:space="0" w:color="auto"/>
              <w:right w:val="single" w:sz="4" w:space="0" w:color="auto"/>
            </w:tcBorders>
            <w:noWrap/>
            <w:textDirection w:val="lrTb"/>
            <w:vAlign w:val="center"/>
          </w:tcPr>
          <w:p w:rsidR="005D74D8"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Daň z príjmov právnických osôb</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-25 180 779</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-26 918 914</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-29 074 000</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5D74D8"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5D74D8"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Poistné</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383 843 178</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895 314 839</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988 581 529</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i/>
                <w:iCs/>
                <w:color w:val="000000"/>
                <w:sz w:val="20"/>
                <w:szCs w:val="20"/>
              </w:rPr>
            </w:pPr>
            <w:r w:rsidRPr="005D74D8">
              <w:rPr>
                <w:rFonts w:ascii="Times New Roman" w:hAnsi="Times New Roman"/>
                <w:i/>
                <w:iCs/>
                <w:color w:val="000000"/>
                <w:sz w:val="20"/>
                <w:szCs w:val="20"/>
              </w:rPr>
              <w:t>1 092 598 517</w:t>
            </w:r>
          </w:p>
        </w:tc>
      </w:tr>
      <w:tr>
        <w:tblPrEx>
          <w:tblW w:w="9420" w:type="dxa"/>
          <w:tblInd w:w="55" w:type="dxa"/>
          <w:tblCellMar>
            <w:left w:w="70" w:type="dxa"/>
            <w:right w:w="70" w:type="dxa"/>
          </w:tblCellMar>
          <w:tblLook w:val="00A0"/>
        </w:tblPrEx>
        <w:trPr>
          <w:trHeight w:val="510"/>
        </w:trPr>
        <w:tc>
          <w:tcPr>
            <w:tcW w:w="960" w:type="dxa"/>
            <w:tcBorders>
              <w:top w:val="nil"/>
              <w:left w:val="single" w:sz="4" w:space="0" w:color="auto"/>
              <w:bottom w:val="single" w:sz="4" w:space="0" w:color="auto"/>
              <w:right w:val="single" w:sz="4" w:space="0" w:color="auto"/>
            </w:tcBorders>
            <w:textDirection w:val="lrTb"/>
            <w:vAlign w:val="center"/>
          </w:tcPr>
          <w:p w:rsidR="005D74D8"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151-153, 155-158</w:t>
            </w:r>
          </w:p>
        </w:tc>
        <w:tc>
          <w:tcPr>
            <w:tcW w:w="3500" w:type="dxa"/>
            <w:tcBorders>
              <w:top w:val="nil"/>
              <w:left w:val="nil"/>
              <w:bottom w:val="single" w:sz="4" w:space="0" w:color="auto"/>
              <w:right w:val="single" w:sz="4" w:space="0" w:color="auto"/>
            </w:tcBorders>
            <w:noWrap/>
            <w:textDirection w:val="lrTb"/>
            <w:vAlign w:val="center"/>
          </w:tcPr>
          <w:p w:rsidR="005D74D8"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Sociálne poistenie</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383 843 178</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766 270 594</w:t>
            </w:r>
          </w:p>
        </w:tc>
        <w:tc>
          <w:tcPr>
            <w:tcW w:w="1157"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842 968 220</w:t>
            </w:r>
          </w:p>
        </w:tc>
        <w:tc>
          <w:tcPr>
            <w:tcW w:w="1323" w:type="dxa"/>
            <w:tcBorders>
              <w:top w:val="nil"/>
              <w:left w:val="nil"/>
              <w:bottom w:val="single" w:sz="4" w:space="0" w:color="auto"/>
              <w:right w:val="single" w:sz="4" w:space="0" w:color="auto"/>
            </w:tcBorders>
            <w:noWrap/>
            <w:textDirection w:val="lrTb"/>
            <w:vAlign w:val="bottom"/>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932 630 042</w:t>
            </w:r>
          </w:p>
        </w:tc>
      </w:tr>
      <w:tr>
        <w:tblPrEx>
          <w:tblW w:w="9420" w:type="dxa"/>
          <w:tblInd w:w="55" w:type="dxa"/>
          <w:tblCellMar>
            <w:left w:w="70" w:type="dxa"/>
            <w:right w:w="70" w:type="dxa"/>
          </w:tblCellMar>
          <w:tblLook w:val="00A0"/>
        </w:tblPrEx>
        <w:trPr>
          <w:trHeight w:val="315"/>
        </w:trPr>
        <w:tc>
          <w:tcPr>
            <w:tcW w:w="960" w:type="dxa"/>
            <w:tcBorders>
              <w:top w:val="nil"/>
              <w:left w:val="single" w:sz="4" w:space="0" w:color="auto"/>
              <w:bottom w:val="single" w:sz="4" w:space="0" w:color="auto"/>
              <w:right w:val="single" w:sz="4" w:space="0" w:color="auto"/>
            </w:tcBorders>
            <w:textDirection w:val="lrTb"/>
            <w:vAlign w:val="center"/>
          </w:tcPr>
          <w:p w:rsidR="005D74D8"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154</w:t>
            </w:r>
          </w:p>
        </w:tc>
        <w:tc>
          <w:tcPr>
            <w:tcW w:w="3500" w:type="dxa"/>
            <w:tcBorders>
              <w:top w:val="nil"/>
              <w:left w:val="nil"/>
              <w:bottom w:val="single" w:sz="4" w:space="0" w:color="auto"/>
              <w:right w:val="single" w:sz="4" w:space="0" w:color="auto"/>
            </w:tcBorders>
            <w:noWrap/>
            <w:textDirection w:val="lrTb"/>
            <w:vAlign w:val="center"/>
          </w:tcPr>
          <w:p w:rsidR="005D74D8"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Zdravotné poistenie</w:t>
            </w:r>
          </w:p>
        </w:tc>
        <w:tc>
          <w:tcPr>
            <w:tcW w:w="1157"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0</w:t>
            </w:r>
          </w:p>
        </w:tc>
        <w:tc>
          <w:tcPr>
            <w:tcW w:w="1323"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129 044 245</w:t>
            </w:r>
          </w:p>
        </w:tc>
        <w:tc>
          <w:tcPr>
            <w:tcW w:w="1157"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145 613 309</w:t>
            </w:r>
          </w:p>
        </w:tc>
        <w:tc>
          <w:tcPr>
            <w:tcW w:w="1323" w:type="dxa"/>
            <w:tcBorders>
              <w:top w:val="nil"/>
              <w:left w:val="nil"/>
              <w:bottom w:val="single" w:sz="4" w:space="0" w:color="auto"/>
              <w:right w:val="single" w:sz="4" w:space="0" w:color="auto"/>
            </w:tcBorders>
            <w:noWrap/>
            <w:textDirection w:val="lrTb"/>
            <w:vAlign w:val="center"/>
          </w:tcPr>
          <w:p w:rsidR="005D74D8" w:rsidRPr="005D74D8">
            <w:pPr>
              <w:bidi w:val="0"/>
              <w:jc w:val="right"/>
              <w:rPr>
                <w:rFonts w:ascii="Times New Roman" w:hAnsi="Times New Roman"/>
                <w:color w:val="000000"/>
                <w:sz w:val="20"/>
                <w:szCs w:val="20"/>
              </w:rPr>
            </w:pPr>
            <w:r w:rsidRPr="005D74D8">
              <w:rPr>
                <w:rFonts w:ascii="Times New Roman" w:hAnsi="Times New Roman"/>
                <w:color w:val="000000"/>
                <w:sz w:val="20"/>
                <w:szCs w:val="20"/>
              </w:rPr>
              <w:t>159 968 476</w:t>
            </w:r>
          </w:p>
        </w:tc>
      </w:tr>
    </w:tbl>
    <w:p w:rsidR="00F63F07" w:rsidP="00963EE8">
      <w:pPr>
        <w:bidi w:val="0"/>
        <w:rPr>
          <w:rFonts w:ascii="Times New Roman" w:hAnsi="Times New Roman"/>
          <w:sz w:val="20"/>
          <w:szCs w:val="20"/>
        </w:rPr>
      </w:pPr>
    </w:p>
    <w:p w:rsidR="00F63F07" w:rsidP="00963EE8">
      <w:pPr>
        <w:bidi w:val="0"/>
        <w:rPr>
          <w:rFonts w:ascii="Times New Roman" w:hAnsi="Times New Roman"/>
          <w:sz w:val="20"/>
          <w:szCs w:val="20"/>
        </w:rPr>
      </w:pPr>
    </w:p>
    <w:p w:rsidR="00F63F07" w:rsidRPr="00CF55EC" w:rsidP="00963EE8">
      <w:pPr>
        <w:autoSpaceDE w:val="0"/>
        <w:autoSpaceDN w:val="0"/>
        <w:bidi w:val="0"/>
        <w:adjustRightInd w:val="0"/>
        <w:jc w:val="both"/>
        <w:rPr>
          <w:rFonts w:ascii="Times New Roman" w:hAnsi="Times New Roman"/>
          <w:szCs w:val="22"/>
        </w:rPr>
      </w:pPr>
      <w:r w:rsidRPr="007E60D4">
        <w:rPr>
          <w:rFonts w:ascii="Times New Roman" w:hAnsi="Times New Roman"/>
          <w:i/>
          <w:szCs w:val="22"/>
        </w:rPr>
        <w:t>Výdavky štátneho rozpočtu (MPSVR SR)</w:t>
      </w:r>
      <w:r>
        <w:rPr>
          <w:rFonts w:ascii="Times New Roman" w:hAnsi="Times New Roman"/>
          <w:szCs w:val="22"/>
        </w:rPr>
        <w:t xml:space="preserve"> </w:t>
      </w:r>
      <w:r w:rsidRPr="00786E90">
        <w:rPr>
          <w:rFonts w:ascii="Times New Roman" w:hAnsi="Times New Roman"/>
          <w:szCs w:val="22"/>
        </w:rPr>
        <w:t xml:space="preserve">– celkovo sa predpokladá rast výdavkov štátneho rozpočtu z dôvodu vyššej úhrady poistného za vybraných poistencov štátu (poberatelia peňažného príspevku </w:t>
      </w:r>
      <w:r>
        <w:rPr>
          <w:rFonts w:ascii="Times New Roman" w:hAnsi="Times New Roman"/>
          <w:szCs w:val="22"/>
        </w:rPr>
        <w:t>n</w:t>
      </w:r>
      <w:r w:rsidRPr="00786E90">
        <w:rPr>
          <w:rFonts w:ascii="Times New Roman" w:hAnsi="Times New Roman"/>
          <w:szCs w:val="22"/>
        </w:rPr>
        <w:t xml:space="preserve">a opatrovanie a osobní asistenti) a vyššie výdavky na valorizáciu </w:t>
      </w:r>
      <w:r>
        <w:rPr>
          <w:rFonts w:ascii="Times New Roman" w:hAnsi="Times New Roman"/>
          <w:szCs w:val="22"/>
        </w:rPr>
        <w:t xml:space="preserve">vybraných </w:t>
      </w:r>
      <w:r w:rsidRPr="00786E90">
        <w:rPr>
          <w:rFonts w:ascii="Times New Roman" w:hAnsi="Times New Roman"/>
          <w:szCs w:val="22"/>
        </w:rPr>
        <w:t>nesystémových dôchodkových dávok.</w:t>
      </w:r>
      <w:r>
        <w:rPr>
          <w:rFonts w:ascii="Times New Roman" w:hAnsi="Times New Roman"/>
          <w:szCs w:val="22"/>
        </w:rPr>
        <w:t xml:space="preserve"> </w:t>
      </w:r>
    </w:p>
    <w:p w:rsidR="00F63F07" w:rsidRPr="00CF55EC" w:rsidP="00963EE8">
      <w:pPr>
        <w:autoSpaceDE w:val="0"/>
        <w:autoSpaceDN w:val="0"/>
        <w:bidi w:val="0"/>
        <w:adjustRightInd w:val="0"/>
        <w:jc w:val="both"/>
        <w:rPr>
          <w:rFonts w:ascii="Times New Roman" w:hAnsi="Times New Roman"/>
          <w:szCs w:val="22"/>
        </w:rPr>
      </w:pPr>
    </w:p>
    <w:p w:rsidR="00F63F07" w:rsidP="00963EE8">
      <w:pPr>
        <w:autoSpaceDE w:val="0"/>
        <w:autoSpaceDN w:val="0"/>
        <w:bidi w:val="0"/>
        <w:adjustRightInd w:val="0"/>
        <w:jc w:val="both"/>
        <w:rPr>
          <w:rFonts w:ascii="Times New Roman" w:hAnsi="Times New Roman"/>
          <w:szCs w:val="22"/>
        </w:rPr>
      </w:pPr>
      <w:r w:rsidRPr="00CF55EC">
        <w:rPr>
          <w:rFonts w:ascii="Times New Roman" w:hAnsi="Times New Roman"/>
          <w:i/>
          <w:szCs w:val="22"/>
        </w:rPr>
        <w:t>Výdavky Sociálnej poisťovne</w:t>
      </w:r>
      <w:r w:rsidRPr="00CF55EC">
        <w:rPr>
          <w:rFonts w:ascii="Times New Roman" w:hAnsi="Times New Roman"/>
          <w:szCs w:val="22"/>
        </w:rPr>
        <w:t xml:space="preserve"> – </w:t>
      </w:r>
      <w:r>
        <w:rPr>
          <w:rFonts w:ascii="Times New Roman" w:hAnsi="Times New Roman"/>
          <w:szCs w:val="22"/>
        </w:rPr>
        <w:t>celkovo (s výnimkou roka 2013) sa predpokladá pokles výdavkov Sociálnej poisťovne z dôvodu posilnenia váhy inflácie vo valorizačnom mechanizme a zníženia maximálneho denného vymeriavacieho základu na výpočet dávky v nezamestnanosti.</w:t>
      </w:r>
    </w:p>
    <w:p w:rsidR="00F63F07" w:rsidP="00963EE8">
      <w:pPr>
        <w:autoSpaceDE w:val="0"/>
        <w:autoSpaceDN w:val="0"/>
        <w:bidi w:val="0"/>
        <w:adjustRightInd w:val="0"/>
        <w:jc w:val="both"/>
        <w:rPr>
          <w:rFonts w:ascii="Times New Roman" w:hAnsi="Times New Roman"/>
          <w:szCs w:val="22"/>
        </w:rPr>
      </w:pPr>
    </w:p>
    <w:p w:rsidR="00F63F07" w:rsidRPr="00E70684" w:rsidP="00E70684">
      <w:pPr>
        <w:autoSpaceDE w:val="0"/>
        <w:autoSpaceDN w:val="0"/>
        <w:bidi w:val="0"/>
        <w:adjustRightInd w:val="0"/>
        <w:jc w:val="right"/>
        <w:rPr>
          <w:rFonts w:ascii="Times New Roman" w:hAnsi="Times New Roman"/>
          <w:sz w:val="20"/>
          <w:szCs w:val="20"/>
        </w:rPr>
      </w:pPr>
      <w:r>
        <w:rPr>
          <w:rFonts w:ascii="Times New Roman" w:hAnsi="Times New Roman"/>
          <w:sz w:val="20"/>
          <w:szCs w:val="20"/>
        </w:rPr>
        <w:t>Tabuľky 4</w:t>
      </w:r>
    </w:p>
    <w:tbl>
      <w:tblPr>
        <w:tblStyle w:val="TableNormal"/>
        <w:tblW w:w="9436" w:type="dxa"/>
        <w:tblInd w:w="55" w:type="dxa"/>
        <w:tblCellMar>
          <w:left w:w="70" w:type="dxa"/>
          <w:right w:w="70" w:type="dxa"/>
        </w:tblCellMar>
        <w:tblLook w:val="00A0"/>
      </w:tblPr>
      <w:tblGrid>
        <w:gridCol w:w="906"/>
        <w:gridCol w:w="3851"/>
        <w:gridCol w:w="695"/>
        <w:gridCol w:w="1220"/>
        <w:gridCol w:w="1309"/>
        <w:gridCol w:w="1455"/>
      </w:tblGrid>
      <w:tr>
        <w:tblPrEx>
          <w:tblW w:w="9436" w:type="dxa"/>
          <w:tblInd w:w="55" w:type="dxa"/>
          <w:tblCellMar>
            <w:left w:w="70" w:type="dxa"/>
            <w:right w:w="70" w:type="dxa"/>
          </w:tblCellMar>
          <w:tblLook w:val="00A0"/>
        </w:tblPrEx>
        <w:trPr>
          <w:trHeight w:val="330"/>
        </w:trPr>
        <w:tc>
          <w:tcPr>
            <w:tcW w:w="906"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851" w:type="dxa"/>
            <w:tcBorders>
              <w:top w:val="single" w:sz="4" w:space="0" w:color="auto"/>
              <w:left w:val="nil"/>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4679" w:type="dxa"/>
            <w:gridSpan w:val="4"/>
            <w:tcBorders>
              <w:top w:val="single" w:sz="4" w:space="0" w:color="auto"/>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štátny rozpočet (cash=ESA95)</w:t>
            </w:r>
          </w:p>
        </w:tc>
      </w:tr>
      <w:tr>
        <w:tblPrEx>
          <w:tblW w:w="9436" w:type="dxa"/>
          <w:tblInd w:w="55" w:type="dxa"/>
          <w:tblCellMar>
            <w:left w:w="70" w:type="dxa"/>
            <w:right w:w="70" w:type="dxa"/>
          </w:tblCellMar>
          <w:tblLook w:val="00A0"/>
        </w:tblPrEx>
        <w:trPr>
          <w:trHeight w:val="330"/>
        </w:trPr>
        <w:tc>
          <w:tcPr>
            <w:tcW w:w="906" w:type="dxa"/>
            <w:tcBorders>
              <w:top w:val="nil"/>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851" w:type="dxa"/>
            <w:tcBorders>
              <w:top w:val="nil"/>
              <w:left w:val="nil"/>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Štátny rozpočet (MPSVR SR) - výdavky (v eur)</w:t>
            </w:r>
          </w:p>
        </w:tc>
        <w:tc>
          <w:tcPr>
            <w:tcW w:w="695"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220"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309"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455"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36" w:type="dxa"/>
          <w:tblInd w:w="55" w:type="dxa"/>
          <w:tblCellMar>
            <w:left w:w="70" w:type="dxa"/>
            <w:right w:w="70" w:type="dxa"/>
          </w:tblCellMar>
          <w:tblLook w:val="00A0"/>
        </w:tblPrEx>
        <w:trPr>
          <w:trHeight w:val="315"/>
        </w:trPr>
        <w:tc>
          <w:tcPr>
            <w:tcW w:w="906" w:type="dxa"/>
            <w:tcBorders>
              <w:top w:val="single" w:sz="4" w:space="0" w:color="auto"/>
              <w:left w:val="single" w:sz="4" w:space="0" w:color="auto"/>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600</w:t>
            </w:r>
          </w:p>
        </w:tc>
        <w:tc>
          <w:tcPr>
            <w:tcW w:w="3851" w:type="dxa"/>
            <w:tcBorders>
              <w:top w:val="single" w:sz="4" w:space="0" w:color="auto"/>
              <w:left w:val="nil"/>
              <w:bottom w:val="single" w:sz="4" w:space="0" w:color="auto"/>
              <w:right w:val="single" w:sz="4" w:space="0" w:color="auto"/>
            </w:tcBorders>
            <w:noWrap/>
            <w:textDirection w:val="lrTb"/>
            <w:vAlign w:val="bottom"/>
          </w:tcPr>
          <w:p w:rsidR="00F63F07"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Bežné výdavky</w:t>
            </w:r>
          </w:p>
        </w:tc>
        <w:tc>
          <w:tcPr>
            <w:tcW w:w="695" w:type="dxa"/>
            <w:tcBorders>
              <w:top w:val="single" w:sz="4" w:space="0" w:color="auto"/>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0</w:t>
            </w:r>
          </w:p>
        </w:tc>
        <w:tc>
          <w:tcPr>
            <w:tcW w:w="1220" w:type="dxa"/>
            <w:tcBorders>
              <w:top w:val="single" w:sz="4" w:space="0" w:color="auto"/>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3 596 342</w:t>
            </w:r>
          </w:p>
        </w:tc>
        <w:tc>
          <w:tcPr>
            <w:tcW w:w="1309" w:type="dxa"/>
            <w:tcBorders>
              <w:top w:val="single" w:sz="4" w:space="0" w:color="auto"/>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3 922 294</w:t>
            </w:r>
          </w:p>
        </w:tc>
        <w:tc>
          <w:tcPr>
            <w:tcW w:w="1455" w:type="dxa"/>
            <w:tcBorders>
              <w:top w:val="single" w:sz="4" w:space="0" w:color="auto"/>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4 234 399</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640</w:t>
            </w:r>
          </w:p>
        </w:tc>
        <w:tc>
          <w:tcPr>
            <w:tcW w:w="3851" w:type="dxa"/>
            <w:tcBorders>
              <w:top w:val="nil"/>
              <w:left w:val="nil"/>
              <w:bottom w:val="single" w:sz="4" w:space="0" w:color="auto"/>
              <w:right w:val="single" w:sz="4" w:space="0" w:color="auto"/>
            </w:tcBorders>
            <w:noWrap/>
            <w:textDirection w:val="lrTb"/>
            <w:vAlign w:val="bottom"/>
          </w:tcPr>
          <w:p w:rsidR="00F63F07"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Bežné transfery</w:t>
            </w:r>
          </w:p>
        </w:tc>
        <w:tc>
          <w:tcPr>
            <w:tcW w:w="695"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3 596 342</w:t>
            </w:r>
          </w:p>
        </w:tc>
        <w:tc>
          <w:tcPr>
            <w:tcW w:w="1309"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3 922 294</w:t>
            </w:r>
          </w:p>
        </w:tc>
        <w:tc>
          <w:tcPr>
            <w:tcW w:w="1455"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4 234 399</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641</w:t>
            </w:r>
          </w:p>
        </w:tc>
        <w:tc>
          <w:tcPr>
            <w:tcW w:w="3851" w:type="dxa"/>
            <w:tcBorders>
              <w:top w:val="nil"/>
              <w:left w:val="nil"/>
              <w:bottom w:val="single" w:sz="4" w:space="0" w:color="auto"/>
              <w:right w:val="single" w:sz="4" w:space="0" w:color="auto"/>
            </w:tcBorders>
            <w:noWrap/>
            <w:textDirection w:val="lrTb"/>
            <w:vAlign w:val="bottom"/>
          </w:tcPr>
          <w:p w:rsidR="00F63F07"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Transfery v rámci verejnej správy</w:t>
            </w:r>
          </w:p>
        </w:tc>
        <w:tc>
          <w:tcPr>
            <w:tcW w:w="695"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0</w:t>
            </w:r>
          </w:p>
        </w:tc>
        <w:tc>
          <w:tcPr>
            <w:tcW w:w="1309"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0</w:t>
            </w:r>
          </w:p>
        </w:tc>
        <w:tc>
          <w:tcPr>
            <w:tcW w:w="1455"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0</w:t>
            </w:r>
          </w:p>
        </w:tc>
      </w:tr>
      <w:tr>
        <w:tblPrEx>
          <w:tblW w:w="9436" w:type="dxa"/>
          <w:tblInd w:w="55" w:type="dxa"/>
          <w:tblCellMar>
            <w:left w:w="70" w:type="dxa"/>
            <w:right w:w="70" w:type="dxa"/>
          </w:tblCellMar>
          <w:tblLook w:val="00A0"/>
        </w:tblPrEx>
        <w:trPr>
          <w:trHeight w:val="525"/>
        </w:trPr>
        <w:tc>
          <w:tcPr>
            <w:tcW w:w="906" w:type="dxa"/>
            <w:tcBorders>
              <w:top w:val="nil"/>
              <w:left w:val="single" w:sz="4" w:space="0" w:color="auto"/>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642</w:t>
            </w:r>
          </w:p>
        </w:tc>
        <w:tc>
          <w:tcPr>
            <w:tcW w:w="3851" w:type="dxa"/>
            <w:tcBorders>
              <w:top w:val="nil"/>
              <w:left w:val="nil"/>
              <w:bottom w:val="single" w:sz="4" w:space="0" w:color="auto"/>
              <w:right w:val="single" w:sz="4" w:space="0" w:color="auto"/>
            </w:tcBorders>
            <w:textDirection w:val="lrTb"/>
            <w:vAlign w:val="bottom"/>
          </w:tcPr>
          <w:p w:rsidR="00F63F07"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Transfery jednotlivcom a neziskovým právnickým osobám</w:t>
            </w:r>
          </w:p>
        </w:tc>
        <w:tc>
          <w:tcPr>
            <w:tcW w:w="695"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3 596 342</w:t>
            </w:r>
          </w:p>
        </w:tc>
        <w:tc>
          <w:tcPr>
            <w:tcW w:w="1309"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3 922 294</w:t>
            </w:r>
          </w:p>
        </w:tc>
        <w:tc>
          <w:tcPr>
            <w:tcW w:w="1455" w:type="dxa"/>
            <w:tcBorders>
              <w:top w:val="nil"/>
              <w:left w:val="nil"/>
              <w:bottom w:val="single" w:sz="4" w:space="0" w:color="auto"/>
              <w:right w:val="single" w:sz="4" w:space="0" w:color="auto"/>
            </w:tcBorders>
            <w:noWrap/>
            <w:textDirection w:val="lrTb"/>
            <w:vAlign w:val="bottom"/>
          </w:tcPr>
          <w:p w:rsidR="00F63F07"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4 234 399</w:t>
            </w:r>
          </w:p>
        </w:tc>
      </w:tr>
      <w:tr>
        <w:tblPrEx>
          <w:tblW w:w="9436" w:type="dxa"/>
          <w:tblInd w:w="55" w:type="dxa"/>
          <w:tblCellMar>
            <w:left w:w="70" w:type="dxa"/>
            <w:right w:w="70" w:type="dxa"/>
          </w:tblCellMar>
          <w:tblLook w:val="00A0"/>
        </w:tblPrEx>
        <w:trPr>
          <w:trHeight w:val="315"/>
        </w:trPr>
        <w:tc>
          <w:tcPr>
            <w:tcW w:w="906"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3851"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695"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22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09"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455"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r>
      <w:tr>
        <w:tblPrEx>
          <w:tblW w:w="9436" w:type="dxa"/>
          <w:tblInd w:w="55" w:type="dxa"/>
          <w:tblCellMar>
            <w:left w:w="70" w:type="dxa"/>
            <w:right w:w="70" w:type="dxa"/>
          </w:tblCellMar>
          <w:tblLook w:val="00A0"/>
        </w:tblPrEx>
        <w:trPr>
          <w:trHeight w:val="330"/>
        </w:trPr>
        <w:tc>
          <w:tcPr>
            <w:tcW w:w="906"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851" w:type="dxa"/>
            <w:tcBorders>
              <w:top w:val="single" w:sz="4" w:space="0" w:color="auto"/>
              <w:left w:val="nil"/>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4679" w:type="dxa"/>
            <w:gridSpan w:val="4"/>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Sociálnej poisťovne (cash=ESA95)</w:t>
            </w:r>
          </w:p>
        </w:tc>
      </w:tr>
      <w:tr>
        <w:tblPrEx>
          <w:tblW w:w="9436" w:type="dxa"/>
          <w:tblInd w:w="55" w:type="dxa"/>
          <w:tblCellMar>
            <w:left w:w="70" w:type="dxa"/>
            <w:right w:w="70" w:type="dxa"/>
          </w:tblCellMar>
          <w:tblLook w:val="00A0"/>
        </w:tblPrEx>
        <w:trPr>
          <w:trHeight w:val="330"/>
        </w:trPr>
        <w:tc>
          <w:tcPr>
            <w:tcW w:w="906" w:type="dxa"/>
            <w:tcBorders>
              <w:top w:val="nil"/>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851" w:type="dxa"/>
            <w:tcBorders>
              <w:top w:val="nil"/>
              <w:left w:val="nil"/>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Sociálnej poisťovne - výdavky (v eur)</w:t>
            </w:r>
          </w:p>
        </w:tc>
        <w:tc>
          <w:tcPr>
            <w:tcW w:w="695"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220"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309"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455"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36" w:type="dxa"/>
          <w:tblInd w:w="55" w:type="dxa"/>
          <w:tblCellMar>
            <w:left w:w="70" w:type="dxa"/>
            <w:right w:w="70" w:type="dxa"/>
          </w:tblCellMar>
          <w:tblLook w:val="00A0"/>
        </w:tblPrEx>
        <w:trPr>
          <w:trHeight w:val="315"/>
        </w:trPr>
        <w:tc>
          <w:tcPr>
            <w:tcW w:w="906" w:type="dxa"/>
            <w:tcBorders>
              <w:top w:val="single" w:sz="4" w:space="0" w:color="auto"/>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600</w:t>
            </w:r>
          </w:p>
        </w:tc>
        <w:tc>
          <w:tcPr>
            <w:tcW w:w="3851" w:type="dxa"/>
            <w:tcBorders>
              <w:top w:val="single" w:sz="4" w:space="0" w:color="auto"/>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Bežné výdavky</w:t>
            </w:r>
          </w:p>
        </w:tc>
        <w:tc>
          <w:tcPr>
            <w:tcW w:w="695"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i/>
                <w:iCs/>
                <w:color w:val="000000"/>
                <w:sz w:val="20"/>
                <w:szCs w:val="20"/>
              </w:rPr>
            </w:pPr>
            <w:r>
              <w:rPr>
                <w:rFonts w:ascii="Arial Narrow" w:hAnsi="Arial Narrow" w:cs="Arial"/>
                <w:b/>
                <w:bCs/>
                <w:i/>
                <w:iCs/>
                <w:color w:val="000000"/>
                <w:sz w:val="20"/>
                <w:szCs w:val="20"/>
              </w:rPr>
              <w:t>-2 695</w:t>
            </w:r>
          </w:p>
        </w:tc>
        <w:tc>
          <w:tcPr>
            <w:tcW w:w="1220"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i/>
                <w:iCs/>
                <w:color w:val="000000"/>
                <w:sz w:val="20"/>
                <w:szCs w:val="20"/>
              </w:rPr>
            </w:pPr>
            <w:r>
              <w:rPr>
                <w:rFonts w:ascii="Arial Narrow" w:hAnsi="Arial Narrow" w:cs="Arial"/>
                <w:b/>
                <w:bCs/>
                <w:i/>
                <w:iCs/>
                <w:color w:val="000000"/>
                <w:sz w:val="20"/>
                <w:szCs w:val="20"/>
              </w:rPr>
              <w:t>-902 078</w:t>
            </w:r>
          </w:p>
        </w:tc>
        <w:tc>
          <w:tcPr>
            <w:tcW w:w="1309"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i/>
                <w:iCs/>
                <w:color w:val="000000"/>
                <w:sz w:val="20"/>
                <w:szCs w:val="20"/>
              </w:rPr>
            </w:pPr>
            <w:r>
              <w:rPr>
                <w:rFonts w:ascii="Arial Narrow" w:hAnsi="Arial Narrow" w:cs="Arial"/>
                <w:b/>
                <w:bCs/>
                <w:i/>
                <w:iCs/>
                <w:color w:val="000000"/>
                <w:sz w:val="20"/>
                <w:szCs w:val="20"/>
              </w:rPr>
              <w:t>-6 976 656</w:t>
            </w:r>
          </w:p>
        </w:tc>
        <w:tc>
          <w:tcPr>
            <w:tcW w:w="1455"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i/>
                <w:iCs/>
                <w:color w:val="000000"/>
                <w:sz w:val="20"/>
                <w:szCs w:val="20"/>
              </w:rPr>
            </w:pPr>
            <w:r>
              <w:rPr>
                <w:rFonts w:ascii="Arial Narrow" w:hAnsi="Arial Narrow" w:cs="Arial"/>
                <w:b/>
                <w:bCs/>
                <w:i/>
                <w:iCs/>
                <w:color w:val="000000"/>
                <w:sz w:val="20"/>
                <w:szCs w:val="20"/>
              </w:rPr>
              <w:t>-22 402 858</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630</w:t>
            </w:r>
          </w:p>
        </w:tc>
        <w:tc>
          <w:tcPr>
            <w:tcW w:w="3851" w:type="dxa"/>
            <w:tcBorders>
              <w:top w:val="nil"/>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Tovary a služby</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640</w:t>
            </w:r>
          </w:p>
        </w:tc>
        <w:tc>
          <w:tcPr>
            <w:tcW w:w="3851" w:type="dxa"/>
            <w:tcBorders>
              <w:top w:val="nil"/>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Bežné transfery</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-2 695</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-902 078</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-6 976 656</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-22 402 858</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641</w:t>
            </w:r>
          </w:p>
        </w:tc>
        <w:tc>
          <w:tcPr>
            <w:tcW w:w="3851" w:type="dxa"/>
            <w:tcBorders>
              <w:top w:val="nil"/>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Transfery v rámci verejnej správy</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r>
      <w:tr>
        <w:tblPrEx>
          <w:tblW w:w="9436" w:type="dxa"/>
          <w:tblInd w:w="55" w:type="dxa"/>
          <w:tblCellMar>
            <w:left w:w="70" w:type="dxa"/>
            <w:right w:w="70" w:type="dxa"/>
          </w:tblCellMar>
          <w:tblLook w:val="00A0"/>
        </w:tblPrEx>
        <w:trPr>
          <w:trHeight w:val="52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642</w:t>
            </w:r>
          </w:p>
        </w:tc>
        <w:tc>
          <w:tcPr>
            <w:tcW w:w="3851" w:type="dxa"/>
            <w:tcBorders>
              <w:top w:val="nil"/>
              <w:left w:val="nil"/>
              <w:bottom w:val="single" w:sz="4" w:space="0" w:color="auto"/>
              <w:right w:val="single" w:sz="4" w:space="0" w:color="auto"/>
            </w:tcBorders>
            <w:textDirection w:val="lrTb"/>
            <w:vAlign w:val="bottom"/>
          </w:tcPr>
          <w:p w:rsidR="00C4607C"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Transfery jednotlivcom a neziskovým právnickým osobám</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-2 695</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-902 078</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-6 976 656</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-22 402 858</w:t>
            </w:r>
          </w:p>
        </w:tc>
      </w:tr>
      <w:tr>
        <w:tblPrEx>
          <w:tblW w:w="9436" w:type="dxa"/>
          <w:tblInd w:w="55" w:type="dxa"/>
          <w:tblCellMar>
            <w:left w:w="70" w:type="dxa"/>
            <w:right w:w="70" w:type="dxa"/>
          </w:tblCellMar>
          <w:tblLook w:val="00A0"/>
        </w:tblPrEx>
        <w:trPr>
          <w:trHeight w:val="315"/>
        </w:trPr>
        <w:tc>
          <w:tcPr>
            <w:tcW w:w="906"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3851"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695"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220"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309"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c>
          <w:tcPr>
            <w:tcW w:w="1455" w:type="dxa"/>
            <w:tcBorders>
              <w:top w:val="nil"/>
              <w:left w:val="nil"/>
              <w:bottom w:val="nil"/>
              <w:right w:val="nil"/>
            </w:tcBorders>
            <w:noWrap/>
            <w:textDirection w:val="lrTb"/>
            <w:vAlign w:val="bottom"/>
          </w:tcPr>
          <w:p w:rsidR="00F63F07" w:rsidRPr="00E70684" w:rsidP="00E70684">
            <w:pPr>
              <w:bidi w:val="0"/>
              <w:rPr>
                <w:rFonts w:ascii="Arial Narrow" w:hAnsi="Arial Narrow" w:cs="Arial"/>
                <w:color w:val="000000"/>
                <w:sz w:val="20"/>
                <w:szCs w:val="20"/>
              </w:rPr>
            </w:pPr>
          </w:p>
        </w:tc>
      </w:tr>
      <w:tr>
        <w:tblPrEx>
          <w:tblW w:w="9436" w:type="dxa"/>
          <w:tblInd w:w="55" w:type="dxa"/>
          <w:tblCellMar>
            <w:left w:w="70" w:type="dxa"/>
            <w:right w:w="70" w:type="dxa"/>
          </w:tblCellMar>
          <w:tblLook w:val="00A0"/>
        </w:tblPrEx>
        <w:trPr>
          <w:trHeight w:val="330"/>
        </w:trPr>
        <w:tc>
          <w:tcPr>
            <w:tcW w:w="906" w:type="dxa"/>
            <w:tcBorders>
              <w:top w:val="single" w:sz="4" w:space="0" w:color="auto"/>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851" w:type="dxa"/>
            <w:tcBorders>
              <w:top w:val="single" w:sz="4" w:space="0" w:color="auto"/>
              <w:left w:val="nil"/>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4679" w:type="dxa"/>
            <w:gridSpan w:val="4"/>
            <w:tcBorders>
              <w:top w:val="single" w:sz="4" w:space="0" w:color="auto"/>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Vplyv na rozpočet verejnej správy (cash=ESA95)</w:t>
            </w:r>
          </w:p>
        </w:tc>
      </w:tr>
      <w:tr>
        <w:tblPrEx>
          <w:tblW w:w="9436" w:type="dxa"/>
          <w:tblInd w:w="55" w:type="dxa"/>
          <w:tblCellMar>
            <w:left w:w="70" w:type="dxa"/>
            <w:right w:w="70" w:type="dxa"/>
          </w:tblCellMar>
          <w:tblLook w:val="00A0"/>
        </w:tblPrEx>
        <w:trPr>
          <w:trHeight w:val="330"/>
        </w:trPr>
        <w:tc>
          <w:tcPr>
            <w:tcW w:w="906" w:type="dxa"/>
            <w:tcBorders>
              <w:top w:val="nil"/>
              <w:left w:val="single" w:sz="4" w:space="0" w:color="auto"/>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rPr>
            </w:pPr>
            <w:r w:rsidRPr="00E70684">
              <w:rPr>
                <w:rFonts w:ascii="Arial Narrow" w:hAnsi="Arial Narrow" w:cs="Arial"/>
                <w:b/>
                <w:bCs/>
                <w:color w:val="FFFFFF"/>
                <w:sz w:val="22"/>
                <w:szCs w:val="22"/>
              </w:rPr>
              <w:t> </w:t>
            </w:r>
          </w:p>
        </w:tc>
        <w:tc>
          <w:tcPr>
            <w:tcW w:w="3851" w:type="dxa"/>
            <w:tcBorders>
              <w:top w:val="nil"/>
              <w:left w:val="nil"/>
              <w:bottom w:val="nil"/>
              <w:right w:val="nil"/>
            </w:tcBorders>
            <w:shd w:val="clear" w:color="000000" w:fill="000000"/>
            <w:noWrap/>
            <w:textDirection w:val="lrTb"/>
            <w:vAlign w:val="bottom"/>
          </w:tcPr>
          <w:p w:rsidR="00F63F07" w:rsidRPr="00E70684" w:rsidP="00E70684">
            <w:pPr>
              <w:bidi w:val="0"/>
              <w:rPr>
                <w:rFonts w:ascii="Arial Narrow" w:hAnsi="Arial Narrow" w:cs="Arial"/>
                <w:b/>
                <w:bCs/>
                <w:color w:val="FFFFFF"/>
                <w:u w:val="single"/>
              </w:rPr>
            </w:pPr>
            <w:r w:rsidRPr="00E70684">
              <w:rPr>
                <w:rFonts w:ascii="Arial Narrow" w:hAnsi="Arial Narrow" w:cs="Arial"/>
                <w:b/>
                <w:bCs/>
                <w:color w:val="FFFFFF"/>
                <w:sz w:val="22"/>
                <w:szCs w:val="22"/>
                <w:u w:val="single"/>
              </w:rPr>
              <w:t>Rozpočet verejnej správy - výdavky (v eur)</w:t>
            </w:r>
          </w:p>
        </w:tc>
        <w:tc>
          <w:tcPr>
            <w:tcW w:w="695"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2012</w:t>
            </w:r>
          </w:p>
        </w:tc>
        <w:tc>
          <w:tcPr>
            <w:tcW w:w="1220"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2013</w:t>
            </w:r>
          </w:p>
        </w:tc>
        <w:tc>
          <w:tcPr>
            <w:tcW w:w="1309"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2014</w:t>
            </w:r>
          </w:p>
        </w:tc>
        <w:tc>
          <w:tcPr>
            <w:tcW w:w="1455" w:type="dxa"/>
            <w:tcBorders>
              <w:top w:val="nil"/>
              <w:left w:val="nil"/>
              <w:bottom w:val="nil"/>
              <w:right w:val="nil"/>
            </w:tcBorders>
            <w:shd w:val="clear" w:color="000000" w:fill="000000"/>
            <w:noWrap/>
            <w:textDirection w:val="lrTb"/>
            <w:vAlign w:val="bottom"/>
          </w:tcPr>
          <w:p w:rsidR="00F63F07" w:rsidRPr="00E70684" w:rsidP="00E70684">
            <w:pPr>
              <w:bidi w:val="0"/>
              <w:jc w:val="center"/>
              <w:rPr>
                <w:rFonts w:ascii="Arial Narrow" w:hAnsi="Arial Narrow" w:cs="Arial"/>
                <w:b/>
                <w:bCs/>
                <w:color w:val="FFFFFF"/>
              </w:rPr>
            </w:pPr>
            <w:r w:rsidRPr="00E70684">
              <w:rPr>
                <w:rFonts w:ascii="Arial Narrow" w:hAnsi="Arial Narrow" w:cs="Arial"/>
                <w:b/>
                <w:bCs/>
                <w:color w:val="FFFFFF"/>
                <w:sz w:val="22"/>
                <w:szCs w:val="22"/>
              </w:rPr>
              <w:t>2015</w:t>
            </w:r>
          </w:p>
        </w:tc>
      </w:tr>
      <w:tr>
        <w:tblPrEx>
          <w:tblW w:w="9436" w:type="dxa"/>
          <w:tblInd w:w="55" w:type="dxa"/>
          <w:tblCellMar>
            <w:left w:w="70" w:type="dxa"/>
            <w:right w:w="70" w:type="dxa"/>
          </w:tblCellMar>
          <w:tblLook w:val="00A0"/>
        </w:tblPrEx>
        <w:trPr>
          <w:trHeight w:val="315"/>
        </w:trPr>
        <w:tc>
          <w:tcPr>
            <w:tcW w:w="906" w:type="dxa"/>
            <w:tcBorders>
              <w:top w:val="single" w:sz="4" w:space="0" w:color="auto"/>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b/>
                <w:bCs/>
                <w:color w:val="000000"/>
                <w:sz w:val="20"/>
                <w:szCs w:val="20"/>
              </w:rPr>
            </w:pPr>
            <w:r w:rsidRPr="00E70684">
              <w:rPr>
                <w:rFonts w:ascii="Arial Narrow" w:hAnsi="Arial Narrow" w:cs="Arial"/>
                <w:b/>
                <w:bCs/>
                <w:color w:val="000000"/>
                <w:sz w:val="20"/>
                <w:szCs w:val="20"/>
              </w:rPr>
              <w:t>600</w:t>
            </w:r>
          </w:p>
        </w:tc>
        <w:tc>
          <w:tcPr>
            <w:tcW w:w="3851" w:type="dxa"/>
            <w:tcBorders>
              <w:top w:val="single" w:sz="4" w:space="0" w:color="auto"/>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b/>
                <w:bCs/>
                <w:color w:val="000000"/>
                <w:sz w:val="20"/>
                <w:szCs w:val="20"/>
              </w:rPr>
            </w:pPr>
            <w:r w:rsidRPr="00E70684">
              <w:rPr>
                <w:rFonts w:ascii="Arial Narrow" w:hAnsi="Arial Narrow" w:cs="Arial"/>
                <w:b/>
                <w:bCs/>
                <w:color w:val="000000"/>
                <w:sz w:val="20"/>
                <w:szCs w:val="20"/>
              </w:rPr>
              <w:t>Bežné výdavky</w:t>
            </w:r>
          </w:p>
        </w:tc>
        <w:tc>
          <w:tcPr>
            <w:tcW w:w="695"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color w:val="000000"/>
                <w:sz w:val="20"/>
                <w:szCs w:val="20"/>
              </w:rPr>
            </w:pPr>
            <w:r>
              <w:rPr>
                <w:rFonts w:ascii="Arial Narrow" w:hAnsi="Arial Narrow" w:cs="Arial"/>
                <w:b/>
                <w:bCs/>
                <w:color w:val="000000"/>
                <w:sz w:val="20"/>
                <w:szCs w:val="20"/>
              </w:rPr>
              <w:t>-2 695</w:t>
            </w:r>
          </w:p>
        </w:tc>
        <w:tc>
          <w:tcPr>
            <w:tcW w:w="1220"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color w:val="000000"/>
                <w:sz w:val="20"/>
                <w:szCs w:val="20"/>
              </w:rPr>
            </w:pPr>
            <w:r>
              <w:rPr>
                <w:rFonts w:ascii="Arial Narrow" w:hAnsi="Arial Narrow" w:cs="Arial"/>
                <w:b/>
                <w:bCs/>
                <w:color w:val="000000"/>
                <w:sz w:val="20"/>
                <w:szCs w:val="20"/>
              </w:rPr>
              <w:t>2 694 264</w:t>
            </w:r>
          </w:p>
        </w:tc>
        <w:tc>
          <w:tcPr>
            <w:tcW w:w="1309"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color w:val="000000"/>
                <w:sz w:val="20"/>
                <w:szCs w:val="20"/>
              </w:rPr>
            </w:pPr>
            <w:r>
              <w:rPr>
                <w:rFonts w:ascii="Arial Narrow" w:hAnsi="Arial Narrow" w:cs="Arial"/>
                <w:b/>
                <w:bCs/>
                <w:color w:val="000000"/>
                <w:sz w:val="20"/>
                <w:szCs w:val="20"/>
              </w:rPr>
              <w:t>-3 054 361</w:t>
            </w:r>
          </w:p>
        </w:tc>
        <w:tc>
          <w:tcPr>
            <w:tcW w:w="1455" w:type="dxa"/>
            <w:tcBorders>
              <w:top w:val="single" w:sz="4" w:space="0" w:color="auto"/>
              <w:left w:val="nil"/>
              <w:bottom w:val="single" w:sz="4" w:space="0" w:color="auto"/>
              <w:right w:val="single" w:sz="4" w:space="0" w:color="auto"/>
            </w:tcBorders>
            <w:noWrap/>
            <w:textDirection w:val="lrTb"/>
            <w:vAlign w:val="bottom"/>
          </w:tcPr>
          <w:p w:rsidR="00C4607C">
            <w:pPr>
              <w:bidi w:val="0"/>
              <w:jc w:val="right"/>
              <w:rPr>
                <w:rFonts w:ascii="Arial Narrow" w:hAnsi="Arial Narrow" w:cs="Arial"/>
                <w:b/>
                <w:bCs/>
                <w:color w:val="000000"/>
                <w:sz w:val="20"/>
                <w:szCs w:val="20"/>
              </w:rPr>
            </w:pPr>
            <w:r>
              <w:rPr>
                <w:rFonts w:ascii="Arial Narrow" w:hAnsi="Arial Narrow" w:cs="Arial"/>
                <w:b/>
                <w:bCs/>
                <w:color w:val="000000"/>
                <w:sz w:val="20"/>
                <w:szCs w:val="20"/>
              </w:rPr>
              <w:t>-18 168 459</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630</w:t>
            </w:r>
          </w:p>
        </w:tc>
        <w:tc>
          <w:tcPr>
            <w:tcW w:w="3851" w:type="dxa"/>
            <w:tcBorders>
              <w:top w:val="nil"/>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Tovary a služby</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i/>
                <w:iCs/>
                <w:color w:val="000000"/>
                <w:sz w:val="20"/>
                <w:szCs w:val="20"/>
              </w:rPr>
            </w:pPr>
            <w:r w:rsidRPr="00E70684">
              <w:rPr>
                <w:rFonts w:ascii="Arial Narrow" w:hAnsi="Arial Narrow" w:cs="Arial"/>
                <w:i/>
                <w:iCs/>
                <w:color w:val="000000"/>
                <w:sz w:val="20"/>
                <w:szCs w:val="20"/>
              </w:rPr>
              <w:t>640</w:t>
            </w:r>
          </w:p>
        </w:tc>
        <w:tc>
          <w:tcPr>
            <w:tcW w:w="3851" w:type="dxa"/>
            <w:tcBorders>
              <w:top w:val="nil"/>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i/>
                <w:iCs/>
                <w:color w:val="000000"/>
                <w:sz w:val="20"/>
                <w:szCs w:val="20"/>
              </w:rPr>
            </w:pPr>
            <w:r w:rsidRPr="00E70684">
              <w:rPr>
                <w:rFonts w:ascii="Arial Narrow" w:hAnsi="Arial Narrow" w:cs="Arial"/>
                <w:i/>
                <w:iCs/>
                <w:color w:val="000000"/>
                <w:sz w:val="20"/>
                <w:szCs w:val="20"/>
              </w:rPr>
              <w:t>Bežné transfery</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-2 695</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2 694 264</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-3 054 361</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-18 168 459</w:t>
            </w:r>
          </w:p>
        </w:tc>
      </w:tr>
      <w:tr>
        <w:tblPrEx>
          <w:tblW w:w="9436" w:type="dxa"/>
          <w:tblInd w:w="55" w:type="dxa"/>
          <w:tblCellMar>
            <w:left w:w="70" w:type="dxa"/>
            <w:right w:w="70" w:type="dxa"/>
          </w:tblCellMar>
          <w:tblLook w:val="00A0"/>
        </w:tblPrEx>
        <w:trPr>
          <w:trHeight w:val="31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641</w:t>
            </w:r>
          </w:p>
        </w:tc>
        <w:tc>
          <w:tcPr>
            <w:tcW w:w="3851" w:type="dxa"/>
            <w:tcBorders>
              <w:top w:val="nil"/>
              <w:left w:val="nil"/>
              <w:bottom w:val="single" w:sz="4" w:space="0" w:color="auto"/>
              <w:right w:val="single" w:sz="4" w:space="0" w:color="auto"/>
            </w:tcBorders>
            <w:noWrap/>
            <w:textDirection w:val="lrTb"/>
            <w:vAlign w:val="bottom"/>
          </w:tcPr>
          <w:p w:rsidR="00C4607C"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Transfery v rámci verejnej správy</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0</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i/>
                <w:iCs/>
                <w:color w:val="000000"/>
                <w:sz w:val="20"/>
                <w:szCs w:val="20"/>
              </w:rPr>
            </w:pPr>
            <w:r>
              <w:rPr>
                <w:rFonts w:ascii="Arial Narrow" w:hAnsi="Arial Narrow" w:cs="Arial"/>
                <w:i/>
                <w:iCs/>
                <w:color w:val="000000"/>
                <w:sz w:val="20"/>
                <w:szCs w:val="20"/>
              </w:rPr>
              <w:t>0</w:t>
            </w:r>
          </w:p>
        </w:tc>
      </w:tr>
      <w:tr>
        <w:tblPrEx>
          <w:tblW w:w="9436" w:type="dxa"/>
          <w:tblInd w:w="55" w:type="dxa"/>
          <w:tblCellMar>
            <w:left w:w="70" w:type="dxa"/>
            <w:right w:w="70" w:type="dxa"/>
          </w:tblCellMar>
          <w:tblLook w:val="00A0"/>
        </w:tblPrEx>
        <w:trPr>
          <w:trHeight w:val="525"/>
        </w:trPr>
        <w:tc>
          <w:tcPr>
            <w:tcW w:w="906" w:type="dxa"/>
            <w:tcBorders>
              <w:top w:val="nil"/>
              <w:left w:val="single" w:sz="4" w:space="0" w:color="auto"/>
              <w:bottom w:val="single" w:sz="4" w:space="0" w:color="auto"/>
              <w:right w:val="single" w:sz="4" w:space="0" w:color="auto"/>
            </w:tcBorders>
            <w:noWrap/>
            <w:textDirection w:val="lrTb"/>
            <w:vAlign w:val="bottom"/>
          </w:tcPr>
          <w:p w:rsidR="00C4607C" w:rsidRPr="00E70684" w:rsidP="00E70684">
            <w:pPr>
              <w:bidi w:val="0"/>
              <w:jc w:val="right"/>
              <w:rPr>
                <w:rFonts w:ascii="Arial Narrow" w:hAnsi="Arial Narrow" w:cs="Arial"/>
                <w:color w:val="000000"/>
                <w:sz w:val="20"/>
                <w:szCs w:val="20"/>
              </w:rPr>
            </w:pPr>
            <w:r w:rsidRPr="00E70684">
              <w:rPr>
                <w:rFonts w:ascii="Arial Narrow" w:hAnsi="Arial Narrow" w:cs="Arial"/>
                <w:color w:val="000000"/>
                <w:sz w:val="20"/>
                <w:szCs w:val="20"/>
              </w:rPr>
              <w:t>642</w:t>
            </w:r>
          </w:p>
        </w:tc>
        <w:tc>
          <w:tcPr>
            <w:tcW w:w="3851" w:type="dxa"/>
            <w:tcBorders>
              <w:top w:val="nil"/>
              <w:left w:val="nil"/>
              <w:bottom w:val="single" w:sz="4" w:space="0" w:color="auto"/>
              <w:right w:val="single" w:sz="4" w:space="0" w:color="auto"/>
            </w:tcBorders>
            <w:textDirection w:val="lrTb"/>
            <w:vAlign w:val="bottom"/>
          </w:tcPr>
          <w:p w:rsidR="00C4607C" w:rsidRPr="00E70684" w:rsidP="00E70684">
            <w:pPr>
              <w:bidi w:val="0"/>
              <w:rPr>
                <w:rFonts w:ascii="Arial Narrow" w:hAnsi="Arial Narrow" w:cs="Arial"/>
                <w:color w:val="000000"/>
                <w:sz w:val="20"/>
                <w:szCs w:val="20"/>
              </w:rPr>
            </w:pPr>
            <w:r w:rsidRPr="00E70684">
              <w:rPr>
                <w:rFonts w:ascii="Arial Narrow" w:hAnsi="Arial Narrow" w:cs="Arial"/>
                <w:color w:val="000000"/>
                <w:sz w:val="20"/>
                <w:szCs w:val="20"/>
              </w:rPr>
              <w:t>Transfery jednotlivcom a neziskovým právnickým osobám</w:t>
            </w:r>
          </w:p>
        </w:tc>
        <w:tc>
          <w:tcPr>
            <w:tcW w:w="69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-2 695</w:t>
            </w:r>
          </w:p>
        </w:tc>
        <w:tc>
          <w:tcPr>
            <w:tcW w:w="1220"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2 694 264</w:t>
            </w:r>
          </w:p>
        </w:tc>
        <w:tc>
          <w:tcPr>
            <w:tcW w:w="1309"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-3 054 361</w:t>
            </w:r>
          </w:p>
        </w:tc>
        <w:tc>
          <w:tcPr>
            <w:tcW w:w="1455" w:type="dxa"/>
            <w:tcBorders>
              <w:top w:val="nil"/>
              <w:left w:val="nil"/>
              <w:bottom w:val="single" w:sz="4" w:space="0" w:color="auto"/>
              <w:right w:val="single" w:sz="4" w:space="0" w:color="auto"/>
            </w:tcBorders>
            <w:noWrap/>
            <w:textDirection w:val="lrTb"/>
            <w:vAlign w:val="bottom"/>
          </w:tcPr>
          <w:p w:rsidR="00C4607C">
            <w:pPr>
              <w:bidi w:val="0"/>
              <w:jc w:val="right"/>
              <w:rPr>
                <w:rFonts w:ascii="Arial Narrow" w:hAnsi="Arial Narrow" w:cs="Arial"/>
                <w:color w:val="000000"/>
                <w:sz w:val="20"/>
                <w:szCs w:val="20"/>
              </w:rPr>
            </w:pPr>
            <w:r>
              <w:rPr>
                <w:rFonts w:ascii="Arial Narrow" w:hAnsi="Arial Narrow" w:cs="Arial"/>
                <w:color w:val="000000"/>
                <w:sz w:val="20"/>
                <w:szCs w:val="20"/>
              </w:rPr>
              <w:t>-18 168 459</w:t>
            </w:r>
          </w:p>
        </w:tc>
      </w:tr>
    </w:tbl>
    <w:p w:rsidR="00F63F07" w:rsidP="00A776AD">
      <w:pPr>
        <w:bidi w:val="0"/>
        <w:jc w:val="right"/>
        <w:rPr>
          <w:rFonts w:ascii="Times New Roman" w:hAnsi="Times New Roman"/>
          <w:sz w:val="20"/>
          <w:szCs w:val="20"/>
        </w:rPr>
      </w:pPr>
    </w:p>
    <w:sectPr w:rsidSect="00FA64DB">
      <w:headerReference w:type="default" r:id="rId5"/>
      <w:footerReference w:type="even" r:id="rId6"/>
      <w:footerReference w:type="default" r:id="rId7"/>
      <w:headerReference w:type="first" r:id="rId8"/>
      <w:pgSz w:w="11906" w:h="16838"/>
      <w:pgMar w:top="1276" w:right="1274"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E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452E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E6">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E6" w:rsidP="00B53407">
    <w:pPr>
      <w:pStyle w:val="Header"/>
      <w:bidi w:val="0"/>
      <w:jc w:val="right"/>
      <w:rPr>
        <w:rFonts w:ascii="Times New Roman" w:hAnsi="Times New Roman"/>
      </w:rPr>
    </w:pPr>
    <w:r>
      <w:rPr>
        <w:rFonts w:ascii="Times New Roman" w:hAnsi="Times New Roman"/>
      </w:rPr>
      <w:t>Príloha č.1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E6">
    <w:pPr>
      <w:pStyle w:val="Header"/>
      <w:bidi w:val="0"/>
      <w:jc w:val="right"/>
      <w:rPr>
        <w:rFonts w:ascii="Times New Roman" w:hAnsi="Times New Roman"/>
      </w:rPr>
    </w:pPr>
    <w:r>
      <w:rPr>
        <w:rFonts w:ascii="Times New Roman" w:hAnsi="Times New Roman"/>
      </w:rPr>
      <w:t>Príloha č.2</w:t>
    </w:r>
  </w:p>
  <w:p w:rsidR="007452E6">
    <w:pPr>
      <w:pStyle w:val="Header"/>
      <w:bidi w:val="0"/>
      <w:jc w:val="right"/>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E6" w:rsidRPr="00447965" w:rsidP="0044796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4AB2"/>
    <w:multiLevelType w:val="hybridMultilevel"/>
    <w:tmpl w:val="7C089E02"/>
    <w:lvl w:ilvl="0">
      <w:start w:val="34"/>
      <w:numFmt w:val="bullet"/>
      <w:lvlText w:val="-"/>
      <w:lvlJc w:val="left"/>
      <w:pPr>
        <w:ind w:left="720" w:hanging="360"/>
      </w:pPr>
      <w:rPr>
        <w:rFonts w:ascii="Calibri" w:eastAsia="Times New Roman" w:hAnsi="Calibri" w:hint="default"/>
        <w:color w:val="1F497D"/>
        <w:sz w:val="22"/>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FAE37A2"/>
    <w:multiLevelType w:val="hybridMultilevel"/>
    <w:tmpl w:val="D4044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BE5EC3"/>
    <w:multiLevelType w:val="hybridMultilevel"/>
    <w:tmpl w:val="7320F300"/>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3">
    <w:nsid w:val="18733217"/>
    <w:multiLevelType w:val="hybridMultilevel"/>
    <w:tmpl w:val="D5640F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069159A"/>
    <w:multiLevelType w:val="hybridMultilevel"/>
    <w:tmpl w:val="D17296B4"/>
    <w:lvl w:ilvl="0">
      <w:start w:val="1"/>
      <w:numFmt w:val="bullet"/>
      <w:lvlText w:val=""/>
      <w:lvlJc w:val="left"/>
      <w:pPr>
        <w:ind w:left="784" w:hanging="360"/>
      </w:pPr>
      <w:rPr>
        <w:rFonts w:ascii="Symbol" w:hAnsi="Symbol" w:hint="default"/>
      </w:rPr>
    </w:lvl>
    <w:lvl w:ilvl="1">
      <w:start w:val="1"/>
      <w:numFmt w:val="bullet"/>
      <w:lvlText w:val="o"/>
      <w:lvlJc w:val="left"/>
      <w:pPr>
        <w:ind w:left="1504" w:hanging="360"/>
      </w:pPr>
      <w:rPr>
        <w:rFonts w:ascii="Courier New" w:hAnsi="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hint="default"/>
      </w:rPr>
    </w:lvl>
    <w:lvl w:ilvl="8">
      <w:start w:val="1"/>
      <w:numFmt w:val="bullet"/>
      <w:lvlText w:val=""/>
      <w:lvlJc w:val="left"/>
      <w:pPr>
        <w:ind w:left="6544" w:hanging="360"/>
      </w:pPr>
      <w:rPr>
        <w:rFonts w:ascii="Wingdings" w:hAnsi="Wingdings" w:hint="default"/>
      </w:rPr>
    </w:lvl>
  </w:abstractNum>
  <w:abstractNum w:abstractNumId="5">
    <w:nsid w:val="21C52B78"/>
    <w:multiLevelType w:val="hybridMultilevel"/>
    <w:tmpl w:val="B07C3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DA252CC"/>
    <w:multiLevelType w:val="hybridMultilevel"/>
    <w:tmpl w:val="56686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D3A1C06"/>
    <w:multiLevelType w:val="hybridMultilevel"/>
    <w:tmpl w:val="0C0A3834"/>
    <w:lvl w:ilvl="0">
      <w:start w:val="0"/>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8">
    <w:nsid w:val="3DA10FEF"/>
    <w:multiLevelType w:val="hybridMultilevel"/>
    <w:tmpl w:val="F1C82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A22A77"/>
    <w:multiLevelType w:val="hybridMultilevel"/>
    <w:tmpl w:val="A09C1C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4EE7E96"/>
    <w:multiLevelType w:val="hybridMultilevel"/>
    <w:tmpl w:val="80C47E0E"/>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25058FA"/>
    <w:multiLevelType w:val="hybridMultilevel"/>
    <w:tmpl w:val="8D50B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5426F7"/>
    <w:multiLevelType w:val="hybridMultilevel"/>
    <w:tmpl w:val="0D4A1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9220D5E"/>
    <w:multiLevelType w:val="hybridMultilevel"/>
    <w:tmpl w:val="108E8C82"/>
    <w:lvl w:ilvl="0">
      <w:start w:val="1"/>
      <w:numFmt w:val="lowerLetter"/>
      <w:lvlText w:val="%1)"/>
      <w:lvlJc w:val="left"/>
      <w:pPr>
        <w:ind w:left="720" w:hanging="360"/>
      </w:pPr>
      <w:rPr>
        <w:rFonts w:cs="Times New Roman" w:hint="default"/>
        <w:sz w:val="20"/>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C2B7558"/>
    <w:multiLevelType w:val="hybridMultilevel"/>
    <w:tmpl w:val="423ED77C"/>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E29576C"/>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6">
    <w:nsid w:val="779279F5"/>
    <w:multiLevelType w:val="hybridMultilevel"/>
    <w:tmpl w:val="F7FC0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6"/>
  </w:num>
  <w:num w:numId="5">
    <w:abstractNumId w:val="16"/>
  </w:num>
  <w:num w:numId="6">
    <w:abstractNumId w:val="7"/>
  </w:num>
  <w:num w:numId="7">
    <w:abstractNumId w:val="8"/>
  </w:num>
  <w:num w:numId="8">
    <w:abstractNumId w:val="1"/>
  </w:num>
  <w:num w:numId="9">
    <w:abstractNumId w:val="10"/>
  </w:num>
  <w:num w:numId="10">
    <w:abstractNumId w:val="4"/>
  </w:num>
  <w:num w:numId="11">
    <w:abstractNumId w:val="9"/>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5"/>
  </w:num>
  <w:num w:numId="17">
    <w:abstractNumId w:val="11"/>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6246E"/>
    <w:rsid w:val="0000255A"/>
    <w:rsid w:val="00015346"/>
    <w:rsid w:val="00022165"/>
    <w:rsid w:val="00022A11"/>
    <w:rsid w:val="00026543"/>
    <w:rsid w:val="00031EEB"/>
    <w:rsid w:val="0003733C"/>
    <w:rsid w:val="00042DDB"/>
    <w:rsid w:val="00045090"/>
    <w:rsid w:val="00045D99"/>
    <w:rsid w:val="00045EF7"/>
    <w:rsid w:val="00051296"/>
    <w:rsid w:val="00051D5C"/>
    <w:rsid w:val="00055658"/>
    <w:rsid w:val="000606B6"/>
    <w:rsid w:val="00060909"/>
    <w:rsid w:val="0006266F"/>
    <w:rsid w:val="00063562"/>
    <w:rsid w:val="00063DEF"/>
    <w:rsid w:val="00065E93"/>
    <w:rsid w:val="00080428"/>
    <w:rsid w:val="00083D72"/>
    <w:rsid w:val="00084FC1"/>
    <w:rsid w:val="0008570D"/>
    <w:rsid w:val="00087860"/>
    <w:rsid w:val="000971B9"/>
    <w:rsid w:val="000A6925"/>
    <w:rsid w:val="000B6879"/>
    <w:rsid w:val="000C027E"/>
    <w:rsid w:val="000C38C5"/>
    <w:rsid w:val="000D35B3"/>
    <w:rsid w:val="000D5962"/>
    <w:rsid w:val="000D6D17"/>
    <w:rsid w:val="000E053F"/>
    <w:rsid w:val="000E42B2"/>
    <w:rsid w:val="000E542B"/>
    <w:rsid w:val="000E67D8"/>
    <w:rsid w:val="000E6B83"/>
    <w:rsid w:val="000F4D29"/>
    <w:rsid w:val="000F7787"/>
    <w:rsid w:val="00102254"/>
    <w:rsid w:val="00102411"/>
    <w:rsid w:val="00122A5A"/>
    <w:rsid w:val="001301E2"/>
    <w:rsid w:val="001317A8"/>
    <w:rsid w:val="0013334A"/>
    <w:rsid w:val="001351CD"/>
    <w:rsid w:val="00135281"/>
    <w:rsid w:val="00141604"/>
    <w:rsid w:val="00142A4D"/>
    <w:rsid w:val="00146179"/>
    <w:rsid w:val="00162776"/>
    <w:rsid w:val="00163F7B"/>
    <w:rsid w:val="00170763"/>
    <w:rsid w:val="00171D0C"/>
    <w:rsid w:val="00177C9C"/>
    <w:rsid w:val="00186263"/>
    <w:rsid w:val="001924B8"/>
    <w:rsid w:val="001965F4"/>
    <w:rsid w:val="001A31A6"/>
    <w:rsid w:val="001A7C1C"/>
    <w:rsid w:val="001B18D7"/>
    <w:rsid w:val="001B4C18"/>
    <w:rsid w:val="001B74CF"/>
    <w:rsid w:val="001C1443"/>
    <w:rsid w:val="001C2754"/>
    <w:rsid w:val="001D5388"/>
    <w:rsid w:val="001D5AD6"/>
    <w:rsid w:val="001D72D8"/>
    <w:rsid w:val="001F4914"/>
    <w:rsid w:val="00203AC2"/>
    <w:rsid w:val="00203EC7"/>
    <w:rsid w:val="002076B4"/>
    <w:rsid w:val="0022023E"/>
    <w:rsid w:val="0022263E"/>
    <w:rsid w:val="002228D8"/>
    <w:rsid w:val="00222B5C"/>
    <w:rsid w:val="00224480"/>
    <w:rsid w:val="00226792"/>
    <w:rsid w:val="002334D1"/>
    <w:rsid w:val="0023555F"/>
    <w:rsid w:val="00236DC6"/>
    <w:rsid w:val="00241235"/>
    <w:rsid w:val="002415F0"/>
    <w:rsid w:val="00246184"/>
    <w:rsid w:val="002476D8"/>
    <w:rsid w:val="00254E0B"/>
    <w:rsid w:val="0026015C"/>
    <w:rsid w:val="0026104F"/>
    <w:rsid w:val="00263416"/>
    <w:rsid w:val="002717F6"/>
    <w:rsid w:val="00272AB3"/>
    <w:rsid w:val="00274915"/>
    <w:rsid w:val="00275308"/>
    <w:rsid w:val="002802FB"/>
    <w:rsid w:val="00281297"/>
    <w:rsid w:val="00281756"/>
    <w:rsid w:val="002852F4"/>
    <w:rsid w:val="002960DC"/>
    <w:rsid w:val="00297B4A"/>
    <w:rsid w:val="002A32A7"/>
    <w:rsid w:val="002A3C43"/>
    <w:rsid w:val="002A43C7"/>
    <w:rsid w:val="002A5259"/>
    <w:rsid w:val="002B0518"/>
    <w:rsid w:val="002B33DF"/>
    <w:rsid w:val="002B3A51"/>
    <w:rsid w:val="002B5C51"/>
    <w:rsid w:val="002B6C41"/>
    <w:rsid w:val="002C09E4"/>
    <w:rsid w:val="002C4819"/>
    <w:rsid w:val="002C4D5B"/>
    <w:rsid w:val="002D4452"/>
    <w:rsid w:val="002E1304"/>
    <w:rsid w:val="002E2CA8"/>
    <w:rsid w:val="002F2FD5"/>
    <w:rsid w:val="002F411D"/>
    <w:rsid w:val="00304123"/>
    <w:rsid w:val="00312C09"/>
    <w:rsid w:val="0031324D"/>
    <w:rsid w:val="00313E0F"/>
    <w:rsid w:val="00324E72"/>
    <w:rsid w:val="003254A6"/>
    <w:rsid w:val="00326E33"/>
    <w:rsid w:val="00327B48"/>
    <w:rsid w:val="003348C0"/>
    <w:rsid w:val="00334FCC"/>
    <w:rsid w:val="00335DA3"/>
    <w:rsid w:val="00347448"/>
    <w:rsid w:val="00350466"/>
    <w:rsid w:val="00350933"/>
    <w:rsid w:val="00352BD0"/>
    <w:rsid w:val="003554B9"/>
    <w:rsid w:val="003573CF"/>
    <w:rsid w:val="00362BF8"/>
    <w:rsid w:val="00363947"/>
    <w:rsid w:val="00363A56"/>
    <w:rsid w:val="00365059"/>
    <w:rsid w:val="00365DEA"/>
    <w:rsid w:val="003670B1"/>
    <w:rsid w:val="00372B2C"/>
    <w:rsid w:val="00373D1C"/>
    <w:rsid w:val="00373ECD"/>
    <w:rsid w:val="003853A9"/>
    <w:rsid w:val="00391E53"/>
    <w:rsid w:val="00392BC8"/>
    <w:rsid w:val="003950A0"/>
    <w:rsid w:val="00396184"/>
    <w:rsid w:val="003979B1"/>
    <w:rsid w:val="003A0439"/>
    <w:rsid w:val="003A20FA"/>
    <w:rsid w:val="003A2B89"/>
    <w:rsid w:val="003A43F0"/>
    <w:rsid w:val="003C1672"/>
    <w:rsid w:val="003C1EFA"/>
    <w:rsid w:val="003C2580"/>
    <w:rsid w:val="003C35C7"/>
    <w:rsid w:val="003C573B"/>
    <w:rsid w:val="003D1C4A"/>
    <w:rsid w:val="003D3980"/>
    <w:rsid w:val="003D5393"/>
    <w:rsid w:val="003E42A5"/>
    <w:rsid w:val="003F06FB"/>
    <w:rsid w:val="003F210C"/>
    <w:rsid w:val="003F7571"/>
    <w:rsid w:val="00403806"/>
    <w:rsid w:val="0040793B"/>
    <w:rsid w:val="00407E75"/>
    <w:rsid w:val="00413C59"/>
    <w:rsid w:val="00414DC7"/>
    <w:rsid w:val="004161A1"/>
    <w:rsid w:val="0041754E"/>
    <w:rsid w:val="00420478"/>
    <w:rsid w:val="004232EF"/>
    <w:rsid w:val="004261CD"/>
    <w:rsid w:val="0042632C"/>
    <w:rsid w:val="004351FA"/>
    <w:rsid w:val="0043761B"/>
    <w:rsid w:val="00440677"/>
    <w:rsid w:val="0044310A"/>
    <w:rsid w:val="00446D80"/>
    <w:rsid w:val="00447210"/>
    <w:rsid w:val="00447965"/>
    <w:rsid w:val="0045399D"/>
    <w:rsid w:val="00460C5C"/>
    <w:rsid w:val="0046106F"/>
    <w:rsid w:val="004645C1"/>
    <w:rsid w:val="0046704B"/>
    <w:rsid w:val="00467A27"/>
    <w:rsid w:val="00471298"/>
    <w:rsid w:val="004725A7"/>
    <w:rsid w:val="00472DEB"/>
    <w:rsid w:val="00477337"/>
    <w:rsid w:val="004774EE"/>
    <w:rsid w:val="00481D48"/>
    <w:rsid w:val="00484785"/>
    <w:rsid w:val="00486697"/>
    <w:rsid w:val="004A0700"/>
    <w:rsid w:val="004A0AE6"/>
    <w:rsid w:val="004A367A"/>
    <w:rsid w:val="004A6094"/>
    <w:rsid w:val="004A7546"/>
    <w:rsid w:val="004A7FDA"/>
    <w:rsid w:val="004B2597"/>
    <w:rsid w:val="004B2729"/>
    <w:rsid w:val="004B40E0"/>
    <w:rsid w:val="004B44C9"/>
    <w:rsid w:val="004B4765"/>
    <w:rsid w:val="004B767C"/>
    <w:rsid w:val="004C04DF"/>
    <w:rsid w:val="004C0750"/>
    <w:rsid w:val="004C753E"/>
    <w:rsid w:val="004D007C"/>
    <w:rsid w:val="004D7E76"/>
    <w:rsid w:val="004E1BDF"/>
    <w:rsid w:val="004E2326"/>
    <w:rsid w:val="004E23F7"/>
    <w:rsid w:val="004E5B3A"/>
    <w:rsid w:val="004E6F00"/>
    <w:rsid w:val="004E7D94"/>
    <w:rsid w:val="004F2E89"/>
    <w:rsid w:val="004F3123"/>
    <w:rsid w:val="004F3C54"/>
    <w:rsid w:val="004F3D7E"/>
    <w:rsid w:val="0050732C"/>
    <w:rsid w:val="0051198B"/>
    <w:rsid w:val="005119EF"/>
    <w:rsid w:val="00511BF6"/>
    <w:rsid w:val="00512C88"/>
    <w:rsid w:val="005159C6"/>
    <w:rsid w:val="005209DE"/>
    <w:rsid w:val="005226A3"/>
    <w:rsid w:val="00523D61"/>
    <w:rsid w:val="00532DE3"/>
    <w:rsid w:val="0054067D"/>
    <w:rsid w:val="005441A8"/>
    <w:rsid w:val="00550EEF"/>
    <w:rsid w:val="00554E67"/>
    <w:rsid w:val="00555413"/>
    <w:rsid w:val="005575B5"/>
    <w:rsid w:val="0056064A"/>
    <w:rsid w:val="00560D2C"/>
    <w:rsid w:val="005627F0"/>
    <w:rsid w:val="0056471D"/>
    <w:rsid w:val="00565690"/>
    <w:rsid w:val="00566FF6"/>
    <w:rsid w:val="0057110C"/>
    <w:rsid w:val="00571783"/>
    <w:rsid w:val="00572332"/>
    <w:rsid w:val="005724AF"/>
    <w:rsid w:val="00577301"/>
    <w:rsid w:val="00590859"/>
    <w:rsid w:val="00594991"/>
    <w:rsid w:val="005A0F6C"/>
    <w:rsid w:val="005A6B9C"/>
    <w:rsid w:val="005B411A"/>
    <w:rsid w:val="005B55AA"/>
    <w:rsid w:val="005C05C0"/>
    <w:rsid w:val="005C3226"/>
    <w:rsid w:val="005D74D8"/>
    <w:rsid w:val="005E071C"/>
    <w:rsid w:val="005E2999"/>
    <w:rsid w:val="005E36D1"/>
    <w:rsid w:val="005E57F6"/>
    <w:rsid w:val="005E6853"/>
    <w:rsid w:val="005E6C58"/>
    <w:rsid w:val="005E731E"/>
    <w:rsid w:val="005E7E78"/>
    <w:rsid w:val="005F14C6"/>
    <w:rsid w:val="005F2CF1"/>
    <w:rsid w:val="005F4EFA"/>
    <w:rsid w:val="0060062B"/>
    <w:rsid w:val="0060282B"/>
    <w:rsid w:val="00606B6B"/>
    <w:rsid w:val="00607B5A"/>
    <w:rsid w:val="00611678"/>
    <w:rsid w:val="0061539B"/>
    <w:rsid w:val="00617EB7"/>
    <w:rsid w:val="006208A2"/>
    <w:rsid w:val="00625FBD"/>
    <w:rsid w:val="00631097"/>
    <w:rsid w:val="00635083"/>
    <w:rsid w:val="0063733B"/>
    <w:rsid w:val="00655E2D"/>
    <w:rsid w:val="00657C52"/>
    <w:rsid w:val="00663872"/>
    <w:rsid w:val="0066443D"/>
    <w:rsid w:val="006649F6"/>
    <w:rsid w:val="00672E39"/>
    <w:rsid w:val="006765A9"/>
    <w:rsid w:val="00677C1B"/>
    <w:rsid w:val="00680248"/>
    <w:rsid w:val="00683015"/>
    <w:rsid w:val="00694372"/>
    <w:rsid w:val="00696872"/>
    <w:rsid w:val="006973B1"/>
    <w:rsid w:val="006A194A"/>
    <w:rsid w:val="006A2911"/>
    <w:rsid w:val="006A6CD3"/>
    <w:rsid w:val="006A79C9"/>
    <w:rsid w:val="006B2221"/>
    <w:rsid w:val="006B4139"/>
    <w:rsid w:val="006B5651"/>
    <w:rsid w:val="006B5CE8"/>
    <w:rsid w:val="006C2055"/>
    <w:rsid w:val="006C2D49"/>
    <w:rsid w:val="006C5A68"/>
    <w:rsid w:val="006D0A2B"/>
    <w:rsid w:val="006D10C1"/>
    <w:rsid w:val="006D27E1"/>
    <w:rsid w:val="006E768C"/>
    <w:rsid w:val="006F0BB0"/>
    <w:rsid w:val="006F116C"/>
    <w:rsid w:val="006F167D"/>
    <w:rsid w:val="00702C25"/>
    <w:rsid w:val="007161BF"/>
    <w:rsid w:val="00723A4A"/>
    <w:rsid w:val="0072520C"/>
    <w:rsid w:val="00732CA4"/>
    <w:rsid w:val="00736525"/>
    <w:rsid w:val="0074003D"/>
    <w:rsid w:val="00741252"/>
    <w:rsid w:val="007421CA"/>
    <w:rsid w:val="007422DF"/>
    <w:rsid w:val="007452E6"/>
    <w:rsid w:val="00752D11"/>
    <w:rsid w:val="00756280"/>
    <w:rsid w:val="007566C9"/>
    <w:rsid w:val="0076336B"/>
    <w:rsid w:val="0077173A"/>
    <w:rsid w:val="00774231"/>
    <w:rsid w:val="00783B51"/>
    <w:rsid w:val="00786E90"/>
    <w:rsid w:val="00792893"/>
    <w:rsid w:val="00796F1B"/>
    <w:rsid w:val="007A56FD"/>
    <w:rsid w:val="007B264D"/>
    <w:rsid w:val="007B585A"/>
    <w:rsid w:val="007B5B60"/>
    <w:rsid w:val="007B5E48"/>
    <w:rsid w:val="007C066E"/>
    <w:rsid w:val="007C2E83"/>
    <w:rsid w:val="007C41A1"/>
    <w:rsid w:val="007C664C"/>
    <w:rsid w:val="007C7789"/>
    <w:rsid w:val="007D5C09"/>
    <w:rsid w:val="007E60D4"/>
    <w:rsid w:val="007E7E31"/>
    <w:rsid w:val="007F278A"/>
    <w:rsid w:val="007F2B08"/>
    <w:rsid w:val="007F326F"/>
    <w:rsid w:val="007F4529"/>
    <w:rsid w:val="007F48CC"/>
    <w:rsid w:val="007F4CA8"/>
    <w:rsid w:val="00811396"/>
    <w:rsid w:val="008118BE"/>
    <w:rsid w:val="0081278E"/>
    <w:rsid w:val="008159F5"/>
    <w:rsid w:val="008212A6"/>
    <w:rsid w:val="008219B3"/>
    <w:rsid w:val="008265AA"/>
    <w:rsid w:val="00832315"/>
    <w:rsid w:val="00832366"/>
    <w:rsid w:val="00833E13"/>
    <w:rsid w:val="008377E4"/>
    <w:rsid w:val="00842DE0"/>
    <w:rsid w:val="00843369"/>
    <w:rsid w:val="008527B7"/>
    <w:rsid w:val="008549C4"/>
    <w:rsid w:val="00856690"/>
    <w:rsid w:val="00857398"/>
    <w:rsid w:val="00857399"/>
    <w:rsid w:val="0086120A"/>
    <w:rsid w:val="0086356D"/>
    <w:rsid w:val="00863D25"/>
    <w:rsid w:val="00865675"/>
    <w:rsid w:val="00866F57"/>
    <w:rsid w:val="00870953"/>
    <w:rsid w:val="00871543"/>
    <w:rsid w:val="008803C5"/>
    <w:rsid w:val="0088695D"/>
    <w:rsid w:val="008952E6"/>
    <w:rsid w:val="008A14D6"/>
    <w:rsid w:val="008A2159"/>
    <w:rsid w:val="008A3637"/>
    <w:rsid w:val="008A7D27"/>
    <w:rsid w:val="008B1F8E"/>
    <w:rsid w:val="008B2C20"/>
    <w:rsid w:val="008C0AA3"/>
    <w:rsid w:val="008C2FEC"/>
    <w:rsid w:val="008C3121"/>
    <w:rsid w:val="008C3BC1"/>
    <w:rsid w:val="008C4D55"/>
    <w:rsid w:val="008C7F58"/>
    <w:rsid w:val="008D0D3A"/>
    <w:rsid w:val="008D39F7"/>
    <w:rsid w:val="008D410B"/>
    <w:rsid w:val="008E032F"/>
    <w:rsid w:val="008E0B58"/>
    <w:rsid w:val="008E5187"/>
    <w:rsid w:val="008F386F"/>
    <w:rsid w:val="008F7C58"/>
    <w:rsid w:val="00900DFC"/>
    <w:rsid w:val="00902654"/>
    <w:rsid w:val="00902697"/>
    <w:rsid w:val="00904741"/>
    <w:rsid w:val="009078C0"/>
    <w:rsid w:val="00915A63"/>
    <w:rsid w:val="00915AFF"/>
    <w:rsid w:val="00916325"/>
    <w:rsid w:val="0091714F"/>
    <w:rsid w:val="00921436"/>
    <w:rsid w:val="00922B96"/>
    <w:rsid w:val="009358C2"/>
    <w:rsid w:val="00935C16"/>
    <w:rsid w:val="0093685A"/>
    <w:rsid w:val="00942C67"/>
    <w:rsid w:val="00947086"/>
    <w:rsid w:val="00947A5E"/>
    <w:rsid w:val="00951637"/>
    <w:rsid w:val="0095242F"/>
    <w:rsid w:val="009550C7"/>
    <w:rsid w:val="0095532A"/>
    <w:rsid w:val="0096258E"/>
    <w:rsid w:val="009625CA"/>
    <w:rsid w:val="00963EE8"/>
    <w:rsid w:val="00966126"/>
    <w:rsid w:val="00990E6D"/>
    <w:rsid w:val="00993CA1"/>
    <w:rsid w:val="00995A9C"/>
    <w:rsid w:val="009A12CA"/>
    <w:rsid w:val="009A23E7"/>
    <w:rsid w:val="009B132C"/>
    <w:rsid w:val="009B6E1D"/>
    <w:rsid w:val="009B78E3"/>
    <w:rsid w:val="009C1EBC"/>
    <w:rsid w:val="009C2EA3"/>
    <w:rsid w:val="009C3D70"/>
    <w:rsid w:val="009D77AE"/>
    <w:rsid w:val="009E1D14"/>
    <w:rsid w:val="009E5303"/>
    <w:rsid w:val="009E6B1E"/>
    <w:rsid w:val="009E6CC9"/>
    <w:rsid w:val="009F268E"/>
    <w:rsid w:val="009F76FC"/>
    <w:rsid w:val="00A027DE"/>
    <w:rsid w:val="00A05014"/>
    <w:rsid w:val="00A06525"/>
    <w:rsid w:val="00A172BD"/>
    <w:rsid w:val="00A20608"/>
    <w:rsid w:val="00A3047E"/>
    <w:rsid w:val="00A31C64"/>
    <w:rsid w:val="00A3383B"/>
    <w:rsid w:val="00A42776"/>
    <w:rsid w:val="00A43749"/>
    <w:rsid w:val="00A461E2"/>
    <w:rsid w:val="00A47DA8"/>
    <w:rsid w:val="00A57007"/>
    <w:rsid w:val="00A5797B"/>
    <w:rsid w:val="00A64B18"/>
    <w:rsid w:val="00A65B75"/>
    <w:rsid w:val="00A72C66"/>
    <w:rsid w:val="00A776AD"/>
    <w:rsid w:val="00A81946"/>
    <w:rsid w:val="00A84E40"/>
    <w:rsid w:val="00A85070"/>
    <w:rsid w:val="00A90FBA"/>
    <w:rsid w:val="00A91FD0"/>
    <w:rsid w:val="00A91FF6"/>
    <w:rsid w:val="00A936BA"/>
    <w:rsid w:val="00A9372B"/>
    <w:rsid w:val="00A956B0"/>
    <w:rsid w:val="00A95D3A"/>
    <w:rsid w:val="00AA251B"/>
    <w:rsid w:val="00AA2803"/>
    <w:rsid w:val="00AA3AC7"/>
    <w:rsid w:val="00AB0B54"/>
    <w:rsid w:val="00AB4575"/>
    <w:rsid w:val="00AB76FC"/>
    <w:rsid w:val="00AC05EE"/>
    <w:rsid w:val="00AD2F41"/>
    <w:rsid w:val="00AE0CE8"/>
    <w:rsid w:val="00AE19D5"/>
    <w:rsid w:val="00AE30E1"/>
    <w:rsid w:val="00AE57C4"/>
    <w:rsid w:val="00AE7304"/>
    <w:rsid w:val="00AF3658"/>
    <w:rsid w:val="00AF581C"/>
    <w:rsid w:val="00B00199"/>
    <w:rsid w:val="00B04840"/>
    <w:rsid w:val="00B06506"/>
    <w:rsid w:val="00B1099F"/>
    <w:rsid w:val="00B10AAB"/>
    <w:rsid w:val="00B1483A"/>
    <w:rsid w:val="00B14BA2"/>
    <w:rsid w:val="00B2003B"/>
    <w:rsid w:val="00B21603"/>
    <w:rsid w:val="00B219FD"/>
    <w:rsid w:val="00B2752D"/>
    <w:rsid w:val="00B279A2"/>
    <w:rsid w:val="00B30A1A"/>
    <w:rsid w:val="00B335DF"/>
    <w:rsid w:val="00B343EB"/>
    <w:rsid w:val="00B344C4"/>
    <w:rsid w:val="00B35A47"/>
    <w:rsid w:val="00B4533C"/>
    <w:rsid w:val="00B53407"/>
    <w:rsid w:val="00B564AB"/>
    <w:rsid w:val="00B57E41"/>
    <w:rsid w:val="00B6182E"/>
    <w:rsid w:val="00B618C2"/>
    <w:rsid w:val="00B62982"/>
    <w:rsid w:val="00B64E99"/>
    <w:rsid w:val="00B6546F"/>
    <w:rsid w:val="00B73B55"/>
    <w:rsid w:val="00B74207"/>
    <w:rsid w:val="00B742AC"/>
    <w:rsid w:val="00B81D57"/>
    <w:rsid w:val="00B82D8C"/>
    <w:rsid w:val="00B82DA4"/>
    <w:rsid w:val="00B860D0"/>
    <w:rsid w:val="00B90004"/>
    <w:rsid w:val="00B91085"/>
    <w:rsid w:val="00B94D4A"/>
    <w:rsid w:val="00BA0900"/>
    <w:rsid w:val="00BA3FEB"/>
    <w:rsid w:val="00BB4FAB"/>
    <w:rsid w:val="00BB59A1"/>
    <w:rsid w:val="00BB5D47"/>
    <w:rsid w:val="00BB6235"/>
    <w:rsid w:val="00BB64B4"/>
    <w:rsid w:val="00BC29E4"/>
    <w:rsid w:val="00BC32A2"/>
    <w:rsid w:val="00BC3616"/>
    <w:rsid w:val="00BC4485"/>
    <w:rsid w:val="00BC7F2A"/>
    <w:rsid w:val="00BD312E"/>
    <w:rsid w:val="00BD545C"/>
    <w:rsid w:val="00BE6054"/>
    <w:rsid w:val="00BF07A1"/>
    <w:rsid w:val="00BF2A42"/>
    <w:rsid w:val="00BF7648"/>
    <w:rsid w:val="00C0427D"/>
    <w:rsid w:val="00C05E95"/>
    <w:rsid w:val="00C10AEF"/>
    <w:rsid w:val="00C11899"/>
    <w:rsid w:val="00C13FA2"/>
    <w:rsid w:val="00C1443E"/>
    <w:rsid w:val="00C1728D"/>
    <w:rsid w:val="00C25241"/>
    <w:rsid w:val="00C26EB9"/>
    <w:rsid w:val="00C27888"/>
    <w:rsid w:val="00C30C78"/>
    <w:rsid w:val="00C3402E"/>
    <w:rsid w:val="00C45813"/>
    <w:rsid w:val="00C4607C"/>
    <w:rsid w:val="00C466C1"/>
    <w:rsid w:val="00C46E3E"/>
    <w:rsid w:val="00C474D5"/>
    <w:rsid w:val="00C53620"/>
    <w:rsid w:val="00C54965"/>
    <w:rsid w:val="00C60237"/>
    <w:rsid w:val="00C6246E"/>
    <w:rsid w:val="00C665B2"/>
    <w:rsid w:val="00C66789"/>
    <w:rsid w:val="00C70353"/>
    <w:rsid w:val="00C70F53"/>
    <w:rsid w:val="00C73A63"/>
    <w:rsid w:val="00C81F9E"/>
    <w:rsid w:val="00C83391"/>
    <w:rsid w:val="00C83FA7"/>
    <w:rsid w:val="00C90A98"/>
    <w:rsid w:val="00C91129"/>
    <w:rsid w:val="00C91D24"/>
    <w:rsid w:val="00C967D9"/>
    <w:rsid w:val="00CA252B"/>
    <w:rsid w:val="00CA2B6E"/>
    <w:rsid w:val="00CA704C"/>
    <w:rsid w:val="00CB165B"/>
    <w:rsid w:val="00CC29F8"/>
    <w:rsid w:val="00CC5D6F"/>
    <w:rsid w:val="00CC6D13"/>
    <w:rsid w:val="00CC7A25"/>
    <w:rsid w:val="00CD2E72"/>
    <w:rsid w:val="00CD5165"/>
    <w:rsid w:val="00CE11A6"/>
    <w:rsid w:val="00CE6C94"/>
    <w:rsid w:val="00CF0892"/>
    <w:rsid w:val="00CF1D18"/>
    <w:rsid w:val="00CF3619"/>
    <w:rsid w:val="00CF3B2E"/>
    <w:rsid w:val="00CF55EC"/>
    <w:rsid w:val="00D02023"/>
    <w:rsid w:val="00D02BE1"/>
    <w:rsid w:val="00D0651B"/>
    <w:rsid w:val="00D13CE1"/>
    <w:rsid w:val="00D13E78"/>
    <w:rsid w:val="00D17B0B"/>
    <w:rsid w:val="00D2227F"/>
    <w:rsid w:val="00D2469D"/>
    <w:rsid w:val="00D3010F"/>
    <w:rsid w:val="00D30585"/>
    <w:rsid w:val="00D347EE"/>
    <w:rsid w:val="00D34F79"/>
    <w:rsid w:val="00D35467"/>
    <w:rsid w:val="00D37FB9"/>
    <w:rsid w:val="00D414AF"/>
    <w:rsid w:val="00D525B2"/>
    <w:rsid w:val="00D537F1"/>
    <w:rsid w:val="00D55136"/>
    <w:rsid w:val="00D62F4C"/>
    <w:rsid w:val="00D65EC5"/>
    <w:rsid w:val="00D678E7"/>
    <w:rsid w:val="00D678F6"/>
    <w:rsid w:val="00D728F0"/>
    <w:rsid w:val="00D72F21"/>
    <w:rsid w:val="00D74494"/>
    <w:rsid w:val="00D777FE"/>
    <w:rsid w:val="00D80178"/>
    <w:rsid w:val="00D80F0D"/>
    <w:rsid w:val="00D827C9"/>
    <w:rsid w:val="00D83916"/>
    <w:rsid w:val="00D84066"/>
    <w:rsid w:val="00D84558"/>
    <w:rsid w:val="00D86C9A"/>
    <w:rsid w:val="00D872D5"/>
    <w:rsid w:val="00D902D0"/>
    <w:rsid w:val="00D943BD"/>
    <w:rsid w:val="00DA067D"/>
    <w:rsid w:val="00DA1411"/>
    <w:rsid w:val="00DA158E"/>
    <w:rsid w:val="00DA1890"/>
    <w:rsid w:val="00DA7D83"/>
    <w:rsid w:val="00DB0EB2"/>
    <w:rsid w:val="00DC0C93"/>
    <w:rsid w:val="00DC0FCA"/>
    <w:rsid w:val="00DC785C"/>
    <w:rsid w:val="00DC7BD0"/>
    <w:rsid w:val="00DD4F96"/>
    <w:rsid w:val="00DE3398"/>
    <w:rsid w:val="00DE5F9D"/>
    <w:rsid w:val="00DE6A99"/>
    <w:rsid w:val="00DE7DA5"/>
    <w:rsid w:val="00DF0AD9"/>
    <w:rsid w:val="00DF14C4"/>
    <w:rsid w:val="00DF2ED2"/>
    <w:rsid w:val="00DF3A7A"/>
    <w:rsid w:val="00E01178"/>
    <w:rsid w:val="00E02DC0"/>
    <w:rsid w:val="00E061DE"/>
    <w:rsid w:val="00E1415E"/>
    <w:rsid w:val="00E159A7"/>
    <w:rsid w:val="00E26609"/>
    <w:rsid w:val="00E26B01"/>
    <w:rsid w:val="00E31E2F"/>
    <w:rsid w:val="00E32A69"/>
    <w:rsid w:val="00E40548"/>
    <w:rsid w:val="00E429F0"/>
    <w:rsid w:val="00E51ACB"/>
    <w:rsid w:val="00E54C87"/>
    <w:rsid w:val="00E61899"/>
    <w:rsid w:val="00E66B23"/>
    <w:rsid w:val="00E67CC8"/>
    <w:rsid w:val="00E7027B"/>
    <w:rsid w:val="00E70684"/>
    <w:rsid w:val="00E744A0"/>
    <w:rsid w:val="00E77684"/>
    <w:rsid w:val="00E77855"/>
    <w:rsid w:val="00E779C0"/>
    <w:rsid w:val="00E85268"/>
    <w:rsid w:val="00E85614"/>
    <w:rsid w:val="00E9501A"/>
    <w:rsid w:val="00E96017"/>
    <w:rsid w:val="00EA0490"/>
    <w:rsid w:val="00EA0914"/>
    <w:rsid w:val="00EA6458"/>
    <w:rsid w:val="00EB06B5"/>
    <w:rsid w:val="00EB1EF3"/>
    <w:rsid w:val="00EC1DB7"/>
    <w:rsid w:val="00EC2DA9"/>
    <w:rsid w:val="00EC49CF"/>
    <w:rsid w:val="00ED2099"/>
    <w:rsid w:val="00ED3C93"/>
    <w:rsid w:val="00EE482B"/>
    <w:rsid w:val="00EE5E6C"/>
    <w:rsid w:val="00EF6BAF"/>
    <w:rsid w:val="00F00A30"/>
    <w:rsid w:val="00F05F0D"/>
    <w:rsid w:val="00F1060A"/>
    <w:rsid w:val="00F123BA"/>
    <w:rsid w:val="00F13D72"/>
    <w:rsid w:val="00F20230"/>
    <w:rsid w:val="00F22EE1"/>
    <w:rsid w:val="00F24EAF"/>
    <w:rsid w:val="00F255CC"/>
    <w:rsid w:val="00F2761C"/>
    <w:rsid w:val="00F27D32"/>
    <w:rsid w:val="00F307D3"/>
    <w:rsid w:val="00F353AD"/>
    <w:rsid w:val="00F35772"/>
    <w:rsid w:val="00F3603F"/>
    <w:rsid w:val="00F365D6"/>
    <w:rsid w:val="00F37D44"/>
    <w:rsid w:val="00F43575"/>
    <w:rsid w:val="00F47D8D"/>
    <w:rsid w:val="00F53698"/>
    <w:rsid w:val="00F53A74"/>
    <w:rsid w:val="00F57C1F"/>
    <w:rsid w:val="00F60A30"/>
    <w:rsid w:val="00F63BC5"/>
    <w:rsid w:val="00F63F07"/>
    <w:rsid w:val="00F65BC1"/>
    <w:rsid w:val="00F66B91"/>
    <w:rsid w:val="00F709F3"/>
    <w:rsid w:val="00F77185"/>
    <w:rsid w:val="00F80F84"/>
    <w:rsid w:val="00FA34EC"/>
    <w:rsid w:val="00FA58C7"/>
    <w:rsid w:val="00FA6485"/>
    <w:rsid w:val="00FA64DB"/>
    <w:rsid w:val="00FC5D49"/>
    <w:rsid w:val="00FD0DE5"/>
    <w:rsid w:val="00FD23E5"/>
    <w:rsid w:val="00FD2980"/>
    <w:rsid w:val="00FD3869"/>
    <w:rsid w:val="00FD3AE8"/>
    <w:rsid w:val="00FD4B16"/>
    <w:rsid w:val="00FE2361"/>
    <w:rsid w:val="00FE3A29"/>
    <w:rsid w:val="00FE481C"/>
    <w:rsid w:val="00FE5C9C"/>
    <w:rsid w:val="00FE7CC6"/>
    <w:rsid w:val="00FF05F6"/>
    <w:rsid w:val="00FF16EB"/>
    <w:rsid w:val="00FF464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6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C6246E"/>
    <w:pPr>
      <w:jc w:val="left"/>
    </w:pPr>
    <w:rPr>
      <w:b/>
      <w:szCs w:val="20"/>
    </w:rPr>
  </w:style>
  <w:style w:type="character" w:customStyle="1" w:styleId="ZkladntextChar">
    <w:name w:val="Základný text Char"/>
    <w:basedOn w:val="DefaultParagraphFont"/>
    <w:link w:val="BodyText"/>
    <w:uiPriority w:val="99"/>
    <w:locked/>
    <w:rsid w:val="0051198B"/>
    <w:rPr>
      <w:rFonts w:cs="Times New Roman"/>
      <w:b/>
      <w:sz w:val="24"/>
      <w:rtl w:val="0"/>
      <w:cs w:val="0"/>
    </w:rPr>
  </w:style>
  <w:style w:type="paragraph" w:styleId="BodyText2">
    <w:name w:val="Body Text 2"/>
    <w:basedOn w:val="Normal"/>
    <w:link w:val="Zkladntext2Char"/>
    <w:uiPriority w:val="99"/>
    <w:rsid w:val="00C6246E"/>
    <w:pPr>
      <w:jc w:val="left"/>
    </w:pPr>
  </w:style>
  <w:style w:type="character" w:customStyle="1" w:styleId="Zkladntext2Char">
    <w:name w:val="Základný text 2 Char"/>
    <w:basedOn w:val="DefaultParagraphFont"/>
    <w:link w:val="BodyText2"/>
    <w:uiPriority w:val="99"/>
    <w:semiHidden/>
    <w:locked/>
    <w:rsid w:val="00774231"/>
    <w:rPr>
      <w:rFonts w:cs="Times New Roman"/>
      <w:sz w:val="24"/>
      <w:rtl w:val="0"/>
      <w:cs w:val="0"/>
    </w:rPr>
  </w:style>
  <w:style w:type="paragraph" w:styleId="Header">
    <w:name w:val="header"/>
    <w:basedOn w:val="Normal"/>
    <w:link w:val="HlavikaChar"/>
    <w:uiPriority w:val="99"/>
    <w:rsid w:val="00C6246E"/>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B53407"/>
    <w:rPr>
      <w:rFonts w:cs="Times New Roman"/>
      <w:sz w:val="24"/>
      <w:rtl w:val="0"/>
      <w:cs w:val="0"/>
    </w:rPr>
  </w:style>
  <w:style w:type="paragraph" w:customStyle="1" w:styleId="Odsekzoznamu1">
    <w:name w:val="Odsek zoznamu1"/>
    <w:basedOn w:val="Normal"/>
    <w:uiPriority w:val="99"/>
    <w:rsid w:val="00BD312E"/>
    <w:pPr>
      <w:spacing w:after="200" w:line="276" w:lineRule="auto"/>
      <w:ind w:left="720"/>
      <w:contextualSpacing/>
      <w:jc w:val="left"/>
    </w:pPr>
    <w:rPr>
      <w:rFonts w:ascii="Calibri" w:hAnsi="Calibri"/>
      <w:sz w:val="22"/>
      <w:szCs w:val="22"/>
      <w:lang w:eastAsia="en-US"/>
    </w:rPr>
  </w:style>
  <w:style w:type="paragraph" w:styleId="NormalWeb">
    <w:name w:val="Normal (Web)"/>
    <w:aliases w:val="webb"/>
    <w:basedOn w:val="Normal"/>
    <w:uiPriority w:val="99"/>
    <w:rsid w:val="004C0750"/>
    <w:pPr>
      <w:spacing w:before="100" w:beforeAutospacing="1" w:after="100" w:afterAutospacing="1"/>
      <w:jc w:val="left"/>
    </w:pPr>
  </w:style>
  <w:style w:type="paragraph" w:customStyle="1" w:styleId="Odsekzoznamu2">
    <w:name w:val="Odsek zoznamu2"/>
    <w:basedOn w:val="Normal"/>
    <w:uiPriority w:val="99"/>
    <w:rsid w:val="004C0750"/>
    <w:pPr>
      <w:ind w:left="708"/>
      <w:jc w:val="left"/>
    </w:pPr>
  </w:style>
  <w:style w:type="paragraph" w:styleId="BalloonText">
    <w:name w:val="Balloon Text"/>
    <w:basedOn w:val="Normal"/>
    <w:link w:val="TextbublinyChar"/>
    <w:uiPriority w:val="99"/>
    <w:rsid w:val="001D72D8"/>
    <w:pPr>
      <w:jc w:val="left"/>
    </w:pPr>
    <w:rPr>
      <w:rFonts w:ascii="Tahoma" w:hAnsi="Tahoma"/>
      <w:sz w:val="16"/>
      <w:szCs w:val="20"/>
    </w:rPr>
  </w:style>
  <w:style w:type="character" w:customStyle="1" w:styleId="TextbublinyChar">
    <w:name w:val="Text bubliny Char"/>
    <w:basedOn w:val="DefaultParagraphFont"/>
    <w:link w:val="BalloonText"/>
    <w:uiPriority w:val="99"/>
    <w:locked/>
    <w:rsid w:val="001D72D8"/>
    <w:rPr>
      <w:rFonts w:ascii="Tahoma" w:hAnsi="Tahoma" w:cs="Times New Roman"/>
      <w:sz w:val="16"/>
      <w:rtl w:val="0"/>
      <w:cs w:val="0"/>
    </w:rPr>
  </w:style>
  <w:style w:type="character" w:styleId="CommentReference">
    <w:name w:val="annotation reference"/>
    <w:basedOn w:val="DefaultParagraphFont"/>
    <w:uiPriority w:val="99"/>
    <w:rsid w:val="00A85070"/>
    <w:rPr>
      <w:rFonts w:cs="Times New Roman"/>
      <w:sz w:val="16"/>
      <w:rtl w:val="0"/>
      <w:cs w:val="0"/>
    </w:rPr>
  </w:style>
  <w:style w:type="paragraph" w:styleId="CommentText">
    <w:name w:val="annotation text"/>
    <w:basedOn w:val="Normal"/>
    <w:link w:val="TextkomentraChar"/>
    <w:uiPriority w:val="99"/>
    <w:rsid w:val="00A85070"/>
    <w:pPr>
      <w:jc w:val="left"/>
    </w:pPr>
    <w:rPr>
      <w:sz w:val="20"/>
      <w:szCs w:val="20"/>
    </w:rPr>
  </w:style>
  <w:style w:type="character" w:customStyle="1" w:styleId="TextkomentraChar">
    <w:name w:val="Text komentára Char"/>
    <w:basedOn w:val="DefaultParagraphFont"/>
    <w:link w:val="CommentText"/>
    <w:uiPriority w:val="99"/>
    <w:locked/>
    <w:rsid w:val="00A85070"/>
    <w:rPr>
      <w:rFonts w:cs="Times New Roman"/>
      <w:rtl w:val="0"/>
      <w:cs w:val="0"/>
    </w:rPr>
  </w:style>
  <w:style w:type="paragraph" w:styleId="CommentSubject">
    <w:name w:val="annotation subject"/>
    <w:basedOn w:val="CommentText"/>
    <w:next w:val="CommentText"/>
    <w:link w:val="PredmetkomentraChar"/>
    <w:uiPriority w:val="99"/>
    <w:rsid w:val="00A85070"/>
    <w:pPr>
      <w:jc w:val="left"/>
    </w:pPr>
    <w:rPr>
      <w:b/>
    </w:rPr>
  </w:style>
  <w:style w:type="character" w:customStyle="1" w:styleId="PredmetkomentraChar">
    <w:name w:val="Predmet komentára Char"/>
    <w:basedOn w:val="TextkomentraChar"/>
    <w:link w:val="CommentSubject"/>
    <w:uiPriority w:val="99"/>
    <w:locked/>
    <w:rsid w:val="00A85070"/>
    <w:rPr>
      <w:b/>
    </w:rPr>
  </w:style>
  <w:style w:type="paragraph" w:styleId="FootnoteText">
    <w:name w:val="footnote text"/>
    <w:basedOn w:val="Normal"/>
    <w:link w:val="TextpoznmkypodiarouChar"/>
    <w:uiPriority w:val="99"/>
    <w:rsid w:val="00162776"/>
    <w:pPr>
      <w:jc w:val="left"/>
    </w:pPr>
    <w:rPr>
      <w:sz w:val="20"/>
      <w:szCs w:val="20"/>
    </w:rPr>
  </w:style>
  <w:style w:type="character" w:customStyle="1" w:styleId="TextpoznmkypodiarouChar">
    <w:name w:val="Text poznámky pod čiarou Char"/>
    <w:basedOn w:val="DefaultParagraphFont"/>
    <w:link w:val="FootnoteText"/>
    <w:uiPriority w:val="99"/>
    <w:locked/>
    <w:rsid w:val="00162776"/>
    <w:rPr>
      <w:rFonts w:cs="Times New Roman"/>
      <w:rtl w:val="0"/>
      <w:cs w:val="0"/>
    </w:rPr>
  </w:style>
  <w:style w:type="character" w:styleId="FootnoteReference">
    <w:name w:val="footnote reference"/>
    <w:basedOn w:val="DefaultParagraphFont"/>
    <w:uiPriority w:val="99"/>
    <w:rsid w:val="00162776"/>
    <w:rPr>
      <w:rFonts w:cs="Times New Roman"/>
      <w:vertAlign w:val="superscript"/>
      <w:rtl w:val="0"/>
      <w:cs w:val="0"/>
    </w:rPr>
  </w:style>
  <w:style w:type="paragraph" w:styleId="Footer">
    <w:name w:val="footer"/>
    <w:basedOn w:val="Normal"/>
    <w:link w:val="PtaChar"/>
    <w:uiPriority w:val="99"/>
    <w:rsid w:val="00B53407"/>
    <w:pPr>
      <w:tabs>
        <w:tab w:val="center" w:pos="4536"/>
        <w:tab w:val="right" w:pos="9072"/>
      </w:tabs>
      <w:jc w:val="left"/>
    </w:pPr>
    <w:rPr>
      <w:szCs w:val="20"/>
    </w:rPr>
  </w:style>
  <w:style w:type="character" w:customStyle="1" w:styleId="PtaChar">
    <w:name w:val="Päta Char"/>
    <w:basedOn w:val="DefaultParagraphFont"/>
    <w:link w:val="Footer"/>
    <w:uiPriority w:val="99"/>
    <w:locked/>
    <w:rsid w:val="00B53407"/>
    <w:rPr>
      <w:rFonts w:cs="Times New Roman"/>
      <w:sz w:val="24"/>
      <w:rtl w:val="0"/>
      <w:cs w:val="0"/>
    </w:rPr>
  </w:style>
  <w:style w:type="character" w:styleId="PageNumber">
    <w:name w:val="page number"/>
    <w:basedOn w:val="DefaultParagraphFont"/>
    <w:uiPriority w:val="99"/>
    <w:rsid w:val="00B53407"/>
    <w:rPr>
      <w:rFonts w:cs="Times New Roman"/>
      <w:rtl w:val="0"/>
      <w:cs w:val="0"/>
    </w:rPr>
  </w:style>
  <w:style w:type="paragraph" w:styleId="Title">
    <w:name w:val="Title"/>
    <w:basedOn w:val="Normal"/>
    <w:link w:val="NzovChar"/>
    <w:uiPriority w:val="99"/>
    <w:qFormat/>
    <w:rsid w:val="00B53407"/>
    <w:pPr>
      <w:jc w:val="center"/>
    </w:pPr>
    <w:rPr>
      <w:sz w:val="28"/>
      <w:szCs w:val="20"/>
    </w:rPr>
  </w:style>
  <w:style w:type="character" w:customStyle="1" w:styleId="NzovChar">
    <w:name w:val="Názov Char"/>
    <w:basedOn w:val="DefaultParagraphFont"/>
    <w:link w:val="Title"/>
    <w:uiPriority w:val="99"/>
    <w:locked/>
    <w:rsid w:val="00B53407"/>
    <w:rPr>
      <w:rFonts w:cs="Times New Roman"/>
      <w:sz w:val="28"/>
      <w:rtl w:val="0"/>
      <w:cs w:val="0"/>
    </w:rPr>
  </w:style>
  <w:style w:type="paragraph" w:styleId="ListParagraph">
    <w:name w:val="List Paragraph"/>
    <w:basedOn w:val="Normal"/>
    <w:uiPriority w:val="99"/>
    <w:qFormat/>
    <w:rsid w:val="00065E93"/>
    <w:pPr>
      <w:ind w:left="720"/>
      <w:jc w:val="left"/>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19</Pages>
  <Words>7537</Words>
  <Characters>40691</Characters>
  <Application>Microsoft Office Word</Application>
  <DocSecurity>0</DocSecurity>
  <Lines>0</Lines>
  <Paragraphs>0</Paragraphs>
  <ScaleCrop>false</ScaleCrop>
  <Company>mhsr</Company>
  <LinksUpToDate>false</LinksUpToDate>
  <CharactersWithSpaces>48132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jureckovak</dc:creator>
  <cp:lastModifiedBy>cebulakova</cp:lastModifiedBy>
  <cp:revision>2</cp:revision>
  <cp:lastPrinted>2011-06-09T13:27:00Z</cp:lastPrinted>
  <dcterms:created xsi:type="dcterms:W3CDTF">2012-07-06T15:31:00Z</dcterms:created>
  <dcterms:modified xsi:type="dcterms:W3CDTF">2012-07-06T15:31:00Z</dcterms:modified>
</cp:coreProperties>
</file>