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137CD" w:rsidRPr="006D5D14" w:rsidP="00E137CD">
      <w:pPr>
        <w:pStyle w:val="BodyTextIndent"/>
        <w:bidi w:val="0"/>
        <w:jc w:val="center"/>
        <w:rPr>
          <w:rFonts w:ascii="Times New Roman" w:hAnsi="Times New Roman"/>
          <w:b/>
          <w:szCs w:val="24"/>
        </w:rPr>
      </w:pPr>
      <w:r w:rsidRPr="006D5D14">
        <w:rPr>
          <w:rFonts w:ascii="Times New Roman" w:hAnsi="Times New Roman"/>
          <w:b/>
          <w:szCs w:val="24"/>
        </w:rPr>
        <w:t>Dôvodová správa</w:t>
      </w:r>
    </w:p>
    <w:p w:rsidR="00E137CD" w:rsidRPr="006D5D14" w:rsidP="00E137CD">
      <w:pPr>
        <w:pStyle w:val="BodyTextIndent"/>
        <w:bidi w:val="0"/>
        <w:rPr>
          <w:rFonts w:ascii="Times New Roman" w:hAnsi="Times New Roman"/>
          <w:b/>
          <w:szCs w:val="24"/>
        </w:rPr>
      </w:pPr>
    </w:p>
    <w:p w:rsidR="00E137CD" w:rsidRPr="006D5D14" w:rsidP="00E137CD">
      <w:pPr>
        <w:pStyle w:val="BodyTextIndent"/>
        <w:bidi w:val="0"/>
        <w:rPr>
          <w:rFonts w:ascii="Times New Roman" w:hAnsi="Times New Roman"/>
          <w:b/>
          <w:szCs w:val="24"/>
        </w:rPr>
      </w:pPr>
    </w:p>
    <w:p w:rsidR="00E137CD" w:rsidRPr="006D5D14" w:rsidP="00E137CD">
      <w:pPr>
        <w:pStyle w:val="BodyTextIndent"/>
        <w:numPr>
          <w:numId w:val="6"/>
        </w:numPr>
        <w:bidi w:val="0"/>
        <w:ind w:left="284" w:hanging="284"/>
        <w:rPr>
          <w:rFonts w:ascii="Times New Roman" w:hAnsi="Times New Roman"/>
          <w:b/>
          <w:szCs w:val="24"/>
        </w:rPr>
      </w:pPr>
      <w:r w:rsidRPr="006D5D14">
        <w:rPr>
          <w:rFonts w:ascii="Times New Roman" w:hAnsi="Times New Roman"/>
          <w:b/>
          <w:szCs w:val="24"/>
        </w:rPr>
        <w:t>Všeobecná časť</w:t>
      </w:r>
    </w:p>
    <w:p w:rsidR="00E137CD" w:rsidRPr="006D5D14" w:rsidP="00E137CD">
      <w:pPr>
        <w:pStyle w:val="Textbodu"/>
        <w:numPr>
          <w:ilvl w:val="0"/>
          <w:numId w:val="0"/>
        </w:numPr>
        <w:tabs>
          <w:tab w:val="clear" w:pos="850"/>
        </w:tabs>
        <w:bidi w:val="0"/>
        <w:spacing w:line="240" w:lineRule="auto"/>
        <w:ind w:right="-142" w:firstLine="0"/>
        <w:rPr>
          <w:rFonts w:ascii="Times New Roman" w:hAnsi="Times New Roman"/>
        </w:rPr>
      </w:pPr>
    </w:p>
    <w:p w:rsidR="00E137CD" w:rsidRPr="006D5D14" w:rsidP="00E137CD">
      <w:pPr>
        <w:pStyle w:val="Textbodu"/>
        <w:numPr>
          <w:ilvl w:val="0"/>
          <w:numId w:val="0"/>
        </w:numPr>
        <w:tabs>
          <w:tab w:val="clear" w:pos="850"/>
        </w:tabs>
        <w:bidi w:val="0"/>
        <w:spacing w:line="360" w:lineRule="auto"/>
        <w:ind w:right="-142" w:firstLine="708"/>
        <w:rPr>
          <w:rFonts w:ascii="Times New Roman" w:hAnsi="Times New Roman"/>
          <w:noProof/>
          <w:lang w:eastAsia="sk-SK"/>
        </w:rPr>
      </w:pPr>
      <w:r w:rsidRPr="006D5D14">
        <w:rPr>
          <w:rFonts w:ascii="Times New Roman" w:hAnsi="Times New Roman"/>
        </w:rPr>
        <w:t xml:space="preserve">Návrh novely zákona je koncipovaný v súlade so stavom a vývojom informačných a komunikačných technológií, reflektuje na výsledky analýzy uplatňovania doterajšieho zákona v praxi z vecného i procesného hľadiska a z potreby zakomponovať do návrhu zákona ustanovenia o osvedčovaní informačných systémov verejnej správy </w:t>
      </w:r>
      <w:r w:rsidRPr="006D5D14">
        <w:rPr>
          <w:rFonts w:ascii="Times New Roman" w:hAnsi="Times New Roman"/>
          <w:bCs/>
          <w:lang w:eastAsia="sk-SK"/>
        </w:rPr>
        <w:t>v Slovenskej republike</w:t>
      </w:r>
      <w:r w:rsidRPr="006D5D14">
        <w:rPr>
          <w:rFonts w:ascii="Times New Roman" w:hAnsi="Times New Roman"/>
        </w:rPr>
        <w:t xml:space="preserve"> v súlade s požiadavkami </w:t>
      </w:r>
      <w:r w:rsidRPr="006D5D14">
        <w:rPr>
          <w:rFonts w:ascii="Times New Roman" w:hAnsi="Times New Roman"/>
          <w:bCs/>
          <w:lang w:eastAsia="sk-SK"/>
        </w:rPr>
        <w:t xml:space="preserve">nariadenia Európskeho parlamentu a Rady (EÚ) </w:t>
      </w:r>
      <w:r w:rsidRPr="006D5D14">
        <w:rPr>
          <w:rFonts w:ascii="Times New Roman" w:eastAsia="EUAlbertina-Bold-Identity-H" w:hAnsi="Times New Roman" w:hint="default"/>
          <w:bCs/>
          <w:lang w:eastAsia="sk-SK"/>
        </w:rPr>
        <w:t>č</w:t>
      </w:r>
      <w:r w:rsidRPr="006D5D14">
        <w:rPr>
          <w:rFonts w:ascii="Times New Roman" w:hAnsi="Times New Roman"/>
          <w:bCs/>
          <w:lang w:eastAsia="sk-SK"/>
        </w:rPr>
        <w:t xml:space="preserve">. 211/2011 zo 16. februára 2011 </w:t>
      </w:r>
      <w:r w:rsidRPr="006D5D14">
        <w:rPr>
          <w:rFonts w:ascii="Times New Roman" w:eastAsia="EUAlbertina-Bold-Identity-H" w:hAnsi="Times New Roman"/>
          <w:bCs/>
          <w:lang w:eastAsia="sk-SK"/>
        </w:rPr>
        <w:t xml:space="preserve"> </w:t>
      </w:r>
      <w:r w:rsidRPr="006D5D14">
        <w:rPr>
          <w:rFonts w:ascii="Times New Roman" w:hAnsi="Times New Roman"/>
          <w:bCs/>
          <w:lang w:eastAsia="sk-SK"/>
        </w:rPr>
        <w:t>o iniciatíve ob</w:t>
      </w:r>
      <w:r w:rsidRPr="006D5D14">
        <w:rPr>
          <w:rFonts w:ascii="Times New Roman" w:eastAsia="EUAlbertina-Bold-Identity-H" w:hAnsi="Times New Roman" w:hint="default"/>
          <w:bCs/>
          <w:lang w:eastAsia="sk-SK"/>
        </w:rPr>
        <w:t>č</w:t>
      </w:r>
      <w:r w:rsidRPr="006D5D14">
        <w:rPr>
          <w:rFonts w:ascii="Times New Roman" w:hAnsi="Times New Roman"/>
          <w:bCs/>
          <w:lang w:eastAsia="sk-SK"/>
        </w:rPr>
        <w:t>anov. Predkladaným návrhom zákona sa novelizuje aj z</w:t>
      </w:r>
      <w:r w:rsidRPr="006D5D14">
        <w:rPr>
          <w:rFonts w:ascii="Times New Roman" w:hAnsi="Times New Roman"/>
          <w:noProof/>
          <w:lang w:eastAsia="sk-SK"/>
        </w:rPr>
        <w:t xml:space="preserve">ákon č. 215/2002 Z. z. o elektronickom podpise a o zmene a doplnení niektorých zákonov v znení neskorších predpisov, pretože obe úpravy spolu úzko súvisia najmä ohľadne adries elektronických podateľní povinných osôb. Uvedená problematika je upravená v  novelách obidvoch zákonov a doplnenie článku II. do návrhu predkladaného zákona je výsledkom rozporového konania s Ministerstvom vnútra SR. </w:t>
      </w:r>
    </w:p>
    <w:p w:rsidR="00E137CD" w:rsidRPr="006D5D14" w:rsidP="00E137CD">
      <w:pPr>
        <w:pStyle w:val="Textbodu"/>
        <w:numPr>
          <w:ilvl w:val="0"/>
          <w:numId w:val="0"/>
        </w:numPr>
        <w:tabs>
          <w:tab w:val="clear" w:pos="850"/>
        </w:tabs>
        <w:bidi w:val="0"/>
        <w:spacing w:line="240" w:lineRule="auto"/>
        <w:ind w:right="-142" w:firstLine="0"/>
        <w:rPr>
          <w:rFonts w:ascii="Times New Roman" w:hAnsi="Times New Roman"/>
          <w:color w:val="E36C0A"/>
        </w:rPr>
      </w:pPr>
    </w:p>
    <w:p w:rsidR="00E137CD" w:rsidRPr="006D5D14" w:rsidP="00E137CD">
      <w:pPr>
        <w:pStyle w:val="Textbodu"/>
        <w:numPr>
          <w:ilvl w:val="0"/>
          <w:numId w:val="0"/>
        </w:numPr>
        <w:tabs>
          <w:tab w:val="clear" w:pos="850"/>
        </w:tabs>
        <w:bidi w:val="0"/>
        <w:spacing w:line="240" w:lineRule="auto"/>
        <w:ind w:right="-142" w:firstLine="0"/>
        <w:rPr>
          <w:rFonts w:ascii="Times New Roman" w:hAnsi="Times New Roman"/>
          <w:noProof/>
          <w:color w:val="E36C0A"/>
          <w:lang w:eastAsia="sk-SK"/>
        </w:rPr>
      </w:pPr>
    </w:p>
    <w:p w:rsidR="00E137CD" w:rsidRPr="006D5D14" w:rsidP="00E137CD">
      <w:pPr>
        <w:bidi w:val="0"/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6D5D14">
        <w:rPr>
          <w:rFonts w:ascii="Times New Roman" w:hAnsi="Times New Roman"/>
          <w:szCs w:val="24"/>
        </w:rPr>
        <w:t>Predložený návrh zákona je v súlade s Ústavou Slovenskej republiky, zákonmi Slovenskej republiky, s medzinárodnými zmluvami a inými dokumentmi, ktorými je Slovenská republika viazaná. Problematika návrhu zákona je upravená v práve Európskej únie.</w:t>
      </w:r>
    </w:p>
    <w:p w:rsidR="00E137CD" w:rsidRPr="006D5D14" w:rsidP="00E137CD">
      <w:pPr>
        <w:bidi w:val="0"/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6D5D14">
        <w:rPr>
          <w:rFonts w:ascii="Times New Roman" w:hAnsi="Times New Roman"/>
          <w:szCs w:val="24"/>
        </w:rPr>
        <w:t>Návrh zákona v rozpočtovom roku 2012 nezakladá zvýšené nároky na štátny rozpočet, na rozpočty obcí a vyšších územných celkov, nemá vplyv na hospodárenie podnikateľskej sféry a iných právnických osôb, má pozitívny vplyv na informatizáciu spoločnosti, nemá žiadne sociálne vplyvy a  nemá negatívny vplyv na životné prostredie.</w:t>
      </w:r>
    </w:p>
    <w:p w:rsidR="00E137CD" w:rsidRPr="006D5D14" w:rsidP="00E137CD">
      <w:pPr>
        <w:pStyle w:val="Odsektex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bidi w:val="0"/>
        <w:ind w:right="-108"/>
        <w:jc w:val="center"/>
        <w:rPr>
          <w:rFonts w:ascii="Times New Roman" w:hAnsi="Times New Roman"/>
          <w:b/>
          <w:bCs/>
          <w:szCs w:val="24"/>
          <w:lang w:eastAsia="sk-SK"/>
        </w:rPr>
      </w:pPr>
      <w:r>
        <w:rPr>
          <w:rFonts w:ascii="Times New Roman" w:hAnsi="Times New Roman"/>
          <w:b/>
          <w:bCs/>
          <w:szCs w:val="24"/>
          <w:lang w:eastAsia="sk-SK"/>
        </w:rPr>
        <w:t>D</w:t>
      </w:r>
      <w:r w:rsidRPr="006D5D14">
        <w:rPr>
          <w:rFonts w:ascii="Times New Roman" w:hAnsi="Times New Roman"/>
          <w:b/>
          <w:bCs/>
          <w:szCs w:val="24"/>
          <w:lang w:eastAsia="sk-SK"/>
        </w:rPr>
        <w:t>oložka vybraných vplyvov</w:t>
      </w:r>
    </w:p>
    <w:p w:rsidR="00E137CD" w:rsidRPr="006D5D14" w:rsidP="00E137CD">
      <w:pPr>
        <w:bidi w:val="0"/>
        <w:ind w:right="-108"/>
        <w:jc w:val="center"/>
        <w:rPr>
          <w:rFonts w:ascii="Times New Roman" w:hAnsi="Times New Roman"/>
          <w:b/>
          <w:bCs/>
          <w:szCs w:val="24"/>
          <w:lang w:eastAsia="sk-SK"/>
        </w:rPr>
      </w:pPr>
    </w:p>
    <w:p w:rsidR="00E137CD" w:rsidRPr="006D5D14" w:rsidP="00E137CD">
      <w:pPr>
        <w:bidi w:val="0"/>
        <w:rPr>
          <w:rFonts w:ascii="Times New Roman" w:hAnsi="Times New Roman"/>
          <w:b/>
          <w:bCs/>
          <w:szCs w:val="24"/>
          <w:lang w:eastAsia="sk-SK"/>
        </w:rPr>
      </w:pPr>
    </w:p>
    <w:p w:rsidR="00E137CD" w:rsidRPr="006D5D14" w:rsidP="00E137CD">
      <w:pPr>
        <w:bidi w:val="0"/>
        <w:rPr>
          <w:rFonts w:ascii="Times New Roman" w:hAnsi="Times New Roman"/>
          <w:b/>
          <w:bCs/>
          <w:szCs w:val="24"/>
          <w:lang w:eastAsia="sk-SK"/>
        </w:rPr>
      </w:pPr>
    </w:p>
    <w:p w:rsidR="00E137CD" w:rsidRPr="006D5D14" w:rsidP="00E137CD">
      <w:pPr>
        <w:bidi w:val="0"/>
        <w:rPr>
          <w:rFonts w:ascii="Times New Roman" w:hAnsi="Times New Roman"/>
          <w:b/>
          <w:bCs/>
          <w:szCs w:val="24"/>
          <w:lang w:eastAsia="sk-SK"/>
        </w:rPr>
      </w:pPr>
      <w:r w:rsidRPr="006D5D14">
        <w:rPr>
          <w:rFonts w:ascii="Times New Roman" w:hAnsi="Times New Roman"/>
          <w:b/>
          <w:bCs/>
          <w:szCs w:val="24"/>
          <w:lang w:eastAsia="sk-SK"/>
        </w:rPr>
        <w:t>A.1. Názov materiálu:</w:t>
      </w:r>
    </w:p>
    <w:p w:rsidR="00E137CD" w:rsidRPr="006D5D14" w:rsidP="00E137CD">
      <w:pPr>
        <w:bidi w:val="0"/>
        <w:rPr>
          <w:rFonts w:ascii="Times New Roman" w:hAnsi="Times New Roman"/>
          <w:b/>
          <w:szCs w:val="24"/>
          <w:lang w:eastAsia="sk-SK"/>
        </w:rPr>
      </w:pPr>
    </w:p>
    <w:p w:rsidR="00E137CD" w:rsidRPr="00420F44" w:rsidP="00E137CD">
      <w:pPr>
        <w:bidi w:val="0"/>
        <w:spacing w:before="240"/>
        <w:contextualSpacing/>
        <w:jc w:val="both"/>
        <w:rPr>
          <w:rFonts w:ascii="Times New Roman" w:hAnsi="Times New Roman"/>
          <w:szCs w:val="24"/>
        </w:rPr>
      </w:pPr>
      <w:r w:rsidRPr="00420F44">
        <w:rPr>
          <w:rFonts w:ascii="Times New Roman" w:hAnsi="Times New Roman"/>
          <w:szCs w:val="24"/>
          <w:lang w:eastAsia="sk-SK"/>
        </w:rPr>
        <w:t xml:space="preserve">Návrh zákona, ktorým sa mení a dopĺňa </w:t>
      </w:r>
      <w:r w:rsidRPr="00420F44">
        <w:rPr>
          <w:rFonts w:ascii="Times New Roman" w:hAnsi="Times New Roman"/>
          <w:szCs w:val="24"/>
          <w:lang w:eastAsia="sk-SK"/>
        </w:rPr>
        <w:t xml:space="preserve">zákon č. 275/2006 Z. z. o informačných systémoch verejnej správy a o zmene a doplnení niektorých zákonov v znení neskorších predpisov </w:t>
      </w:r>
      <w:r w:rsidRPr="00420F44">
        <w:rPr>
          <w:rFonts w:ascii="Times New Roman" w:hAnsi="Times New Roman"/>
          <w:szCs w:val="24"/>
        </w:rPr>
        <w:t xml:space="preserve">a ktorým sa mení a dopĺňa zákon č. 215/2002 Z. z. o elektronickom podpise a o zmene a doplnení niektorých zákonov v znení neskorších predpisov </w:t>
      </w:r>
    </w:p>
    <w:p w:rsidR="00E137CD" w:rsidRPr="00420F44" w:rsidP="00E137CD">
      <w:pPr>
        <w:bidi w:val="0"/>
        <w:spacing w:after="120" w:line="360" w:lineRule="auto"/>
        <w:ind w:left="60"/>
        <w:jc w:val="both"/>
        <w:rPr>
          <w:rFonts w:ascii="Times New Roman" w:hAnsi="Times New Roman"/>
          <w:szCs w:val="24"/>
          <w:lang w:eastAsia="sk-SK"/>
        </w:rPr>
      </w:pPr>
    </w:p>
    <w:p w:rsidR="00E137CD" w:rsidRPr="006D5D14" w:rsidP="00E137CD">
      <w:pPr>
        <w:bidi w:val="0"/>
        <w:rPr>
          <w:rFonts w:ascii="Times New Roman" w:hAnsi="Times New Roman"/>
          <w:b/>
          <w:bCs/>
          <w:szCs w:val="24"/>
          <w:lang w:eastAsia="sk-SK"/>
        </w:rPr>
      </w:pPr>
    </w:p>
    <w:p w:rsidR="00E137CD" w:rsidRPr="006D5D14" w:rsidP="00E137CD">
      <w:pPr>
        <w:bidi w:val="0"/>
        <w:rPr>
          <w:rFonts w:ascii="Times New Roman" w:hAnsi="Times New Roman"/>
          <w:b/>
          <w:bCs/>
          <w:szCs w:val="24"/>
          <w:lang w:eastAsia="sk-SK"/>
        </w:rPr>
      </w:pPr>
    </w:p>
    <w:p w:rsidR="00E137CD" w:rsidRPr="006D5D14" w:rsidP="00E137CD">
      <w:pPr>
        <w:bidi w:val="0"/>
        <w:rPr>
          <w:rFonts w:ascii="Times New Roman" w:hAnsi="Times New Roman"/>
          <w:b/>
          <w:bCs/>
          <w:szCs w:val="24"/>
          <w:lang w:eastAsia="sk-SK"/>
        </w:rPr>
      </w:pPr>
      <w:r w:rsidRPr="006D5D14">
        <w:rPr>
          <w:rFonts w:ascii="Times New Roman" w:hAnsi="Times New Roman"/>
          <w:b/>
          <w:bCs/>
          <w:szCs w:val="24"/>
          <w:lang w:eastAsia="sk-SK"/>
        </w:rPr>
        <w:t>A.2. Vplyvy:</w:t>
      </w:r>
    </w:p>
    <w:p w:rsidR="00E137CD" w:rsidRPr="006D5D14" w:rsidP="00E137CD">
      <w:pPr>
        <w:bidi w:val="0"/>
        <w:rPr>
          <w:rFonts w:ascii="Times New Roman" w:hAnsi="Times New Roman"/>
          <w:szCs w:val="24"/>
          <w:lang w:eastAsia="sk-SK"/>
        </w:rPr>
      </w:pPr>
    </w:p>
    <w:tbl>
      <w:tblPr>
        <w:tblStyle w:val="TableNormal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627"/>
        <w:gridCol w:w="1701"/>
        <w:gridCol w:w="1985"/>
      </w:tblGrid>
      <w:tr>
        <w:tblPrEx>
          <w:tblW w:w="90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szCs w:val="24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szCs w:val="24"/>
                <w:lang w:eastAsia="sk-SK"/>
              </w:rPr>
              <w:t>Pozitívne</w:t>
            </w:r>
            <w:r w:rsidRPr="006D5D14">
              <w:rPr>
                <w:rFonts w:ascii="Times New Roman" w:hAnsi="Times New Roman"/>
                <w:szCs w:val="24"/>
                <w:vertAlign w:val="superscript"/>
                <w:lang w:eastAsia="sk-SK"/>
              </w:rPr>
              <w:t>*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szCs w:val="24"/>
                <w:lang w:eastAsia="sk-SK"/>
              </w:rPr>
              <w:t>Žiadne</w:t>
            </w:r>
            <w:r w:rsidRPr="006D5D14">
              <w:rPr>
                <w:rFonts w:ascii="Times New Roman" w:hAnsi="Times New Roman"/>
                <w:szCs w:val="24"/>
                <w:vertAlign w:val="superscript"/>
                <w:lang w:eastAsia="sk-SK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szCs w:val="24"/>
                <w:lang w:eastAsia="sk-SK"/>
              </w:rPr>
              <w:t>Negatívne</w:t>
            </w:r>
            <w:r w:rsidRPr="006D5D14">
              <w:rPr>
                <w:rFonts w:ascii="Times New Roman" w:hAnsi="Times New Roman"/>
                <w:szCs w:val="24"/>
                <w:vertAlign w:val="superscript"/>
                <w:lang w:eastAsia="sk-SK"/>
              </w:rPr>
              <w:t>*</w:t>
            </w: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b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Cs/>
                <w:szCs w:val="24"/>
                <w:lang w:eastAsia="sk-SK"/>
              </w:rPr>
              <w:t>1. Vplyvy na rozpočet verejnej správy</w:t>
            </w:r>
          </w:p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i/>
                <w:szCs w:val="24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szCs w:val="24"/>
                <w:lang w:eastAsia="sk-SK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Cs/>
                <w:szCs w:val="24"/>
                <w:lang w:eastAsia="sk-SK"/>
              </w:rPr>
              <w:t>2. Vplyvy na podnikateľské prostredie – dochádza k zvýšeniu regulačného zaťaženia?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szCs w:val="24"/>
                <w:lang w:eastAsia="sk-SK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b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Cs/>
                <w:szCs w:val="24"/>
                <w:lang w:eastAsia="sk-SK"/>
              </w:rPr>
              <w:t xml:space="preserve">3, Sociálne vplyvy </w:t>
            </w:r>
          </w:p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b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Cs/>
                <w:szCs w:val="24"/>
                <w:lang w:eastAsia="sk-SK"/>
              </w:rPr>
              <w:t>– vplyvy  na hospodárenie obyvateľstva,</w:t>
            </w:r>
          </w:p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b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Cs/>
                <w:szCs w:val="24"/>
                <w:lang w:eastAsia="sk-SK"/>
              </w:rPr>
              <w:t>-sociálnu exklúziu,</w:t>
            </w:r>
          </w:p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Cs/>
                <w:szCs w:val="24"/>
                <w:lang w:eastAsia="sk-SK"/>
              </w:rPr>
              <w:t>-  rovnosť príležitostí a rodovú rovnosť a vplyvy na zamestnanosť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szCs w:val="24"/>
                <w:lang w:eastAsia="sk-SK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Cs/>
                <w:szCs w:val="24"/>
                <w:lang w:eastAsia="sk-SK"/>
              </w:rPr>
              <w:t>4. Vplyvy na životné prostredie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szCs w:val="24"/>
                <w:lang w:eastAsia="sk-SK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b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Cs/>
                <w:szCs w:val="24"/>
                <w:lang w:eastAsia="sk-SK"/>
              </w:rPr>
              <w:t>5. Vplyvy na informatizáciu spoločnosti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szCs w:val="24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k-SK"/>
              </w:rPr>
            </w:pPr>
          </w:p>
        </w:tc>
      </w:tr>
    </w:tbl>
    <w:p w:rsidR="00E137CD" w:rsidRPr="006D5D14" w:rsidP="00E137CD">
      <w:pPr>
        <w:bidi w:val="0"/>
        <w:jc w:val="both"/>
        <w:rPr>
          <w:rFonts w:ascii="Times New Roman" w:hAnsi="Times New Roman"/>
          <w:bCs/>
          <w:szCs w:val="24"/>
          <w:lang w:eastAsia="sk-SK"/>
        </w:rPr>
      </w:pPr>
    </w:p>
    <w:p w:rsidR="00E137CD" w:rsidRPr="006D5D14" w:rsidP="00E137CD">
      <w:pPr>
        <w:bidi w:val="0"/>
        <w:jc w:val="both"/>
        <w:rPr>
          <w:rFonts w:ascii="Times New Roman" w:hAnsi="Times New Roman"/>
          <w:bCs/>
          <w:szCs w:val="24"/>
          <w:u w:val="single"/>
          <w:lang w:eastAsia="sk-SK"/>
        </w:rPr>
      </w:pPr>
    </w:p>
    <w:p w:rsidR="00E137CD" w:rsidRPr="006D5D14" w:rsidP="00E137CD">
      <w:pPr>
        <w:bidi w:val="0"/>
        <w:jc w:val="both"/>
        <w:rPr>
          <w:rFonts w:ascii="Times New Roman" w:hAnsi="Times New Roman"/>
          <w:bCs/>
          <w:szCs w:val="24"/>
          <w:u w:val="single"/>
          <w:lang w:eastAsia="sk-SK"/>
        </w:rPr>
      </w:pPr>
    </w:p>
    <w:p w:rsidR="00E137CD" w:rsidRPr="006D5D14" w:rsidP="00E137CD">
      <w:pPr>
        <w:bidi w:val="0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b/>
          <w:bCs/>
          <w:color w:val="000000"/>
          <w:szCs w:val="24"/>
          <w:lang w:eastAsia="sk-SK"/>
        </w:rPr>
        <w:t>A.3. Poznámky</w:t>
      </w:r>
    </w:p>
    <w:p w:rsidR="00E137CD" w:rsidRPr="006D5D14" w:rsidP="00E137CD">
      <w:pPr>
        <w:bidi w:val="0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color w:val="000000"/>
          <w:szCs w:val="24"/>
          <w:lang w:eastAsia="sk-SK"/>
        </w:rPr>
        <w:t> </w:t>
      </w:r>
    </w:p>
    <w:p w:rsidR="00E137CD" w:rsidRPr="006D5D14" w:rsidP="00E137CD">
      <w:pPr>
        <w:bidi w:val="0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i/>
          <w:iCs/>
          <w:color w:val="000000"/>
          <w:szCs w:val="24"/>
          <w:lang w:eastAsia="sk-SK"/>
        </w:rPr>
        <w:t xml:space="preserve">      </w:t>
      </w:r>
    </w:p>
    <w:p w:rsidR="00E137CD" w:rsidRPr="006D5D14" w:rsidP="00E137CD">
      <w:pPr>
        <w:bidi w:val="0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b/>
          <w:bCs/>
          <w:color w:val="000000"/>
          <w:szCs w:val="24"/>
          <w:lang w:eastAsia="sk-SK"/>
        </w:rPr>
        <w:t>A.4. Alternatívne riešenia</w:t>
      </w:r>
    </w:p>
    <w:p w:rsidR="00E137CD" w:rsidRPr="006D5D14" w:rsidP="00E137CD">
      <w:pPr>
        <w:bidi w:val="0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color w:val="000000"/>
          <w:szCs w:val="24"/>
          <w:lang w:eastAsia="sk-SK"/>
        </w:rPr>
        <w:t> </w:t>
      </w:r>
    </w:p>
    <w:p w:rsidR="00E137CD" w:rsidRPr="006D5D14" w:rsidP="00E137CD">
      <w:pPr>
        <w:bidi w:val="0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b/>
          <w:bCs/>
          <w:color w:val="000000"/>
          <w:szCs w:val="24"/>
          <w:lang w:eastAsia="sk-SK"/>
        </w:rPr>
        <w:t> </w:t>
      </w:r>
    </w:p>
    <w:p w:rsidR="00E137CD" w:rsidRPr="006D5D14" w:rsidP="00E137CD">
      <w:pPr>
        <w:bidi w:val="0"/>
        <w:jc w:val="both"/>
        <w:rPr>
          <w:rFonts w:ascii="Times New Roman" w:hAnsi="Times New Roman"/>
          <w:b/>
          <w:bCs/>
          <w:color w:val="000000"/>
          <w:szCs w:val="24"/>
          <w:lang w:eastAsia="sk-SK"/>
        </w:rPr>
      </w:pPr>
      <w:r w:rsidRPr="006D5D14">
        <w:rPr>
          <w:rFonts w:ascii="Times New Roman" w:hAnsi="Times New Roman"/>
          <w:b/>
          <w:bCs/>
          <w:color w:val="000000"/>
          <w:szCs w:val="24"/>
          <w:lang w:eastAsia="sk-SK"/>
        </w:rPr>
        <w:t>A.5. Stanovisko gestorov</w:t>
      </w:r>
    </w:p>
    <w:p w:rsidR="00E137CD" w:rsidRPr="006D5D14" w:rsidP="00E137CD">
      <w:pPr>
        <w:bidi w:val="0"/>
        <w:jc w:val="both"/>
        <w:rPr>
          <w:rFonts w:ascii="Times New Roman" w:hAnsi="Times New Roman"/>
          <w:b/>
          <w:bCs/>
          <w:color w:val="000000"/>
          <w:szCs w:val="24"/>
          <w:lang w:eastAsia="sk-SK"/>
        </w:rPr>
      </w:pPr>
    </w:p>
    <w:p w:rsidR="00E137CD" w:rsidRPr="006D5D14" w:rsidP="00E137CD">
      <w:pPr>
        <w:bidi w:val="0"/>
        <w:jc w:val="both"/>
        <w:rPr>
          <w:rFonts w:ascii="Times New Roman" w:hAnsi="Times New Roman"/>
          <w:b/>
          <w:bCs/>
          <w:color w:val="000000"/>
          <w:szCs w:val="24"/>
          <w:lang w:eastAsia="sk-SK"/>
        </w:rPr>
      </w:pPr>
    </w:p>
    <w:p w:rsidR="00E137CD" w:rsidRPr="006D5D14" w:rsidP="00E137CD">
      <w:pPr>
        <w:bidi w:val="0"/>
        <w:jc w:val="both"/>
        <w:rPr>
          <w:rFonts w:ascii="Times New Roman" w:hAnsi="Times New Roman"/>
          <w:b/>
          <w:bCs/>
          <w:color w:val="000000"/>
          <w:szCs w:val="24"/>
          <w:lang w:eastAsia="sk-SK"/>
        </w:rPr>
      </w:pPr>
    </w:p>
    <w:p w:rsidR="00E137CD" w:rsidRPr="006D5D14" w:rsidP="00E137CD">
      <w:pPr>
        <w:bidi w:val="0"/>
        <w:jc w:val="both"/>
        <w:rPr>
          <w:rFonts w:ascii="Times New Roman" w:hAnsi="Times New Roman"/>
          <w:b/>
          <w:bCs/>
          <w:color w:val="000000"/>
          <w:szCs w:val="24"/>
          <w:lang w:eastAsia="sk-SK"/>
        </w:rPr>
      </w:pPr>
    </w:p>
    <w:p w:rsidR="00E137CD" w:rsidRPr="006D5D14" w:rsidP="00E137CD">
      <w:pPr>
        <w:bidi w:val="0"/>
        <w:jc w:val="both"/>
        <w:rPr>
          <w:rFonts w:ascii="Times New Roman" w:hAnsi="Times New Roman"/>
          <w:b/>
          <w:bCs/>
          <w:color w:val="000000"/>
          <w:szCs w:val="24"/>
          <w:lang w:eastAsia="sk-SK"/>
        </w:rPr>
      </w:pPr>
    </w:p>
    <w:p w:rsidR="00E137CD" w:rsidRPr="006D5D14" w:rsidP="00E137CD">
      <w:pPr>
        <w:bidi w:val="0"/>
        <w:jc w:val="both"/>
        <w:rPr>
          <w:rFonts w:ascii="Times New Roman" w:hAnsi="Times New Roman"/>
          <w:b/>
          <w:bCs/>
          <w:color w:val="000000"/>
          <w:szCs w:val="24"/>
          <w:lang w:eastAsia="sk-SK"/>
        </w:rPr>
      </w:pPr>
    </w:p>
    <w:p w:rsidR="00E137CD" w:rsidRPr="006D5D14" w:rsidP="00E137CD">
      <w:pPr>
        <w:bidi w:val="0"/>
        <w:jc w:val="both"/>
        <w:rPr>
          <w:rFonts w:ascii="Times New Roman" w:hAnsi="Times New Roman"/>
          <w:b/>
          <w:bCs/>
          <w:color w:val="000000"/>
          <w:szCs w:val="24"/>
          <w:lang w:eastAsia="sk-SK"/>
        </w:rPr>
      </w:pPr>
    </w:p>
    <w:p w:rsidR="00E137CD" w:rsidRPr="006D5D14" w:rsidP="00E137CD">
      <w:pPr>
        <w:bidi w:val="0"/>
        <w:jc w:val="center"/>
        <w:rPr>
          <w:rFonts w:ascii="Times New Roman" w:hAnsi="Times New Roman"/>
          <w:b/>
          <w:bCs/>
          <w:szCs w:val="24"/>
          <w:lang w:eastAsia="sk-SK"/>
        </w:rPr>
      </w:pPr>
      <w:r w:rsidRPr="006D5D14">
        <w:rPr>
          <w:rFonts w:ascii="Times New Roman" w:hAnsi="Times New Roman"/>
          <w:b/>
          <w:bCs/>
          <w:szCs w:val="24"/>
          <w:lang w:eastAsia="sk-SK"/>
        </w:rPr>
        <w:t>Vplyvy na informatizáciu spoločnosti</w:t>
      </w:r>
      <w:r w:rsidRPr="006D5D14">
        <w:rPr>
          <w:rFonts w:ascii="Times New Roman" w:hAnsi="Times New Roman"/>
          <w:b/>
          <w:iCs/>
          <w:szCs w:val="24"/>
          <w:highlight w:val="yellow"/>
          <w:lang w:eastAsia="sk-SK"/>
        </w:rPr>
        <w:t xml:space="preserve"> </w:t>
      </w:r>
    </w:p>
    <w:p w:rsidR="00E137CD" w:rsidRPr="006D5D14" w:rsidP="00E137CD">
      <w:pPr>
        <w:tabs>
          <w:tab w:val="num" w:pos="1080"/>
        </w:tabs>
        <w:bidi w:val="0"/>
        <w:jc w:val="both"/>
        <w:rPr>
          <w:rFonts w:ascii="Times New Roman" w:hAnsi="Times New Roman"/>
          <w:bCs/>
          <w:szCs w:val="24"/>
          <w:lang w:eastAsia="sk-SK"/>
        </w:rPr>
      </w:pPr>
    </w:p>
    <w:tbl>
      <w:tblPr>
        <w:tblStyle w:val="TableNormal"/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</w:tblPr>
      <w:tblGrid>
        <w:gridCol w:w="5235"/>
        <w:gridCol w:w="4136"/>
      </w:tblGrid>
      <w:tr>
        <w:tblPrEx>
          <w:tblW w:w="9371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color w:val="FFFFFF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color w:val="FFFFFF"/>
                <w:szCs w:val="24"/>
                <w:lang w:eastAsia="sk-SK"/>
              </w:rPr>
              <w:t>Budovanie základných pilierov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FFFFFF"/>
                <w:szCs w:val="24"/>
                <w:lang w:eastAsia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Obsah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i/>
                <w:iCs/>
                <w:szCs w:val="24"/>
                <w:lang w:eastAsia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6.1.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Rozširujú alebo inovujú  sa existujúce alebo vytvárajú sa či zavádzajú  sa nové elektronické služby?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(Popíšte ich funkciu a úroveň poskytovania.)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 xml:space="preserve">Áno, možnosťou podávania žiadostí o posúdenie elektronického systému zberu elektronicky sa zavádza nová elektronická služba s úrovňou IV (transakčná úroveň). </w:t>
            </w:r>
          </w:p>
          <w:p w:rsidR="00E137CD" w:rsidRPr="006D5D14" w:rsidP="006705D2">
            <w:pPr>
              <w:bidi w:val="0"/>
              <w:spacing w:after="0" w:line="240" w:lineRule="auto"/>
              <w:ind w:firstLine="708"/>
              <w:rPr>
                <w:rFonts w:ascii="Times New Roman" w:hAnsi="Times New Roman"/>
                <w:szCs w:val="24"/>
                <w:lang w:eastAsia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6.2.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Vytvárajú sa podmienky pre sémantickú interoperabilitu?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(Popíšte spôsob jej zabezpečenia.)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 xml:space="preserve">Áno, </w:t>
            </w:r>
            <w:r w:rsidRPr="006D5D14">
              <w:rPr>
                <w:rFonts w:ascii="Times New Roman" w:hAnsi="Times New Roman"/>
                <w:color w:val="000000"/>
                <w:szCs w:val="24"/>
                <w:lang w:eastAsia="sk-SK"/>
              </w:rPr>
              <w:t>predmetom úpravy návrhu zákona sú aj pravidlá prepojiteľnosti ISVS.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color w:val="FFFFFF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Ľudia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b/>
                <w:iCs/>
                <w:szCs w:val="24"/>
                <w:lang w:eastAsia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6.3.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Zabezpečuje sa vzdelávanie v oblasti počítačovej gramotnosti a rozširovanie vedomostí o IKT?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(Uveďte spôsob, napr. projekty, školenia.)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>Áno</w:t>
            </w:r>
          </w:p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6.4.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Zabezpečuje sa rozvoj elektronického vzdelávania?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color w:val="FFFFFF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(Uveďte typ a spôsob zabezpečenia vzdelávacích aktivít.)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>Áno</w:t>
            </w:r>
          </w:p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6.5.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Zabezpečuje sa podporná a propagačná aktivita zameraná na zvyšovanie povedomia o informatizácii a IKT?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color w:val="FFFFFF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(Uveďte typ a spôsob zabezpečenia propagačných aktivít.)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>Áno, hoci zákon je technicko-procesnou normou zameranou na IT architektúru verejnej správy, propagácia je nevyhnutná pre rozšírenie používania e-služieb.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6.6.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Zabezpečuje/zohľadňuje/zlepšuje sa prístup znevýhodnených osôb k službám informačnej spoločnosti?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(Uveďte spôsob sprístupnenia digitálneho prostredia.)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>Nie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Infraštruktúra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Cs w:val="24"/>
                <w:lang w:eastAsia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6.7.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Rozširuje, inovuje, vytvára alebo zavádza sa nový informačný systém?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(Uveďte jeho funkciu.)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 xml:space="preserve">Áno, môžu sa vytvárať nové IS na účely zberu vyhlásení o podpore určitej iniciatívy občanov EÚ, ktoré sa následne osvedčujú. Skúma sa, či IS spĺňajú požiadavky ustanovené vo vykonávacom nariadení </w:t>
            </w:r>
            <w:r w:rsidRPr="006D5D14">
              <w:rPr>
                <w:rFonts w:ascii="Times New Roman" w:hAnsi="Times New Roman"/>
                <w:bCs/>
                <w:szCs w:val="24"/>
              </w:rPr>
              <w:t>Komisie (EÚ) č. 1179/2011 zo 17. novembra 2011.</w:t>
            </w: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 xml:space="preserve"> 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6.8.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Rozširuje sa prístupnosť k internetu?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(Uveďte spôsob rozširovania prístupnosti.)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 xml:space="preserve">Nie 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6.9.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Rozširuje sa prístupnosť k elektronickým službám?</w:t>
            </w:r>
          </w:p>
          <w:p w:rsidR="00E137CD" w:rsidRPr="006D5D14" w:rsidP="006705D2">
            <w:pPr>
              <w:bidi w:val="0"/>
              <w:spacing w:after="0" w:line="20" w:lineRule="atLeast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(Uveďte spôsob rozširovania prístupnosti.)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>Nie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6.10.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Zabezpečuje sa technická interoperabilita?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(Uveďte spôsob jej zabezpečenia.)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>Nie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6.11.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Zvyšuje sa bezpečnosť IT?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szCs w:val="24"/>
                <w:lang w:eastAsia="sk-SK"/>
              </w:rPr>
              <w:t>(</w:t>
            </w: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Uveďte spôsob zvýšenia bezpečnosti a ochrany IT.)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 xml:space="preserve">Áno, prostredníctvom povinností správcov a prevádzkovateľov ISVS. </w:t>
            </w:r>
            <w:r w:rsidRPr="006D5D14">
              <w:rPr>
                <w:rFonts w:ascii="Times New Roman" w:hAnsi="Times New Roman"/>
                <w:color w:val="000000"/>
                <w:szCs w:val="24"/>
                <w:lang w:eastAsia="sk-SK"/>
              </w:rPr>
              <w:t>Bezpečnosť a ochranu digitálneho prostredia je možné zlepšiť na programovej úrovni (softvérovej) alebo technickej (hardvérovej).</w:t>
            </w:r>
          </w:p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>Všetky IS na zber vyhlásení o podpore obč. iniciatívy sa osvedčujú v súlade s nariadením Európskeho parlamentu a Rady (EÚ) č. 211/2011 zo 16. februára 2011  o iniciatíve občanov, v ktorom sú zahrnuté aj bezpečnostné požiadavky kladené na IS.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6.12.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Rozširuje sa technická infraštruktúra?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szCs w:val="24"/>
                <w:lang w:eastAsia="sk-SK"/>
              </w:rPr>
              <w:t>(</w:t>
            </w: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Uveďte stručný popis zavádzanej infraštruktúry.)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>Áno,</w:t>
            </w:r>
          </w:p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>podmienkou pre zavedenie nových prvkov a služieb verejnej správy je rozšírenie technickej infraštruktúry.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0" w:lineRule="atLeast"/>
              <w:rPr>
                <w:rFonts w:ascii="Times New Roman" w:hAnsi="Times New Roman"/>
                <w:b/>
                <w:color w:val="FFFFFF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color w:val="FFFFFF"/>
                <w:szCs w:val="24"/>
                <w:lang w:eastAsia="sk-SK"/>
              </w:rPr>
              <w:t>Riadenie procesu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  <w:lang w:eastAsia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6.13.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Predpokladajú sa zmeny v riadení procesu informatizácie?</w:t>
            </w:r>
          </w:p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(Uveďte popis zmien.)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 xml:space="preserve">Zmeny sa predpokladajú iba na úrovni zriaďovania ISVS a gestorstva základných registrov a modulov v kompetencii príslušných prevádzkovateľov. Súčasne sa rozširujú kompetencie MF SR ohľadne osvedčovania informačných systémov v súlade s požiadavkami nariadenia Európskeho parlamentu a Rady (EÚ) č. 211/2011 zo 16. februára 2011  o iniciatíve občanov. </w:t>
            </w:r>
          </w:p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color w:val="FFFFFF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color w:val="FFFFFF"/>
                <w:szCs w:val="24"/>
                <w:lang w:eastAsia="sk-SK"/>
              </w:rPr>
              <w:t>Financovanie procesu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iCs/>
                <w:szCs w:val="24"/>
                <w:lang w:eastAsia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6.14.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Vyžaduje si proces informatizácie  finančné investície?</w:t>
            </w:r>
          </w:p>
          <w:p w:rsidR="00E137CD" w:rsidRPr="006D5D14" w:rsidP="006705D2">
            <w:pPr>
              <w:bidi w:val="0"/>
              <w:spacing w:after="0" w:line="20" w:lineRule="atLeast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(Popíšte príslušnú úroveň financovania.)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>Nie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0" w:lineRule="atLeast"/>
              <w:jc w:val="both"/>
              <w:rPr>
                <w:rFonts w:ascii="Times New Roman" w:hAnsi="Times New Roman"/>
                <w:b/>
                <w:color w:val="FFFFFF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color w:val="FFFFFF"/>
                <w:szCs w:val="24"/>
                <w:lang w:eastAsia="sk-SK"/>
              </w:rPr>
              <w:t>Legislatívne prostredie procesu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Cs w:val="24"/>
                <w:lang w:eastAsia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531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b/>
                <w:szCs w:val="24"/>
                <w:lang w:eastAsia="sk-SK"/>
              </w:rPr>
              <w:t>6.15.</w:t>
            </w:r>
            <w:r w:rsidRPr="006D5D14">
              <w:rPr>
                <w:rFonts w:ascii="Times New Roman" w:hAnsi="Times New Roman"/>
                <w:szCs w:val="24"/>
                <w:lang w:eastAsia="sk-SK"/>
              </w:rPr>
              <w:t xml:space="preserve"> Predpokladá nelegislatívny materiál potrebu úpravy legislatívneho prostredia  procesu informatizácie?</w:t>
            </w:r>
          </w:p>
          <w:p w:rsidR="00E137CD" w:rsidRPr="006D5D14" w:rsidP="006705D2">
            <w:pPr>
              <w:bidi w:val="0"/>
              <w:spacing w:after="0" w:line="20" w:lineRule="atLeast"/>
              <w:rPr>
                <w:rFonts w:ascii="Times New Roman" w:hAnsi="Times New Roman"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/>
                <w:iCs/>
                <w:szCs w:val="24"/>
                <w:lang w:eastAsia="sk-SK"/>
              </w:rPr>
              <w:t>(Stručne popíšte navrhované legislatívne zmeny.)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137CD" w:rsidRPr="006D5D14" w:rsidP="006705D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Cs/>
                <w:szCs w:val="24"/>
                <w:lang w:eastAsia="sk-SK"/>
              </w:rPr>
            </w:pPr>
            <w:r w:rsidRPr="006D5D14">
              <w:rPr>
                <w:rFonts w:ascii="Times New Roman" w:hAnsi="Times New Roman"/>
                <w:iCs/>
                <w:szCs w:val="24"/>
                <w:lang w:eastAsia="sk-SK"/>
              </w:rPr>
              <w:t>Nejde o nelegislatívny materiál</w:t>
            </w:r>
          </w:p>
        </w:tc>
      </w:tr>
    </w:tbl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bidi w:val="0"/>
        <w:jc w:val="center"/>
        <w:rPr>
          <w:rFonts w:ascii="Times New Roman" w:hAnsi="Times New Roman"/>
          <w:b/>
          <w:bCs/>
          <w:szCs w:val="24"/>
          <w:lang w:eastAsia="sk-SK"/>
        </w:rPr>
      </w:pPr>
    </w:p>
    <w:p w:rsidR="00E137CD" w:rsidP="00E137CD">
      <w:pPr>
        <w:bidi w:val="0"/>
        <w:jc w:val="center"/>
        <w:rPr>
          <w:rFonts w:ascii="Times New Roman" w:hAnsi="Times New Roman"/>
          <w:b/>
          <w:bCs/>
          <w:szCs w:val="24"/>
          <w:lang w:eastAsia="sk-SK"/>
        </w:rPr>
      </w:pPr>
    </w:p>
    <w:p w:rsidR="00E137CD" w:rsidP="00E137CD">
      <w:pPr>
        <w:bidi w:val="0"/>
        <w:jc w:val="center"/>
        <w:rPr>
          <w:rFonts w:ascii="Times New Roman" w:hAnsi="Times New Roman"/>
          <w:b/>
          <w:bCs/>
          <w:szCs w:val="24"/>
          <w:lang w:eastAsia="sk-SK"/>
        </w:rPr>
      </w:pPr>
    </w:p>
    <w:p w:rsidR="00E137CD" w:rsidRPr="006D5D14" w:rsidP="00E137CD">
      <w:pPr>
        <w:bidi w:val="0"/>
        <w:jc w:val="center"/>
        <w:rPr>
          <w:rFonts w:ascii="Times New Roman" w:hAnsi="Times New Roman"/>
          <w:b/>
          <w:bCs/>
          <w:szCs w:val="24"/>
          <w:lang w:eastAsia="sk-SK"/>
        </w:rPr>
      </w:pPr>
      <w:r w:rsidRPr="006D5D14">
        <w:rPr>
          <w:rFonts w:ascii="Times New Roman" w:hAnsi="Times New Roman"/>
          <w:b/>
          <w:bCs/>
          <w:szCs w:val="24"/>
          <w:lang w:eastAsia="sk-SK"/>
        </w:rPr>
        <w:t>DOLOŽKA ZLUČITEĽNOSTI</w:t>
      </w:r>
    </w:p>
    <w:p w:rsidR="00E137CD" w:rsidRPr="00953460" w:rsidP="00E137CD">
      <w:pPr>
        <w:bidi w:val="0"/>
        <w:spacing w:before="240"/>
        <w:contextualSpacing/>
        <w:jc w:val="center"/>
        <w:rPr>
          <w:rFonts w:ascii="Times New Roman" w:hAnsi="Times New Roman"/>
          <w:b/>
          <w:szCs w:val="24"/>
        </w:rPr>
      </w:pPr>
      <w:r w:rsidRPr="00953460">
        <w:rPr>
          <w:rFonts w:ascii="Times New Roman" w:hAnsi="Times New Roman"/>
          <w:b/>
          <w:bCs/>
          <w:szCs w:val="24"/>
          <w:lang w:eastAsia="sk-SK"/>
        </w:rPr>
        <w:t xml:space="preserve">k návrhu zákona, ktorým sa mení a dopĺňa zákon č. 275/2006 Z. z. o informačných systémoch verejnej správy </w:t>
      </w:r>
      <w:r w:rsidRPr="00953460">
        <w:rPr>
          <w:rFonts w:ascii="Times New Roman" w:hAnsi="Times New Roman"/>
          <w:b/>
          <w:szCs w:val="24"/>
          <w:lang w:eastAsia="sk-SK"/>
        </w:rPr>
        <w:t>a o zmene a doplnení niektorých zákonov v znení neskorších predpisov</w:t>
      </w:r>
      <w:r w:rsidRPr="00953460">
        <w:rPr>
          <w:rFonts w:ascii="Times New Roman" w:hAnsi="Times New Roman"/>
          <w:b/>
          <w:color w:val="C00000"/>
          <w:szCs w:val="24"/>
        </w:rPr>
        <w:t xml:space="preserve"> </w:t>
      </w:r>
      <w:r w:rsidRPr="00953460">
        <w:rPr>
          <w:rFonts w:ascii="Times New Roman" w:hAnsi="Times New Roman"/>
          <w:b/>
          <w:szCs w:val="24"/>
        </w:rPr>
        <w:t xml:space="preserve">a ktorým sa mení a dopĺňa zákon č. 215/2002 Z. z. o elektronickom podpise a o zmene a doplnení niektorých zákonov v znení neskorších predpisov </w:t>
      </w:r>
    </w:p>
    <w:p w:rsidR="00E137CD" w:rsidRPr="00953460" w:rsidP="00E137CD">
      <w:pPr>
        <w:pBdr>
          <w:bottom w:val="single" w:sz="6" w:space="1" w:color="auto"/>
        </w:pBdr>
        <w:bidi w:val="0"/>
        <w:jc w:val="center"/>
        <w:rPr>
          <w:rFonts w:ascii="Times New Roman" w:hAnsi="Times New Roman"/>
          <w:b/>
          <w:bCs/>
          <w:szCs w:val="24"/>
          <w:lang w:eastAsia="sk-SK"/>
        </w:rPr>
      </w:pPr>
      <w:r w:rsidRPr="00953460">
        <w:rPr>
          <w:rFonts w:ascii="Times New Roman" w:hAnsi="Times New Roman"/>
          <w:b/>
          <w:bCs/>
          <w:szCs w:val="24"/>
          <w:lang w:eastAsia="sk-SK"/>
        </w:rPr>
        <w:t>s právom Európskej únie</w:t>
      </w:r>
    </w:p>
    <w:p w:rsidR="00E137CD" w:rsidRPr="006D5D14" w:rsidP="00E137CD">
      <w:pPr>
        <w:bidi w:val="0"/>
        <w:rPr>
          <w:rFonts w:ascii="Times New Roman" w:hAnsi="Times New Roman"/>
          <w:b/>
          <w:bCs/>
          <w:szCs w:val="24"/>
          <w:lang w:eastAsia="sk-SK"/>
        </w:rPr>
      </w:pPr>
    </w:p>
    <w:p w:rsidR="00E137CD" w:rsidRPr="006D5D14" w:rsidP="00E137CD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b/>
          <w:bCs/>
          <w:szCs w:val="24"/>
          <w:lang w:eastAsia="sk-SK"/>
        </w:rPr>
        <w:t>Predkladateľ zákona:</w:t>
      </w:r>
    </w:p>
    <w:p w:rsidR="00E137CD" w:rsidRPr="006D5D14" w:rsidP="00E137CD">
      <w:pPr>
        <w:bidi w:val="0"/>
        <w:ind w:firstLine="425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szCs w:val="24"/>
          <w:lang w:eastAsia="sk-SK"/>
        </w:rPr>
        <w:t xml:space="preserve">Vláda Slovenskej republiky. </w:t>
      </w:r>
    </w:p>
    <w:p w:rsidR="00E137CD" w:rsidRPr="006D5D14" w:rsidP="00E137CD">
      <w:pPr>
        <w:bidi w:val="0"/>
        <w:jc w:val="both"/>
        <w:rPr>
          <w:rFonts w:ascii="Times New Roman" w:hAnsi="Times New Roman"/>
          <w:b/>
          <w:bCs/>
          <w:szCs w:val="24"/>
          <w:lang w:eastAsia="sk-SK"/>
        </w:rPr>
      </w:pPr>
    </w:p>
    <w:p w:rsidR="00E137CD" w:rsidRPr="006D5D14" w:rsidP="00E137CD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  <w:bCs/>
          <w:szCs w:val="24"/>
          <w:lang w:eastAsia="sk-SK"/>
        </w:rPr>
      </w:pPr>
      <w:r w:rsidRPr="006D5D14">
        <w:rPr>
          <w:rFonts w:ascii="Times New Roman" w:hAnsi="Times New Roman"/>
          <w:b/>
          <w:bCs/>
          <w:szCs w:val="24"/>
          <w:lang w:eastAsia="sk-SK"/>
        </w:rPr>
        <w:t>Názov návrhu zákona:</w:t>
      </w:r>
    </w:p>
    <w:p w:rsidR="00E137CD" w:rsidRPr="00420F44" w:rsidP="00E137CD">
      <w:pPr>
        <w:bidi w:val="0"/>
        <w:spacing w:before="240"/>
        <w:ind w:left="426"/>
        <w:contextualSpacing/>
        <w:jc w:val="both"/>
        <w:rPr>
          <w:rFonts w:ascii="Times New Roman" w:hAnsi="Times New Roman"/>
          <w:szCs w:val="24"/>
        </w:rPr>
      </w:pPr>
      <w:r w:rsidRPr="006D5D14">
        <w:rPr>
          <w:rFonts w:ascii="Times New Roman" w:hAnsi="Times New Roman"/>
          <w:szCs w:val="24"/>
          <w:lang w:eastAsia="sk-SK"/>
        </w:rPr>
        <w:t xml:space="preserve">Návrh </w:t>
      </w:r>
      <w:r w:rsidRPr="006D5D14">
        <w:rPr>
          <w:rFonts w:ascii="Times New Roman" w:hAnsi="Times New Roman"/>
          <w:bCs/>
          <w:szCs w:val="24"/>
          <w:lang w:eastAsia="sk-SK"/>
        </w:rPr>
        <w:t xml:space="preserve">zákona, ktorým sa mení a dopĺňa zákon č. 275/2006 Z. z. o informačných systémoch verejnej správy </w:t>
      </w:r>
      <w:r w:rsidRPr="006D5D14">
        <w:rPr>
          <w:rFonts w:ascii="Times New Roman" w:hAnsi="Times New Roman"/>
          <w:szCs w:val="24"/>
          <w:lang w:eastAsia="sk-SK"/>
        </w:rPr>
        <w:t xml:space="preserve">a o zmene a doplnení niektorých zákonov v znení neskorších predpisov </w:t>
      </w:r>
      <w:r w:rsidRPr="00420F44">
        <w:rPr>
          <w:rFonts w:ascii="Times New Roman" w:hAnsi="Times New Roman"/>
          <w:szCs w:val="24"/>
        </w:rPr>
        <w:t xml:space="preserve">a ktorým sa mení a dopĺňa zákon č. 215/2002 Z. z. o elektronickom podpise a o zmene a doplnení niektorých zákonov v znení neskorších predpisov </w:t>
      </w:r>
    </w:p>
    <w:p w:rsidR="00E137CD" w:rsidRPr="006D5D14" w:rsidP="00E137CD">
      <w:pPr>
        <w:bidi w:val="0"/>
        <w:jc w:val="both"/>
        <w:rPr>
          <w:rFonts w:ascii="Times New Roman" w:hAnsi="Times New Roman"/>
          <w:b/>
          <w:bCs/>
          <w:szCs w:val="24"/>
          <w:lang w:eastAsia="sk-SK"/>
        </w:rPr>
      </w:pPr>
    </w:p>
    <w:p w:rsidR="00E137CD" w:rsidRPr="006D5D14" w:rsidP="00E137CD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  <w:bCs/>
          <w:szCs w:val="24"/>
          <w:lang w:eastAsia="sk-SK"/>
        </w:rPr>
      </w:pPr>
      <w:r w:rsidRPr="006D5D14">
        <w:rPr>
          <w:rFonts w:ascii="Times New Roman" w:hAnsi="Times New Roman"/>
          <w:b/>
          <w:bCs/>
          <w:szCs w:val="24"/>
          <w:lang w:eastAsia="sk-SK"/>
        </w:rPr>
        <w:t xml:space="preserve">Problematika návrhu zákona: </w:t>
      </w:r>
    </w:p>
    <w:p w:rsidR="00E137CD" w:rsidRPr="006D5D14" w:rsidP="00E137CD">
      <w:pPr>
        <w:numPr>
          <w:ilvl w:val="1"/>
          <w:numId w:val="1"/>
        </w:numPr>
        <w:bidi w:val="0"/>
        <w:spacing w:after="120"/>
        <w:rPr>
          <w:rFonts w:ascii="Times New Roman" w:hAnsi="Times New Roman"/>
          <w:szCs w:val="24"/>
        </w:rPr>
      </w:pPr>
      <w:r w:rsidRPr="006D5D14">
        <w:rPr>
          <w:rFonts w:ascii="Times New Roman" w:hAnsi="Times New Roman"/>
          <w:szCs w:val="24"/>
        </w:rPr>
        <w:t>je upravená v práve Európskej únie:</w:t>
      </w:r>
    </w:p>
    <w:p w:rsidR="00E137CD" w:rsidRPr="006D5D14" w:rsidP="00E137CD">
      <w:pPr>
        <w:bidi w:val="0"/>
        <w:spacing w:after="120"/>
        <w:ind w:left="900" w:hanging="425"/>
        <w:rPr>
          <w:rFonts w:ascii="Times New Roman" w:hAnsi="Times New Roman"/>
          <w:b/>
          <w:bCs/>
          <w:iCs/>
          <w:szCs w:val="24"/>
        </w:rPr>
      </w:pPr>
      <w:r w:rsidRPr="006D5D14">
        <w:rPr>
          <w:rFonts w:ascii="Times New Roman" w:hAnsi="Times New Roman"/>
          <w:b/>
          <w:bCs/>
          <w:iCs/>
          <w:szCs w:val="24"/>
        </w:rPr>
        <w:t xml:space="preserve">Primárne právo: </w:t>
      </w:r>
    </w:p>
    <w:p w:rsidR="00E137CD" w:rsidRPr="006D5D14" w:rsidP="00E137CD">
      <w:pPr>
        <w:numPr>
          <w:numId w:val="4"/>
        </w:numPr>
        <w:autoSpaceDE w:val="0"/>
        <w:autoSpaceDN w:val="0"/>
        <w:bidi w:val="0"/>
        <w:adjustRightInd w:val="0"/>
        <w:spacing w:after="120"/>
        <w:ind w:left="896" w:hanging="357"/>
        <w:jc w:val="both"/>
        <w:rPr>
          <w:rFonts w:ascii="Times New Roman" w:hAnsi="Times New Roman"/>
          <w:i/>
          <w:szCs w:val="24"/>
          <w:lang w:eastAsia="sk-SK"/>
        </w:rPr>
      </w:pPr>
      <w:r w:rsidRPr="006D5D14">
        <w:rPr>
          <w:rFonts w:ascii="Times New Roman" w:hAnsi="Times New Roman"/>
          <w:szCs w:val="24"/>
        </w:rPr>
        <w:t xml:space="preserve">čl. 11 Zmluvy o Európskej únii </w:t>
      </w:r>
      <w:r w:rsidRPr="006D5D14">
        <w:rPr>
          <w:rFonts w:ascii="Times New Roman" w:hAnsi="Times New Roman"/>
          <w:szCs w:val="24"/>
          <w:lang w:eastAsia="sk-SK"/>
        </w:rPr>
        <w:t>(Ú.v. EÚ C 83, 30.3. 2010),</w:t>
      </w:r>
    </w:p>
    <w:p w:rsidR="00E137CD" w:rsidRPr="006D5D14" w:rsidP="00E137CD">
      <w:pPr>
        <w:numPr>
          <w:numId w:val="4"/>
        </w:numPr>
        <w:autoSpaceDE w:val="0"/>
        <w:autoSpaceDN w:val="0"/>
        <w:bidi w:val="0"/>
        <w:adjustRightInd w:val="0"/>
        <w:spacing w:after="120"/>
        <w:ind w:left="896" w:hanging="357"/>
        <w:jc w:val="both"/>
        <w:rPr>
          <w:rFonts w:ascii="Times New Roman" w:hAnsi="Times New Roman"/>
          <w:i/>
          <w:szCs w:val="24"/>
          <w:lang w:eastAsia="sk-SK"/>
        </w:rPr>
      </w:pPr>
      <w:r w:rsidRPr="006D5D14">
        <w:rPr>
          <w:rFonts w:ascii="Times New Roman" w:hAnsi="Times New Roman"/>
          <w:szCs w:val="24"/>
        </w:rPr>
        <w:t xml:space="preserve">čl. 24 Zmluvy o fungovaní Európskej únie </w:t>
      </w:r>
      <w:r w:rsidRPr="006D5D14">
        <w:rPr>
          <w:rFonts w:ascii="Times New Roman" w:hAnsi="Times New Roman"/>
          <w:szCs w:val="24"/>
          <w:lang w:eastAsia="sk-SK"/>
        </w:rPr>
        <w:t>(Ú.v. EÚ C 83, 30.3. 2010).</w:t>
      </w:r>
    </w:p>
    <w:p w:rsidR="00E137CD" w:rsidRPr="006D5D14" w:rsidP="00E137CD">
      <w:pPr>
        <w:autoSpaceDE w:val="0"/>
        <w:autoSpaceDN w:val="0"/>
        <w:bidi w:val="0"/>
        <w:adjustRightInd w:val="0"/>
        <w:ind w:left="454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b/>
          <w:bCs/>
          <w:iCs/>
          <w:szCs w:val="24"/>
          <w:lang w:eastAsia="sk-SK"/>
        </w:rPr>
        <w:t xml:space="preserve">Sekundárne právo </w:t>
      </w:r>
      <w:r w:rsidRPr="006D5D14">
        <w:rPr>
          <w:rFonts w:ascii="Times New Roman" w:hAnsi="Times New Roman"/>
          <w:szCs w:val="24"/>
          <w:lang w:eastAsia="sk-SK"/>
        </w:rPr>
        <w:t>(prijaté po nadobudnutí platnosti Lisabonskej zmluvy, ktorou sa mení a dopĺňa Zmluva o Európskom spoločenstve a Zmluva o Európskej únii - po 30. novembri 2009):</w:t>
      </w:r>
    </w:p>
    <w:p w:rsidR="00E137CD" w:rsidRPr="006D5D14" w:rsidP="00E137CD">
      <w:pPr>
        <w:autoSpaceDE w:val="0"/>
        <w:autoSpaceDN w:val="0"/>
        <w:bidi w:val="0"/>
        <w:adjustRightInd w:val="0"/>
        <w:ind w:left="454"/>
        <w:jc w:val="both"/>
        <w:rPr>
          <w:rFonts w:ascii="Times New Roman" w:hAnsi="Times New Roman"/>
          <w:szCs w:val="24"/>
          <w:lang w:eastAsia="sk-SK"/>
        </w:rPr>
      </w:pPr>
    </w:p>
    <w:p w:rsidR="00E137CD" w:rsidRPr="006D5D14" w:rsidP="00E137CD">
      <w:pPr>
        <w:autoSpaceDE w:val="0"/>
        <w:autoSpaceDN w:val="0"/>
        <w:bidi w:val="0"/>
        <w:adjustRightInd w:val="0"/>
        <w:ind w:left="454"/>
        <w:jc w:val="both"/>
        <w:rPr>
          <w:rFonts w:ascii="Times New Roman" w:hAnsi="Times New Roman"/>
          <w:szCs w:val="24"/>
          <w:u w:val="single"/>
          <w:lang w:eastAsia="sk-SK"/>
        </w:rPr>
      </w:pPr>
      <w:r w:rsidRPr="006D5D14">
        <w:rPr>
          <w:rFonts w:ascii="Times New Roman" w:hAnsi="Times New Roman"/>
          <w:szCs w:val="24"/>
          <w:u w:val="single"/>
          <w:lang w:eastAsia="sk-SK"/>
        </w:rPr>
        <w:t>1. legislatívne akty:</w:t>
      </w:r>
    </w:p>
    <w:p w:rsidR="00E137CD" w:rsidRPr="006D5D14" w:rsidP="00E137CD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  <w:b/>
          <w:bCs/>
          <w:iCs/>
          <w:szCs w:val="24"/>
          <w:lang w:eastAsia="sk-SK"/>
        </w:rPr>
      </w:pPr>
    </w:p>
    <w:p w:rsidR="00E137CD" w:rsidRPr="006D5D14" w:rsidP="00E137CD">
      <w:pPr>
        <w:numPr>
          <w:numId w:val="2"/>
        </w:numPr>
        <w:bidi w:val="0"/>
        <w:adjustRightInd w:val="0"/>
        <w:spacing w:after="120" w:line="276" w:lineRule="auto"/>
        <w:ind w:left="867" w:hanging="357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bCs/>
          <w:szCs w:val="24"/>
          <w:lang w:eastAsia="sk-SK"/>
        </w:rPr>
        <w:t>nariadenie Európskeho parlamentu a Rady (EÚ) č. </w:t>
      </w:r>
      <w:r w:rsidRPr="006D5D14">
        <w:rPr>
          <w:rFonts w:ascii="Times New Roman" w:hAnsi="Times New Roman"/>
          <w:bCs/>
          <w:szCs w:val="24"/>
          <w:u w:val="single"/>
          <w:lang w:eastAsia="sk-SK"/>
        </w:rPr>
        <w:t>211/2011</w:t>
      </w:r>
      <w:r w:rsidRPr="006D5D14">
        <w:rPr>
          <w:rFonts w:ascii="Times New Roman" w:hAnsi="Times New Roman"/>
          <w:bCs/>
          <w:szCs w:val="24"/>
          <w:lang w:eastAsia="sk-SK"/>
        </w:rPr>
        <w:t xml:space="preserve"> zo 16. februára 2011 o iniciatíve občanov </w:t>
      </w:r>
      <w:r w:rsidRPr="006D5D14">
        <w:rPr>
          <w:rFonts w:ascii="Times New Roman" w:hAnsi="Times New Roman"/>
          <w:szCs w:val="24"/>
          <w:lang w:eastAsia="sk-SK"/>
        </w:rPr>
        <w:t xml:space="preserve"> (Ú</w:t>
      </w:r>
      <w:r w:rsidRPr="006D5D14">
        <w:rPr>
          <w:rFonts w:ascii="Times New Roman" w:hAnsi="Times New Roman"/>
          <w:iCs/>
          <w:szCs w:val="24"/>
          <w:lang w:eastAsia="sk-SK"/>
        </w:rPr>
        <w:t>. v. EÚ L 65, 11.3.2011).</w:t>
      </w:r>
    </w:p>
    <w:p w:rsidR="00E137CD" w:rsidRPr="006D5D14" w:rsidP="00E137CD">
      <w:pPr>
        <w:numPr>
          <w:ilvl w:val="1"/>
          <w:numId w:val="1"/>
        </w:numPr>
        <w:bidi w:val="0"/>
        <w:spacing w:after="120"/>
        <w:rPr>
          <w:rFonts w:ascii="Times New Roman" w:hAnsi="Times New Roman"/>
          <w:szCs w:val="24"/>
        </w:rPr>
      </w:pPr>
      <w:r w:rsidRPr="006D5D14">
        <w:rPr>
          <w:rFonts w:ascii="Times New Roman" w:hAnsi="Times New Roman"/>
          <w:szCs w:val="24"/>
        </w:rPr>
        <w:t>nie je obsiahnutá v judikatúre Súdneho dvora Európskej únie.</w:t>
      </w:r>
    </w:p>
    <w:p w:rsidR="00E137CD" w:rsidRPr="006D5D14" w:rsidP="00E137CD">
      <w:pPr>
        <w:bidi w:val="0"/>
        <w:spacing w:after="120"/>
        <w:jc w:val="both"/>
        <w:rPr>
          <w:rFonts w:ascii="Times New Roman" w:hAnsi="Times New Roman"/>
          <w:szCs w:val="24"/>
        </w:rPr>
      </w:pPr>
      <w:r w:rsidRPr="006D5D14">
        <w:rPr>
          <w:rFonts w:ascii="Times New Roman" w:hAnsi="Times New Roman"/>
          <w:color w:val="000000"/>
          <w:szCs w:val="24"/>
          <w:lang w:eastAsia="sk-SK"/>
        </w:rPr>
        <w:t xml:space="preserve"> </w:t>
      </w:r>
    </w:p>
    <w:p w:rsidR="00E137CD" w:rsidRPr="006D5D14" w:rsidP="00E137CD">
      <w:pPr>
        <w:numPr>
          <w:numId w:val="1"/>
        </w:numPr>
        <w:bidi w:val="0"/>
        <w:spacing w:after="240"/>
        <w:jc w:val="both"/>
        <w:rPr>
          <w:rFonts w:ascii="Times New Roman" w:hAnsi="Times New Roman"/>
          <w:b/>
          <w:bCs/>
          <w:szCs w:val="24"/>
          <w:lang w:eastAsia="sk-SK"/>
        </w:rPr>
      </w:pPr>
      <w:r w:rsidRPr="006D5D14">
        <w:rPr>
          <w:rFonts w:ascii="Times New Roman" w:hAnsi="Times New Roman"/>
          <w:b/>
          <w:bCs/>
          <w:szCs w:val="24"/>
          <w:lang w:eastAsia="sk-SK"/>
        </w:rPr>
        <w:t>Záväzky Slovenskej republiky vo vzťahu k Európskej únii:</w:t>
      </w:r>
    </w:p>
    <w:p w:rsidR="00E137CD" w:rsidRPr="006D5D14" w:rsidP="00E137CD">
      <w:pPr>
        <w:numPr>
          <w:numId w:val="3"/>
        </w:numPr>
        <w:tabs>
          <w:tab w:val="left" w:pos="425"/>
        </w:tabs>
        <w:bidi w:val="0"/>
        <w:spacing w:after="120"/>
        <w:ind w:left="425" w:hanging="425"/>
        <w:jc w:val="both"/>
        <w:rPr>
          <w:rFonts w:ascii="Times New Roman" w:hAnsi="Times New Roman"/>
          <w:szCs w:val="24"/>
        </w:rPr>
      </w:pPr>
      <w:r w:rsidRPr="006D5D14">
        <w:rPr>
          <w:rFonts w:ascii="Times New Roman" w:hAnsi="Times New Roman"/>
          <w:szCs w:val="24"/>
        </w:rPr>
        <w:t>V súlade s článkom 23 nariadenia Európskeho parlamentu a Rady (EÚ) č. 211/2011 zo 16. februára 2011 o iniciatíve občanov je lehota na implementáciu nariadenia určená na 1. apríla 2012.</w:t>
      </w:r>
    </w:p>
    <w:p w:rsidR="00E137CD" w:rsidRPr="006D5D14" w:rsidP="00E137CD">
      <w:pPr>
        <w:numPr>
          <w:numId w:val="3"/>
        </w:numPr>
        <w:tabs>
          <w:tab w:val="left" w:pos="425"/>
        </w:tabs>
        <w:bidi w:val="0"/>
        <w:spacing w:after="120" w:line="276" w:lineRule="auto"/>
        <w:ind w:left="425" w:hanging="425"/>
        <w:jc w:val="both"/>
        <w:rPr>
          <w:rFonts w:ascii="Times New Roman" w:hAnsi="Times New Roman"/>
          <w:szCs w:val="24"/>
        </w:rPr>
      </w:pPr>
      <w:r w:rsidRPr="006D5D14">
        <w:rPr>
          <w:rFonts w:ascii="Times New Roman" w:hAnsi="Times New Roman"/>
          <w:szCs w:val="24"/>
        </w:rPr>
        <w:t>Lehota určená na predloženie návrhu právneho predpisu na rokovanie vlády podľa určenia gestorských ústredných orgánov štátnej správy zodpovedných za transpozíciu smerníc a vypracovanie tabuliek zhody k návrhom všeobecne záväzných právnych predpisov: bezpredmetné.</w:t>
      </w:r>
    </w:p>
    <w:p w:rsidR="00E137CD" w:rsidRPr="006D5D14" w:rsidP="00E137CD">
      <w:pPr>
        <w:numPr>
          <w:numId w:val="3"/>
        </w:numPr>
        <w:tabs>
          <w:tab w:val="left" w:pos="425"/>
        </w:tabs>
        <w:bidi w:val="0"/>
        <w:spacing w:after="120" w:line="276" w:lineRule="auto"/>
        <w:ind w:left="425" w:hanging="425"/>
        <w:jc w:val="both"/>
        <w:rPr>
          <w:rFonts w:ascii="Times New Roman" w:hAnsi="Times New Roman"/>
          <w:szCs w:val="24"/>
        </w:rPr>
      </w:pPr>
      <w:r w:rsidRPr="006D5D14">
        <w:rPr>
          <w:rFonts w:ascii="Times New Roman" w:hAnsi="Times New Roman"/>
          <w:szCs w:val="24"/>
        </w:rPr>
        <w:t>Proti SR nebolo začaté konanie o porušení Zmluvy o fungovaní Európskej únie podľa čl. 258 až 260 Zmluvy o fungovaní Európskej únie.</w:t>
      </w:r>
    </w:p>
    <w:p w:rsidR="00E137CD" w:rsidRPr="006D5D14" w:rsidP="00E137CD">
      <w:pPr>
        <w:numPr>
          <w:numId w:val="3"/>
        </w:numPr>
        <w:tabs>
          <w:tab w:val="left" w:pos="425"/>
        </w:tabs>
        <w:bidi w:val="0"/>
        <w:ind w:left="425" w:hanging="425"/>
        <w:jc w:val="both"/>
        <w:rPr>
          <w:rFonts w:ascii="Times New Roman" w:hAnsi="Times New Roman"/>
          <w:szCs w:val="24"/>
        </w:rPr>
      </w:pPr>
      <w:r w:rsidRPr="006D5D14">
        <w:rPr>
          <w:rFonts w:ascii="Times New Roman" w:hAnsi="Times New Roman"/>
          <w:szCs w:val="24"/>
        </w:rPr>
        <w:t>Bezpredmetné.</w:t>
      </w:r>
    </w:p>
    <w:p w:rsidR="00E137CD" w:rsidRPr="006D5D14" w:rsidP="00E137CD">
      <w:pPr>
        <w:tabs>
          <w:tab w:val="left" w:pos="425"/>
        </w:tabs>
        <w:bidi w:val="0"/>
        <w:ind w:left="425"/>
        <w:jc w:val="both"/>
        <w:rPr>
          <w:rFonts w:ascii="Times New Roman" w:hAnsi="Times New Roman"/>
          <w:szCs w:val="24"/>
        </w:rPr>
      </w:pPr>
    </w:p>
    <w:p w:rsidR="00E137CD" w:rsidRPr="006D5D14" w:rsidP="00E137CD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  <w:bCs/>
          <w:szCs w:val="24"/>
          <w:lang w:eastAsia="sk-SK"/>
        </w:rPr>
      </w:pPr>
      <w:r w:rsidRPr="006D5D14">
        <w:rPr>
          <w:rFonts w:ascii="Times New Roman" w:hAnsi="Times New Roman"/>
          <w:b/>
          <w:bCs/>
          <w:szCs w:val="24"/>
          <w:lang w:eastAsia="sk-SK"/>
        </w:rPr>
        <w:t>Stupeň zlučiteľnosti návrhu zákona s právom Európskej únie:</w:t>
      </w:r>
    </w:p>
    <w:p w:rsidR="00E137CD" w:rsidRPr="006D5D14" w:rsidP="00E137CD">
      <w:pPr>
        <w:bidi w:val="0"/>
        <w:spacing w:after="120"/>
        <w:ind w:left="425" w:hanging="425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szCs w:val="24"/>
          <w:lang w:eastAsia="sk-SK"/>
        </w:rPr>
        <w:tab/>
        <w:t>Úplný.</w:t>
      </w:r>
    </w:p>
    <w:p w:rsidR="00E137CD" w:rsidRPr="006D5D14" w:rsidP="00E137CD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  <w:bCs/>
          <w:szCs w:val="24"/>
          <w:lang w:eastAsia="sk-SK"/>
        </w:rPr>
      </w:pPr>
      <w:r w:rsidRPr="006D5D14">
        <w:rPr>
          <w:rFonts w:ascii="Times New Roman" w:hAnsi="Times New Roman"/>
          <w:b/>
          <w:bCs/>
          <w:szCs w:val="24"/>
          <w:lang w:eastAsia="sk-SK"/>
        </w:rPr>
        <w:t xml:space="preserve">Gestor a spolupracujúce rezorty: </w:t>
      </w:r>
    </w:p>
    <w:p w:rsidR="00E137CD" w:rsidRPr="006D5D14" w:rsidP="00E137CD">
      <w:pPr>
        <w:bidi w:val="0"/>
        <w:spacing w:after="120" w:line="276" w:lineRule="auto"/>
        <w:ind w:left="426" w:hanging="69"/>
        <w:jc w:val="both"/>
        <w:rPr>
          <w:rFonts w:ascii="Times New Roman" w:hAnsi="Times New Roman"/>
          <w:szCs w:val="24"/>
          <w:lang w:eastAsia="sk-SK"/>
        </w:rPr>
      </w:pPr>
      <w:r w:rsidRPr="006D5D14">
        <w:rPr>
          <w:rFonts w:ascii="Times New Roman" w:hAnsi="Times New Roman"/>
          <w:szCs w:val="24"/>
          <w:lang w:eastAsia="sk-SK"/>
        </w:rPr>
        <w:t xml:space="preserve"> Ministerstvo financií SR, Ministerstvo vnútra SR, Ministerstvo spravodlivosti SR, Úrad na ochranu osobných  údajov SR.</w:t>
      </w:r>
    </w:p>
    <w:p w:rsidR="00E137CD" w:rsidRPr="006D5D14" w:rsidP="00E137CD">
      <w:pPr>
        <w:bidi w:val="0"/>
        <w:spacing w:line="360" w:lineRule="auto"/>
        <w:jc w:val="both"/>
        <w:rPr>
          <w:rFonts w:ascii="Times New Roman" w:hAnsi="Times New Roman"/>
          <w:szCs w:val="24"/>
        </w:rPr>
      </w:pPr>
    </w:p>
    <w:p w:rsidR="00E137CD" w:rsidRPr="006D5D14" w:rsidP="00E137CD">
      <w:pPr>
        <w:bidi w:val="0"/>
        <w:spacing w:line="360" w:lineRule="auto"/>
        <w:jc w:val="both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p w:rsidR="00E137CD" w:rsidRPr="006D5D14" w:rsidP="00E137CD">
      <w:pPr>
        <w:pStyle w:val="BodyTextIndent"/>
        <w:bidi w:val="0"/>
        <w:ind w:firstLine="708"/>
        <w:rPr>
          <w:rFonts w:ascii="Times New Roman" w:hAnsi="Times New Roman"/>
          <w:szCs w:val="24"/>
        </w:rPr>
      </w:pPr>
    </w:p>
    <w:sectPr w:rsidSect="00D3362A"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EUAlbertina-Bold-Identity-H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EUAlbertina-Bold-Identity-H"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B08A6"/>
    <w:multiLevelType w:val="hybridMultilevel"/>
    <w:tmpl w:val="1FB241BC"/>
    <w:lvl w:ilvl="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50201E1F"/>
    <w:multiLevelType w:val="hybridMultilevel"/>
    <w:tmpl w:val="2A58D4A0"/>
    <w:lvl w:ilvl="0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2">
    <w:nsid w:val="5ADE45D2"/>
    <w:multiLevelType w:val="hybridMultilevel"/>
    <w:tmpl w:val="B0789A54"/>
    <w:lvl w:ilvl="0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4">
    <w:nsid w:val="5D0B44FF"/>
    <w:multiLevelType w:val="hybridMultilevel"/>
    <w:tmpl w:val="38349D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6AAF1A1F"/>
    <w:multiLevelType w:val="multilevel"/>
    <w:tmpl w:val="4A680464"/>
    <w:lvl w:ilvl="0">
      <w:start w:val="1"/>
      <w:numFmt w:val="decimal"/>
      <w:pStyle w:val="Textodstavce"/>
      <w:lvlText w:val="(%1)"/>
      <w:lvlJc w:val="left"/>
      <w:pPr>
        <w:tabs>
          <w:tab w:val="num" w:pos="717"/>
        </w:tabs>
        <w:ind w:left="-65" w:firstLine="425"/>
      </w:pPr>
      <w:rPr>
        <w:rFonts w:cs="Times New Roman" w:hint="default"/>
        <w:i w:val="0"/>
        <w:iCs w:val="0"/>
        <w:sz w:val="22"/>
        <w:szCs w:val="22"/>
        <w:vertAlign w:val="baseline"/>
        <w:rtl w:val="0"/>
        <w:cs w:val="0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  <w:i w:val="0"/>
        <w:iCs w:val="0"/>
        <w:strike w:val="0"/>
        <w:rtl w:val="0"/>
        <w:cs w:val="0"/>
      </w:rPr>
    </w:lvl>
    <w:lvl w:ilvl="2">
      <w:start w:val="1"/>
      <w:numFmt w:val="decimal"/>
      <w:pStyle w:val="Textbodu"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ascii="Arial Narrow" w:eastAsia="Times New Roman" w:hAnsi="Arial Narrow" w:cs="Times New Roman" w:hint="default"/>
        <w:sz w:val="22"/>
        <w:szCs w:val="22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  <w:rtl w:val="0"/>
        <w:cs w:val="0"/>
      </w:rPr>
    </w:lvl>
  </w:abstractNum>
  <w:num w:numId="1">
    <w:abstractNumId w:val="3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137CD"/>
    <w:rsid w:val="00393EFD"/>
    <w:rsid w:val="00420F44"/>
    <w:rsid w:val="006705D2"/>
    <w:rsid w:val="006D5D14"/>
    <w:rsid w:val="00953460"/>
    <w:rsid w:val="00A8025E"/>
    <w:rsid w:val="00CB2692"/>
    <w:rsid w:val="00D3362A"/>
    <w:rsid w:val="00E137C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7C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text">
    <w:name w:val="Odsek text"/>
    <w:basedOn w:val="Normal"/>
    <w:rsid w:val="00E137CD"/>
    <w:pPr>
      <w:spacing w:before="120" w:after="120" w:line="288" w:lineRule="auto"/>
      <w:ind w:firstLine="284"/>
      <w:jc w:val="both"/>
    </w:pPr>
  </w:style>
  <w:style w:type="paragraph" w:styleId="BodyTextIndent">
    <w:name w:val="Body Text Indent"/>
    <w:basedOn w:val="Normal"/>
    <w:link w:val="ZarkazkladnhotextuChar"/>
    <w:uiPriority w:val="99"/>
    <w:rsid w:val="00E137CD"/>
    <w:pPr>
      <w:ind w:firstLine="284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E137CD"/>
    <w:rPr>
      <w:rFonts w:ascii="Times New Roman" w:hAnsi="Times New Roman" w:cs="Times New Roman"/>
      <w:sz w:val="20"/>
      <w:szCs w:val="20"/>
      <w:rtl w:val="0"/>
      <w:cs w:val="0"/>
      <w:lang w:val="x-none" w:eastAsia="cs-CZ"/>
    </w:rPr>
  </w:style>
  <w:style w:type="paragraph" w:customStyle="1" w:styleId="Textbodu">
    <w:name w:val="Text bodu"/>
    <w:basedOn w:val="Normal"/>
    <w:uiPriority w:val="99"/>
    <w:rsid w:val="00E137CD"/>
    <w:pPr>
      <w:widowControl w:val="0"/>
      <w:numPr>
        <w:ilvl w:val="2"/>
        <w:numId w:val="5"/>
      </w:numPr>
      <w:tabs>
        <w:tab w:val="num" w:pos="850"/>
      </w:tabs>
      <w:adjustRightInd w:val="0"/>
      <w:spacing w:line="360" w:lineRule="atLeast"/>
      <w:ind w:left="850" w:hanging="425"/>
      <w:jc w:val="both"/>
      <w:textAlignment w:val="baseline"/>
      <w:outlineLvl w:val="8"/>
    </w:pPr>
    <w:rPr>
      <w:szCs w:val="24"/>
      <w:lang w:eastAsia="en-US"/>
    </w:rPr>
  </w:style>
  <w:style w:type="paragraph" w:customStyle="1" w:styleId="Textpsmene">
    <w:name w:val="Text písmene"/>
    <w:basedOn w:val="Normal"/>
    <w:uiPriority w:val="99"/>
    <w:rsid w:val="00E137CD"/>
    <w:pPr>
      <w:widowControl w:val="0"/>
      <w:numPr>
        <w:ilvl w:val="1"/>
        <w:numId w:val="5"/>
      </w:numPr>
      <w:tabs>
        <w:tab w:val="num" w:pos="425"/>
      </w:tabs>
      <w:adjustRightInd w:val="0"/>
      <w:spacing w:line="360" w:lineRule="atLeast"/>
      <w:ind w:left="425" w:hanging="425"/>
      <w:jc w:val="both"/>
      <w:textAlignment w:val="baseline"/>
      <w:outlineLvl w:val="7"/>
    </w:pPr>
    <w:rPr>
      <w:szCs w:val="24"/>
      <w:lang w:eastAsia="en-US"/>
    </w:rPr>
  </w:style>
  <w:style w:type="paragraph" w:customStyle="1" w:styleId="Textodstavce">
    <w:name w:val="Text odstavce"/>
    <w:basedOn w:val="Normal"/>
    <w:uiPriority w:val="99"/>
    <w:rsid w:val="00E137CD"/>
    <w:pPr>
      <w:widowControl w:val="0"/>
      <w:numPr>
        <w:numId w:val="5"/>
      </w:numPr>
      <w:tabs>
        <w:tab w:val="num" w:pos="717"/>
        <w:tab w:val="left" w:pos="851"/>
      </w:tabs>
      <w:adjustRightInd w:val="0"/>
      <w:spacing w:before="120" w:after="120" w:line="360" w:lineRule="atLeast"/>
      <w:ind w:left="-65" w:firstLine="425"/>
      <w:jc w:val="both"/>
      <w:textAlignment w:val="baseline"/>
      <w:outlineLvl w:val="6"/>
    </w:pPr>
    <w:rPr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6</Pages>
  <Words>1129</Words>
  <Characters>7108</Characters>
  <Application>Microsoft Office Word</Application>
  <DocSecurity>0</DocSecurity>
  <Lines>0</Lines>
  <Paragraphs>0</Paragraphs>
  <ScaleCrop>false</ScaleCrop>
  <Company>MF SR</Company>
  <LinksUpToDate>false</LinksUpToDate>
  <CharactersWithSpaces>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gkrajcovicova</dc:creator>
  <cp:lastModifiedBy>gkrajcovicova</cp:lastModifiedBy>
  <cp:revision>3</cp:revision>
  <dcterms:created xsi:type="dcterms:W3CDTF">2012-07-02T09:41:00Z</dcterms:created>
  <dcterms:modified xsi:type="dcterms:W3CDTF">2012-07-04T10:43:00Z</dcterms:modified>
</cp:coreProperties>
</file>