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3B1A" w:rsidRPr="00D90B4D" w:rsidP="009D3B1A">
      <w:pPr>
        <w:autoSpaceDE w:val="0"/>
        <w:autoSpaceDN w:val="0"/>
        <w:bidi w:val="0"/>
        <w:adjustRightInd w:val="0"/>
        <w:spacing w:after="0" w:line="240" w:lineRule="auto"/>
        <w:ind w:left="3768" w:right="3773" w:hanging="168"/>
        <w:jc w:val="center"/>
        <w:rPr>
          <w:rFonts w:ascii="Times New Roman" w:hAnsi="Times New Roman"/>
          <w:b/>
          <w:sz w:val="36"/>
          <w:szCs w:val="36"/>
        </w:rPr>
      </w:pPr>
      <w:r w:rsidRPr="00D90B4D">
        <w:rPr>
          <w:rFonts w:ascii="Times New Roman" w:hAnsi="Times New Roman"/>
          <w:b/>
          <w:sz w:val="36"/>
          <w:szCs w:val="36"/>
        </w:rPr>
        <w:t>ZMLUVA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rPr>
          <w:rFonts w:ascii="Times New Roman" w:hAnsi="Times New Roman"/>
          <w:color w:val="FF0000"/>
          <w:sz w:val="36"/>
          <w:szCs w:val="36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sz w:val="36"/>
          <w:szCs w:val="36"/>
        </w:rPr>
      </w:pPr>
      <w:r w:rsidRPr="0099623D">
        <w:rPr>
          <w:rFonts w:ascii="Times New Roman" w:hAnsi="Times New Roman"/>
          <w:b/>
          <w:sz w:val="36"/>
          <w:szCs w:val="36"/>
        </w:rPr>
        <w:t xml:space="preserve">o spolupráci v oblasti ochrany svedka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tejto zmluvy, </w:t>
      </w: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B1A" w:rsidP="009D3B1A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majúc na pamäti spoluprácu medzi príslušnými ministerstvami Rakúskej republiky, Bulharskej republiky, Chorvátskej republiky, Českej republiky, Maďarska, Poľskej republiky, Rumunska, Slovenskej republiky a Slovinskej republiky v rámci Salzburského fóra, </w:t>
      </w:r>
    </w:p>
    <w:p w:rsidR="009D3B1A" w:rsidRPr="0099623D" w:rsidP="009D3B1A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sz w:val="24"/>
          <w:szCs w:val="24"/>
        </w:rPr>
        <w:t>želajúc si rozvinúť a posilniť ich spoluprácu pri ochran</w:t>
      </w:r>
      <w:r>
        <w:rPr>
          <w:rFonts w:ascii="Times New Roman" w:hAnsi="Times New Roman"/>
          <w:sz w:val="24"/>
          <w:szCs w:val="24"/>
        </w:rPr>
        <w:t>e svedka,</w:t>
      </w:r>
    </w:p>
    <w:p w:rsidR="009D3B1A" w:rsidRPr="0099623D" w:rsidP="009D3B1A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ohľadom na najlepšie modely praxe vytvorené Europolom v oblasti ochrany svedka,</w:t>
      </w:r>
    </w:p>
    <w:p w:rsidR="009D3B1A" w:rsidRPr="0099623D" w:rsidP="009D3B1A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24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sz w:val="24"/>
          <w:szCs w:val="24"/>
        </w:rPr>
        <w:t>uznávajúc bilateráln</w:t>
      </w:r>
      <w:r>
        <w:rPr>
          <w:rFonts w:ascii="Times New Roman" w:hAnsi="Times New Roman"/>
          <w:sz w:val="24"/>
          <w:szCs w:val="24"/>
        </w:rPr>
        <w:t xml:space="preserve">e a multilaterálne </w:t>
      </w:r>
      <w:r w:rsidRPr="003858F3">
        <w:rPr>
          <w:rFonts w:ascii="Times New Roman" w:hAnsi="Times New Roman"/>
          <w:sz w:val="24"/>
          <w:szCs w:val="24"/>
        </w:rPr>
        <w:t>dohody</w:t>
      </w:r>
      <w:r w:rsidRPr="0099623D">
        <w:rPr>
          <w:rFonts w:ascii="Times New Roman" w:hAnsi="Times New Roman"/>
          <w:sz w:val="24"/>
          <w:szCs w:val="24"/>
        </w:rPr>
        <w:t xml:space="preserve"> o policajnej spolupráci uzatv</w:t>
      </w:r>
      <w:r>
        <w:rPr>
          <w:rFonts w:ascii="Times New Roman" w:hAnsi="Times New Roman"/>
          <w:sz w:val="24"/>
          <w:szCs w:val="24"/>
        </w:rPr>
        <w:t>orené medzi zmluvnými stranami,</w:t>
      </w:r>
    </w:p>
    <w:p w:rsidR="009D3B1A" w:rsidRPr="0099623D" w:rsidP="009D3B1A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623D">
        <w:rPr>
          <w:rFonts w:ascii="Times New Roman" w:hAnsi="Times New Roman"/>
          <w:sz w:val="24"/>
          <w:szCs w:val="24"/>
        </w:rPr>
        <w:t>s ohľadom na vnútroštátne právne predpisy zmluvných strán a právo Európskej únie, zahŕňajúc pred</w:t>
      </w:r>
      <w:r>
        <w:rPr>
          <w:rFonts w:ascii="Times New Roman" w:hAnsi="Times New Roman"/>
          <w:sz w:val="24"/>
          <w:szCs w:val="24"/>
        </w:rPr>
        <w:t>pisy o ochrane osobných údajov,</w:t>
      </w:r>
    </w:p>
    <w:p w:rsidR="009D3B1A" w:rsidRPr="0099623D" w:rsidP="009D3B1A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24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sz w:val="24"/>
          <w:szCs w:val="24"/>
        </w:rPr>
        <w:t>s ohľadom na Dohovor Organizácie Spojených národov proti nadnárodnej organizovanej trestnej činnosti z</w:t>
      </w:r>
      <w:r>
        <w:rPr>
          <w:rFonts w:ascii="Times New Roman" w:hAnsi="Times New Roman"/>
          <w:sz w:val="24"/>
          <w:szCs w:val="24"/>
        </w:rPr>
        <w:t> roku 2000, UNTOC,</w:t>
      </w:r>
    </w:p>
    <w:p w:rsidR="009D3B1A" w:rsidRPr="0099623D" w:rsidP="009D3B1A">
      <w:pPr>
        <w:widowControl w:val="0"/>
        <w:numPr>
          <w:numId w:val="1"/>
        </w:numPr>
        <w:tabs>
          <w:tab w:val="left" w:pos="426"/>
        </w:tabs>
        <w:autoSpaceDE w:val="0"/>
        <w:autoSpaceDN w:val="0"/>
        <w:bidi w:val="0"/>
        <w:adjustRightInd w:val="0"/>
        <w:spacing w:after="24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sz w:val="24"/>
          <w:szCs w:val="24"/>
        </w:rPr>
        <w:t>odvolávajúc sa na Dohovor Organ</w:t>
      </w:r>
      <w:r>
        <w:rPr>
          <w:rFonts w:ascii="Times New Roman" w:hAnsi="Times New Roman"/>
          <w:sz w:val="24"/>
          <w:szCs w:val="24"/>
        </w:rPr>
        <w:t xml:space="preserve">izácie Spojených národov </w:t>
      </w:r>
      <w:r w:rsidRPr="0099623D">
        <w:rPr>
          <w:rFonts w:ascii="Times New Roman" w:hAnsi="Times New Roman"/>
          <w:sz w:val="24"/>
          <w:szCs w:val="24"/>
        </w:rPr>
        <w:t>proti korupcii z</w:t>
      </w:r>
      <w:r>
        <w:rPr>
          <w:rFonts w:ascii="Times New Roman" w:hAnsi="Times New Roman"/>
          <w:sz w:val="24"/>
          <w:szCs w:val="24"/>
        </w:rPr>
        <w:t> roku 2003,</w:t>
      </w:r>
      <w:r w:rsidRPr="0099623D">
        <w:rPr>
          <w:rFonts w:ascii="Times New Roman" w:hAnsi="Times New Roman"/>
          <w:sz w:val="24"/>
          <w:szCs w:val="24"/>
        </w:rPr>
        <w:t xml:space="preserve"> UNCAC</w:t>
      </w:r>
      <w:r>
        <w:rPr>
          <w:rFonts w:ascii="Times New Roman" w:hAnsi="Times New Roman"/>
          <w:sz w:val="24"/>
          <w:szCs w:val="24"/>
        </w:rPr>
        <w:t>,</w:t>
      </w:r>
    </w:p>
    <w:p w:rsidR="009D3B1A" w:rsidRPr="0099623D" w:rsidP="009D3B1A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sz w:val="24"/>
          <w:szCs w:val="24"/>
        </w:rPr>
        <w:t>s ohľadom na p</w:t>
      </w:r>
      <w:r>
        <w:rPr>
          <w:rFonts w:ascii="Times New Roman" w:hAnsi="Times New Roman"/>
          <w:sz w:val="24"/>
          <w:szCs w:val="24"/>
        </w:rPr>
        <w:t>ríslušné nástroje Rady Európy,</w:t>
      </w:r>
    </w:p>
    <w:p w:rsidR="009D3B1A" w:rsidRPr="0099623D" w:rsidP="009D3B1A">
      <w:pPr>
        <w:widowControl w:val="0"/>
        <w:numPr>
          <w:numId w:val="1"/>
        </w:numPr>
        <w:tabs>
          <w:tab w:val="left" w:pos="360"/>
        </w:tabs>
        <w:autoSpaceDE w:val="0"/>
        <w:autoSpaceDN w:val="0"/>
        <w:bidi w:val="0"/>
        <w:adjustRightInd w:val="0"/>
        <w:spacing w:after="24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623D">
        <w:rPr>
          <w:rFonts w:ascii="Times New Roman" w:hAnsi="Times New Roman"/>
          <w:sz w:val="24"/>
          <w:szCs w:val="24"/>
        </w:rPr>
        <w:t>majúc na pamäti voľný pohyb osôb v Európskej únii a výzvy, ktoré sú s ním spojené pre oblasť</w:t>
      </w:r>
      <w:r>
        <w:rPr>
          <w:rFonts w:ascii="Times New Roman" w:hAnsi="Times New Roman"/>
          <w:sz w:val="24"/>
          <w:szCs w:val="24"/>
        </w:rPr>
        <w:t xml:space="preserve"> ochrany svedka,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dohodli sa takto: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23D">
        <w:rPr>
          <w:rFonts w:ascii="Times New Roman" w:hAnsi="Times New Roman"/>
          <w:b/>
          <w:bCs/>
          <w:sz w:val="24"/>
          <w:szCs w:val="24"/>
        </w:rPr>
        <w:t>Článok 1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Účelom tejto zmluvy</w:t>
      </w:r>
      <w:r w:rsidRPr="0099623D">
        <w:rPr>
          <w:rFonts w:ascii="Times New Roman" w:hAnsi="Times New Roman"/>
          <w:sz w:val="24"/>
          <w:szCs w:val="24"/>
        </w:rPr>
        <w:t xml:space="preserve"> je rozvinúť a </w:t>
      </w:r>
      <w:r>
        <w:rPr>
          <w:rFonts w:ascii="Times New Roman" w:hAnsi="Times New Roman"/>
          <w:sz w:val="24"/>
          <w:szCs w:val="24"/>
        </w:rPr>
        <w:t>posilniť spoluprácu súvisiacu s ochranou</w:t>
      </w:r>
      <w:r w:rsidRPr="0099623D">
        <w:rPr>
          <w:rFonts w:ascii="Times New Roman" w:hAnsi="Times New Roman"/>
          <w:sz w:val="24"/>
          <w:szCs w:val="24"/>
        </w:rPr>
        <w:t xml:space="preserve"> svedka medzi zmluvnými stranami.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23D">
        <w:rPr>
          <w:rFonts w:ascii="Times New Roman" w:hAnsi="Times New Roman"/>
          <w:b/>
          <w:bCs/>
          <w:sz w:val="24"/>
          <w:szCs w:val="24"/>
        </w:rPr>
        <w:t>Článok 2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3B1A" w:rsidRPr="00F55101" w:rsidP="009D3B1A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Národné kontaktné </w:t>
      </w:r>
      <w:r w:rsidRPr="0099623D">
        <w:rPr>
          <w:rFonts w:ascii="Times New Roman" w:hAnsi="Times New Roman"/>
          <w:sz w:val="24"/>
          <w:szCs w:val="24"/>
        </w:rPr>
        <w:t>miesta zmluvných s</w:t>
      </w:r>
      <w:r>
        <w:rPr>
          <w:rFonts w:ascii="Times New Roman" w:hAnsi="Times New Roman"/>
          <w:sz w:val="24"/>
          <w:szCs w:val="24"/>
        </w:rPr>
        <w:t>trán uvedené v článku 10 </w:t>
      </w:r>
      <w:r w:rsidRPr="0099623D">
        <w:rPr>
          <w:rFonts w:ascii="Times New Roman" w:hAnsi="Times New Roman"/>
          <w:sz w:val="24"/>
          <w:szCs w:val="24"/>
        </w:rPr>
        <w:t xml:space="preserve">spolupracujú v oblasti ochrany svedka priamo na základe písomnej žiadosti. </w:t>
      </w:r>
      <w:r>
        <w:rPr>
          <w:rFonts w:ascii="Times New Roman" w:hAnsi="Times New Roman"/>
          <w:sz w:val="24"/>
          <w:szCs w:val="24"/>
        </w:rPr>
        <w:t>Pôsobnosť národných</w:t>
      </w:r>
      <w:r w:rsidRPr="00EB7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kontaktných miest sa spravuje </w:t>
      </w:r>
      <w:r w:rsidRPr="00EB7CA2">
        <w:rPr>
          <w:rFonts w:ascii="Times New Roman" w:hAnsi="Times New Roman"/>
          <w:sz w:val="24"/>
          <w:szCs w:val="24"/>
        </w:rPr>
        <w:t>vnútroštátnym</w:t>
      </w:r>
      <w:r>
        <w:rPr>
          <w:rFonts w:ascii="Times New Roman" w:hAnsi="Times New Roman"/>
          <w:sz w:val="24"/>
          <w:szCs w:val="24"/>
        </w:rPr>
        <w:t>i</w:t>
      </w:r>
      <w:r w:rsidRPr="00EB7CA2">
        <w:rPr>
          <w:rFonts w:ascii="Times New Roman" w:hAnsi="Times New Roman"/>
          <w:sz w:val="24"/>
          <w:szCs w:val="24"/>
        </w:rPr>
        <w:t xml:space="preserve"> právnym</w:t>
      </w:r>
      <w:r>
        <w:rPr>
          <w:rFonts w:ascii="Times New Roman" w:hAnsi="Times New Roman"/>
          <w:sz w:val="24"/>
          <w:szCs w:val="24"/>
        </w:rPr>
        <w:t>i predpismi</w:t>
      </w:r>
      <w:r w:rsidRPr="00EB7CA2">
        <w:rPr>
          <w:rFonts w:ascii="Times New Roman" w:hAnsi="Times New Roman"/>
          <w:sz w:val="24"/>
          <w:szCs w:val="24"/>
        </w:rPr>
        <w:t>.</w:t>
      </w:r>
    </w:p>
    <w:p w:rsidR="009D3B1A" w:rsidRPr="0099623D" w:rsidP="009D3B1A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817852" w:rsidP="009D3B1A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9623D">
        <w:rPr>
          <w:rFonts w:ascii="Times New Roman" w:hAnsi="Times New Roman"/>
          <w:sz w:val="24"/>
          <w:szCs w:val="24"/>
        </w:rPr>
        <w:t>Spolupráca zahŕňa predovšetkým premiestňovanie a ochranu osôb, výmenu informácií, administratívnu,</w:t>
      </w:r>
      <w:r>
        <w:rPr>
          <w:rFonts w:ascii="Times New Roman" w:hAnsi="Times New Roman"/>
          <w:sz w:val="24"/>
          <w:szCs w:val="24"/>
        </w:rPr>
        <w:t xml:space="preserve"> technickú a logistickú podporu a</w:t>
      </w:r>
      <w:r w:rsidRPr="0099623D">
        <w:rPr>
          <w:rFonts w:ascii="Times New Roman" w:hAnsi="Times New Roman"/>
          <w:sz w:val="24"/>
          <w:szCs w:val="24"/>
        </w:rPr>
        <w:t xml:space="preserve"> výcvik personálu útvarov ochrany svedka. </w:t>
      </w:r>
    </w:p>
    <w:p w:rsidR="009D3B1A" w:rsidRPr="0099623D" w:rsidP="009D3B1A">
      <w:pPr>
        <w:widowControl w:val="0"/>
        <w:tabs>
          <w:tab w:val="left" w:pos="37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D3B1A" w:rsidRPr="0099623D" w:rsidP="009D3B1A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Chránená osoba, ktorá sa má premiestn</w:t>
      </w:r>
      <w:r>
        <w:rPr>
          <w:rFonts w:ascii="Times New Roman" w:hAnsi="Times New Roman"/>
          <w:color w:val="000000"/>
          <w:sz w:val="24"/>
          <w:szCs w:val="24"/>
        </w:rPr>
        <w:t>iť musí byť zaradená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do národného programu ochrany žiadajúcej zmluvnej strany alebo v prípade ne</w:t>
      </w:r>
      <w:r>
        <w:rPr>
          <w:rFonts w:ascii="Times New Roman" w:hAnsi="Times New Roman"/>
          <w:color w:val="000000"/>
          <w:sz w:val="24"/>
          <w:szCs w:val="24"/>
        </w:rPr>
        <w:t xml:space="preserve">vyhnutnej potreby </w:t>
      </w:r>
      <w:r w:rsidRPr="003858F3">
        <w:rPr>
          <w:rFonts w:ascii="Times New Roman" w:hAnsi="Times New Roman"/>
          <w:color w:val="000000"/>
          <w:sz w:val="24"/>
          <w:szCs w:val="24"/>
        </w:rPr>
        <w:t>musí byť predpokladateľné,</w:t>
      </w:r>
      <w:r>
        <w:rPr>
          <w:rFonts w:ascii="Times New Roman" w:hAnsi="Times New Roman"/>
          <w:color w:val="000000"/>
          <w:sz w:val="24"/>
          <w:szCs w:val="24"/>
        </w:rPr>
        <w:t xml:space="preserve"> že táto osoba bude zaradená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do národného programu ochrany žiadajúcej zmluvnej st</w:t>
      </w:r>
      <w:r>
        <w:rPr>
          <w:rFonts w:ascii="Times New Roman" w:hAnsi="Times New Roman"/>
          <w:color w:val="000000"/>
          <w:sz w:val="24"/>
          <w:szCs w:val="24"/>
        </w:rPr>
        <w:t>rany, ak to predpokladajú vnútroštátne právne predpisy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požiadanej zmluvnej strany. </w:t>
      </w:r>
      <w:r>
        <w:rPr>
          <w:rFonts w:ascii="Times New Roman" w:hAnsi="Times New Roman"/>
          <w:color w:val="000000"/>
          <w:sz w:val="24"/>
          <w:szCs w:val="24"/>
        </w:rPr>
        <w:t>Pri 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prijímaní </w:t>
      </w:r>
      <w:r>
        <w:rPr>
          <w:rFonts w:ascii="Times New Roman" w:hAnsi="Times New Roman"/>
          <w:color w:val="000000"/>
          <w:sz w:val="24"/>
          <w:szCs w:val="24"/>
        </w:rPr>
        <w:t>podporn</w:t>
      </w:r>
      <w:r w:rsidRPr="008C540B">
        <w:rPr>
          <w:rFonts w:ascii="Times New Roman" w:hAnsi="Times New Roman"/>
          <w:color w:val="000000"/>
          <w:sz w:val="24"/>
          <w:szCs w:val="24"/>
        </w:rPr>
        <w:t>ých opatrení</w:t>
      </w:r>
      <w:r>
        <w:rPr>
          <w:rFonts w:ascii="Times New Roman" w:hAnsi="Times New Roman"/>
          <w:color w:val="000000"/>
          <w:sz w:val="24"/>
          <w:szCs w:val="24"/>
        </w:rPr>
        <w:t xml:space="preserve"> v súvislosti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s ochranou týchto osôb sa primerane uplatňujú vnútroštátne právne predpisy požiadanej zmluvnej strany. Osoba, ktorá má byť chránená ostane v národnom programe ochrany žiadajúcej zmluvnej strany.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 xml:space="preserve">Žiadajúca zmluvná strana </w:t>
      </w:r>
      <w:r>
        <w:rPr>
          <w:rFonts w:ascii="Times New Roman" w:hAnsi="Times New Roman"/>
          <w:color w:val="000000"/>
          <w:sz w:val="24"/>
          <w:szCs w:val="24"/>
        </w:rPr>
        <w:t>poskytne požiadanej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zmluvnej strane všetky nevyhnutné informácie, ktoré sú potrebné pre túto zmluvnú stranu na jej rozhodnutie.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P="009D3B1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Zaradenie ohrozenej osoby </w:t>
      </w:r>
      <w:r w:rsidRPr="00EB7CA2">
        <w:rPr>
          <w:rFonts w:ascii="Times New Roman" w:hAnsi="Times New Roman"/>
          <w:color w:val="000000"/>
          <w:sz w:val="24"/>
          <w:szCs w:val="24"/>
        </w:rPr>
        <w:t xml:space="preserve">do národného programu ochrany žiadajúcej zmluvnej strany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Pr="00EB7CA2">
        <w:rPr>
          <w:rFonts w:ascii="Times New Roman" w:hAnsi="Times New Roman"/>
          <w:color w:val="000000"/>
          <w:sz w:val="24"/>
          <w:szCs w:val="24"/>
        </w:rPr>
        <w:t xml:space="preserve"> v úplnej pôsobnosti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tejto zmluvnej strany. P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ožiadaná zmluvná strana </w:t>
      </w:r>
      <w:r>
        <w:rPr>
          <w:rFonts w:ascii="Times New Roman" w:hAnsi="Times New Roman"/>
          <w:color w:val="000000"/>
          <w:sz w:val="24"/>
          <w:szCs w:val="24"/>
        </w:rPr>
        <w:t xml:space="preserve">neprehodnocuje </w:t>
      </w:r>
      <w:r w:rsidRPr="0099623D">
        <w:rPr>
          <w:rFonts w:ascii="Times New Roman" w:hAnsi="Times New Roman"/>
          <w:color w:val="000000"/>
          <w:sz w:val="24"/>
          <w:szCs w:val="24"/>
        </w:rPr>
        <w:t>dôvody</w:t>
      </w:r>
      <w:r>
        <w:rPr>
          <w:rFonts w:ascii="Times New Roman" w:hAnsi="Times New Roman"/>
          <w:color w:val="000000"/>
          <w:sz w:val="24"/>
          <w:szCs w:val="24"/>
        </w:rPr>
        <w:t xml:space="preserve"> zaradenia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9D3B1A" w:rsidRPr="0099623D" w:rsidP="009D3B1A">
      <w:pPr>
        <w:numPr>
          <w:ilvl w:val="0"/>
          <w:numId w:val="2"/>
        </w:numPr>
        <w:tabs>
          <w:tab w:val="left" w:pos="379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 xml:space="preserve">Pre závažné dôvody a po riadnom oboznámení žiadajúcej zmluvnej strany môže požiadaná zmluvná strana ukončiť </w:t>
      </w:r>
      <w:r>
        <w:rPr>
          <w:rFonts w:ascii="Times New Roman" w:hAnsi="Times New Roman"/>
          <w:color w:val="000000"/>
          <w:sz w:val="24"/>
          <w:szCs w:val="24"/>
        </w:rPr>
        <w:t>podporn</w:t>
      </w:r>
      <w:r w:rsidRPr="008C540B">
        <w:rPr>
          <w:rFonts w:ascii="Times New Roman" w:hAnsi="Times New Roman"/>
          <w:color w:val="000000"/>
          <w:sz w:val="24"/>
          <w:szCs w:val="24"/>
        </w:rPr>
        <w:t>é opatrenia</w:t>
      </w:r>
      <w:r w:rsidRPr="0099623D">
        <w:rPr>
          <w:rFonts w:ascii="Times New Roman" w:hAnsi="Times New Roman"/>
          <w:color w:val="000000"/>
          <w:sz w:val="24"/>
          <w:szCs w:val="24"/>
        </w:rPr>
        <w:t>. V tomto prípade žiadajúca zmluvná strana prevezme dotknutú osobu.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3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bg-BG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Vzájomne dohodnuté podmienky pre premiestnenie, pomoc a ochranu osôb v</w:t>
      </w:r>
      <w:r>
        <w:rPr>
          <w:rFonts w:ascii="Times New Roman" w:hAnsi="Times New Roman"/>
          <w:color w:val="000000"/>
          <w:sz w:val="24"/>
          <w:szCs w:val="24"/>
        </w:rPr>
        <w:t xml:space="preserve"> každom </w:t>
      </w:r>
      <w:r w:rsidRPr="0099623D">
        <w:rPr>
          <w:rFonts w:ascii="Times New Roman" w:hAnsi="Times New Roman"/>
          <w:color w:val="000000"/>
          <w:sz w:val="24"/>
          <w:szCs w:val="24"/>
        </w:rPr>
        <w:t>oso</w:t>
      </w:r>
      <w:r>
        <w:rPr>
          <w:rFonts w:ascii="Times New Roman" w:hAnsi="Times New Roman"/>
          <w:color w:val="000000"/>
          <w:sz w:val="24"/>
          <w:szCs w:val="24"/>
        </w:rPr>
        <w:t>bitnom prípade sa ustanovia v osobitnom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dokumente uzatvorenom národným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kontaktným</w:t>
      </w:r>
      <w:r>
        <w:rPr>
          <w:rFonts w:ascii="Times New Roman" w:hAnsi="Times New Roman"/>
          <w:color w:val="000000"/>
          <w:sz w:val="24"/>
          <w:szCs w:val="24"/>
        </w:rPr>
        <w:t>i miesta</w:t>
      </w:r>
      <w:r w:rsidRPr="0099623D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zmluvných </w:t>
      </w:r>
      <w:r>
        <w:rPr>
          <w:rFonts w:ascii="Times New Roman" w:hAnsi="Times New Roman"/>
          <w:color w:val="000000"/>
          <w:sz w:val="24"/>
          <w:szCs w:val="24"/>
        </w:rPr>
        <w:t>strán uvedenými v článku 10 zahrnutými v takomto  osobitnom prípade</w:t>
      </w:r>
      <w:r w:rsidRPr="0099623D">
        <w:rPr>
          <w:rFonts w:ascii="Times New Roman" w:hAnsi="Times New Roman"/>
          <w:color w:val="000000"/>
          <w:sz w:val="24"/>
          <w:szCs w:val="24"/>
        </w:rPr>
        <w:t>. Významné zmeny v situácii ch</w:t>
      </w:r>
      <w:r>
        <w:rPr>
          <w:rFonts w:ascii="Times New Roman" w:hAnsi="Times New Roman"/>
          <w:color w:val="000000"/>
          <w:sz w:val="24"/>
          <w:szCs w:val="24"/>
        </w:rPr>
        <w:t>ránenej osoby sa uvedú v dodatkoch alebo v novom osobitnom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dokumente. 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5"/>
        <w:jc w:val="center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5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4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Príslušníci z národného kontaktného miesta jednej zmluvnej s</w:t>
      </w:r>
      <w:r>
        <w:rPr>
          <w:rFonts w:ascii="Times New Roman" w:hAnsi="Times New Roman"/>
          <w:color w:val="000000"/>
          <w:sz w:val="24"/>
          <w:szCs w:val="24"/>
        </w:rPr>
        <w:t>trany, konajúci podľa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>y v rámci územia druhej zmluvnej strany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podlieha</w:t>
      </w:r>
      <w:r>
        <w:rPr>
          <w:rFonts w:ascii="Times New Roman" w:hAnsi="Times New Roman"/>
          <w:color w:val="000000"/>
          <w:sz w:val="24"/>
          <w:szCs w:val="24"/>
        </w:rPr>
        <w:t>jú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pokynom vydaným národným kontaktným miest</w:t>
      </w:r>
      <w:r>
        <w:rPr>
          <w:rFonts w:ascii="Times New Roman" w:hAnsi="Times New Roman"/>
          <w:color w:val="000000"/>
          <w:sz w:val="24"/>
          <w:szCs w:val="24"/>
        </w:rPr>
        <w:t xml:space="preserve">om hostiteľskej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zmluvnej strany.  </w:t>
      </w: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4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4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5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F55101" w:rsidP="009D3B1A">
      <w:pPr>
        <w:widowControl w:val="0"/>
        <w:numPr>
          <w:ilvl w:val="0"/>
          <w:numId w:val="3"/>
        </w:numPr>
        <w:tabs>
          <w:tab w:val="left" w:pos="38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Pre nosenie zbraní, streliva a výstroje a pre použitie vozidiel príslušníkmi národného kontaktného miesta jednej zmluvnej st</w:t>
      </w:r>
      <w:r>
        <w:rPr>
          <w:rFonts w:ascii="Times New Roman" w:hAnsi="Times New Roman"/>
          <w:color w:val="000000"/>
          <w:sz w:val="24"/>
          <w:szCs w:val="24"/>
        </w:rPr>
        <w:t>rany, konajúcim podľa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>y v rámci územia druhej zmluvnej strany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sa primerane použije ustanovenie článku 19 rozhodnutia Rady 2008/615/SVV z 23. júna 2008 o zintenzívnení cezhraničnej spolupráce, najmä v boji proti terorizmu a cezhraničnej trestnej činnosti. </w:t>
      </w:r>
    </w:p>
    <w:p w:rsidR="009D3B1A" w:rsidRPr="0099623D" w:rsidP="009D3B1A">
      <w:pPr>
        <w:widowControl w:val="0"/>
        <w:tabs>
          <w:tab w:val="left" w:pos="384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Príslušníci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národného kontaktného miesta </w:t>
      </w:r>
      <w:r>
        <w:rPr>
          <w:rFonts w:ascii="Times New Roman" w:hAnsi="Times New Roman"/>
          <w:color w:val="000000"/>
          <w:sz w:val="24"/>
          <w:szCs w:val="24"/>
        </w:rPr>
        <w:t>jednej zmluvnej strany konajúci podľa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>y v rámci územia druhej zmluvnej strany môžu použiť svoje zbrane, strelivo a výstroj iba v legitímnej nutnej obrane alebo pri obrane druhých.</w:t>
      </w:r>
    </w:p>
    <w:p w:rsidR="009D3B1A" w:rsidRPr="00817852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7852">
        <w:rPr>
          <w:rFonts w:ascii="Times New Roman" w:hAnsi="Times New Roman"/>
          <w:color w:val="000000"/>
          <w:sz w:val="24"/>
          <w:szCs w:val="24"/>
        </w:rPr>
        <w:t>S cieľom zabezpečenia dôvernosti ochranných opatrení môžu príslušn</w:t>
      </w:r>
      <w:r>
        <w:rPr>
          <w:rFonts w:ascii="Times New Roman" w:hAnsi="Times New Roman"/>
          <w:color w:val="000000"/>
          <w:sz w:val="24"/>
          <w:szCs w:val="24"/>
        </w:rPr>
        <w:t>íci</w:t>
      </w:r>
      <w:r w:rsidRPr="00817852">
        <w:rPr>
          <w:rFonts w:ascii="Times New Roman" w:hAnsi="Times New Roman"/>
          <w:color w:val="000000"/>
          <w:sz w:val="24"/>
          <w:szCs w:val="24"/>
        </w:rPr>
        <w:t xml:space="preserve"> utajiť svoje </w:t>
      </w:r>
      <w:r>
        <w:rPr>
          <w:rFonts w:ascii="Times New Roman" w:hAnsi="Times New Roman"/>
          <w:color w:val="000000"/>
          <w:sz w:val="24"/>
          <w:szCs w:val="24"/>
        </w:rPr>
        <w:t>skutočné</w:t>
      </w:r>
      <w:r w:rsidRPr="00C22054">
        <w:rPr>
          <w:rFonts w:ascii="Times New Roman" w:hAnsi="Times New Roman"/>
          <w:color w:val="000000"/>
          <w:sz w:val="24"/>
          <w:szCs w:val="24"/>
        </w:rPr>
        <w:t xml:space="preserve"> totožnosti</w:t>
      </w:r>
      <w:r>
        <w:rPr>
          <w:rFonts w:ascii="Times New Roman" w:hAnsi="Times New Roman"/>
          <w:color w:val="000000"/>
          <w:sz w:val="24"/>
          <w:szCs w:val="24"/>
        </w:rPr>
        <w:t xml:space="preserve"> a vozidlá, ktoré používajú</w:t>
      </w:r>
      <w:r w:rsidRPr="0081785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D3B1A" w:rsidRPr="006F5731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F5731" w:rsidP="009D3B1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 podľa tejto zmluv</w:t>
      </w:r>
      <w:r w:rsidRPr="006F5731">
        <w:rPr>
          <w:rFonts w:ascii="Times New Roman" w:hAnsi="Times New Roman"/>
          <w:color w:val="000000"/>
          <w:sz w:val="24"/>
          <w:szCs w:val="24"/>
        </w:rPr>
        <w:t xml:space="preserve">y a na základe predchádzajúceho súhlasu príslušníci zo žiadajúcej zmluvnej strany zamýšľajú konať v rámci územia </w:t>
      </w:r>
      <w:r w:rsidRPr="00A9543C">
        <w:rPr>
          <w:rFonts w:ascii="Times New Roman" w:hAnsi="Times New Roman"/>
          <w:color w:val="000000"/>
          <w:sz w:val="24"/>
          <w:szCs w:val="24"/>
        </w:rPr>
        <w:t>druhej</w:t>
      </w:r>
      <w:r w:rsidRPr="006F5731">
        <w:rPr>
          <w:rFonts w:ascii="Times New Roman" w:hAnsi="Times New Roman"/>
          <w:color w:val="000000"/>
          <w:sz w:val="24"/>
          <w:szCs w:val="24"/>
        </w:rPr>
        <w:t xml:space="preserve"> zmluvnej strany, národné kontaktné miesto žiadajúcej zmluvnej strany poskytne vopred národnému kontaktnému miestu požiadanej zmluvnej strany nasledujúce informácie: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widowControl w:val="0"/>
        <w:numPr>
          <w:numId w:val="4"/>
        </w:numPr>
        <w:tabs>
          <w:tab w:val="left" w:pos="149"/>
        </w:tabs>
        <w:autoSpaceDE w:val="0"/>
        <w:autoSpaceDN w:val="0"/>
        <w:bidi w:val="0"/>
        <w:adjustRightInd w:val="0"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dôvod </w:t>
      </w:r>
      <w:r w:rsidRPr="0099623D">
        <w:rPr>
          <w:rFonts w:ascii="Times New Roman" w:hAnsi="Times New Roman"/>
          <w:color w:val="000000"/>
          <w:sz w:val="24"/>
          <w:szCs w:val="24"/>
        </w:rPr>
        <w:t>činnosti,</w:t>
      </w:r>
    </w:p>
    <w:p w:rsidR="009D3B1A" w:rsidRPr="0099623D" w:rsidP="009D3B1A">
      <w:pPr>
        <w:widowControl w:val="0"/>
        <w:numPr>
          <w:numId w:val="4"/>
        </w:numPr>
        <w:tabs>
          <w:tab w:val="left" w:pos="149"/>
        </w:tabs>
        <w:autoSpaceDE w:val="0"/>
        <w:autoSpaceDN w:val="0"/>
        <w:bidi w:val="0"/>
        <w:adjustRightInd w:val="0"/>
        <w:spacing w:after="12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identifikáciu príslušníkov,</w:t>
      </w:r>
    </w:p>
    <w:p w:rsidR="009D3B1A" w:rsidRPr="0099623D" w:rsidP="009D3B1A">
      <w:pPr>
        <w:widowControl w:val="0"/>
        <w:numPr>
          <w:numId w:val="4"/>
        </w:numPr>
        <w:tabs>
          <w:tab w:val="left" w:pos="149"/>
        </w:tabs>
        <w:autoSpaceDE w:val="0"/>
        <w:autoSpaceDN w:val="0"/>
        <w:bidi w:val="0"/>
        <w:adjustRightInd w:val="0"/>
        <w:spacing w:after="12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 xml:space="preserve">zbrane, strelivo a výstroj nosenú príslušníkmi, </w:t>
      </w:r>
    </w:p>
    <w:p w:rsidR="009D3B1A" w:rsidRPr="0099623D" w:rsidP="009D3B1A">
      <w:pPr>
        <w:widowControl w:val="0"/>
        <w:numPr>
          <w:numId w:val="4"/>
        </w:numPr>
        <w:tabs>
          <w:tab w:val="left" w:pos="149"/>
        </w:tabs>
        <w:autoSpaceDE w:val="0"/>
        <w:autoSpaceDN w:val="0"/>
        <w:bidi w:val="0"/>
        <w:adjustRightInd w:val="0"/>
        <w:spacing w:after="12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 xml:space="preserve">vozidlá používané príslušníkmi. </w:t>
      </w:r>
    </w:p>
    <w:p w:rsidR="009D3B1A" w:rsidRPr="0099623D" w:rsidP="009D3B1A">
      <w:pPr>
        <w:widowControl w:val="0"/>
        <w:tabs>
          <w:tab w:val="left" w:pos="149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6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V súvislosti s ochranou a pomocou, všeobecnými pravidlami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občianskoprávnej zodpovednosti, trestnoprávnej zodpovednosti a</w:t>
      </w:r>
      <w:r>
        <w:rPr>
          <w:rFonts w:ascii="Times New Roman" w:hAnsi="Times New Roman"/>
          <w:color w:val="000000"/>
          <w:sz w:val="24"/>
          <w:szCs w:val="24"/>
        </w:rPr>
        <w:t xml:space="preserve"> na </w:t>
      </w:r>
      <w:r w:rsidRPr="0099623D">
        <w:rPr>
          <w:rFonts w:ascii="Times New Roman" w:hAnsi="Times New Roman"/>
          <w:color w:val="000000"/>
          <w:sz w:val="24"/>
          <w:szCs w:val="24"/>
        </w:rPr>
        <w:t>pracovnoprávne vzťahy sa použ</w:t>
      </w:r>
      <w:r>
        <w:rPr>
          <w:rFonts w:ascii="Times New Roman" w:hAnsi="Times New Roman"/>
          <w:color w:val="000000"/>
          <w:sz w:val="24"/>
          <w:szCs w:val="24"/>
        </w:rPr>
        <w:t>ijú primerane ustanovenia článkov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20 až 23 rozhodnutia Rady 2008/615/SVV z 23. júna 2008 o zintenzívnení cezhraničnej spolupráce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najmä v boji proti terorizmu a cezhraničnej trestnej činnosti.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7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Vo vzťahu k ochrane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osobných údajov poskytovaných zmlu</w:t>
      </w:r>
      <w:r>
        <w:rPr>
          <w:rFonts w:ascii="Times New Roman" w:hAnsi="Times New Roman"/>
          <w:color w:val="000000"/>
          <w:sz w:val="24"/>
          <w:szCs w:val="24"/>
        </w:rPr>
        <w:t>vnými stranami podľa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>y sa použijú ustanovenia rámcového rozh</w:t>
      </w:r>
      <w:r>
        <w:rPr>
          <w:rFonts w:ascii="Times New Roman" w:hAnsi="Times New Roman"/>
          <w:color w:val="000000"/>
          <w:sz w:val="24"/>
          <w:szCs w:val="24"/>
        </w:rPr>
        <w:t>odnutia Rady 2008/977/SVV z 27. </w:t>
      </w:r>
      <w:r w:rsidRPr="0099623D">
        <w:rPr>
          <w:rFonts w:ascii="Times New Roman" w:hAnsi="Times New Roman"/>
          <w:color w:val="000000"/>
          <w:sz w:val="24"/>
          <w:szCs w:val="24"/>
        </w:rPr>
        <w:t>novembra 2008 o ochrane osobných údajov spracúvaných v rámci policajnej a justičnej spolupráce v trestných veciach. Každá zmluvná strana zabezpečí</w:t>
      </w:r>
      <w:r>
        <w:rPr>
          <w:rFonts w:ascii="Times New Roman" w:hAnsi="Times New Roman"/>
          <w:color w:val="000000"/>
          <w:sz w:val="24"/>
          <w:szCs w:val="24"/>
        </w:rPr>
        <w:t xml:space="preserve"> úroveň ochrany osobných údajov vo svojich vnútroštátnych právnych predpisoch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2054">
        <w:rPr>
          <w:rFonts w:ascii="Times New Roman" w:hAnsi="Times New Roman"/>
          <w:color w:val="000000"/>
          <w:sz w:val="24"/>
          <w:szCs w:val="24"/>
        </w:rPr>
        <w:t>aspoň zhodnú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s ochranou vyplývajúcou z </w:t>
      </w:r>
      <w:r w:rsidRPr="003F26C0">
        <w:rPr>
          <w:rFonts w:ascii="Times New Roman" w:hAnsi="Times New Roman"/>
          <w:color w:val="000000"/>
          <w:sz w:val="24"/>
          <w:szCs w:val="24"/>
        </w:rPr>
        <w:t>Dohovor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3F26C0">
        <w:rPr>
          <w:rFonts w:ascii="Times New Roman" w:hAnsi="Times New Roman"/>
          <w:color w:val="000000"/>
          <w:sz w:val="24"/>
          <w:szCs w:val="24"/>
        </w:rPr>
        <w:t xml:space="preserve"> Rady Európy o ochrane jednotlivcov pri automatizovanom spracúvaní osobných údajov</w:t>
      </w:r>
      <w:r>
        <w:rPr>
          <w:rFonts w:ascii="Times New Roman" w:hAnsi="Times New Roman"/>
          <w:color w:val="000000"/>
          <w:sz w:val="24"/>
          <w:szCs w:val="24"/>
        </w:rPr>
        <w:t xml:space="preserve"> z 28. januára 1981 a</w:t>
      </w:r>
      <w:r w:rsidRPr="003F26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jeho Dodatkového</w:t>
      </w:r>
      <w:r w:rsidRPr="003F26C0">
        <w:rPr>
          <w:rFonts w:ascii="Times New Roman" w:hAnsi="Times New Roman"/>
          <w:color w:val="000000"/>
          <w:sz w:val="24"/>
          <w:szCs w:val="24"/>
        </w:rPr>
        <w:t xml:space="preserve"> protokol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3F26C0">
        <w:rPr>
          <w:rFonts w:ascii="Times New Roman" w:hAnsi="Times New Roman"/>
          <w:color w:val="000000"/>
          <w:sz w:val="24"/>
          <w:szCs w:val="24"/>
        </w:rPr>
        <w:t xml:space="preserve"> z 8. novembra 2001 </w:t>
      </w:r>
      <w:r w:rsidRPr="0099623D">
        <w:rPr>
          <w:rFonts w:ascii="Times New Roman" w:hAnsi="Times New Roman"/>
          <w:color w:val="000000"/>
          <w:sz w:val="24"/>
          <w:szCs w:val="24"/>
        </w:rPr>
        <w:t>a pri takomto konaní je v</w:t>
      </w:r>
      <w:r>
        <w:rPr>
          <w:rFonts w:ascii="Times New Roman" w:hAnsi="Times New Roman"/>
          <w:color w:val="000000"/>
          <w:sz w:val="24"/>
          <w:szCs w:val="24"/>
        </w:rPr>
        <w:t xml:space="preserve">iazaná princípmi Odporúčania č. R </w:t>
      </w:r>
      <w:r w:rsidRPr="003F26C0">
        <w:rPr>
          <w:rFonts w:ascii="Times New Roman" w:hAnsi="Times New Roman"/>
          <w:color w:val="000000"/>
          <w:sz w:val="24"/>
          <w:szCs w:val="24"/>
        </w:rPr>
        <w:t xml:space="preserve">(87) 15 Výboru ministrov Rady Európy </w:t>
      </w:r>
      <w:r>
        <w:rPr>
          <w:rFonts w:ascii="Times New Roman" w:hAnsi="Times New Roman"/>
          <w:color w:val="000000"/>
          <w:sz w:val="24"/>
          <w:szCs w:val="24"/>
        </w:rPr>
        <w:t xml:space="preserve">pre členské štáty </w:t>
      </w:r>
      <w:r w:rsidRPr="003F26C0">
        <w:rPr>
          <w:rFonts w:ascii="Times New Roman" w:hAnsi="Times New Roman"/>
          <w:color w:val="000000"/>
          <w:sz w:val="24"/>
          <w:szCs w:val="24"/>
        </w:rPr>
        <w:t>zo 17. septembra 1987</w:t>
      </w:r>
      <w:r>
        <w:rPr>
          <w:rFonts w:ascii="Times New Roman" w:hAnsi="Times New Roman"/>
          <w:color w:val="000000"/>
          <w:sz w:val="24"/>
          <w:szCs w:val="24"/>
        </w:rPr>
        <w:t>, ktoré upravuje</w:t>
      </w:r>
      <w:r w:rsidRPr="003F26C0">
        <w:rPr>
          <w:rFonts w:ascii="Times New Roman" w:hAnsi="Times New Roman"/>
          <w:color w:val="000000"/>
          <w:sz w:val="24"/>
          <w:szCs w:val="24"/>
        </w:rPr>
        <w:t xml:space="preserve"> používanie osobných údajov v policajnej oblasti aj v prípadoch neautomatizovaného spracúvania údajov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9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8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 xml:space="preserve">Zmluvné strany zabezpečia úplnú dôvernosť a fyzickú ochranu </w:t>
      </w:r>
      <w:r>
        <w:rPr>
          <w:rFonts w:ascii="Times New Roman" w:hAnsi="Times New Roman"/>
          <w:color w:val="000000"/>
          <w:sz w:val="24"/>
          <w:szCs w:val="24"/>
        </w:rPr>
        <w:t>všetkých informácií poskytovaných na základe tejto zmluvy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všetkými nevyhnutnými opatrenia</w:t>
      </w:r>
      <w:r>
        <w:rPr>
          <w:rFonts w:ascii="Times New Roman" w:hAnsi="Times New Roman"/>
          <w:color w:val="000000"/>
          <w:sz w:val="24"/>
          <w:szCs w:val="24"/>
        </w:rPr>
        <w:t xml:space="preserve">mi v súlade s ich vnútroštátnymi právnymi predpismi. Utajované skutočnosti sa vymieňajú výlučne </w:t>
      </w:r>
      <w:r w:rsidRPr="0099623D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árodnými  kontaktnými miestami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zmluvných strán.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9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V osobitných prípadoch, ak je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zmluvná strana názoru, že vyhovenie žiadosti podľa </w:t>
      </w:r>
      <w:r w:rsidRPr="007D74D5">
        <w:rPr>
          <w:rFonts w:ascii="Times New Roman" w:hAnsi="Times New Roman"/>
          <w:color w:val="000000"/>
          <w:sz w:val="24"/>
          <w:szCs w:val="24"/>
        </w:rPr>
        <w:t>tejto</w:t>
      </w:r>
      <w:r>
        <w:rPr>
          <w:rFonts w:ascii="Times New Roman" w:hAnsi="Times New Roman"/>
          <w:color w:val="000000"/>
          <w:sz w:val="24"/>
          <w:szCs w:val="24"/>
        </w:rPr>
        <w:t xml:space="preserve"> zmluv</w:t>
      </w:r>
      <w:r w:rsidRPr="007D74D5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môže nepriaznivo ovplyvniť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jej </w:t>
      </w:r>
      <w:r>
        <w:rPr>
          <w:rFonts w:ascii="Times New Roman" w:hAnsi="Times New Roman"/>
          <w:color w:val="000000"/>
          <w:sz w:val="24"/>
          <w:szCs w:val="24"/>
        </w:rPr>
        <w:t>národnú bezpečnosť, verejný poriadok, záujmy štátu alebo vnútroštátne právne predpisy</w:t>
      </w:r>
      <w:r w:rsidRPr="0099623D">
        <w:rPr>
          <w:rFonts w:ascii="Times New Roman" w:hAnsi="Times New Roman"/>
          <w:color w:val="000000"/>
          <w:sz w:val="24"/>
          <w:szCs w:val="24"/>
        </w:rPr>
        <w:t>, môže táto zmluvná strana odmietnuť spoluprácu úplne alebo čiastočne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alebo podmieniť spoluprácu osobitnými podmienkami, pričom dodržiava ostatné záväzky </w:t>
      </w:r>
      <w:r>
        <w:rPr>
          <w:rFonts w:ascii="Times New Roman" w:hAnsi="Times New Roman"/>
          <w:color w:val="000000"/>
          <w:sz w:val="24"/>
          <w:szCs w:val="24"/>
        </w:rPr>
        <w:t>medzinárodnej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spolupráce.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10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3B1A" w:rsidRPr="00F55101" w:rsidP="009D3B1A">
      <w:pPr>
        <w:widowControl w:val="0"/>
        <w:tabs>
          <w:tab w:val="left" w:pos="379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9623D">
        <w:rPr>
          <w:rFonts w:ascii="Times New Roman" w:hAnsi="Times New Roman"/>
          <w:color w:val="000000"/>
          <w:sz w:val="24"/>
          <w:szCs w:val="24"/>
        </w:rPr>
        <w:t>Pre úč</w:t>
      </w:r>
      <w:r>
        <w:rPr>
          <w:rFonts w:ascii="Times New Roman" w:hAnsi="Times New Roman"/>
          <w:color w:val="000000"/>
          <w:sz w:val="24"/>
          <w:szCs w:val="24"/>
        </w:rPr>
        <w:t>ely spolupráce podľa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y určí každá zmluvná strana národné kontaktné miesto pri </w:t>
      </w:r>
      <w:r>
        <w:rPr>
          <w:rFonts w:ascii="Times New Roman" w:hAnsi="Times New Roman"/>
          <w:color w:val="000000"/>
          <w:sz w:val="24"/>
          <w:szCs w:val="24"/>
        </w:rPr>
        <w:t xml:space="preserve">uložení ratifikačnej listiny, listiny o prijatí, súhlase alebo prístupe v súlade s článkom 15 alebo 16.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Toto národné kontaktné miesto má byť útvar, ktorý </w:t>
      </w:r>
      <w:r>
        <w:rPr>
          <w:rFonts w:ascii="Times New Roman" w:hAnsi="Times New Roman"/>
          <w:color w:val="000000"/>
          <w:sz w:val="24"/>
          <w:szCs w:val="24"/>
        </w:rPr>
        <w:t>uskutočňuje národný program ochrany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11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F55101" w:rsidP="009D3B1A">
      <w:pPr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Žiadajúca zmluvná strana </w:t>
      </w:r>
      <w:r w:rsidRPr="0099623D">
        <w:rPr>
          <w:rFonts w:ascii="Times New Roman" w:hAnsi="Times New Roman"/>
          <w:color w:val="000000"/>
          <w:sz w:val="24"/>
          <w:szCs w:val="24"/>
        </w:rPr>
        <w:t>hradí náklady na býv</w:t>
      </w:r>
      <w:r>
        <w:rPr>
          <w:rFonts w:ascii="Times New Roman" w:hAnsi="Times New Roman"/>
          <w:color w:val="000000"/>
          <w:sz w:val="24"/>
          <w:szCs w:val="24"/>
        </w:rPr>
        <w:t>anie alebo iné opatrenia požadované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touto zmluvnou stranou</w:t>
      </w:r>
      <w:r>
        <w:rPr>
          <w:rFonts w:ascii="Times New Roman" w:hAnsi="Times New Roman"/>
          <w:color w:val="000000"/>
          <w:sz w:val="24"/>
          <w:szCs w:val="24"/>
        </w:rPr>
        <w:t xml:space="preserve"> pre chránené osoby. Požiadaná zmluvná strana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hradí výdavky na personálne a materiálne zdroje pre ochranu týchto osôb. </w:t>
      </w:r>
    </w:p>
    <w:p w:rsidR="009D3B1A" w:rsidRPr="0099623D" w:rsidP="009D3B1A">
      <w:pPr>
        <w:widowControl w:val="0"/>
        <w:tabs>
          <w:tab w:val="left" w:pos="374"/>
        </w:tabs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Každá zmluvná strana </w:t>
      </w:r>
      <w:r w:rsidRPr="0099623D">
        <w:rPr>
          <w:rFonts w:ascii="Times New Roman" w:hAnsi="Times New Roman"/>
          <w:color w:val="000000"/>
          <w:sz w:val="24"/>
          <w:szCs w:val="24"/>
        </w:rPr>
        <w:t>hradí ostatné náklady</w:t>
      </w:r>
      <w:r>
        <w:rPr>
          <w:rFonts w:ascii="Times New Roman" w:hAnsi="Times New Roman"/>
          <w:color w:val="000000"/>
          <w:sz w:val="24"/>
          <w:szCs w:val="24"/>
        </w:rPr>
        <w:t xml:space="preserve"> vzniknuté vlastným orgánom pri vykonávaní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y. </w:t>
      </w:r>
    </w:p>
    <w:p w:rsidR="009D3B1A" w:rsidRPr="0099623D" w:rsidP="009D3B1A">
      <w:pPr>
        <w:widowControl w:val="0"/>
        <w:tabs>
          <w:tab w:val="left" w:pos="37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99623D" w:rsidP="009D3B1A">
      <w:pPr>
        <w:widowControl w:val="0"/>
        <w:numPr>
          <w:ilvl w:val="0"/>
          <w:numId w:val="5"/>
        </w:numPr>
        <w:tabs>
          <w:tab w:val="left" w:pos="37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V špeciálnych prípadoch môžu dotknuté národné kontaktné miesta dohodn</w:t>
      </w:r>
      <w:r>
        <w:rPr>
          <w:rFonts w:ascii="Times New Roman" w:hAnsi="Times New Roman"/>
          <w:color w:val="000000"/>
          <w:sz w:val="24"/>
          <w:szCs w:val="24"/>
        </w:rPr>
        <w:t>úť v osobitnom dokumente v súlade s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článk</w:t>
      </w:r>
      <w:r>
        <w:rPr>
          <w:rFonts w:ascii="Times New Roman" w:hAnsi="Times New Roman"/>
          <w:color w:val="000000"/>
          <w:sz w:val="24"/>
          <w:szCs w:val="24"/>
        </w:rPr>
        <w:t>om 3 odlišnú úpravu týkajúcu sa hradenia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nákladov. </w:t>
      </w: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38"/>
        <w:jc w:val="center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3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12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99623D" w:rsidP="009D3B1A">
      <w:pPr>
        <w:numPr>
          <w:numId w:val="9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Ustanovenia tejto zmluv</w:t>
      </w:r>
      <w:r w:rsidRPr="0099623D">
        <w:rPr>
          <w:rFonts w:ascii="Times New Roman" w:hAnsi="Times New Roman"/>
          <w:sz w:val="24"/>
          <w:szCs w:val="24"/>
        </w:rPr>
        <w:t>y sa uplatňujú medzi členskými štátmi Európskej únie iba v takom rozsahu, v akom sú zlučiteľné s právom Európskej únie. Ak Európska únia v budúcnosti zavedie úpravy</w:t>
      </w:r>
      <w:r>
        <w:rPr>
          <w:rFonts w:ascii="Times New Roman" w:hAnsi="Times New Roman"/>
          <w:sz w:val="24"/>
          <w:szCs w:val="24"/>
        </w:rPr>
        <w:t xml:space="preserve"> ovplyvňujúce rozsah tejto zmluv</w:t>
      </w:r>
      <w:r w:rsidRPr="0099623D">
        <w:rPr>
          <w:rFonts w:ascii="Times New Roman" w:hAnsi="Times New Roman"/>
          <w:sz w:val="24"/>
          <w:szCs w:val="24"/>
        </w:rPr>
        <w:t>y, právo Európskej únie bude mať prednosť pred uplatňovaním pr</w:t>
      </w:r>
      <w:r>
        <w:rPr>
          <w:rFonts w:ascii="Times New Roman" w:hAnsi="Times New Roman"/>
          <w:sz w:val="24"/>
          <w:szCs w:val="24"/>
        </w:rPr>
        <w:t>íslušných ustanovení tejto zmluv</w:t>
      </w:r>
      <w:r w:rsidRPr="0099623D">
        <w:rPr>
          <w:rFonts w:ascii="Times New Roman" w:hAnsi="Times New Roman"/>
          <w:sz w:val="24"/>
          <w:szCs w:val="24"/>
        </w:rPr>
        <w:t xml:space="preserve">y.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widowControl w:val="0"/>
        <w:numPr>
          <w:numId w:val="9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Táto zmluv</w:t>
      </w:r>
      <w:r w:rsidRPr="0099623D">
        <w:rPr>
          <w:rFonts w:ascii="Times New Roman" w:hAnsi="Times New Roman"/>
          <w:sz w:val="24"/>
          <w:szCs w:val="24"/>
          <w:lang w:eastAsia="bg-BG"/>
        </w:rPr>
        <w:t xml:space="preserve">a neovplyvňuje práva a záväzky podľa </w:t>
      </w:r>
      <w:r>
        <w:rPr>
          <w:rFonts w:ascii="Times New Roman" w:hAnsi="Times New Roman"/>
          <w:sz w:val="24"/>
          <w:szCs w:val="24"/>
          <w:lang w:eastAsia="bg-BG"/>
        </w:rPr>
        <w:t xml:space="preserve">akýchkoľvek </w:t>
      </w:r>
      <w:r w:rsidRPr="0099623D">
        <w:rPr>
          <w:rFonts w:ascii="Times New Roman" w:hAnsi="Times New Roman"/>
          <w:sz w:val="24"/>
          <w:szCs w:val="24"/>
          <w:lang w:eastAsia="bg-BG"/>
        </w:rPr>
        <w:t>existujúcich bilaterálnych a</w:t>
      </w:r>
      <w:r>
        <w:rPr>
          <w:rFonts w:ascii="Times New Roman" w:hAnsi="Times New Roman"/>
          <w:sz w:val="24"/>
          <w:szCs w:val="24"/>
          <w:lang w:eastAsia="bg-BG"/>
        </w:rPr>
        <w:t>lebo</w:t>
      </w:r>
      <w:r w:rsidRPr="0099623D">
        <w:rPr>
          <w:rFonts w:ascii="Times New Roman" w:hAnsi="Times New Roman"/>
          <w:sz w:val="24"/>
          <w:szCs w:val="24"/>
          <w:lang w:eastAsia="bg-BG"/>
        </w:rPr>
        <w:t xml:space="preserve"> multilaterálnych dohôd medzi zmluvnými stranami.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13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Na žiadosť ktorejkoľvek zmluvnej strany v</w:t>
      </w:r>
      <w:r>
        <w:rPr>
          <w:rFonts w:ascii="Times New Roman" w:hAnsi="Times New Roman"/>
          <w:color w:val="000000"/>
          <w:sz w:val="24"/>
          <w:szCs w:val="24"/>
        </w:rPr>
        <w:t>yhodnotí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spolo</w:t>
      </w:r>
      <w:r>
        <w:rPr>
          <w:rFonts w:ascii="Times New Roman" w:hAnsi="Times New Roman"/>
          <w:color w:val="000000"/>
          <w:sz w:val="24"/>
          <w:szCs w:val="24"/>
        </w:rPr>
        <w:t>čná pracovná skupina zložená zo 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zástupcov zmluvných strán </w:t>
      </w:r>
      <w:r>
        <w:rPr>
          <w:rFonts w:ascii="Times New Roman" w:hAnsi="Times New Roman"/>
          <w:color w:val="000000"/>
          <w:sz w:val="24"/>
          <w:szCs w:val="24"/>
        </w:rPr>
        <w:t>vykonávanie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>y a id</w:t>
      </w:r>
      <w:r>
        <w:rPr>
          <w:rFonts w:ascii="Times New Roman" w:hAnsi="Times New Roman"/>
          <w:color w:val="000000"/>
          <w:sz w:val="24"/>
          <w:szCs w:val="24"/>
        </w:rPr>
        <w:t>entifikuje akúkoľvek potrebu na </w:t>
      </w:r>
      <w:r w:rsidRPr="0099623D">
        <w:rPr>
          <w:rFonts w:ascii="Times New Roman" w:hAnsi="Times New Roman"/>
          <w:color w:val="000000"/>
          <w:sz w:val="24"/>
          <w:szCs w:val="24"/>
        </w:rPr>
        <w:t>zmeny a</w:t>
      </w:r>
      <w:r>
        <w:rPr>
          <w:rFonts w:ascii="Times New Roman" w:hAnsi="Times New Roman"/>
          <w:color w:val="000000"/>
          <w:sz w:val="24"/>
          <w:szCs w:val="24"/>
        </w:rPr>
        <w:t>lebo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 doplnenia. </w:t>
      </w: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14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D3B1A" w:rsidRPr="0099623D" w:rsidP="009D3B1A">
      <w:pPr>
        <w:widowControl w:val="0"/>
        <w:numPr>
          <w:ilvl w:val="0"/>
          <w:numId w:val="6"/>
        </w:numPr>
        <w:tabs>
          <w:tab w:val="left" w:pos="360"/>
          <w:tab w:val="left" w:pos="3225"/>
          <w:tab w:val="left" w:leader="dot" w:pos="3730"/>
        </w:tabs>
        <w:autoSpaceDE w:val="0"/>
        <w:autoSpaceDN w:val="0"/>
        <w:bidi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bg-BG"/>
        </w:rPr>
      </w:pPr>
      <w:r w:rsidRPr="00DB0F3E">
        <w:rPr>
          <w:rFonts w:ascii="Times New Roman" w:hAnsi="Times New Roman"/>
          <w:color w:val="000000"/>
          <w:sz w:val="24"/>
          <w:szCs w:val="24"/>
        </w:rPr>
        <w:t>Vláda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2054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lovinskej republiky je depozitárom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y. </w:t>
      </w:r>
    </w:p>
    <w:p w:rsidR="009D3B1A" w:rsidRPr="0099623D" w:rsidP="009D3B1A">
      <w:pPr>
        <w:widowControl w:val="0"/>
        <w:tabs>
          <w:tab w:val="left" w:pos="102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99623D">
        <w:rPr>
          <w:rFonts w:ascii="Times New Roman" w:hAnsi="Times New Roman"/>
          <w:b/>
          <w:sz w:val="24"/>
          <w:szCs w:val="24"/>
          <w:lang w:eastAsia="zh-CN"/>
        </w:rPr>
        <w:tab/>
      </w:r>
    </w:p>
    <w:p w:rsidR="009D3B1A" w:rsidP="009D3B1A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9623D">
        <w:rPr>
          <w:rFonts w:ascii="Times New Roman" w:hAnsi="Times New Roman"/>
          <w:sz w:val="24"/>
          <w:szCs w:val="24"/>
          <w:lang w:eastAsia="zh-CN"/>
        </w:rPr>
        <w:t>Depozitár bezodkladne oznámi zmluvným stranám</w:t>
      </w:r>
      <w:r>
        <w:rPr>
          <w:rFonts w:ascii="Times New Roman" w:hAnsi="Times New Roman"/>
          <w:sz w:val="24"/>
          <w:szCs w:val="24"/>
          <w:lang w:eastAsia="zh-CN"/>
        </w:rPr>
        <w:t xml:space="preserve"> ratifikácie, prijatia, súhlasy, prístupy </w:t>
      </w:r>
      <w:r w:rsidRPr="0099623D">
        <w:rPr>
          <w:rFonts w:ascii="Times New Roman" w:hAnsi="Times New Roman"/>
          <w:sz w:val="24"/>
          <w:szCs w:val="24"/>
          <w:lang w:eastAsia="zh-CN"/>
        </w:rPr>
        <w:t>a iné vy</w:t>
      </w:r>
      <w:r>
        <w:rPr>
          <w:rFonts w:ascii="Times New Roman" w:hAnsi="Times New Roman"/>
          <w:sz w:val="24"/>
          <w:szCs w:val="24"/>
          <w:lang w:eastAsia="zh-CN"/>
        </w:rPr>
        <w:t>hlásenia týkajúce sa tejto zmluv</w:t>
      </w:r>
      <w:r w:rsidRPr="0099623D">
        <w:rPr>
          <w:rFonts w:ascii="Times New Roman" w:hAnsi="Times New Roman"/>
          <w:sz w:val="24"/>
          <w:szCs w:val="24"/>
          <w:lang w:eastAsia="zh-CN"/>
        </w:rPr>
        <w:t xml:space="preserve">y. </w:t>
      </w:r>
    </w:p>
    <w:p w:rsidR="009D3B1A" w:rsidRPr="0099623D" w:rsidP="009D3B1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RPr="003858F3" w:rsidP="009D3B1A">
      <w:pPr>
        <w:numPr>
          <w:ilvl w:val="0"/>
          <w:numId w:val="6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Depozitár zašle overenú kópiu tejto zmluv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y každému signatárovi a sekretariátu Spojených národov pre registráciu a uverejnenie v súlade s článkom 102 Charty Spojených národov. </w:t>
      </w: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5"/>
        <w:jc w:val="center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5"/>
        <w:jc w:val="center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15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D3B1A" w:rsidP="009D3B1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(1)</w:t>
        <w:tab/>
        <w:t>Táto zmluv</w:t>
      </w:r>
      <w:r w:rsidRPr="0099623D">
        <w:rPr>
          <w:rFonts w:ascii="Times New Roman" w:hAnsi="Times New Roman"/>
          <w:sz w:val="24"/>
          <w:szCs w:val="24"/>
          <w:lang w:eastAsia="zh-CN"/>
        </w:rPr>
        <w:t>a nadobudne platnosť prvým dňom d</w:t>
      </w:r>
      <w:r>
        <w:rPr>
          <w:rFonts w:ascii="Times New Roman" w:hAnsi="Times New Roman"/>
          <w:sz w:val="24"/>
          <w:szCs w:val="24"/>
          <w:lang w:eastAsia="zh-CN"/>
        </w:rPr>
        <w:t>ruhého mesiaca nasledujúceho po  uložení</w:t>
      </w:r>
      <w:r w:rsidRPr="00DB0F3E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druhej ratifikačnej listiny, listiny o prijatí alebo súhlase medzi dvoma ratifikujúcimi zmluvnými stranami. Vo </w:t>
      </w:r>
      <w:r w:rsidRPr="0099623D">
        <w:rPr>
          <w:rFonts w:ascii="Times New Roman" w:hAnsi="Times New Roman"/>
          <w:sz w:val="24"/>
          <w:szCs w:val="24"/>
          <w:lang w:eastAsia="zh-CN"/>
        </w:rPr>
        <w:t>vzťahu k osta</w:t>
      </w:r>
      <w:r>
        <w:rPr>
          <w:rFonts w:ascii="Times New Roman" w:hAnsi="Times New Roman"/>
          <w:sz w:val="24"/>
          <w:szCs w:val="24"/>
          <w:lang w:eastAsia="zh-CN"/>
        </w:rPr>
        <w:t>tným zmluvným stranám táto zmluv</w:t>
      </w:r>
      <w:r w:rsidRPr="0099623D">
        <w:rPr>
          <w:rFonts w:ascii="Times New Roman" w:hAnsi="Times New Roman"/>
          <w:sz w:val="24"/>
          <w:szCs w:val="24"/>
          <w:lang w:eastAsia="zh-CN"/>
        </w:rPr>
        <w:t>a nadobudne platnosť prvým dňom druhého mesiaca n</w:t>
      </w:r>
      <w:r>
        <w:rPr>
          <w:rFonts w:ascii="Times New Roman" w:hAnsi="Times New Roman"/>
          <w:sz w:val="24"/>
          <w:szCs w:val="24"/>
          <w:lang w:eastAsia="zh-CN"/>
        </w:rPr>
        <w:t xml:space="preserve">asledujúceho po uložení ich ratifikačnej listiny, listiny o prijatí alebo súhlase. </w:t>
      </w:r>
    </w:p>
    <w:p w:rsidR="009D3B1A" w:rsidRPr="0099623D" w:rsidP="009D3B1A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D3B1A" w:rsidRPr="00DB0F3E" w:rsidP="009D3B1A">
      <w:pPr>
        <w:numPr>
          <w:numId w:val="10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0F3E">
        <w:rPr>
          <w:rFonts w:ascii="Times New Roman" w:hAnsi="Times New Roman"/>
          <w:color w:val="000000"/>
          <w:sz w:val="24"/>
          <w:szCs w:val="24"/>
        </w:rPr>
        <w:t>Depozitár oznámi všetkým zmluvným stranám dátum nadobudnutia platnosti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B0F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D3B1A" w:rsidP="009D3B1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16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D3B1A" w:rsidRPr="00F55101" w:rsidP="009D3B1A">
      <w:pPr>
        <w:widowControl w:val="0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Táto zmluva je otvorená na prístup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všetkým členským štátom Európskej únie a iným štátom uplatňujúcim schengenské acquis. Depozitár zašle overenú kópiu zmluv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y každému pristupujúcemu štátu. </w:t>
      </w:r>
    </w:p>
    <w:p w:rsidR="009D3B1A" w:rsidRPr="0099623D" w:rsidP="009D3B1A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istina o prístupe sa uloží u depozitára. </w:t>
      </w:r>
    </w:p>
    <w:p w:rsidR="009D3B1A" w:rsidRPr="0099623D" w:rsidP="009D3B1A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D3B1A" w:rsidRPr="003858F3" w:rsidP="009D3B1A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>Táto zmluv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a nadobudne platnosť pre akýkoľvek pristupujúci štát prvým dňom </w:t>
      </w:r>
      <w:r>
        <w:rPr>
          <w:rFonts w:ascii="Times New Roman" w:hAnsi="Times New Roman"/>
          <w:color w:val="000000"/>
          <w:sz w:val="24"/>
          <w:szCs w:val="24"/>
        </w:rPr>
        <w:t xml:space="preserve">druhého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mesiaca nasledujúceho po uložení </w:t>
      </w:r>
      <w:r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listiny o prístupe.  </w:t>
      </w:r>
    </w:p>
    <w:p w:rsidR="009D3B1A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23D">
        <w:rPr>
          <w:rFonts w:ascii="Times New Roman" w:hAnsi="Times New Roman"/>
          <w:b/>
          <w:bCs/>
          <w:color w:val="000000"/>
          <w:sz w:val="24"/>
          <w:szCs w:val="24"/>
        </w:rPr>
        <w:t>Článok 17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9D3B1A" w:rsidRPr="0099623D" w:rsidP="009D3B1A">
      <w:p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bg-BG"/>
        </w:rPr>
      </w:pPr>
      <w:r w:rsidRPr="0099623D">
        <w:rPr>
          <w:rFonts w:ascii="Times New Roman" w:hAnsi="Times New Roman"/>
          <w:color w:val="000000"/>
          <w:sz w:val="24"/>
          <w:szCs w:val="24"/>
          <w:lang w:eastAsia="bg-BG"/>
        </w:rPr>
        <w:t>(1)</w:t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Táto zmluv</w:t>
      </w:r>
      <w:r w:rsidRPr="0099623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a sa uzatvára na neurčitý čas. </w:t>
      </w:r>
    </w:p>
    <w:p w:rsidR="009D3B1A" w:rsidRPr="0099623D" w:rsidP="009D3B1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9623D">
        <w:rPr>
          <w:rFonts w:ascii="Times New Roman" w:hAnsi="Times New Roman"/>
          <w:color w:val="000000"/>
          <w:sz w:val="24"/>
          <w:szCs w:val="24"/>
          <w:lang w:eastAsia="bg-BG"/>
        </w:rPr>
        <w:t>(2)</w:t>
        <w:tab/>
        <w:t xml:space="preserve">Každá zmluvná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strana môže vypovedať túto zmluv</w:t>
      </w:r>
      <w:r w:rsidRPr="0099623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u diplomatickou cestou písomným oznámením depozitárovi. </w:t>
      </w:r>
    </w:p>
    <w:p w:rsidR="009D3B1A" w:rsidRPr="0099623D" w:rsidP="009D3B1A">
      <w:p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3B1A" w:rsidP="009D3B1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right="2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 xml:space="preserve">Výpoveď nadobúda účinnosť šesť mesiacov odo dňa, v ktorom depozitár prijal oznámenie. </w:t>
      </w:r>
    </w:p>
    <w:p w:rsidR="009D3B1A" w:rsidRPr="0099623D" w:rsidP="009D3B1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709" w:right="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99623D" w:rsidP="009D3B1A">
      <w:pPr>
        <w:widowControl w:val="0"/>
        <w:numPr>
          <w:ilvl w:val="0"/>
          <w:numId w:val="8"/>
        </w:numPr>
        <w:tabs>
          <w:tab w:val="left" w:pos="370"/>
        </w:tabs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Ak národné kontaktné miesto vypovedajúcej zmluvnej strany uza</w:t>
      </w:r>
      <w:r>
        <w:rPr>
          <w:rFonts w:ascii="Times New Roman" w:hAnsi="Times New Roman"/>
          <w:color w:val="000000"/>
          <w:sz w:val="24"/>
          <w:szCs w:val="24"/>
        </w:rPr>
        <w:t>tvorilo osobitné  dokumenty v súlade s článkom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3,</w:t>
      </w:r>
      <w:r>
        <w:rPr>
          <w:rFonts w:ascii="Times New Roman" w:hAnsi="Times New Roman"/>
          <w:color w:val="000000"/>
          <w:sz w:val="24"/>
          <w:szCs w:val="24"/>
        </w:rPr>
        <w:t xml:space="preserve"> tieto osobitné dokumenty ostanú účinné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pokým národné kontaktné miesta dotknutých zmluvných strán </w:t>
      </w:r>
      <w:r>
        <w:rPr>
          <w:rFonts w:ascii="Times New Roman" w:hAnsi="Times New Roman"/>
          <w:color w:val="000000"/>
          <w:sz w:val="24"/>
          <w:szCs w:val="24"/>
        </w:rPr>
        <w:t>neukončia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spoluprácu podľa </w:t>
      </w:r>
      <w:r>
        <w:rPr>
          <w:rFonts w:ascii="Times New Roman" w:hAnsi="Times New Roman"/>
          <w:color w:val="000000"/>
          <w:sz w:val="24"/>
          <w:szCs w:val="24"/>
        </w:rPr>
        <w:t xml:space="preserve">príslušného 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osobitného dokumentu vzájomnou dohodou, </w:t>
      </w:r>
      <w:r>
        <w:rPr>
          <w:rFonts w:ascii="Times New Roman" w:hAnsi="Times New Roman"/>
          <w:color w:val="000000"/>
          <w:sz w:val="24"/>
          <w:szCs w:val="24"/>
        </w:rPr>
        <w:t>berúc plne na vedomie bezpečnosť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osôb</w:t>
      </w:r>
      <w:r>
        <w:rPr>
          <w:rFonts w:ascii="Times New Roman" w:hAnsi="Times New Roman"/>
          <w:color w:val="000000"/>
          <w:sz w:val="24"/>
          <w:szCs w:val="24"/>
        </w:rPr>
        <w:t>, ktoré majú byť chránené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v týchto osobitných prípadoch. 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623D">
        <w:rPr>
          <w:rFonts w:ascii="Times New Roman" w:hAnsi="Times New Roman"/>
          <w:color w:val="000000"/>
          <w:sz w:val="24"/>
          <w:szCs w:val="24"/>
        </w:rPr>
        <w:t>Dané 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DC3">
        <w:rPr>
          <w:rFonts w:ascii="Times New Roman" w:hAnsi="Times New Roman"/>
          <w:color w:val="000000"/>
          <w:sz w:val="24"/>
          <w:szCs w:val="24"/>
        </w:rPr>
        <w:t>Štiříne</w:t>
      </w:r>
      <w:r>
        <w:rPr>
          <w:rFonts w:ascii="Times New Roman" w:hAnsi="Times New Roman"/>
          <w:color w:val="000000"/>
          <w:sz w:val="24"/>
          <w:szCs w:val="24"/>
        </w:rPr>
        <w:t xml:space="preserve"> dňa 25.mája 2012 v jednom</w:t>
      </w:r>
      <w:r w:rsidRPr="0099623D">
        <w:rPr>
          <w:rFonts w:ascii="Times New Roman" w:hAnsi="Times New Roman"/>
          <w:color w:val="000000"/>
          <w:sz w:val="24"/>
          <w:szCs w:val="24"/>
        </w:rPr>
        <w:t xml:space="preserve"> vyhotovení v anglickom jazyku. 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Rakúsku republiku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Johanna Mikl-Leitner, ministerka vnútra v. r. 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Bulharskú republiku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Tsvetan Tsvetanov, podpredseda vlády a minister vnútra v. r.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Chorvátsku republiku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Ranko Osvojić, minister vnútra v. r.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Českú republiku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Jan Kubice, minister vnútra v. r.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Maďarsko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Sándor Pintér, minister vnútra v. r.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Rumunsko</w:t>
      </w: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Marian Tutilescu, riaditeľ odboru schengenu, európskych záležitostí a medzinárodných vzťahov ministerstva vnútra v. r. 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Slovenskú republiku</w:t>
      </w: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Jozef Buček, štátny tajomník ministerstva vnútra v. r. 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6634C2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4C2">
        <w:rPr>
          <w:rFonts w:ascii="Times New Roman" w:hAnsi="Times New Roman"/>
          <w:b/>
          <w:color w:val="000000"/>
          <w:sz w:val="24"/>
          <w:szCs w:val="24"/>
        </w:rPr>
        <w:t>Za Slovinskú republiku</w:t>
      </w:r>
    </w:p>
    <w:p w:rsidR="009D3B1A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B1A" w:rsidRPr="003858F3" w:rsidP="009D3B1A">
      <w:pPr>
        <w:tabs>
          <w:tab w:val="left" w:leader="dot" w:pos="2381"/>
          <w:tab w:val="left" w:leader="dot" w:pos="4200"/>
          <w:tab w:val="left" w:pos="433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Vinko Gorenak, minister vnútra v. r.</w:t>
      </w:r>
    </w:p>
    <w:p w:rsidR="0031026D">
      <w:pPr>
        <w:bidi w:val="0"/>
      </w:pPr>
    </w:p>
    <w:sectPr w:rsidSect="0099623D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D689C6"/>
    <w:lvl w:ilvl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07FF0025"/>
    <w:multiLevelType w:val="singleLevel"/>
    <w:tmpl w:val="38407DBA"/>
    <w:lvl w:ilvl="0">
      <w:start w:val="3"/>
      <w:numFmt w:val="decimal"/>
      <w:lvlText w:val="(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  <w:rtl w:val="0"/>
        <w:cs w:val="0"/>
      </w:rPr>
    </w:lvl>
  </w:abstractNum>
  <w:abstractNum w:abstractNumId="2">
    <w:nsid w:val="13264630"/>
    <w:multiLevelType w:val="singleLevel"/>
    <w:tmpl w:val="07F47CBE"/>
    <w:lvl w:ilvl="0">
      <w:start w:val="1"/>
      <w:numFmt w:val="decimal"/>
      <w:lvlText w:val="(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rtl w:val="0"/>
        <w:cs w:val="0"/>
      </w:rPr>
    </w:lvl>
  </w:abstractNum>
  <w:abstractNum w:abstractNumId="3">
    <w:nsid w:val="3E58745A"/>
    <w:multiLevelType w:val="hybridMultilevel"/>
    <w:tmpl w:val="8E88900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52F5A46"/>
    <w:multiLevelType w:val="singleLevel"/>
    <w:tmpl w:val="29F02A4A"/>
    <w:lvl w:ilvl="0">
      <w:start w:val="1"/>
      <w:numFmt w:val="decimal"/>
      <w:lvlText w:val="(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  <w:rtl w:val="0"/>
        <w:cs w:val="0"/>
      </w:rPr>
    </w:lvl>
  </w:abstractNum>
  <w:abstractNum w:abstractNumId="5">
    <w:nsid w:val="48FB1439"/>
    <w:multiLevelType w:val="hybridMultilevel"/>
    <w:tmpl w:val="F0BC085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99B3C6C"/>
    <w:multiLevelType w:val="singleLevel"/>
    <w:tmpl w:val="88D2454C"/>
    <w:lvl w:ilvl="0">
      <w:start w:val="1"/>
      <w:numFmt w:val="decimal"/>
      <w:lvlText w:val="(%1)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  <w:color w:val="auto"/>
        <w:rtl w:val="0"/>
        <w:cs w:val="0"/>
      </w:rPr>
    </w:lvl>
  </w:abstractNum>
  <w:abstractNum w:abstractNumId="7">
    <w:nsid w:val="71BC013B"/>
    <w:multiLevelType w:val="singleLevel"/>
    <w:tmpl w:val="9C249B0C"/>
    <w:lvl w:ilvl="0">
      <w:start w:val="1"/>
      <w:numFmt w:val="decimal"/>
      <w:lvlText w:val="(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rtl w:val="0"/>
        <w:cs w:val="0"/>
        <w:lang w:val="en-GB" w:eastAsia="x-none"/>
      </w:rPr>
    </w:lvl>
  </w:abstractNum>
  <w:abstractNum w:abstractNumId="8">
    <w:nsid w:val="7A54443D"/>
    <w:multiLevelType w:val="singleLevel"/>
    <w:tmpl w:val="A1EA1FF2"/>
    <w:lvl w:ilvl="0">
      <w:start w:val="1"/>
      <w:numFmt w:val="decimal"/>
      <w:lvlText w:val="(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rtl w:val="0"/>
        <w:cs w:val="0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start w:val="0"/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3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D3B1A"/>
    <w:rsid w:val="0031026D"/>
    <w:rsid w:val="003858F3"/>
    <w:rsid w:val="003F26C0"/>
    <w:rsid w:val="006634C2"/>
    <w:rsid w:val="006F5731"/>
    <w:rsid w:val="007D74D5"/>
    <w:rsid w:val="00817852"/>
    <w:rsid w:val="008C540B"/>
    <w:rsid w:val="0099623D"/>
    <w:rsid w:val="009D3B1A"/>
    <w:rsid w:val="00A9543C"/>
    <w:rsid w:val="00C22054"/>
    <w:rsid w:val="00C27C8A"/>
    <w:rsid w:val="00D12DC3"/>
    <w:rsid w:val="00D90B4D"/>
    <w:rsid w:val="00DB0F3E"/>
    <w:rsid w:val="00EB7CA2"/>
    <w:rsid w:val="00F551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1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1569</Words>
  <Characters>8949</Characters>
  <Application>Microsoft Office Word</Application>
  <DocSecurity>0</DocSecurity>
  <Lines>0</Lines>
  <Paragraphs>0</Paragraphs>
  <ScaleCrop>false</ScaleCrop>
  <Company>MVSR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2012-07-06T16:06:00Z</dcterms:created>
  <dcterms:modified xsi:type="dcterms:W3CDTF">2012-07-06T16:06:00Z</dcterms:modified>
</cp:coreProperties>
</file>