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39A0" w:rsidP="00BC07D7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Pr="001562D9">
        <w:rPr>
          <w:rFonts w:ascii="Times New Roman" w:hAnsi="Times New Roman"/>
          <w:b/>
        </w:rPr>
        <w:t>DÔVODOVÁ SPRÁVA</w:t>
      </w:r>
      <w:r>
        <w:rPr>
          <w:rFonts w:ascii="Times New Roman" w:hAnsi="Times New Roman"/>
          <w:b/>
        </w:rPr>
        <w:t xml:space="preserve"> </w:t>
      </w:r>
    </w:p>
    <w:p w:rsidR="00326C66" w:rsidRPr="005A39A0" w:rsidP="00BC07D7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="005A39A0">
        <w:rPr>
          <w:rFonts w:ascii="Times New Roman" w:hAnsi="Times New Roman"/>
        </w:rPr>
        <w:t>Všeobecná časť</w:t>
      </w:r>
    </w:p>
    <w:p w:rsidR="001049E1" w:rsidP="00BC07D7">
      <w:pPr>
        <w:bidi w:val="0"/>
        <w:spacing w:before="120" w:after="120"/>
        <w:jc w:val="both"/>
        <w:rPr>
          <w:rFonts w:ascii="Times New Roman" w:hAnsi="Times New Roman"/>
        </w:rPr>
      </w:pPr>
    </w:p>
    <w:p w:rsidR="009F08E4" w:rsidP="00BC07D7">
      <w:pPr>
        <w:bidi w:val="0"/>
        <w:spacing w:before="120" w:after="120"/>
        <w:ind w:firstLine="708"/>
        <w:jc w:val="both"/>
        <w:rPr>
          <w:rFonts w:ascii="Times New Roman" w:hAnsi="Times New Roman"/>
        </w:rPr>
      </w:pPr>
      <w:r w:rsidR="001049E1">
        <w:rPr>
          <w:rFonts w:ascii="Times New Roman" w:hAnsi="Times New Roman"/>
        </w:rPr>
        <w:t>Zákon</w:t>
      </w:r>
      <w:r w:rsidRPr="00C32BCE" w:rsidR="001049E1">
        <w:rPr>
          <w:rFonts w:ascii="Times New Roman" w:hAnsi="Times New Roman"/>
        </w:rPr>
        <w:t xml:space="preserve"> č. 618/2003 Z. z. o autorskom práve a právach súvisiacich s autorským právom (autorský zákon) v znení neskorších predpisov </w:t>
      </w:r>
      <w:r w:rsidR="001049E1">
        <w:rPr>
          <w:rFonts w:ascii="Times New Roman" w:hAnsi="Times New Roman"/>
        </w:rPr>
        <w:t>v</w:t>
      </w:r>
      <w:r w:rsidR="000859E9">
        <w:rPr>
          <w:rFonts w:ascii="Times New Roman" w:hAnsi="Times New Roman"/>
        </w:rPr>
        <w:t xml:space="preserve"> súčasnosti v </w:t>
      </w:r>
      <w:r w:rsidR="001049E1">
        <w:rPr>
          <w:rFonts w:ascii="Times New Roman" w:hAnsi="Times New Roman"/>
        </w:rPr>
        <w:t xml:space="preserve">ustanovení § 81 ods. 6 </w:t>
      </w:r>
      <w:r w:rsidR="00FA4F57">
        <w:rPr>
          <w:rFonts w:ascii="Times New Roman" w:hAnsi="Times New Roman"/>
        </w:rPr>
        <w:t>upravuje</w:t>
      </w:r>
      <w:r w:rsidR="001049E1">
        <w:rPr>
          <w:rFonts w:ascii="Times New Roman" w:hAnsi="Times New Roman"/>
        </w:rPr>
        <w:t xml:space="preserve"> povinnosti vyplývajúce z použitia predmet</w:t>
      </w:r>
      <w:r w:rsidR="00B61EB0">
        <w:rPr>
          <w:rFonts w:ascii="Times New Roman" w:hAnsi="Times New Roman"/>
        </w:rPr>
        <w:t>ov</w:t>
      </w:r>
      <w:r w:rsidR="001049E1">
        <w:rPr>
          <w:rFonts w:ascii="Times New Roman" w:hAnsi="Times New Roman"/>
        </w:rPr>
        <w:t xml:space="preserve"> ochrany, ktoré sa plnia prostredníctvom organizácie kolektívnej správy, ktorej bolo udelené oprávnenie na výkon kolektívnej správy práv v príslušnom odbore. Usporiadateľ verejného kultúrneho podujatia je v zmysle tohto ustanovenia povinný v zákonom určenej lehote oznámiť príslušnej organizácii kolektívnej správy </w:t>
      </w:r>
      <w:r w:rsidR="00BF6E2F">
        <w:rPr>
          <w:rFonts w:ascii="Times New Roman" w:hAnsi="Times New Roman"/>
        </w:rPr>
        <w:t>pr</w:t>
      </w:r>
      <w:r w:rsidR="005A39A0">
        <w:rPr>
          <w:rFonts w:ascii="Times New Roman" w:hAnsi="Times New Roman"/>
        </w:rPr>
        <w:t xml:space="preserve">ogram podujatia </w:t>
      </w:r>
      <w:r w:rsidR="00BF6E2F">
        <w:rPr>
          <w:rFonts w:ascii="Times New Roman" w:hAnsi="Times New Roman"/>
        </w:rPr>
        <w:t xml:space="preserve">s uvedením </w:t>
      </w:r>
      <w:r w:rsidR="008C52FF">
        <w:rPr>
          <w:rFonts w:ascii="Times New Roman" w:hAnsi="Times New Roman"/>
        </w:rPr>
        <w:t xml:space="preserve">názvu diela a </w:t>
      </w:r>
      <w:r w:rsidR="005A39A0">
        <w:rPr>
          <w:rFonts w:ascii="Times New Roman" w:hAnsi="Times New Roman"/>
        </w:rPr>
        <w:t>mena autora</w:t>
      </w:r>
      <w:r w:rsidR="00BF6E2F">
        <w:rPr>
          <w:rFonts w:ascii="Times New Roman" w:hAnsi="Times New Roman"/>
        </w:rPr>
        <w:t xml:space="preserve">. Ak si usporiadateľ túto povinnosť nesplní, predpokladá sa, že na verejnom kultúrnom podujatí budú verejne vykonané len tie diela, ku ktorým právo na verejné vykonanie spravuje </w:t>
      </w:r>
      <w:r w:rsidR="005A39A0">
        <w:rPr>
          <w:rFonts w:ascii="Times New Roman" w:hAnsi="Times New Roman"/>
        </w:rPr>
        <w:t>organizácia kolektívnej správy</w:t>
      </w:r>
      <w:r w:rsidR="00BF6E2F">
        <w:rPr>
          <w:rFonts w:ascii="Times New Roman" w:hAnsi="Times New Roman"/>
        </w:rPr>
        <w:t xml:space="preserve">, aj keby sa verejne vykonávali napríklad hudobné diela, ku ktorým </w:t>
      </w:r>
      <w:r w:rsidR="00463EAE">
        <w:rPr>
          <w:rFonts w:ascii="Times New Roman" w:hAnsi="Times New Roman"/>
        </w:rPr>
        <w:t xml:space="preserve">už </w:t>
      </w:r>
      <w:r w:rsidR="00BF6E2F">
        <w:rPr>
          <w:rFonts w:ascii="Times New Roman" w:hAnsi="Times New Roman"/>
        </w:rPr>
        <w:t xml:space="preserve">uplynula doba ochrany. Toto ustanovenie posilňuje postavenie nositeľov práv a ich ochranu a zároveň umožňuje efektívny výkon kolektívnej správy práv. </w:t>
      </w:r>
    </w:p>
    <w:p w:rsidR="001049E1" w:rsidP="00BC07D7">
      <w:pPr>
        <w:bidi w:val="0"/>
        <w:spacing w:before="120" w:after="120"/>
        <w:ind w:firstLine="708"/>
        <w:jc w:val="both"/>
        <w:rPr>
          <w:rFonts w:ascii="Times New Roman" w:hAnsi="Times New Roman"/>
        </w:rPr>
      </w:pPr>
      <w:r w:rsidR="00BF6E2F">
        <w:rPr>
          <w:rFonts w:ascii="Times New Roman" w:hAnsi="Times New Roman"/>
        </w:rPr>
        <w:t>Prax však ukázala, že v niektorých prípadoch je toto ustanovenie neprimerane prísne</w:t>
      </w:r>
      <w:r w:rsidR="00F60FC3">
        <w:rPr>
          <w:rFonts w:ascii="Times New Roman" w:hAnsi="Times New Roman"/>
        </w:rPr>
        <w:t>.</w:t>
      </w:r>
      <w:r w:rsidR="00BF6E2F">
        <w:rPr>
          <w:rFonts w:ascii="Times New Roman" w:hAnsi="Times New Roman"/>
        </w:rPr>
        <w:t xml:space="preserve"> </w:t>
      </w:r>
      <w:r w:rsidR="009F08E4">
        <w:rPr>
          <w:rFonts w:ascii="Times New Roman" w:hAnsi="Times New Roman"/>
        </w:rPr>
        <w:t xml:space="preserve">Navrhovaná právna úprava preto </w:t>
      </w:r>
      <w:r w:rsidR="005A39A0">
        <w:rPr>
          <w:rFonts w:ascii="Times New Roman" w:hAnsi="Times New Roman"/>
        </w:rPr>
        <w:t>upúšťa od presne vymedzenej lehoty na splnenie si predmetnej zákonnej povinnosti usporiadateľa, avšak so zachovaním potreby uzavrieť licenčnú zmluvu s príslušnou organizáciou kolektívnej správy vždy vopred, aby nedošlo k neoprávnenému použitiu daných diel</w:t>
      </w:r>
      <w:r w:rsidR="009F08E4">
        <w:rPr>
          <w:rFonts w:ascii="Times New Roman" w:hAnsi="Times New Roman"/>
        </w:rPr>
        <w:t>.</w:t>
      </w:r>
    </w:p>
    <w:p w:rsidR="009F08E4" w:rsidP="00BC07D7">
      <w:pPr>
        <w:bidi w:val="0"/>
        <w:spacing w:before="120"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zmena taktiež upresňuje povinnosť </w:t>
      </w:r>
      <w:r w:rsidR="000E6E67">
        <w:rPr>
          <w:rFonts w:ascii="Times New Roman" w:hAnsi="Times New Roman"/>
        </w:rPr>
        <w:t>identifikovať</w:t>
      </w:r>
      <w:r>
        <w:rPr>
          <w:rFonts w:ascii="Times New Roman" w:hAnsi="Times New Roman"/>
        </w:rPr>
        <w:t xml:space="preserve"> diel</w:t>
      </w:r>
      <w:r w:rsidR="000E6E6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, ktoré má byť verejne vykonané a to tak, že </w:t>
      </w:r>
      <w:r w:rsidR="000E6E67">
        <w:rPr>
          <w:rFonts w:ascii="Times New Roman" w:hAnsi="Times New Roman"/>
        </w:rPr>
        <w:t>sa uvedú údaje o</w:t>
      </w:r>
      <w:r w:rsidR="005A39A0">
        <w:rPr>
          <w:rFonts w:ascii="Times New Roman" w:hAnsi="Times New Roman"/>
        </w:rPr>
        <w:t> </w:t>
      </w:r>
      <w:r w:rsidR="000E6E67">
        <w:rPr>
          <w:rFonts w:ascii="Times New Roman" w:hAnsi="Times New Roman"/>
        </w:rPr>
        <w:t>autorstve</w:t>
      </w:r>
      <w:r w:rsidR="005A39A0">
        <w:rPr>
          <w:rFonts w:ascii="Times New Roman" w:hAnsi="Times New Roman"/>
        </w:rPr>
        <w:t>, nakoľko n</w:t>
      </w:r>
      <w:r w:rsidR="006B7B27">
        <w:rPr>
          <w:rFonts w:ascii="Times New Roman" w:hAnsi="Times New Roman"/>
        </w:rPr>
        <w:t>ie vždy je možné uviesť konkrétne meno autora</w:t>
      </w:r>
      <w:r w:rsidR="005A39A0">
        <w:rPr>
          <w:rFonts w:ascii="Times New Roman" w:hAnsi="Times New Roman"/>
        </w:rPr>
        <w:t xml:space="preserve">. </w:t>
      </w:r>
    </w:p>
    <w:p w:rsidR="001049E1" w:rsidP="00BC07D7">
      <w:pPr>
        <w:bidi w:val="0"/>
        <w:spacing w:before="120" w:after="120"/>
        <w:jc w:val="both"/>
        <w:rPr>
          <w:rFonts w:ascii="Times New Roman" w:hAnsi="Times New Roman"/>
        </w:rPr>
      </w:pPr>
      <w:r w:rsidR="00597490">
        <w:rPr>
          <w:rFonts w:ascii="Times New Roman" w:hAnsi="Times New Roman"/>
        </w:rPr>
        <w:tab/>
        <w:t xml:space="preserve">Navrhovaná </w:t>
      </w:r>
      <w:r w:rsidR="005A39A0">
        <w:rPr>
          <w:rFonts w:ascii="Times New Roman" w:hAnsi="Times New Roman"/>
        </w:rPr>
        <w:t>právna úprava</w:t>
      </w:r>
      <w:r w:rsidR="00597490">
        <w:rPr>
          <w:rFonts w:ascii="Times New Roman" w:hAnsi="Times New Roman"/>
        </w:rPr>
        <w:t xml:space="preserve"> tiež </w:t>
      </w:r>
      <w:r w:rsidR="00285AA9">
        <w:rPr>
          <w:rFonts w:ascii="Times New Roman" w:hAnsi="Times New Roman"/>
        </w:rPr>
        <w:t xml:space="preserve">zdôrazňuje vyvrátiteľnosť právnej domnienky, podľa ktorej sa v prípade nedodržania </w:t>
      </w:r>
      <w:r w:rsidR="005A39A0">
        <w:rPr>
          <w:rFonts w:ascii="Times New Roman" w:hAnsi="Times New Roman"/>
        </w:rPr>
        <w:t xml:space="preserve">predmetnej </w:t>
      </w:r>
      <w:r w:rsidR="00285AA9">
        <w:rPr>
          <w:rFonts w:ascii="Times New Roman" w:hAnsi="Times New Roman"/>
        </w:rPr>
        <w:t xml:space="preserve">zákonnej povinnosti predpokladá, že boli použité len tie diela, ku ktorým právo na verejné vykonanie spravuje </w:t>
      </w:r>
      <w:r w:rsidR="005A39A0">
        <w:rPr>
          <w:rFonts w:ascii="Times New Roman" w:hAnsi="Times New Roman"/>
        </w:rPr>
        <w:t>organizácia kolektívnej správy</w:t>
      </w:r>
      <w:r w:rsidR="00285AA9">
        <w:rPr>
          <w:rFonts w:ascii="Times New Roman" w:hAnsi="Times New Roman"/>
        </w:rPr>
        <w:t>.</w:t>
      </w:r>
    </w:p>
    <w:p w:rsidR="00021546" w:rsidP="00BC07D7">
      <w:pPr>
        <w:bidi w:val="0"/>
        <w:spacing w:before="120" w:after="120"/>
        <w:jc w:val="both"/>
        <w:rPr>
          <w:rFonts w:ascii="Times New Roman" w:hAnsi="Times New Roman"/>
        </w:rPr>
      </w:pPr>
    </w:p>
    <w:p w:rsidR="00021546" w:rsidRPr="005A39A0" w:rsidP="00BC07D7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="005A39A0">
        <w:rPr>
          <w:rFonts w:ascii="Times New Roman" w:hAnsi="Times New Roman"/>
        </w:rPr>
        <w:br w:type="page"/>
      </w:r>
      <w:r w:rsidRPr="005A39A0">
        <w:rPr>
          <w:rFonts w:ascii="Times New Roman" w:hAnsi="Times New Roman"/>
          <w:b/>
        </w:rPr>
        <w:t>DOLOŽKA ZLUČITEĽNOSTI</w:t>
      </w:r>
    </w:p>
    <w:p w:rsidR="00021546" w:rsidRPr="00226447" w:rsidP="00BC07D7">
      <w:pPr>
        <w:bidi w:val="0"/>
        <w:spacing w:before="120" w:after="120"/>
        <w:jc w:val="center"/>
        <w:rPr>
          <w:rFonts w:ascii="Times New Roman" w:hAnsi="Times New Roman"/>
        </w:rPr>
      </w:pPr>
      <w:r w:rsidRPr="00226447">
        <w:rPr>
          <w:rFonts w:ascii="Times New Roman" w:hAnsi="Times New Roman"/>
        </w:rPr>
        <w:t>návrhu zákona s právom Európskej únie</w:t>
      </w:r>
    </w:p>
    <w:p w:rsidR="00021546" w:rsidRPr="00226447" w:rsidP="00BC07D7">
      <w:pPr>
        <w:bidi w:val="0"/>
        <w:spacing w:before="120" w:after="120"/>
        <w:jc w:val="both"/>
        <w:rPr>
          <w:rFonts w:ascii="Times New Roman" w:hAnsi="Times New Roman"/>
        </w:rPr>
      </w:pPr>
    </w:p>
    <w:p w:rsidR="00021546" w:rsidP="00BC07D7">
      <w:pPr>
        <w:numPr>
          <w:numId w:val="1"/>
        </w:numPr>
        <w:bidi w:val="0"/>
        <w:spacing w:before="120" w:after="120"/>
        <w:jc w:val="both"/>
        <w:rPr>
          <w:rFonts w:ascii="Times New Roman" w:hAnsi="Times New Roman"/>
        </w:rPr>
      </w:pPr>
      <w:r w:rsidR="005A39A0">
        <w:rPr>
          <w:rFonts w:ascii="Times New Roman" w:hAnsi="Times New Roman"/>
        </w:rPr>
        <w:t>Predkladatelia</w:t>
      </w:r>
      <w:r>
        <w:rPr>
          <w:rFonts w:ascii="Times New Roman" w:hAnsi="Times New Roman"/>
        </w:rPr>
        <w:t xml:space="preserve"> návrhu</w:t>
      </w:r>
      <w:r w:rsidRPr="00226447">
        <w:rPr>
          <w:rFonts w:ascii="Times New Roman" w:hAnsi="Times New Roman"/>
        </w:rPr>
        <w:t xml:space="preserve"> zákona:</w:t>
      </w:r>
      <w:r>
        <w:rPr>
          <w:rFonts w:ascii="Times New Roman" w:hAnsi="Times New Roman"/>
        </w:rPr>
        <w:t xml:space="preserve"> poslanci Národnej rady Slovenskej republiky Dušan Jarjabek, Ján Senko, Štefan Gašparovič, Peter Náhlik, Viera Mazú</w:t>
      </w:r>
      <w:r w:rsidR="00BC07D7">
        <w:rPr>
          <w:rFonts w:ascii="Times New Roman" w:hAnsi="Times New Roman"/>
        </w:rPr>
        <w:t>rová, Miroslav Číž, Peter Fitz.</w:t>
      </w:r>
    </w:p>
    <w:p w:rsidR="00021546" w:rsidP="00BC07D7">
      <w:pPr>
        <w:bidi w:val="0"/>
        <w:spacing w:before="120" w:after="120"/>
        <w:ind w:left="708"/>
        <w:jc w:val="both"/>
        <w:rPr>
          <w:rFonts w:ascii="Times New Roman" w:hAnsi="Times New Roman"/>
        </w:rPr>
      </w:pPr>
    </w:p>
    <w:p w:rsidR="00021546" w:rsidP="00BC07D7">
      <w:pPr>
        <w:numPr>
          <w:numId w:val="1"/>
        </w:numPr>
        <w:bidi w:val="0"/>
        <w:spacing w:before="120" w:after="120"/>
        <w:jc w:val="both"/>
        <w:rPr>
          <w:rFonts w:ascii="Times New Roman" w:hAnsi="Times New Roman"/>
        </w:rPr>
      </w:pPr>
      <w:r w:rsidRPr="00226447">
        <w:rPr>
          <w:rFonts w:ascii="Times New Roman" w:hAnsi="Times New Roman"/>
        </w:rPr>
        <w:t>Názov návrhu zákona:</w:t>
      </w:r>
      <w:r>
        <w:rPr>
          <w:rFonts w:ascii="Times New Roman" w:hAnsi="Times New Roman"/>
        </w:rPr>
        <w:t xml:space="preserve"> Návrh zákona, ktorým sa mení a dopĺňa zákon č. 618/2003 Z. z. o autorskom práve a právach súvisiacich s autorským právom (autorský zák</w:t>
      </w:r>
      <w:r w:rsidR="00BC07D7">
        <w:rPr>
          <w:rFonts w:ascii="Times New Roman" w:hAnsi="Times New Roman"/>
        </w:rPr>
        <w:t>on)v znení neskorších predpisov.</w:t>
      </w:r>
    </w:p>
    <w:p w:rsidR="00021546" w:rsidP="00BC07D7">
      <w:pPr>
        <w:bidi w:val="0"/>
        <w:spacing w:before="120" w:after="120"/>
        <w:ind w:left="708"/>
        <w:jc w:val="both"/>
        <w:rPr>
          <w:rFonts w:ascii="Times New Roman" w:hAnsi="Times New Roman"/>
        </w:rPr>
      </w:pPr>
    </w:p>
    <w:p w:rsidR="00021546" w:rsidRPr="00226447" w:rsidP="00BC07D7">
      <w:pPr>
        <w:numPr>
          <w:numId w:val="1"/>
        </w:numPr>
        <w:bidi w:val="0"/>
        <w:spacing w:before="120" w:after="120"/>
        <w:jc w:val="both"/>
        <w:rPr>
          <w:rFonts w:ascii="Times New Roman" w:hAnsi="Times New Roman"/>
        </w:rPr>
      </w:pPr>
      <w:r w:rsidRPr="00226447">
        <w:rPr>
          <w:rFonts w:ascii="Times New Roman" w:hAnsi="Times New Roman"/>
        </w:rPr>
        <w:t>Predmet návrhu zákona:</w:t>
      </w:r>
    </w:p>
    <w:p w:rsidR="00021546" w:rsidRPr="008C1AF3" w:rsidP="00BC07D7">
      <w:pPr>
        <w:bidi w:val="0"/>
        <w:spacing w:before="120" w:after="120"/>
        <w:ind w:firstLine="360"/>
        <w:jc w:val="both"/>
        <w:rPr>
          <w:rFonts w:ascii="Times New Roman" w:hAnsi="Times New Roman"/>
        </w:rPr>
      </w:pPr>
      <w:r w:rsidRPr="008C1AF3">
        <w:rPr>
          <w:rFonts w:ascii="Times New Roman" w:hAnsi="Times New Roman"/>
        </w:rPr>
        <w:t>a)</w:t>
        <w:tab/>
        <w:t>nie je upraven</w:t>
      </w:r>
      <w:r>
        <w:rPr>
          <w:rFonts w:ascii="Times New Roman" w:hAnsi="Times New Roman"/>
        </w:rPr>
        <w:t xml:space="preserve">ý </w:t>
      </w:r>
      <w:r w:rsidRPr="008C1AF3">
        <w:rPr>
          <w:rFonts w:ascii="Times New Roman" w:hAnsi="Times New Roman"/>
        </w:rPr>
        <w:t>v práve Európskej únie</w:t>
      </w:r>
    </w:p>
    <w:p w:rsidR="00021546" w:rsidRPr="008C1AF3" w:rsidP="00BC07D7">
      <w:pPr>
        <w:bidi w:val="0"/>
        <w:spacing w:before="120" w:after="120"/>
        <w:ind w:firstLine="360"/>
        <w:jc w:val="both"/>
        <w:rPr>
          <w:rFonts w:ascii="Times New Roman" w:hAnsi="Times New Roman"/>
        </w:rPr>
      </w:pPr>
      <w:r w:rsidRPr="008C1AF3">
        <w:rPr>
          <w:rFonts w:ascii="Times New Roman" w:hAnsi="Times New Roman"/>
        </w:rPr>
        <w:t>b)</w:t>
        <w:tab/>
        <w:t>nie je obsiahnut</w:t>
      </w:r>
      <w:r>
        <w:rPr>
          <w:rFonts w:ascii="Times New Roman" w:hAnsi="Times New Roman"/>
        </w:rPr>
        <w:t>ý</w:t>
      </w:r>
      <w:r w:rsidRPr="008C1AF3">
        <w:rPr>
          <w:rFonts w:ascii="Times New Roman" w:hAnsi="Times New Roman"/>
        </w:rPr>
        <w:t xml:space="preserve"> v judikatúre Súdneho dvora Európskej únie.</w:t>
      </w:r>
    </w:p>
    <w:p w:rsidR="00021546" w:rsidP="00BC07D7">
      <w:pPr>
        <w:bidi w:val="0"/>
        <w:spacing w:before="120" w:after="120"/>
        <w:ind w:left="709"/>
        <w:jc w:val="both"/>
        <w:rPr>
          <w:rFonts w:ascii="Times New Roman" w:hAnsi="Times New Roman"/>
          <w:bCs/>
        </w:rPr>
      </w:pPr>
    </w:p>
    <w:p w:rsidR="00021546" w:rsidRPr="008C1AF3" w:rsidP="00BC07D7">
      <w:pPr>
        <w:bidi w:val="0"/>
        <w:spacing w:before="120" w:after="120"/>
        <w:ind w:firstLine="360"/>
        <w:jc w:val="both"/>
        <w:rPr>
          <w:rFonts w:ascii="Times New Roman" w:hAnsi="Times New Roman"/>
          <w:bCs/>
        </w:rPr>
      </w:pPr>
      <w:r w:rsidRPr="008C1AF3">
        <w:rPr>
          <w:rFonts w:ascii="Times New Roman" w:hAnsi="Times New Roman"/>
          <w:bCs/>
        </w:rPr>
        <w:t xml:space="preserve">Keďže </w:t>
      </w:r>
      <w:r>
        <w:rPr>
          <w:rFonts w:ascii="Times New Roman" w:hAnsi="Times New Roman"/>
          <w:bCs/>
        </w:rPr>
        <w:t xml:space="preserve">predmet návrhu zákona </w:t>
      </w:r>
      <w:r w:rsidRPr="008C1AF3">
        <w:rPr>
          <w:rFonts w:ascii="Times New Roman" w:hAnsi="Times New Roman"/>
          <w:bCs/>
        </w:rPr>
        <w:t>nie je upraven</w:t>
      </w:r>
      <w:r>
        <w:rPr>
          <w:rFonts w:ascii="Times New Roman" w:hAnsi="Times New Roman"/>
          <w:bCs/>
        </w:rPr>
        <w:t>ý v práve E</w:t>
      </w:r>
      <w:r w:rsidRPr="008C1AF3">
        <w:rPr>
          <w:rFonts w:ascii="Times New Roman" w:hAnsi="Times New Roman"/>
          <w:bCs/>
        </w:rPr>
        <w:t xml:space="preserve">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8C1AF3">
          <w:rPr>
            <w:rFonts w:ascii="Times New Roman" w:hAnsi="Times New Roman"/>
            <w:bCs/>
          </w:rPr>
          <w:t>4. a</w:t>
        </w:r>
      </w:smartTag>
      <w:r w:rsidRPr="008C1AF3">
        <w:rPr>
          <w:rFonts w:ascii="Times New Roman" w:hAnsi="Times New Roman"/>
          <w:bCs/>
        </w:rPr>
        <w:t xml:space="preserve"> 5.</w:t>
      </w:r>
    </w:p>
    <w:p w:rsidR="00021546" w:rsidRPr="00226447" w:rsidP="00BC07D7">
      <w:pPr>
        <w:bidi w:val="0"/>
        <w:spacing w:before="120" w:after="120"/>
        <w:rPr>
          <w:rFonts w:ascii="Times New Roman" w:hAnsi="Times New Roman"/>
        </w:rPr>
      </w:pPr>
    </w:p>
    <w:p w:rsidR="00021546" w:rsidP="00BC07D7">
      <w:pPr>
        <w:bidi w:val="0"/>
        <w:spacing w:before="120" w:after="120"/>
        <w:rPr>
          <w:rFonts w:ascii="Times New Roman" w:hAnsi="Times New Roman"/>
        </w:rPr>
      </w:pPr>
    </w:p>
    <w:p w:rsidR="00021546" w:rsidRPr="008C1AF3" w:rsidP="00BC07D7">
      <w:pPr>
        <w:bidi w:val="0"/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 w:rsidRPr="00BC07D7" w:rsidR="00BC07D7">
        <w:rPr>
          <w:rFonts w:ascii="Times New Roman" w:hAnsi="Times New Roman"/>
          <w:b/>
          <w:bCs/>
          <w:szCs w:val="28"/>
        </w:rPr>
        <w:t>DOLOŽKA VYBRANÝCH VPLYVOV</w:t>
      </w:r>
    </w:p>
    <w:p w:rsidR="00021546" w:rsidRPr="008C1AF3" w:rsidP="00BC07D7">
      <w:pPr>
        <w:bidi w:val="0"/>
        <w:spacing w:before="120" w:after="120"/>
        <w:jc w:val="both"/>
        <w:rPr>
          <w:rFonts w:ascii="Times New Roman" w:hAnsi="Times New Roman"/>
          <w:b/>
          <w:bCs/>
        </w:rPr>
      </w:pPr>
    </w:p>
    <w:p w:rsidR="00021546" w:rsidP="00BC07D7">
      <w:pPr>
        <w:numPr>
          <w:numId w:val="2"/>
        </w:numPr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8C1AF3">
        <w:rPr>
          <w:rFonts w:ascii="Times New Roman" w:hAnsi="Times New Roman"/>
          <w:b/>
          <w:bCs/>
        </w:rPr>
        <w:t xml:space="preserve">1. Názov materiálu: </w:t>
      </w:r>
    </w:p>
    <w:p w:rsidR="00021546" w:rsidRPr="008C1AF3" w:rsidP="00BC07D7">
      <w:pPr>
        <w:bidi w:val="0"/>
        <w:spacing w:before="120" w:after="120"/>
        <w:jc w:val="both"/>
        <w:rPr>
          <w:rFonts w:ascii="Times New Roman" w:hAnsi="Times New Roman"/>
          <w:bCs/>
        </w:rPr>
      </w:pPr>
      <w:r w:rsidRPr="008C1AF3">
        <w:rPr>
          <w:rFonts w:ascii="Times New Roman" w:hAnsi="Times New Roman"/>
        </w:rPr>
        <w:t xml:space="preserve">Návrh zákona, ktorým sa mení a dopĺňa zákon </w:t>
      </w:r>
      <w:r w:rsidRPr="008C1AF3">
        <w:rPr>
          <w:rFonts w:ascii="Times New Roman" w:hAnsi="Times New Roman"/>
          <w:bCs/>
        </w:rPr>
        <w:t>č. 618/2003 o autorskom práve a právach súvisiacich s autorským právom (autorský zákon)</w:t>
      </w:r>
      <w:r>
        <w:rPr>
          <w:rFonts w:ascii="Times New Roman" w:hAnsi="Times New Roman"/>
          <w:bCs/>
        </w:rPr>
        <w:t xml:space="preserve"> v znení neskorších predpisov</w:t>
      </w:r>
      <w:r w:rsidR="00BC07D7">
        <w:rPr>
          <w:rFonts w:ascii="Times New Roman" w:hAnsi="Times New Roman"/>
          <w:bCs/>
        </w:rPr>
        <w:t>.</w:t>
      </w:r>
    </w:p>
    <w:p w:rsidR="00021546" w:rsidRPr="008C1AF3" w:rsidP="00BC07D7">
      <w:pPr>
        <w:bidi w:val="0"/>
        <w:spacing w:before="120" w:after="120"/>
        <w:ind w:left="720"/>
        <w:jc w:val="both"/>
        <w:rPr>
          <w:rFonts w:ascii="Times New Roman" w:hAnsi="Times New Roman"/>
          <w:b/>
          <w:bCs/>
        </w:rPr>
      </w:pPr>
    </w:p>
    <w:p w:rsidR="00021546" w:rsidRPr="008C1AF3" w:rsidP="00BC07D7">
      <w:pPr>
        <w:numPr>
          <w:numId w:val="3"/>
        </w:numPr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8C1AF3">
        <w:rPr>
          <w:rFonts w:ascii="Times New Roman" w:hAnsi="Times New Roman"/>
          <w:b/>
          <w:bCs/>
        </w:rPr>
        <w:t>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29"/>
        <w:gridCol w:w="1189"/>
        <w:gridCol w:w="1178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rPr>
                <w:rFonts w:ascii="Times New Roman" w:hAnsi="Times New Roman"/>
                <w:b/>
              </w:rPr>
            </w:pPr>
            <w:r w:rsidRPr="008C1AF3">
              <w:rPr>
                <w:rFonts w:ascii="Times New Roman" w:hAnsi="Times New Roman"/>
                <w:b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21546" w:rsidRPr="008C1AF3" w:rsidP="00BC07D7">
            <w:pPr>
              <w:bidi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21546" w:rsidP="00BC07D7">
      <w:pPr>
        <w:bidi w:val="0"/>
        <w:spacing w:before="120" w:after="120"/>
        <w:rPr>
          <w:rFonts w:ascii="Times New Roman" w:hAnsi="Times New Roman"/>
        </w:rPr>
      </w:pPr>
    </w:p>
    <w:p w:rsidR="00BC07D7" w:rsidP="00BC07D7">
      <w:pPr>
        <w:bidi w:val="0"/>
        <w:spacing w:before="120" w:after="120"/>
        <w:jc w:val="center"/>
        <w:rPr>
          <w:rFonts w:ascii="Times New Roman" w:hAnsi="Times New Roman"/>
        </w:rPr>
      </w:pPr>
      <w:r w:rsidR="00021546"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 xml:space="preserve">DÔVODOVÁ SPRÁVA </w:t>
      </w:r>
    </w:p>
    <w:p w:rsidR="00021546" w:rsidRPr="00AF2A4B" w:rsidP="00BC07D7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="00BC07D7">
        <w:rPr>
          <w:rFonts w:ascii="Times New Roman" w:hAnsi="Times New Roman"/>
        </w:rPr>
        <w:t>O</w:t>
      </w:r>
      <w:r w:rsidRPr="00AF2A4B">
        <w:rPr>
          <w:rFonts w:ascii="Times New Roman" w:hAnsi="Times New Roman"/>
        </w:rPr>
        <w:t>sobitná časť</w:t>
      </w:r>
    </w:p>
    <w:p w:rsidR="00021546" w:rsidP="00BC07D7">
      <w:pPr>
        <w:bidi w:val="0"/>
        <w:spacing w:before="120" w:after="120"/>
        <w:jc w:val="both"/>
        <w:rPr>
          <w:rFonts w:ascii="Times New Roman" w:hAnsi="Times New Roman"/>
          <w:b/>
        </w:rPr>
      </w:pPr>
    </w:p>
    <w:p w:rsidR="00021546" w:rsidP="00BC07D7">
      <w:pPr>
        <w:bidi w:val="0"/>
        <w:spacing w:before="12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</w:t>
      </w:r>
    </w:p>
    <w:p w:rsidR="00021546" w:rsidRPr="00B8126A" w:rsidP="00BC07D7">
      <w:pPr>
        <w:bidi w:val="0"/>
        <w:spacing w:before="120" w:after="120"/>
        <w:ind w:firstLine="708"/>
        <w:jc w:val="both"/>
        <w:rPr>
          <w:rFonts w:ascii="Times New Roman" w:hAnsi="Times New Roman"/>
        </w:rPr>
      </w:pPr>
      <w:r w:rsidR="00BC07D7">
        <w:rPr>
          <w:rFonts w:ascii="Times New Roman" w:hAnsi="Times New Roman"/>
        </w:rPr>
        <w:t xml:space="preserve">Navrhovaná právna úprava upúšťa od presne vymedzenej lehoty na splnenie zákonnej povinnosti </w:t>
      </w:r>
      <w:r w:rsidRPr="00D05180" w:rsidR="00BC07D7">
        <w:rPr>
          <w:rFonts w:ascii="Times New Roman" w:hAnsi="Times New Roman"/>
        </w:rPr>
        <w:t>usporiadateľ</w:t>
      </w:r>
      <w:r w:rsidR="00BC07D7">
        <w:rPr>
          <w:rFonts w:ascii="Times New Roman" w:hAnsi="Times New Roman"/>
        </w:rPr>
        <w:t>a</w:t>
      </w:r>
      <w:r w:rsidRPr="00D05180" w:rsidR="00BC07D7">
        <w:rPr>
          <w:rFonts w:ascii="Times New Roman" w:hAnsi="Times New Roman"/>
        </w:rPr>
        <w:t xml:space="preserve"> verejného kultúrneho podujatia </w:t>
      </w:r>
      <w:r w:rsidR="00BC07D7">
        <w:rPr>
          <w:rFonts w:ascii="Times New Roman" w:hAnsi="Times New Roman"/>
        </w:rPr>
        <w:t>pred uskutočnením podujatia</w:t>
      </w:r>
      <w:r w:rsidRPr="00D05180" w:rsidR="00BC07D7">
        <w:rPr>
          <w:rFonts w:ascii="Times New Roman" w:hAnsi="Times New Roman"/>
        </w:rPr>
        <w:t xml:space="preserve"> oznámiť príslušnej organizácii kolektívnej správy program podujatia</w:t>
      </w:r>
      <w:r w:rsidR="00BC07D7">
        <w:rPr>
          <w:rFonts w:ascii="Times New Roman" w:hAnsi="Times New Roman"/>
        </w:rPr>
        <w:t xml:space="preserve">. </w:t>
      </w:r>
      <w:r w:rsidR="00930E0E">
        <w:rPr>
          <w:rFonts w:ascii="Times New Roman" w:hAnsi="Times New Roman"/>
        </w:rPr>
        <w:t>V</w:t>
      </w:r>
      <w:r w:rsidR="00BC07D7">
        <w:rPr>
          <w:rFonts w:ascii="Times New Roman" w:hAnsi="Times New Roman"/>
        </w:rPr>
        <w:t> prípade použitia diela osobou odlišnou od autora (pôvodného nositeľa práv) zákon jasne reguluje povinnosť získať súhlas na použitie diela formou uzavretia písomnej licenčnej zmluvy vždy vopred, pred použitím diela</w:t>
      </w:r>
      <w:r w:rsidR="00930E0E">
        <w:rPr>
          <w:rFonts w:ascii="Times New Roman" w:hAnsi="Times New Roman"/>
        </w:rPr>
        <w:t xml:space="preserve">. Táto povinnosť </w:t>
      </w:r>
      <w:r w:rsidRPr="00D05180" w:rsidR="00930E0E">
        <w:rPr>
          <w:rFonts w:ascii="Times New Roman" w:hAnsi="Times New Roman"/>
        </w:rPr>
        <w:t>usporiadateľ</w:t>
      </w:r>
      <w:r w:rsidR="00930E0E">
        <w:rPr>
          <w:rFonts w:ascii="Times New Roman" w:hAnsi="Times New Roman"/>
        </w:rPr>
        <w:t>a</w:t>
      </w:r>
      <w:r w:rsidRPr="00D05180" w:rsidR="00930E0E">
        <w:rPr>
          <w:rFonts w:ascii="Times New Roman" w:hAnsi="Times New Roman"/>
        </w:rPr>
        <w:t xml:space="preserve"> verejného kultúrneho podujatia</w:t>
      </w:r>
      <w:r w:rsidR="00930E0E">
        <w:rPr>
          <w:rFonts w:ascii="Times New Roman" w:hAnsi="Times New Roman"/>
        </w:rPr>
        <w:t xml:space="preserve"> ako používateľa diela zostáva zachovaná. </w:t>
      </w:r>
    </w:p>
    <w:p w:rsidR="00021546" w:rsidRPr="00B8126A" w:rsidP="00BC07D7">
      <w:pPr>
        <w:bidi w:val="0"/>
        <w:spacing w:before="120" w:after="120"/>
        <w:jc w:val="both"/>
        <w:rPr>
          <w:rFonts w:ascii="Times New Roman" w:hAnsi="Times New Roman"/>
        </w:rPr>
      </w:pPr>
      <w:r w:rsidRPr="00B8126A">
        <w:rPr>
          <w:rFonts w:ascii="Times New Roman" w:hAnsi="Times New Roman"/>
        </w:rPr>
        <w:tab/>
      </w:r>
      <w:r w:rsidR="00930E0E">
        <w:rPr>
          <w:rFonts w:ascii="Times New Roman" w:hAnsi="Times New Roman"/>
        </w:rPr>
        <w:t>Navrhovaná právna úprava ďalej</w:t>
      </w:r>
      <w:r w:rsidRPr="00B8126A">
        <w:rPr>
          <w:rFonts w:ascii="Times New Roman" w:hAnsi="Times New Roman"/>
        </w:rPr>
        <w:t xml:space="preserve"> </w:t>
      </w:r>
      <w:r w:rsidR="00930E0E">
        <w:rPr>
          <w:rFonts w:ascii="Times New Roman" w:hAnsi="Times New Roman"/>
        </w:rPr>
        <w:t>spresňuje charakter údajov</w:t>
      </w:r>
      <w:r w:rsidRPr="00B8126A">
        <w:rPr>
          <w:rFonts w:ascii="Times New Roman" w:hAnsi="Times New Roman"/>
        </w:rPr>
        <w:t>, ktoré majú byť uvedené p</w:t>
      </w:r>
      <w:r w:rsidR="00930E0E">
        <w:rPr>
          <w:rFonts w:ascii="Times New Roman" w:hAnsi="Times New Roman"/>
        </w:rPr>
        <w:t>ri oznámení programu podujatia.</w:t>
      </w:r>
      <w:r w:rsidRPr="00B8126A">
        <w:rPr>
          <w:rFonts w:ascii="Times New Roman" w:hAnsi="Times New Roman"/>
        </w:rPr>
        <w:t xml:space="preserve"> Usporiadateľ </w:t>
      </w:r>
      <w:r w:rsidRPr="00D05180" w:rsidR="00930E0E">
        <w:rPr>
          <w:rFonts w:ascii="Times New Roman" w:hAnsi="Times New Roman"/>
        </w:rPr>
        <w:t xml:space="preserve">verejného kultúrneho podujatia </w:t>
      </w:r>
      <w:r w:rsidR="00930E0E">
        <w:rPr>
          <w:rFonts w:ascii="Times New Roman" w:hAnsi="Times New Roman"/>
        </w:rPr>
        <w:t>je povinný uviesť údaj</w:t>
      </w:r>
      <w:r w:rsidRPr="00B8126A">
        <w:rPr>
          <w:rFonts w:ascii="Times New Roman" w:hAnsi="Times New Roman"/>
        </w:rPr>
        <w:t xml:space="preserve"> o autorstve, </w:t>
      </w:r>
      <w:r w:rsidR="00930E0E">
        <w:rPr>
          <w:rFonts w:ascii="Times New Roman" w:hAnsi="Times New Roman"/>
        </w:rPr>
        <w:t xml:space="preserve">ktorým je </w:t>
      </w:r>
      <w:r w:rsidRPr="00B8126A">
        <w:rPr>
          <w:rFonts w:ascii="Times New Roman" w:hAnsi="Times New Roman"/>
        </w:rPr>
        <w:t>men</w:t>
      </w:r>
      <w:r w:rsidR="00930E0E">
        <w:rPr>
          <w:rFonts w:ascii="Times New Roman" w:hAnsi="Times New Roman"/>
        </w:rPr>
        <w:t>o</w:t>
      </w:r>
      <w:r w:rsidRPr="00B8126A">
        <w:rPr>
          <w:rFonts w:ascii="Times New Roman" w:hAnsi="Times New Roman"/>
        </w:rPr>
        <w:t xml:space="preserve"> autora</w:t>
      </w:r>
      <w:r w:rsidR="00930E0E">
        <w:rPr>
          <w:rFonts w:ascii="Times New Roman" w:hAnsi="Times New Roman"/>
        </w:rPr>
        <w:t>, pseudonym autora,</w:t>
      </w:r>
      <w:r w:rsidRPr="00B8126A">
        <w:rPr>
          <w:rFonts w:ascii="Times New Roman" w:hAnsi="Times New Roman"/>
        </w:rPr>
        <w:t xml:space="preserve"> </w:t>
      </w:r>
      <w:r w:rsidR="00930E0E">
        <w:rPr>
          <w:rFonts w:ascii="Times New Roman" w:hAnsi="Times New Roman"/>
        </w:rPr>
        <w:t>informácia, že</w:t>
      </w:r>
      <w:r w:rsidRPr="00B8126A">
        <w:rPr>
          <w:rFonts w:ascii="Times New Roman" w:hAnsi="Times New Roman"/>
        </w:rPr>
        <w:t xml:space="preserve"> dielo </w:t>
      </w:r>
      <w:r w:rsidR="00930E0E">
        <w:rPr>
          <w:rFonts w:ascii="Times New Roman" w:hAnsi="Times New Roman"/>
        </w:rPr>
        <w:t xml:space="preserve">je </w:t>
      </w:r>
      <w:r w:rsidRPr="00B8126A">
        <w:rPr>
          <w:rFonts w:ascii="Times New Roman" w:hAnsi="Times New Roman"/>
        </w:rPr>
        <w:t>anonymné</w:t>
      </w:r>
      <w:r w:rsidR="00930E0E">
        <w:rPr>
          <w:rFonts w:ascii="Times New Roman" w:hAnsi="Times New Roman"/>
        </w:rPr>
        <w:t>,</w:t>
      </w:r>
      <w:r w:rsidRPr="00B8126A">
        <w:rPr>
          <w:rFonts w:ascii="Times New Roman" w:hAnsi="Times New Roman"/>
        </w:rPr>
        <w:t xml:space="preserve"> </w:t>
      </w:r>
      <w:r w:rsidR="00930E0E">
        <w:rPr>
          <w:rFonts w:ascii="Times New Roman" w:hAnsi="Times New Roman"/>
        </w:rPr>
        <w:t xml:space="preserve">informácia, že </w:t>
      </w:r>
      <w:r w:rsidRPr="00B8126A">
        <w:rPr>
          <w:rFonts w:ascii="Times New Roman" w:hAnsi="Times New Roman"/>
        </w:rPr>
        <w:t>meno autora nie je známe</w:t>
      </w:r>
      <w:r w:rsidR="00930E0E">
        <w:rPr>
          <w:rFonts w:ascii="Times New Roman" w:hAnsi="Times New Roman"/>
        </w:rPr>
        <w:t>, alebo informácia o tom, že dielo nemá autora (napr. spravidla pri folklórnom diele)</w:t>
      </w:r>
      <w:r w:rsidRPr="00B8126A">
        <w:rPr>
          <w:rFonts w:ascii="Times New Roman" w:hAnsi="Times New Roman"/>
        </w:rPr>
        <w:t xml:space="preserve">. </w:t>
      </w:r>
    </w:p>
    <w:p w:rsidR="00021546" w:rsidRPr="00B8126A" w:rsidP="00BC07D7">
      <w:pPr>
        <w:bidi w:val="0"/>
        <w:spacing w:before="120" w:after="120"/>
        <w:jc w:val="both"/>
        <w:rPr>
          <w:rFonts w:ascii="Times New Roman" w:hAnsi="Times New Roman"/>
          <w:color w:val="FF0000"/>
        </w:rPr>
      </w:pPr>
      <w:r w:rsidRPr="00B8126A">
        <w:rPr>
          <w:rFonts w:ascii="Times New Roman" w:hAnsi="Times New Roman"/>
        </w:rPr>
        <w:tab/>
      </w:r>
      <w:r w:rsidR="00930E0E">
        <w:rPr>
          <w:rFonts w:ascii="Times New Roman" w:hAnsi="Times New Roman"/>
        </w:rPr>
        <w:t xml:space="preserve">Navrhovaná právna úprava </w:t>
      </w:r>
      <w:r w:rsidRPr="00B8126A">
        <w:rPr>
          <w:rFonts w:ascii="Times New Roman" w:hAnsi="Times New Roman"/>
        </w:rPr>
        <w:t>zdôrazňuje charakter</w:t>
      </w:r>
      <w:r w:rsidR="00BD1C57">
        <w:rPr>
          <w:rFonts w:ascii="Times New Roman" w:hAnsi="Times New Roman"/>
        </w:rPr>
        <w:t>,</w:t>
      </w:r>
      <w:r w:rsidRPr="00B8126A">
        <w:rPr>
          <w:rFonts w:ascii="Times New Roman" w:hAnsi="Times New Roman"/>
        </w:rPr>
        <w:t xml:space="preserve"> </w:t>
      </w:r>
      <w:r w:rsidR="00930E0E">
        <w:rPr>
          <w:rFonts w:ascii="Times New Roman" w:hAnsi="Times New Roman"/>
        </w:rPr>
        <w:t>už predtým zakotvenej</w:t>
      </w:r>
      <w:r w:rsidR="00BD1C57">
        <w:rPr>
          <w:rFonts w:ascii="Times New Roman" w:hAnsi="Times New Roman"/>
        </w:rPr>
        <w:t>,</w:t>
      </w:r>
      <w:r w:rsidR="00930E0E">
        <w:rPr>
          <w:rFonts w:ascii="Times New Roman" w:hAnsi="Times New Roman"/>
        </w:rPr>
        <w:t xml:space="preserve"> zákonnej</w:t>
      </w:r>
      <w:r w:rsidRPr="00B8126A">
        <w:rPr>
          <w:rFonts w:ascii="Times New Roman" w:hAnsi="Times New Roman"/>
        </w:rPr>
        <w:t xml:space="preserve"> domnienky </w:t>
      </w:r>
      <w:r w:rsidR="00930E0E">
        <w:rPr>
          <w:rFonts w:ascii="Times New Roman" w:hAnsi="Times New Roman"/>
        </w:rPr>
        <w:t xml:space="preserve">o tom, že </w:t>
      </w:r>
      <w:r w:rsidRPr="00D05180" w:rsidR="00930E0E">
        <w:rPr>
          <w:rFonts w:ascii="Times New Roman" w:hAnsi="Times New Roman"/>
        </w:rPr>
        <w:t xml:space="preserve">ak usporiadateľ </w:t>
      </w:r>
      <w:r w:rsidRPr="00D05180" w:rsidR="00417095">
        <w:rPr>
          <w:rFonts w:ascii="Times New Roman" w:hAnsi="Times New Roman"/>
        </w:rPr>
        <w:t xml:space="preserve">verejného kultúrneho podujatia </w:t>
      </w:r>
      <w:r w:rsidR="00930E0E">
        <w:rPr>
          <w:rFonts w:ascii="Times New Roman" w:hAnsi="Times New Roman"/>
        </w:rPr>
        <w:t>pred uskutočnením podujatia</w:t>
      </w:r>
      <w:r w:rsidRPr="00D05180" w:rsidR="00930E0E">
        <w:rPr>
          <w:rFonts w:ascii="Times New Roman" w:hAnsi="Times New Roman"/>
        </w:rPr>
        <w:t xml:space="preserve"> </w:t>
      </w:r>
      <w:r w:rsidR="00417095">
        <w:rPr>
          <w:rFonts w:ascii="Times New Roman" w:hAnsi="Times New Roman"/>
        </w:rPr>
        <w:t xml:space="preserve">neoznámi </w:t>
      </w:r>
      <w:r w:rsidRPr="00D05180" w:rsidR="00930E0E">
        <w:rPr>
          <w:rFonts w:ascii="Times New Roman" w:hAnsi="Times New Roman"/>
        </w:rPr>
        <w:t xml:space="preserve">program podujatia </w:t>
      </w:r>
      <w:r w:rsidR="00417095">
        <w:rPr>
          <w:rFonts w:ascii="Times New Roman" w:hAnsi="Times New Roman"/>
        </w:rPr>
        <w:t xml:space="preserve">a súvisiace údaje </w:t>
      </w:r>
      <w:r w:rsidRPr="00D05180" w:rsidR="00930E0E">
        <w:rPr>
          <w:rFonts w:ascii="Times New Roman" w:hAnsi="Times New Roman"/>
        </w:rPr>
        <w:t>organizácii kolektívnej správy, predpokladá sa, že na</w:t>
      </w:r>
      <w:r w:rsidR="00930E0E">
        <w:rPr>
          <w:rFonts w:ascii="Times New Roman" w:hAnsi="Times New Roman"/>
        </w:rPr>
        <w:t xml:space="preserve"> podujatí budú verejne vykonané</w:t>
      </w:r>
      <w:r w:rsidRPr="00D05180" w:rsidR="00930E0E">
        <w:rPr>
          <w:rFonts w:ascii="Times New Roman" w:hAnsi="Times New Roman"/>
        </w:rPr>
        <w:t xml:space="preserve"> len tie diela, ku ktorým právo na verejné vykonanie spravuje organizácia kolektívnej správy</w:t>
      </w:r>
      <w:r w:rsidR="00417095">
        <w:rPr>
          <w:rFonts w:ascii="Times New Roman" w:hAnsi="Times New Roman"/>
        </w:rPr>
        <w:t>,</w:t>
      </w:r>
      <w:r w:rsidR="00930E0E">
        <w:rPr>
          <w:rFonts w:ascii="Times New Roman" w:hAnsi="Times New Roman"/>
        </w:rPr>
        <w:t xml:space="preserve"> </w:t>
      </w:r>
      <w:r w:rsidRPr="00B8126A">
        <w:rPr>
          <w:rFonts w:ascii="Times New Roman" w:hAnsi="Times New Roman"/>
        </w:rPr>
        <w:t>ako vyvrátiteľnej. Na základe toho sa okolnosť formulovaná ako vyvrátiteľná právna domnienka</w:t>
      </w:r>
      <w:r w:rsidRPr="00B8126A">
        <w:rPr>
          <w:rFonts w:ascii="Times New Roman" w:hAnsi="Times New Roman"/>
          <w:color w:val="FF0000"/>
        </w:rPr>
        <w:t xml:space="preserve"> </w:t>
      </w:r>
      <w:r w:rsidRPr="00B8126A">
        <w:rPr>
          <w:rFonts w:ascii="Times New Roman" w:hAnsi="Times New Roman"/>
        </w:rPr>
        <w:t>pokladá za existujúcu, kým používateľ</w:t>
      </w:r>
      <w:r w:rsidR="00417095">
        <w:rPr>
          <w:rFonts w:ascii="Times New Roman" w:hAnsi="Times New Roman"/>
        </w:rPr>
        <w:t xml:space="preserve"> (</w:t>
      </w:r>
      <w:r w:rsidRPr="00D05180" w:rsidR="00417095">
        <w:rPr>
          <w:rFonts w:ascii="Times New Roman" w:hAnsi="Times New Roman"/>
        </w:rPr>
        <w:t>usporiadateľ verejného kultúrneho podujatia</w:t>
      </w:r>
      <w:r w:rsidR="00417095">
        <w:rPr>
          <w:rFonts w:ascii="Times New Roman" w:hAnsi="Times New Roman"/>
        </w:rPr>
        <w:t>)</w:t>
      </w:r>
      <w:r w:rsidRPr="00B8126A">
        <w:rPr>
          <w:rFonts w:ascii="Times New Roman" w:hAnsi="Times New Roman"/>
        </w:rPr>
        <w:t xml:space="preserve"> </w:t>
      </w:r>
      <w:r w:rsidR="00417095">
        <w:rPr>
          <w:rFonts w:ascii="Times New Roman" w:hAnsi="Times New Roman"/>
        </w:rPr>
        <w:t xml:space="preserve">vo vzťahu k príslušnej organizácii kolektívnej správy </w:t>
      </w:r>
      <w:r w:rsidRPr="00B8126A">
        <w:rPr>
          <w:rFonts w:ascii="Times New Roman" w:hAnsi="Times New Roman"/>
        </w:rPr>
        <w:t>nepreukáže opak.</w:t>
      </w:r>
    </w:p>
    <w:p w:rsidR="00021546" w:rsidP="00BC07D7">
      <w:pPr>
        <w:bidi w:val="0"/>
        <w:spacing w:before="120" w:after="120"/>
        <w:jc w:val="both"/>
        <w:rPr>
          <w:rFonts w:ascii="Times New Roman" w:hAnsi="Times New Roman"/>
          <w:b/>
        </w:rPr>
      </w:pPr>
    </w:p>
    <w:p w:rsidR="00021546" w:rsidP="00BC07D7">
      <w:pPr>
        <w:bidi w:val="0"/>
        <w:spacing w:before="12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II</w:t>
      </w:r>
    </w:p>
    <w:p w:rsidR="00021546" w:rsidP="00BC07D7">
      <w:pPr>
        <w:bidi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Navrhuje sa účinnosť zákona.</w:t>
      </w:r>
    </w:p>
    <w:p w:rsidR="00021546" w:rsidP="00BC07D7">
      <w:pPr>
        <w:bidi w:val="0"/>
        <w:spacing w:before="120" w:after="120"/>
        <w:jc w:val="both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95" w:rsidP="0027729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17095" w:rsidP="0041709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95" w:rsidP="0027729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A4F57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417095" w:rsidP="0041709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1BC1"/>
    <w:multiLevelType w:val="hybridMultilevel"/>
    <w:tmpl w:val="6450B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172"/>
        </w:tabs>
        <w:ind w:left="2172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  <w:rPr>
        <w:rFonts w:cs="Times New Roman"/>
        <w:rtl w:val="0"/>
        <w:cs w:val="0"/>
      </w:rPr>
    </w:lvl>
  </w:abstractNum>
  <w:abstractNum w:abstractNumId="1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26C66"/>
    <w:rsid w:val="00021546"/>
    <w:rsid w:val="000859E9"/>
    <w:rsid w:val="000A2D20"/>
    <w:rsid w:val="000E6E67"/>
    <w:rsid w:val="001049E1"/>
    <w:rsid w:val="001562D9"/>
    <w:rsid w:val="001A1ACB"/>
    <w:rsid w:val="001B074B"/>
    <w:rsid w:val="001C1211"/>
    <w:rsid w:val="001D0B8D"/>
    <w:rsid w:val="00226447"/>
    <w:rsid w:val="0027729B"/>
    <w:rsid w:val="00285AA9"/>
    <w:rsid w:val="00292577"/>
    <w:rsid w:val="002A2BC1"/>
    <w:rsid w:val="003060D8"/>
    <w:rsid w:val="00326C66"/>
    <w:rsid w:val="00351849"/>
    <w:rsid w:val="00417095"/>
    <w:rsid w:val="00454BB0"/>
    <w:rsid w:val="00463EAE"/>
    <w:rsid w:val="00482E87"/>
    <w:rsid w:val="00597490"/>
    <w:rsid w:val="005A39A0"/>
    <w:rsid w:val="00651209"/>
    <w:rsid w:val="006B5692"/>
    <w:rsid w:val="006B7B27"/>
    <w:rsid w:val="007118C9"/>
    <w:rsid w:val="00834A06"/>
    <w:rsid w:val="008C1AF3"/>
    <w:rsid w:val="008C52FF"/>
    <w:rsid w:val="00924B1D"/>
    <w:rsid w:val="00930E0E"/>
    <w:rsid w:val="0093267D"/>
    <w:rsid w:val="009F08E4"/>
    <w:rsid w:val="00A31089"/>
    <w:rsid w:val="00A32888"/>
    <w:rsid w:val="00A81ECE"/>
    <w:rsid w:val="00A87B83"/>
    <w:rsid w:val="00AF2A4B"/>
    <w:rsid w:val="00AF6CA8"/>
    <w:rsid w:val="00B05F4A"/>
    <w:rsid w:val="00B61EB0"/>
    <w:rsid w:val="00B8126A"/>
    <w:rsid w:val="00BC07D7"/>
    <w:rsid w:val="00BD1C57"/>
    <w:rsid w:val="00BF6E2F"/>
    <w:rsid w:val="00C23FF5"/>
    <w:rsid w:val="00C32BCE"/>
    <w:rsid w:val="00CA24B9"/>
    <w:rsid w:val="00D05180"/>
    <w:rsid w:val="00DF0990"/>
    <w:rsid w:val="00F14FDB"/>
    <w:rsid w:val="00F60FC3"/>
    <w:rsid w:val="00F65770"/>
    <w:rsid w:val="00FA1FA6"/>
    <w:rsid w:val="00FA4F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26C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DF0990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rsid w:val="0041709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417095"/>
    <w:rPr>
      <w:rFonts w:cs="Times New Roman"/>
      <w:rtl w:val="0"/>
      <w:cs w:val="0"/>
    </w:rPr>
  </w:style>
  <w:style w:type="paragraph" w:styleId="Header">
    <w:name w:val="header"/>
    <w:basedOn w:val="Normal"/>
    <w:uiPriority w:val="99"/>
    <w:rsid w:val="00417095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4</Pages>
  <Words>725</Words>
  <Characters>4139</Characters>
  <Application>Microsoft Office Word</Application>
  <DocSecurity>0</DocSecurity>
  <Lines>0</Lines>
  <Paragraphs>0</Paragraphs>
  <ScaleCrop>false</ScaleCrop>
  <Company>MK SR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 (všeobecná časť)</dc:title>
  <dc:creator>slovak</dc:creator>
  <cp:lastModifiedBy>skreko</cp:lastModifiedBy>
  <cp:revision>9</cp:revision>
  <dcterms:created xsi:type="dcterms:W3CDTF">2012-06-15T07:24:00Z</dcterms:created>
  <dcterms:modified xsi:type="dcterms:W3CDTF">2012-06-27T14:42:00Z</dcterms:modified>
</cp:coreProperties>
</file>