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5A572B" w:rsidP="00EA5DC2">
      <w:pPr>
        <w:pStyle w:val="Heading1"/>
        <w:spacing w:line="240" w:lineRule="auto"/>
        <w:ind w:firstLine="540"/>
        <w:rPr>
          <w:rFonts w:ascii="Arial" w:hAnsi="Arial" w:cs="Arial"/>
          <w:b w:val="0"/>
          <w:bCs/>
          <w:i/>
          <w:iCs/>
        </w:rPr>
      </w:pPr>
      <w:r w:rsidRPr="005A572B">
        <w:rPr>
          <w:rFonts w:ascii="Arial" w:hAnsi="Arial" w:cs="Arial"/>
          <w:b w:val="0"/>
          <w:bCs/>
          <w:i/>
          <w:iCs/>
        </w:rPr>
        <w:t xml:space="preserve">              Výbor</w:t>
      </w:r>
    </w:p>
    <w:p w:rsidR="00EA5DC2" w:rsidRPr="005A572B" w:rsidP="00EA5DC2">
      <w:pPr>
        <w:jc w:val="both"/>
        <w:rPr>
          <w:rFonts w:ascii="Arial" w:hAnsi="Arial" w:cs="Arial"/>
          <w:i/>
        </w:rPr>
      </w:pPr>
      <w:r w:rsidRPr="005A572B">
        <w:rPr>
          <w:rFonts w:ascii="Arial" w:hAnsi="Arial" w:cs="Arial"/>
          <w:i/>
        </w:rPr>
        <w:t xml:space="preserve"> Národnej rady Slovenskej republiky</w:t>
      </w:r>
    </w:p>
    <w:p w:rsidR="00EA5DC2" w:rsidRPr="005A572B" w:rsidP="00EA5DC2">
      <w:pPr>
        <w:jc w:val="both"/>
        <w:rPr>
          <w:rFonts w:ascii="Arial" w:hAnsi="Arial" w:cs="Arial"/>
          <w:i/>
        </w:rPr>
      </w:pPr>
      <w:r w:rsidRPr="005A572B">
        <w:rPr>
          <w:rFonts w:ascii="Arial" w:hAnsi="Arial" w:cs="Arial"/>
          <w:i/>
        </w:rPr>
        <w:t xml:space="preserve">      pre hospodárske záležitosti </w:t>
      </w:r>
      <w:r w:rsidRPr="005A572B">
        <w:rPr>
          <w:rFonts w:ascii="Arial" w:hAnsi="Arial" w:cs="Arial"/>
        </w:rPr>
        <w:t xml:space="preserve">              </w:t>
      </w:r>
    </w:p>
    <w:p w:rsidR="00EA5DC2" w:rsidRPr="005A572B" w:rsidP="00EA5DC2">
      <w:pPr>
        <w:jc w:val="both"/>
        <w:rPr>
          <w:rFonts w:ascii="Arial" w:hAnsi="Arial" w:cs="Arial"/>
        </w:rPr>
      </w:pPr>
      <w:r w:rsidRPr="005A572B">
        <w:rPr>
          <w:rFonts w:ascii="Arial" w:hAnsi="Arial" w:cs="Arial"/>
        </w:rPr>
        <w:t xml:space="preserve">                                                                         </w:t>
      </w:r>
      <w:r w:rsidRPr="005A572B" w:rsidR="000F2CA6">
        <w:rPr>
          <w:rFonts w:ascii="Arial" w:hAnsi="Arial" w:cs="Arial"/>
        </w:rPr>
        <w:t xml:space="preserve">          4</w:t>
      </w:r>
      <w:r w:rsidRPr="005A572B">
        <w:rPr>
          <w:rFonts w:ascii="Arial" w:hAnsi="Arial" w:cs="Arial"/>
        </w:rPr>
        <w:t>. schôdza výboru</w:t>
      </w:r>
    </w:p>
    <w:p w:rsidR="00EA5DC2" w:rsidRPr="005A572B" w:rsidP="00EA5DC2">
      <w:pPr>
        <w:pStyle w:val="BodyTextIndent"/>
        <w:rPr>
          <w:rFonts w:ascii="Arial" w:hAnsi="Arial" w:cs="Arial"/>
          <w:color w:val="auto"/>
        </w:rPr>
      </w:pPr>
      <w:r w:rsidRPr="005A572B">
        <w:rPr>
          <w:rFonts w:ascii="Arial" w:hAnsi="Arial" w:cs="Arial"/>
          <w:color w:val="auto"/>
        </w:rPr>
        <w:t xml:space="preserve">                                                  </w:t>
      </w:r>
      <w:r w:rsidRPr="005A572B">
        <w:rPr>
          <w:rFonts w:ascii="Arial" w:hAnsi="Arial" w:cs="Arial"/>
          <w:color w:val="auto"/>
        </w:rPr>
        <w:t xml:space="preserve">          </w:t>
      </w:r>
      <w:r w:rsidRPr="005A572B" w:rsidR="000F2CA6">
        <w:rPr>
          <w:rFonts w:ascii="Arial" w:hAnsi="Arial" w:cs="Arial"/>
          <w:color w:val="auto"/>
        </w:rPr>
        <w:t xml:space="preserve">               Číslo: CRD -  739</w:t>
      </w:r>
      <w:r w:rsidRPr="005A572B">
        <w:rPr>
          <w:rFonts w:ascii="Arial" w:hAnsi="Arial" w:cs="Arial"/>
          <w:iCs/>
          <w:color w:val="auto"/>
        </w:rPr>
        <w:t xml:space="preserve">/2012 - VHZ  </w:t>
      </w:r>
    </w:p>
    <w:p w:rsidR="00EA5DC2" w:rsidRPr="005A572B" w:rsidP="00EA5DC2">
      <w:pPr>
        <w:jc w:val="center"/>
        <w:rPr>
          <w:rFonts w:ascii="Arial" w:hAnsi="Arial" w:cs="Arial"/>
          <w:b/>
          <w:sz w:val="32"/>
          <w:szCs w:val="28"/>
        </w:rPr>
      </w:pPr>
    </w:p>
    <w:p w:rsidR="00EA5DC2" w:rsidRPr="005A572B" w:rsidP="00EA5DC2">
      <w:pPr>
        <w:jc w:val="center"/>
        <w:rPr>
          <w:rFonts w:ascii="Arial" w:hAnsi="Arial" w:cs="Arial"/>
          <w:b/>
          <w:sz w:val="32"/>
          <w:szCs w:val="28"/>
        </w:rPr>
      </w:pPr>
    </w:p>
    <w:p w:rsidR="00EA5DC2" w:rsidRPr="005A572B" w:rsidP="00EA5DC2">
      <w:pPr>
        <w:jc w:val="center"/>
        <w:rPr>
          <w:rFonts w:ascii="Arial" w:hAnsi="Arial" w:cs="Arial"/>
          <w:b/>
          <w:sz w:val="32"/>
          <w:szCs w:val="28"/>
        </w:rPr>
      </w:pPr>
      <w:r w:rsidRPr="005A572B" w:rsidR="00202B6F">
        <w:rPr>
          <w:rFonts w:ascii="Arial" w:hAnsi="Arial" w:cs="Arial"/>
          <w:b/>
          <w:sz w:val="32"/>
          <w:szCs w:val="28"/>
        </w:rPr>
        <w:t>22</w:t>
      </w:r>
    </w:p>
    <w:p w:rsidR="00EA5DC2" w:rsidRPr="005A572B" w:rsidP="00EA5DC2">
      <w:pPr>
        <w:pStyle w:val="Heading2"/>
        <w:rPr>
          <w:rFonts w:ascii="Arial" w:hAnsi="Arial" w:cs="Arial"/>
          <w:b/>
          <w:color w:val="auto"/>
        </w:rPr>
      </w:pPr>
      <w:r w:rsidRPr="005A572B">
        <w:rPr>
          <w:rFonts w:ascii="Arial" w:hAnsi="Arial" w:cs="Arial"/>
          <w:b/>
          <w:color w:val="auto"/>
        </w:rPr>
        <w:t>U z n e s e n i e</w:t>
      </w:r>
    </w:p>
    <w:p w:rsidR="00EA5DC2" w:rsidRPr="005A572B" w:rsidP="00EA5DC2">
      <w:pPr>
        <w:jc w:val="center"/>
        <w:rPr>
          <w:rFonts w:ascii="Arial" w:hAnsi="Arial" w:cs="Arial"/>
          <w:b/>
        </w:rPr>
      </w:pPr>
      <w:r w:rsidRPr="005A572B">
        <w:rPr>
          <w:rFonts w:ascii="Arial" w:hAnsi="Arial" w:cs="Arial"/>
          <w:b/>
        </w:rPr>
        <w:t>Výboru Národnej rady Slovenskej republiky</w:t>
      </w:r>
    </w:p>
    <w:p w:rsidR="00EA5DC2" w:rsidRPr="005A572B" w:rsidP="00EA5DC2">
      <w:pPr>
        <w:jc w:val="center"/>
        <w:rPr>
          <w:rFonts w:ascii="Arial" w:hAnsi="Arial" w:cs="Arial"/>
          <w:b/>
        </w:rPr>
      </w:pPr>
      <w:r w:rsidRPr="005A572B">
        <w:rPr>
          <w:rFonts w:ascii="Arial" w:hAnsi="Arial" w:cs="Arial"/>
          <w:b/>
        </w:rPr>
        <w:t>pre hospodárske záležitosti</w:t>
      </w:r>
    </w:p>
    <w:p w:rsidR="00EA5DC2" w:rsidRPr="005A572B" w:rsidP="00EA5DC2">
      <w:pPr>
        <w:jc w:val="center"/>
        <w:rPr>
          <w:rFonts w:ascii="Arial" w:hAnsi="Arial" w:cs="Arial"/>
        </w:rPr>
      </w:pPr>
      <w:r w:rsidRPr="005A572B">
        <w:rPr>
          <w:rFonts w:ascii="Arial" w:hAnsi="Arial" w:cs="Arial"/>
        </w:rPr>
        <w:t>z 12. júna 2012</w:t>
      </w:r>
    </w:p>
    <w:p w:rsidR="00EA5DC2" w:rsidRPr="005A572B" w:rsidP="00EA5DC2">
      <w:pPr>
        <w:tabs>
          <w:tab w:val="left" w:pos="-1985"/>
          <w:tab w:val="left" w:pos="709"/>
          <w:tab w:val="left" w:pos="1077"/>
        </w:tabs>
        <w:jc w:val="both"/>
        <w:rPr>
          <w:rFonts w:ascii="Arial" w:hAnsi="Arial" w:cs="Arial"/>
        </w:rPr>
      </w:pPr>
    </w:p>
    <w:p w:rsidR="005242C8" w:rsidRPr="005A572B" w:rsidP="005242C8">
      <w:pPr>
        <w:tabs>
          <w:tab w:val="left" w:pos="-1985"/>
          <w:tab w:val="left" w:pos="709"/>
          <w:tab w:val="left" w:pos="1077"/>
        </w:tabs>
        <w:jc w:val="both"/>
        <w:rPr>
          <w:rFonts w:ascii="Arial" w:hAnsi="Arial" w:cs="Arial"/>
        </w:rPr>
      </w:pPr>
    </w:p>
    <w:p w:rsidR="005242C8" w:rsidRPr="005A572B" w:rsidP="005242C8">
      <w:pPr>
        <w:pStyle w:val="BodyTextIndent"/>
        <w:ind w:firstLine="360"/>
        <w:rPr>
          <w:rFonts w:ascii="Arial" w:hAnsi="Arial" w:cs="Arial"/>
          <w:color w:val="auto"/>
          <w:lang w:val="sk-SK"/>
        </w:rPr>
      </w:pPr>
      <w:r w:rsidRPr="005A572B">
        <w:rPr>
          <w:rFonts w:ascii="Arial" w:hAnsi="Arial" w:cs="Arial"/>
          <w:color w:val="auto"/>
          <w:lang w:val="sk-SK"/>
        </w:rPr>
        <w:t xml:space="preserve">     k</w:t>
      </w:r>
      <w:r w:rsidRPr="005A572B" w:rsidR="00050568">
        <w:rPr>
          <w:rFonts w:ascii="Arial" w:hAnsi="Arial" w:cs="Arial"/>
          <w:color w:val="auto"/>
          <w:lang w:val="sk-SK"/>
        </w:rPr>
        <w:t xml:space="preserve"> návrhu </w:t>
      </w:r>
      <w:r w:rsidRPr="005A572B" w:rsidR="00EA5DC2">
        <w:rPr>
          <w:rFonts w:ascii="Arial" w:hAnsi="Arial" w:cs="Arial"/>
          <w:color w:val="auto"/>
          <w:szCs w:val="22"/>
        </w:rPr>
        <w:t xml:space="preserve">poslancov Národnej rady Slovenskej republiky Maroša Kondróta a Andreja Kolesíka na vydanie zákona, ktorým sa mení a dopĺňa zákon č. 513/1991 Zb. Obchodný zákonník v znení neskorších predpisov a o zmene a doplnení zákona č. 276/2001 Z. z. o regulácii v sieťových odvetviach a o zmene a doplnení niektorých  zákonov v znení neskorších predpisov (tlač </w:t>
      </w:r>
      <w:r w:rsidRPr="005A572B" w:rsidR="00EA5DC2">
        <w:rPr>
          <w:rFonts w:ascii="Arial" w:hAnsi="Arial" w:cs="Arial"/>
          <w:b/>
          <w:color w:val="auto"/>
          <w:szCs w:val="22"/>
        </w:rPr>
        <w:t>29</w:t>
      </w:r>
      <w:r w:rsidRPr="005A572B" w:rsidR="00EA5DC2">
        <w:rPr>
          <w:rFonts w:ascii="Arial" w:hAnsi="Arial" w:cs="Arial"/>
          <w:color w:val="auto"/>
          <w:szCs w:val="22"/>
        </w:rPr>
        <w:t>)</w:t>
      </w:r>
    </w:p>
    <w:p w:rsidR="005242C8" w:rsidRPr="005A572B" w:rsidP="005242C8">
      <w:pPr>
        <w:pStyle w:val="BodyTextIndent"/>
        <w:ind w:firstLine="360"/>
        <w:rPr>
          <w:rFonts w:ascii="Arial" w:hAnsi="Arial" w:cs="Arial"/>
          <w:b/>
          <w:bCs/>
          <w:color w:val="auto"/>
          <w:lang w:val="sk-SK"/>
        </w:rPr>
      </w:pPr>
    </w:p>
    <w:p w:rsidR="005242C8" w:rsidRPr="005A572B" w:rsidP="005242C8">
      <w:pPr>
        <w:pStyle w:val="BodyTextIndent"/>
        <w:ind w:firstLine="360"/>
        <w:rPr>
          <w:rFonts w:ascii="Arial" w:hAnsi="Arial" w:cs="Arial"/>
          <w:b/>
          <w:bCs/>
          <w:color w:val="auto"/>
          <w:lang w:val="sk-SK"/>
        </w:rPr>
      </w:pPr>
      <w:r w:rsidRPr="005A572B">
        <w:rPr>
          <w:rFonts w:ascii="Arial" w:hAnsi="Arial" w:cs="Arial"/>
          <w:b/>
          <w:bCs/>
          <w:color w:val="auto"/>
          <w:lang w:val="sk-SK"/>
        </w:rPr>
        <w:t xml:space="preserve">Výbor Národnej rady Slovenskej republiky </w:t>
      </w:r>
    </w:p>
    <w:p w:rsidR="005242C8" w:rsidRPr="005A572B" w:rsidP="005242C8">
      <w:pPr>
        <w:pStyle w:val="BodyTextIndent2"/>
        <w:ind w:firstLine="360"/>
        <w:rPr>
          <w:rFonts w:ascii="Arial" w:hAnsi="Arial" w:cs="Arial"/>
          <w:color w:val="auto"/>
          <w:lang w:val="sk-SK"/>
        </w:rPr>
      </w:pPr>
      <w:r w:rsidRPr="005A572B">
        <w:rPr>
          <w:rFonts w:ascii="Arial" w:hAnsi="Arial" w:cs="Arial"/>
          <w:b/>
          <w:color w:val="auto"/>
          <w:lang w:val="sk-SK"/>
        </w:rPr>
        <w:t xml:space="preserve">pre </w:t>
      </w:r>
      <w:r w:rsidRPr="005A572B" w:rsidR="00EA5DC2">
        <w:rPr>
          <w:rFonts w:ascii="Arial" w:hAnsi="Arial" w:cs="Arial"/>
          <w:b/>
          <w:color w:val="auto"/>
          <w:lang w:val="sk-SK"/>
        </w:rPr>
        <w:t>hospodárske záležitosti</w:t>
      </w:r>
      <w:r w:rsidRPr="005A572B">
        <w:rPr>
          <w:rFonts w:ascii="Arial" w:hAnsi="Arial" w:cs="Arial"/>
          <w:color w:val="auto"/>
          <w:lang w:val="sk-SK"/>
        </w:rPr>
        <w:t xml:space="preserve"> </w:t>
      </w:r>
    </w:p>
    <w:p w:rsidR="00EA5DC2" w:rsidRPr="005A572B" w:rsidP="005242C8">
      <w:pPr>
        <w:pStyle w:val="BodyTextIndent2"/>
        <w:ind w:firstLine="360"/>
        <w:rPr>
          <w:rFonts w:ascii="Arial" w:hAnsi="Arial" w:cs="Arial"/>
          <w:color w:val="auto"/>
          <w:lang w:val="sk-SK"/>
        </w:rPr>
      </w:pPr>
    </w:p>
    <w:p w:rsidR="005242C8" w:rsidRPr="005A572B" w:rsidP="005242C8">
      <w:pPr>
        <w:pStyle w:val="Heading3"/>
        <w:numPr>
          <w:ilvl w:val="0"/>
          <w:numId w:val="10"/>
        </w:numPr>
        <w:rPr>
          <w:rFonts w:ascii="Arial" w:hAnsi="Arial" w:cs="Arial"/>
          <w:color w:val="auto"/>
          <w:lang w:val="sk-SK"/>
        </w:rPr>
      </w:pPr>
      <w:r w:rsidRPr="005A572B">
        <w:rPr>
          <w:rFonts w:ascii="Arial" w:hAnsi="Arial" w:cs="Arial"/>
          <w:color w:val="auto"/>
          <w:lang w:val="sk-SK"/>
        </w:rPr>
        <w:t>s ú h l a s</w:t>
      </w:r>
      <w:r w:rsidRPr="005A572B" w:rsidR="00154657">
        <w:rPr>
          <w:rFonts w:ascii="Arial" w:hAnsi="Arial" w:cs="Arial"/>
          <w:color w:val="auto"/>
          <w:lang w:val="sk-SK"/>
        </w:rPr>
        <w:t> </w:t>
      </w:r>
      <w:r w:rsidRPr="005A572B">
        <w:rPr>
          <w:rFonts w:ascii="Arial" w:hAnsi="Arial" w:cs="Arial"/>
          <w:color w:val="auto"/>
          <w:lang w:val="sk-SK"/>
        </w:rPr>
        <w:t>í</w:t>
      </w:r>
    </w:p>
    <w:p w:rsidR="005242C8" w:rsidRPr="005A572B" w:rsidP="005242C8">
      <w:pPr>
        <w:pStyle w:val="BodyTextIndent2"/>
        <w:rPr>
          <w:rFonts w:ascii="Arial" w:hAnsi="Arial" w:cs="Arial"/>
          <w:color w:val="auto"/>
          <w:u w:val="single"/>
          <w:lang w:val="sk-SK"/>
        </w:rPr>
      </w:pPr>
      <w:r w:rsidRPr="005A572B">
        <w:rPr>
          <w:rFonts w:ascii="Arial" w:hAnsi="Arial" w:cs="Arial"/>
          <w:color w:val="auto"/>
          <w:lang w:val="sk-SK"/>
        </w:rPr>
        <w:t xml:space="preserve">     s</w:t>
      </w:r>
      <w:r w:rsidRPr="005A572B" w:rsidR="00A96D39">
        <w:rPr>
          <w:rFonts w:ascii="Arial" w:hAnsi="Arial" w:cs="Arial"/>
          <w:color w:val="auto"/>
          <w:lang w:val="sk-SK"/>
        </w:rPr>
        <w:t> </w:t>
      </w:r>
      <w:r w:rsidRPr="005A572B">
        <w:rPr>
          <w:rFonts w:ascii="Arial" w:hAnsi="Arial" w:cs="Arial"/>
          <w:color w:val="auto"/>
          <w:lang w:val="sk-SK"/>
        </w:rPr>
        <w:t xml:space="preserve">návrhom </w:t>
      </w:r>
      <w:r w:rsidRPr="005A572B" w:rsidR="00EA5DC2">
        <w:rPr>
          <w:rFonts w:ascii="Arial" w:hAnsi="Arial" w:cs="Arial"/>
          <w:color w:val="auto"/>
          <w:szCs w:val="22"/>
        </w:rPr>
        <w:t xml:space="preserve">poslancov Národnej rady Slovenskej republiky Maroša Kondróta a Andreja Kolesíka na vydanie zákona, ktorým sa mení a dopĺňa zákon č. 513/1991 Zb. Obchodný zákonník v znení neskorších predpisov a o zmene a doplnení zákona č. 276/2001 Z. z. o regulácii v sieťových odvetviach a o zmene a doplnení niektorých  zákonov v znení neskorších predpisov (tlač </w:t>
      </w:r>
      <w:r w:rsidRPr="005A572B" w:rsidR="00EA5DC2">
        <w:rPr>
          <w:rFonts w:ascii="Arial" w:hAnsi="Arial" w:cs="Arial"/>
          <w:b/>
          <w:color w:val="auto"/>
          <w:szCs w:val="22"/>
        </w:rPr>
        <w:t>29</w:t>
      </w:r>
      <w:r w:rsidRPr="005A572B" w:rsidR="00EA5DC2">
        <w:rPr>
          <w:rFonts w:ascii="Arial" w:hAnsi="Arial" w:cs="Arial"/>
          <w:color w:val="auto"/>
          <w:szCs w:val="22"/>
        </w:rPr>
        <w:t>)</w:t>
      </w:r>
      <w:r w:rsidRPr="005A572B">
        <w:rPr>
          <w:rFonts w:ascii="Arial" w:hAnsi="Arial" w:cs="Arial"/>
          <w:color w:val="auto"/>
          <w:lang w:val="sk-SK"/>
        </w:rPr>
        <w:t xml:space="preserve">; </w:t>
      </w:r>
    </w:p>
    <w:p w:rsidR="005242C8" w:rsidRPr="005A572B" w:rsidP="005242C8">
      <w:pPr>
        <w:tabs>
          <w:tab w:val="left" w:pos="-1985"/>
          <w:tab w:val="left" w:pos="709"/>
          <w:tab w:val="left" w:pos="1077"/>
        </w:tabs>
        <w:jc w:val="both"/>
        <w:rPr>
          <w:rFonts w:ascii="Arial" w:hAnsi="Arial" w:cs="Arial"/>
        </w:rPr>
      </w:pPr>
    </w:p>
    <w:p w:rsidR="005242C8" w:rsidRPr="005A572B" w:rsidP="005242C8">
      <w:pPr>
        <w:pStyle w:val="Heading4"/>
        <w:numPr>
          <w:ilvl w:val="0"/>
          <w:numId w:val="9"/>
        </w:numPr>
        <w:rPr>
          <w:rFonts w:ascii="Arial" w:hAnsi="Arial" w:cs="Arial"/>
          <w:color w:val="auto"/>
          <w:lang w:val="sk-SK"/>
        </w:rPr>
      </w:pPr>
      <w:r w:rsidRPr="005A572B">
        <w:rPr>
          <w:rFonts w:ascii="Arial" w:hAnsi="Arial" w:cs="Arial"/>
          <w:color w:val="auto"/>
          <w:lang w:val="sk-SK"/>
        </w:rPr>
        <w:t>o d p o r ú č a</w:t>
      </w:r>
    </w:p>
    <w:p w:rsidR="005242C8" w:rsidRPr="005A572B" w:rsidP="005242C8">
      <w:pPr>
        <w:pStyle w:val="Heading1"/>
        <w:spacing w:line="240" w:lineRule="auto"/>
        <w:ind w:firstLine="360"/>
        <w:rPr>
          <w:rFonts w:ascii="Arial" w:hAnsi="Arial" w:cs="Arial"/>
        </w:rPr>
      </w:pPr>
      <w:r w:rsidRPr="005A572B">
        <w:rPr>
          <w:rFonts w:ascii="Arial" w:hAnsi="Arial" w:cs="Arial"/>
        </w:rPr>
        <w:t xml:space="preserve">     Národnej ra</w:t>
      </w:r>
      <w:r w:rsidRPr="005A572B">
        <w:rPr>
          <w:rFonts w:ascii="Arial" w:hAnsi="Arial" w:cs="Arial"/>
        </w:rPr>
        <w:t>de Slovenskej republiky</w:t>
      </w:r>
    </w:p>
    <w:p w:rsidR="00EA5DC2" w:rsidRPr="005A572B" w:rsidP="00EA5DC2">
      <w:pPr>
        <w:rPr>
          <w:rFonts w:ascii="Arial" w:hAnsi="Arial" w:cs="Arial"/>
        </w:rPr>
      </w:pPr>
    </w:p>
    <w:p w:rsidR="005242C8" w:rsidRPr="005A572B" w:rsidP="005242C8">
      <w:pPr>
        <w:pStyle w:val="BodyTextIndent2"/>
        <w:ind w:firstLine="360"/>
        <w:rPr>
          <w:rFonts w:ascii="Arial" w:hAnsi="Arial" w:cs="Arial"/>
          <w:color w:val="auto"/>
          <w:lang w:val="sk-SK"/>
        </w:rPr>
      </w:pPr>
      <w:r w:rsidRPr="005A572B">
        <w:rPr>
          <w:rFonts w:ascii="Arial" w:hAnsi="Arial" w:cs="Arial"/>
          <w:color w:val="auto"/>
          <w:lang w:val="sk-SK"/>
        </w:rPr>
        <w:t xml:space="preserve">     </w:t>
      </w:r>
      <w:r w:rsidRPr="005A572B" w:rsidR="00154657">
        <w:rPr>
          <w:rFonts w:ascii="Arial" w:hAnsi="Arial" w:cs="Arial"/>
          <w:color w:val="auto"/>
          <w:lang w:val="sk-SK"/>
        </w:rPr>
        <w:t xml:space="preserve">návrh </w:t>
      </w:r>
      <w:r w:rsidRPr="005A572B" w:rsidR="00EA5DC2">
        <w:rPr>
          <w:rFonts w:ascii="Arial" w:hAnsi="Arial" w:cs="Arial"/>
          <w:color w:val="auto"/>
          <w:szCs w:val="22"/>
        </w:rPr>
        <w:t xml:space="preserve">poslancov Národnej rady Slovenskej republiky Maroša Kondróta a Andreja Kolesíka na vydanie zákona, ktorým sa mení a dopĺňa zákon č. 513/1991 Zb. Obchodný zákonník v znení neskorších predpisov a o zmene a doplnení zákona č. 276/2001 Z. z. o regulácii v sieťových odvetviach a o zmene a doplnení niektorých  zákonov v znení neskorších predpisov (tlač </w:t>
      </w:r>
      <w:r w:rsidRPr="005A572B" w:rsidR="00EA5DC2">
        <w:rPr>
          <w:rFonts w:ascii="Arial" w:hAnsi="Arial" w:cs="Arial"/>
          <w:b/>
          <w:color w:val="auto"/>
          <w:szCs w:val="22"/>
        </w:rPr>
        <w:t>29</w:t>
      </w:r>
      <w:r w:rsidRPr="005A572B" w:rsidR="00EA5DC2">
        <w:rPr>
          <w:rFonts w:ascii="Arial" w:hAnsi="Arial" w:cs="Arial"/>
          <w:color w:val="auto"/>
          <w:szCs w:val="22"/>
        </w:rPr>
        <w:t>)</w:t>
      </w:r>
      <w:r w:rsidRPr="005A572B" w:rsidR="00E40707">
        <w:rPr>
          <w:rFonts w:ascii="Arial" w:hAnsi="Arial" w:cs="Arial"/>
          <w:color w:val="auto"/>
          <w:lang w:val="sk-SK"/>
        </w:rPr>
        <w:t xml:space="preserve"> </w:t>
      </w:r>
      <w:r w:rsidRPr="005A572B">
        <w:rPr>
          <w:rFonts w:ascii="Arial" w:hAnsi="Arial" w:cs="Arial"/>
          <w:color w:val="auto"/>
          <w:lang w:val="sk-SK"/>
        </w:rPr>
        <w:t>s</w:t>
      </w:r>
      <w:r w:rsidRPr="005A572B">
        <w:rPr>
          <w:rFonts w:ascii="Arial" w:hAnsi="Arial" w:cs="Arial"/>
          <w:bCs/>
          <w:color w:val="auto"/>
          <w:lang w:val="sk-SK"/>
        </w:rPr>
        <w:t xml:space="preserve">chváliť s pozmeňujúcimi a doplňujúcimi návrhmi; </w:t>
      </w:r>
    </w:p>
    <w:p w:rsidR="005242C8" w:rsidRPr="005A572B" w:rsidP="005242C8">
      <w:pPr>
        <w:ind w:firstLine="360"/>
        <w:jc w:val="both"/>
        <w:rPr>
          <w:rFonts w:ascii="Arial" w:hAnsi="Arial" w:cs="Arial"/>
        </w:rPr>
      </w:pPr>
    </w:p>
    <w:p w:rsidR="005242C8" w:rsidRPr="005A572B" w:rsidP="005242C8">
      <w:pPr>
        <w:pStyle w:val="Heading4"/>
        <w:numPr>
          <w:ilvl w:val="0"/>
          <w:numId w:val="8"/>
        </w:numPr>
        <w:rPr>
          <w:rFonts w:ascii="Arial" w:hAnsi="Arial" w:cs="Arial"/>
          <w:color w:val="auto"/>
          <w:lang w:val="sk-SK"/>
        </w:rPr>
      </w:pPr>
      <w:r w:rsidRPr="005A572B">
        <w:rPr>
          <w:rFonts w:ascii="Arial" w:hAnsi="Arial" w:cs="Arial"/>
          <w:color w:val="auto"/>
          <w:lang w:val="sk-SK"/>
        </w:rPr>
        <w:t>p o v e r u j e</w:t>
      </w:r>
    </w:p>
    <w:p w:rsidR="005242C8" w:rsidRPr="005A572B" w:rsidP="005242C8">
      <w:pPr>
        <w:numPr>
          <w:ilvl w:val="0"/>
          <w:numId w:val="3"/>
        </w:numPr>
        <w:jc w:val="both"/>
        <w:rPr>
          <w:rFonts w:ascii="Arial" w:hAnsi="Arial" w:cs="Arial"/>
        </w:rPr>
      </w:pPr>
      <w:r w:rsidRPr="005A572B">
        <w:rPr>
          <w:rFonts w:ascii="Arial" w:hAnsi="Arial" w:cs="Arial"/>
        </w:rPr>
        <w:t>predsedu výboru, aby výsledky rokovania  výboru  v  druhom čítaní z </w:t>
      </w:r>
      <w:r w:rsidRPr="005A572B" w:rsidR="00EA5DC2">
        <w:rPr>
          <w:rFonts w:ascii="Arial" w:hAnsi="Arial" w:cs="Arial"/>
        </w:rPr>
        <w:t>12</w:t>
      </w:r>
      <w:r w:rsidRPr="005A572B" w:rsidR="00C62C12">
        <w:rPr>
          <w:rFonts w:ascii="Arial" w:hAnsi="Arial" w:cs="Arial"/>
        </w:rPr>
        <w:t>.</w:t>
      </w:r>
      <w:r w:rsidRPr="005A572B">
        <w:rPr>
          <w:rFonts w:ascii="Arial" w:hAnsi="Arial" w:cs="Arial"/>
        </w:rPr>
        <w:t xml:space="preserve"> </w:t>
      </w:r>
      <w:r w:rsidRPr="005A572B" w:rsidR="00EA5DC2">
        <w:rPr>
          <w:rFonts w:ascii="Arial" w:hAnsi="Arial" w:cs="Arial"/>
        </w:rPr>
        <w:t>júna</w:t>
      </w:r>
      <w:r w:rsidRPr="005A572B" w:rsidR="004B21BB">
        <w:rPr>
          <w:rFonts w:ascii="Arial" w:hAnsi="Arial" w:cs="Arial"/>
        </w:rPr>
        <w:t xml:space="preserve"> 201</w:t>
      </w:r>
      <w:r w:rsidRPr="005A572B" w:rsidR="00EA5DC2">
        <w:rPr>
          <w:rFonts w:ascii="Arial" w:hAnsi="Arial" w:cs="Arial"/>
        </w:rPr>
        <w:t>2</w:t>
      </w:r>
      <w:r w:rsidRPr="005A572B">
        <w:rPr>
          <w:rFonts w:ascii="Arial" w:hAnsi="Arial" w:cs="Arial"/>
        </w:rPr>
        <w:t xml:space="preserve"> spolu s výsledkami rokovania ostatných výborov spracoval do písomnej spoločnej správy výborov v súlade s § 79 ods. 1 zákona Národnej rady Slovenskej republiky </w:t>
      </w:r>
      <w:r w:rsidRPr="005A572B">
        <w:rPr>
          <w:rFonts w:ascii="Arial" w:hAnsi="Arial" w:cs="Arial"/>
          <w:bCs/>
        </w:rPr>
        <w:t>č. 350/1996 Z. z. o</w:t>
      </w:r>
      <w:r w:rsidRPr="005A572B">
        <w:rPr>
          <w:rFonts w:ascii="Arial" w:hAnsi="Arial" w:cs="Arial"/>
        </w:rPr>
        <w:t xml:space="preserve"> rokovacom poriadku Národnej rady Slovenskej republiky v znení neskorších predpisov a predložil ju na schválenie gestorskému výboru,</w:t>
      </w:r>
    </w:p>
    <w:p w:rsidR="00EA5DC2" w:rsidRPr="005A572B" w:rsidP="00EA5DC2">
      <w:pPr>
        <w:ind w:left="720"/>
        <w:jc w:val="both"/>
        <w:rPr>
          <w:rFonts w:ascii="Arial" w:hAnsi="Arial" w:cs="Arial"/>
        </w:rPr>
      </w:pPr>
    </w:p>
    <w:p w:rsidR="005242C8" w:rsidRPr="005A572B" w:rsidP="005242C8">
      <w:pPr>
        <w:numPr>
          <w:ilvl w:val="0"/>
          <w:numId w:val="3"/>
        </w:numPr>
        <w:jc w:val="both"/>
        <w:rPr>
          <w:rFonts w:ascii="Arial" w:hAnsi="Arial" w:cs="Arial"/>
          <w:bCs/>
        </w:rPr>
      </w:pPr>
      <w:r w:rsidRPr="005A572B">
        <w:rPr>
          <w:rFonts w:ascii="Arial" w:hAnsi="Arial" w:cs="Arial"/>
          <w:bCs/>
        </w:rPr>
        <w:t xml:space="preserve">spoločného spravodajcu výborov </w:t>
      </w:r>
      <w:r w:rsidRPr="005A572B" w:rsidR="00E40707">
        <w:rPr>
          <w:rFonts w:ascii="Arial" w:hAnsi="Arial" w:cs="Arial"/>
          <w:bCs/>
        </w:rPr>
        <w:t>A.</w:t>
      </w:r>
      <w:r w:rsidRPr="005A572B" w:rsidR="00E40707">
        <w:rPr>
          <w:rFonts w:ascii="Arial" w:hAnsi="Arial" w:cs="Arial"/>
          <w:b/>
          <w:bCs/>
        </w:rPr>
        <w:t xml:space="preserve"> Přidala</w:t>
      </w:r>
      <w:r w:rsidRPr="005A572B">
        <w:rPr>
          <w:rFonts w:ascii="Arial" w:hAnsi="Arial" w:cs="Arial"/>
          <w:b/>
          <w:bCs/>
        </w:rPr>
        <w:t xml:space="preserve"> </w:t>
      </w:r>
      <w:r w:rsidRPr="005A572B">
        <w:rPr>
          <w:rFonts w:ascii="Arial" w:hAnsi="Arial" w:cs="Arial"/>
          <w:bCs/>
        </w:rPr>
        <w:t>(</w:t>
      </w:r>
      <w:r w:rsidRPr="005A572B" w:rsidR="00EA5DC2">
        <w:rPr>
          <w:rFonts w:ascii="Arial" w:hAnsi="Arial" w:cs="Arial"/>
          <w:bCs/>
        </w:rPr>
        <w:t xml:space="preserve">J. </w:t>
      </w:r>
      <w:r w:rsidRPr="005A572B" w:rsidR="00EA5DC2">
        <w:rPr>
          <w:rFonts w:ascii="Arial" w:hAnsi="Arial" w:cs="Arial"/>
          <w:b/>
          <w:bCs/>
        </w:rPr>
        <w:t>Mikuša</w:t>
      </w:r>
      <w:r w:rsidRPr="005A572B" w:rsidR="00EA5DC2">
        <w:rPr>
          <w:rFonts w:ascii="Arial" w:hAnsi="Arial" w:cs="Arial"/>
          <w:bCs/>
        </w:rPr>
        <w:t xml:space="preserve"> / </w:t>
      </w:r>
      <w:r w:rsidRPr="005A572B" w:rsidR="00D51767">
        <w:rPr>
          <w:rFonts w:ascii="Arial" w:hAnsi="Arial" w:cs="Arial"/>
          <w:bCs/>
        </w:rPr>
        <w:t xml:space="preserve">Ľ. </w:t>
      </w:r>
      <w:r w:rsidRPr="005A572B" w:rsidR="00D51767">
        <w:rPr>
          <w:rFonts w:ascii="Arial" w:hAnsi="Arial" w:cs="Arial"/>
          <w:b/>
          <w:bCs/>
        </w:rPr>
        <w:t>Vážneho</w:t>
      </w:r>
      <w:r w:rsidRPr="005A572B">
        <w:rPr>
          <w:rFonts w:ascii="Arial" w:hAnsi="Arial" w:cs="Arial"/>
          <w:bCs/>
        </w:rPr>
        <w:t>), aby v súlade s § 80 ods. 2 zákona Národnej rady Slovenskej republiky č. 350/1996 Z. z. o rokovacom poriadk</w:t>
      </w:r>
      <w:r w:rsidRPr="005A572B">
        <w:rPr>
          <w:rFonts w:ascii="Arial" w:hAnsi="Arial" w:cs="Arial"/>
          <w:bCs/>
        </w:rPr>
        <w:t>u Národnej rady Slovenskej republiky v znení neskorších  predpisov  informoval  o výsledku rokovania výborov a aby odôvodnil návrh a stanovisko</w:t>
      </w:r>
      <w:r w:rsidRPr="005A572B">
        <w:rPr>
          <w:rFonts w:ascii="Arial" w:hAnsi="Arial" w:cs="Arial"/>
        </w:rPr>
        <w:t xml:space="preserve"> </w:t>
      </w:r>
      <w:r w:rsidRPr="005A572B">
        <w:rPr>
          <w:rFonts w:ascii="Arial" w:hAnsi="Arial" w:cs="Arial"/>
          <w:bCs/>
        </w:rPr>
        <w:t>gestorského výboru k návrhu zákona uvedené v spoločnej správe výborov na schôdzi Národnej rady Slovenskej republ</w:t>
      </w:r>
      <w:r w:rsidRPr="005A572B">
        <w:rPr>
          <w:rFonts w:ascii="Arial" w:hAnsi="Arial" w:cs="Arial"/>
          <w:bCs/>
        </w:rPr>
        <w:t>iky.</w:t>
      </w:r>
    </w:p>
    <w:p w:rsidR="005242C8" w:rsidRPr="005A572B" w:rsidP="005242C8">
      <w:pPr>
        <w:jc w:val="both"/>
        <w:rPr>
          <w:rFonts w:ascii="Arial" w:hAnsi="Arial" w:cs="Arial"/>
          <w:bCs/>
        </w:rPr>
      </w:pPr>
    </w:p>
    <w:p w:rsidR="005242C8" w:rsidRPr="005A572B" w:rsidP="005242C8">
      <w:pPr>
        <w:jc w:val="both"/>
        <w:rPr>
          <w:rFonts w:ascii="Arial" w:hAnsi="Arial" w:cs="Arial"/>
          <w:bCs/>
        </w:rPr>
      </w:pPr>
    </w:p>
    <w:p w:rsidR="0085008B" w:rsidRPr="005A572B" w:rsidP="005242C8">
      <w:pPr>
        <w:jc w:val="both"/>
        <w:rPr>
          <w:rFonts w:ascii="Arial" w:hAnsi="Arial" w:cs="Arial"/>
        </w:rPr>
      </w:pPr>
      <w:r w:rsidRPr="005A572B" w:rsidR="005242C8">
        <w:rPr>
          <w:rFonts w:ascii="Arial" w:hAnsi="Arial" w:cs="Arial"/>
        </w:rPr>
        <w:t xml:space="preserve">                                                  </w:t>
      </w:r>
    </w:p>
    <w:p w:rsidR="0085008B" w:rsidRPr="005A572B" w:rsidP="005242C8">
      <w:pPr>
        <w:jc w:val="both"/>
        <w:rPr>
          <w:rFonts w:ascii="Arial" w:hAnsi="Arial" w:cs="Arial"/>
        </w:rPr>
      </w:pPr>
    </w:p>
    <w:p w:rsidR="00EA5DC2" w:rsidRPr="005A572B" w:rsidP="00EA5DC2">
      <w:pPr>
        <w:jc w:val="both"/>
        <w:rPr>
          <w:rFonts w:ascii="Arial" w:hAnsi="Arial" w:cs="Arial"/>
          <w:b/>
        </w:rPr>
      </w:pPr>
      <w:r w:rsidRPr="005A572B">
        <w:rPr>
          <w:rFonts w:ascii="Arial" w:hAnsi="Arial" w:cs="Arial"/>
        </w:rPr>
        <w:t xml:space="preserve">                                                                                                   Ján  </w:t>
      </w:r>
      <w:r w:rsidRPr="005A572B">
        <w:rPr>
          <w:rFonts w:ascii="Arial" w:hAnsi="Arial" w:cs="Arial"/>
          <w:b/>
          <w:bCs/>
        </w:rPr>
        <w:t>H u d a c k ý</w:t>
      </w:r>
      <w:r w:rsidRPr="005A572B">
        <w:rPr>
          <w:rFonts w:ascii="Arial" w:hAnsi="Arial" w:cs="Arial"/>
          <w:b/>
        </w:rPr>
        <w:t xml:space="preserve"> v.r.</w:t>
      </w:r>
    </w:p>
    <w:p w:rsidR="00EA5DC2" w:rsidRPr="005A572B" w:rsidP="00EA5DC2">
      <w:pPr>
        <w:jc w:val="both"/>
        <w:rPr>
          <w:rFonts w:ascii="Arial" w:hAnsi="Arial" w:cs="Arial"/>
        </w:rPr>
      </w:pPr>
      <w:r w:rsidRPr="005A572B">
        <w:rPr>
          <w:rFonts w:ascii="Arial" w:hAnsi="Arial" w:cs="Arial"/>
        </w:rPr>
        <w:t xml:space="preserve">                                                                                                       predseda výboru</w:t>
      </w:r>
    </w:p>
    <w:p w:rsidR="00EA5DC2" w:rsidRPr="005A572B" w:rsidP="00EA5DC2">
      <w:pPr>
        <w:jc w:val="both"/>
        <w:rPr>
          <w:rFonts w:ascii="Arial" w:hAnsi="Arial" w:cs="Arial"/>
        </w:rPr>
      </w:pPr>
      <w:r w:rsidRPr="005A572B">
        <w:rPr>
          <w:rFonts w:ascii="Arial" w:hAnsi="Arial" w:cs="Arial"/>
        </w:rPr>
        <w:t>overovateľ výboru</w:t>
      </w:r>
    </w:p>
    <w:p w:rsidR="00EA5DC2" w:rsidRPr="005A572B" w:rsidP="00EA5DC2">
      <w:pPr>
        <w:jc w:val="both"/>
        <w:rPr>
          <w:rFonts w:ascii="Arial" w:hAnsi="Arial" w:cs="Arial"/>
          <w:b/>
          <w:bCs/>
        </w:rPr>
      </w:pPr>
      <w:r w:rsidRPr="005A572B">
        <w:rPr>
          <w:rFonts w:ascii="Arial" w:hAnsi="Arial" w:cs="Arial"/>
        </w:rPr>
        <w:t xml:space="preserve">Alojz  </w:t>
      </w:r>
      <w:r w:rsidRPr="005A572B">
        <w:rPr>
          <w:rFonts w:ascii="Arial" w:hAnsi="Arial" w:cs="Arial"/>
          <w:b/>
          <w:bCs/>
        </w:rPr>
        <w:t>P ř i d a l</w:t>
      </w:r>
    </w:p>
    <w:p w:rsidR="00EA5DC2" w:rsidRPr="005A572B" w:rsidP="00EA5DC2">
      <w:pPr>
        <w:jc w:val="both"/>
        <w:rPr>
          <w:rFonts w:ascii="Arial" w:hAnsi="Arial" w:cs="Arial"/>
          <w:b/>
          <w:bCs/>
        </w:rPr>
      </w:pPr>
      <w:r w:rsidRPr="005A572B">
        <w:rPr>
          <w:rFonts w:ascii="Arial" w:hAnsi="Arial" w:cs="Arial"/>
          <w:bCs/>
        </w:rPr>
        <w:t>Michal</w:t>
      </w:r>
      <w:r w:rsidRPr="005A572B">
        <w:rPr>
          <w:rFonts w:ascii="Arial" w:hAnsi="Arial" w:cs="Arial"/>
          <w:b/>
          <w:bCs/>
        </w:rPr>
        <w:t xml:space="preserve">  B a g a č k a  </w:t>
      </w:r>
    </w:p>
    <w:p w:rsidR="00EA5DC2" w:rsidRPr="005A572B" w:rsidP="005242C8">
      <w:pPr>
        <w:pStyle w:val="Heading2"/>
        <w:ind w:left="708" w:firstLine="708"/>
        <w:jc w:val="both"/>
        <w:rPr>
          <w:rFonts w:ascii="Arial" w:hAnsi="Arial" w:cs="Arial"/>
          <w:bCs/>
          <w:i/>
          <w:color w:val="auto"/>
          <w:sz w:val="24"/>
          <w:szCs w:val="24"/>
          <w:lang w:val="sk-SK"/>
        </w:rPr>
      </w:pPr>
    </w:p>
    <w:p w:rsidR="00EA5DC2" w:rsidRPr="005A572B" w:rsidP="005242C8">
      <w:pPr>
        <w:pStyle w:val="Heading2"/>
        <w:ind w:left="708" w:firstLine="708"/>
        <w:jc w:val="both"/>
        <w:rPr>
          <w:rFonts w:ascii="Arial" w:hAnsi="Arial" w:cs="Arial"/>
          <w:bCs/>
          <w:i/>
          <w:color w:val="auto"/>
          <w:sz w:val="24"/>
          <w:szCs w:val="24"/>
          <w:lang w:val="sk-SK"/>
        </w:rPr>
      </w:pPr>
    </w:p>
    <w:p w:rsidR="00EA5DC2" w:rsidRPr="005A572B" w:rsidP="005242C8">
      <w:pPr>
        <w:pStyle w:val="Heading2"/>
        <w:ind w:left="708" w:firstLine="708"/>
        <w:jc w:val="both"/>
        <w:rPr>
          <w:rFonts w:ascii="Arial" w:hAnsi="Arial" w:cs="Arial"/>
          <w:bCs/>
          <w:i/>
          <w:color w:val="auto"/>
          <w:sz w:val="24"/>
          <w:szCs w:val="24"/>
          <w:lang w:val="sk-SK"/>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5242C8">
      <w:pPr>
        <w:pStyle w:val="Heading2"/>
        <w:ind w:left="708" w:firstLine="708"/>
        <w:jc w:val="both"/>
        <w:rPr>
          <w:rFonts w:ascii="Arial" w:hAnsi="Arial" w:cs="Arial"/>
          <w:bCs/>
          <w:i/>
          <w:color w:val="auto"/>
          <w:sz w:val="24"/>
          <w:szCs w:val="24"/>
          <w:lang w:val="sk-SK"/>
        </w:rPr>
      </w:pPr>
    </w:p>
    <w:p w:rsidR="00EA5DC2" w:rsidRPr="005A572B" w:rsidP="00EA5DC2">
      <w:pPr>
        <w:rPr>
          <w:rFonts w:ascii="Arial" w:hAnsi="Arial" w:cs="Arial"/>
        </w:rPr>
      </w:pPr>
    </w:p>
    <w:p w:rsidR="00EA5DC2" w:rsidRPr="005A572B" w:rsidP="00EA5DC2">
      <w:pPr>
        <w:rPr>
          <w:rFonts w:ascii="Arial" w:hAnsi="Arial" w:cs="Arial"/>
        </w:rPr>
      </w:pPr>
    </w:p>
    <w:p w:rsidR="00EA5DC2" w:rsidRPr="005A572B" w:rsidP="00EA5DC2">
      <w:pPr>
        <w:pStyle w:val="Heading1"/>
        <w:spacing w:line="240" w:lineRule="auto"/>
        <w:ind w:firstLine="540"/>
        <w:rPr>
          <w:rFonts w:ascii="Arial" w:hAnsi="Arial" w:cs="Arial"/>
          <w:b w:val="0"/>
          <w:bCs/>
          <w:i/>
          <w:iCs/>
        </w:rPr>
      </w:pPr>
      <w:r w:rsidRPr="005A572B">
        <w:rPr>
          <w:rFonts w:ascii="Arial" w:hAnsi="Arial" w:cs="Arial"/>
          <w:b w:val="0"/>
          <w:bCs/>
          <w:i/>
          <w:iCs/>
        </w:rPr>
        <w:t xml:space="preserve">              Výbor</w:t>
      </w:r>
    </w:p>
    <w:p w:rsidR="00EA5DC2" w:rsidRPr="005A572B" w:rsidP="00EA5DC2">
      <w:pPr>
        <w:jc w:val="both"/>
        <w:rPr>
          <w:rFonts w:ascii="Arial" w:hAnsi="Arial" w:cs="Arial"/>
          <w:i/>
        </w:rPr>
      </w:pPr>
      <w:r w:rsidRPr="005A572B">
        <w:rPr>
          <w:rFonts w:ascii="Arial" w:hAnsi="Arial" w:cs="Arial"/>
          <w:i/>
        </w:rPr>
        <w:t xml:space="preserve"> Národnej rady Slovenskej republiky</w:t>
      </w:r>
    </w:p>
    <w:p w:rsidR="00EA5DC2" w:rsidRPr="005A572B" w:rsidP="00EA5DC2">
      <w:pPr>
        <w:jc w:val="both"/>
        <w:rPr>
          <w:rFonts w:ascii="Arial" w:hAnsi="Arial" w:cs="Arial"/>
          <w:i/>
        </w:rPr>
      </w:pPr>
      <w:r w:rsidRPr="005A572B">
        <w:rPr>
          <w:rFonts w:ascii="Arial" w:hAnsi="Arial" w:cs="Arial"/>
          <w:i/>
        </w:rPr>
        <w:t xml:space="preserve">      pre hospodárske záležitosti </w:t>
      </w:r>
      <w:r w:rsidRPr="005A572B">
        <w:rPr>
          <w:rFonts w:ascii="Arial" w:hAnsi="Arial" w:cs="Arial"/>
        </w:rPr>
        <w:t xml:space="preserve">              </w:t>
      </w:r>
    </w:p>
    <w:p w:rsidR="00EA5DC2" w:rsidRPr="005A572B" w:rsidP="00EA5DC2">
      <w:pPr>
        <w:jc w:val="both"/>
        <w:rPr>
          <w:rFonts w:ascii="Arial" w:hAnsi="Arial" w:cs="Arial"/>
        </w:rPr>
      </w:pPr>
      <w:r w:rsidRPr="005A572B">
        <w:rPr>
          <w:rFonts w:ascii="Arial" w:hAnsi="Arial" w:cs="Arial"/>
        </w:rPr>
        <w:t xml:space="preserve">                                                        </w:t>
      </w:r>
      <w:r w:rsidRPr="005A572B">
        <w:rPr>
          <w:rFonts w:ascii="Arial" w:hAnsi="Arial" w:cs="Arial"/>
        </w:rPr>
        <w:t xml:space="preserve">                                      </w:t>
      </w:r>
      <w:r w:rsidRPr="005A572B" w:rsidR="00E060C2">
        <w:rPr>
          <w:rFonts w:ascii="Arial" w:hAnsi="Arial" w:cs="Arial"/>
        </w:rPr>
        <w:t>4</w:t>
      </w:r>
      <w:r w:rsidRPr="005A572B">
        <w:rPr>
          <w:rFonts w:ascii="Arial" w:hAnsi="Arial" w:cs="Arial"/>
        </w:rPr>
        <w:t>. schôdza výboru</w:t>
      </w:r>
    </w:p>
    <w:p w:rsidR="00EA5DC2" w:rsidRPr="005A572B" w:rsidP="00EA5DC2">
      <w:pPr>
        <w:spacing w:line="240" w:lineRule="atLeast"/>
        <w:jc w:val="both"/>
        <w:rPr>
          <w:rFonts w:ascii="Arial" w:hAnsi="Arial" w:cs="Arial"/>
          <w:bCs/>
        </w:rPr>
      </w:pPr>
      <w:r w:rsidRPr="005A572B">
        <w:rPr>
          <w:rFonts w:ascii="Arial" w:hAnsi="Arial" w:cs="Arial"/>
        </w:rPr>
        <w:t xml:space="preserve">                                                                                              </w:t>
      </w:r>
      <w:r w:rsidRPr="005A572B">
        <w:rPr>
          <w:rFonts w:ascii="Arial" w:hAnsi="Arial" w:cs="Arial"/>
          <w:bCs/>
        </w:rPr>
        <w:t xml:space="preserve">Príloha k uzneseniu č. </w:t>
      </w:r>
      <w:r w:rsidRPr="005A572B" w:rsidR="00202B6F">
        <w:rPr>
          <w:rFonts w:ascii="Arial" w:hAnsi="Arial" w:cs="Arial"/>
          <w:bCs/>
        </w:rPr>
        <w:t>22</w:t>
      </w:r>
    </w:p>
    <w:p w:rsidR="00EA5DC2" w:rsidRPr="005A572B" w:rsidP="00EA5DC2">
      <w:pPr>
        <w:pStyle w:val="BodyTextIndent"/>
        <w:rPr>
          <w:rFonts w:ascii="Arial" w:hAnsi="Arial" w:cs="Arial"/>
          <w:color w:val="auto"/>
        </w:rPr>
      </w:pPr>
      <w:r w:rsidRPr="005A572B">
        <w:rPr>
          <w:rFonts w:ascii="Arial" w:hAnsi="Arial" w:cs="Arial"/>
          <w:iCs/>
          <w:color w:val="auto"/>
        </w:rPr>
        <w:t xml:space="preserve">  </w:t>
      </w:r>
    </w:p>
    <w:p w:rsidR="00EA5DC2" w:rsidRPr="005A572B" w:rsidP="00EA5DC2">
      <w:pPr>
        <w:jc w:val="center"/>
        <w:rPr>
          <w:rFonts w:ascii="Arial" w:hAnsi="Arial" w:cs="Arial"/>
          <w:b/>
          <w:sz w:val="32"/>
          <w:szCs w:val="28"/>
        </w:rPr>
      </w:pPr>
    </w:p>
    <w:p w:rsidR="005242C8" w:rsidRPr="005A572B" w:rsidP="005242C8">
      <w:pPr>
        <w:pStyle w:val="Heading5"/>
        <w:rPr>
          <w:rFonts w:ascii="Arial" w:hAnsi="Arial" w:cs="Arial"/>
          <w:bCs/>
        </w:rPr>
      </w:pPr>
      <w:r w:rsidRPr="005A572B">
        <w:rPr>
          <w:rFonts w:ascii="Arial" w:hAnsi="Arial" w:cs="Arial"/>
        </w:rPr>
        <w:t>Z m e n y  a  d o p l n k y</w:t>
      </w:r>
    </w:p>
    <w:p w:rsidR="005242C8" w:rsidRPr="005A572B" w:rsidP="005242C8">
      <w:pPr>
        <w:pBdr>
          <w:bottom w:val="single" w:sz="12" w:space="1" w:color="auto"/>
        </w:pBdr>
        <w:tabs>
          <w:tab w:val="left" w:pos="-1985"/>
          <w:tab w:val="left" w:pos="709"/>
          <w:tab w:val="left" w:pos="1077"/>
        </w:tabs>
        <w:jc w:val="center"/>
        <w:rPr>
          <w:rStyle w:val="Strong"/>
          <w:rFonts w:ascii="Arial" w:hAnsi="Arial" w:cs="Arial"/>
          <w:b w:val="0"/>
          <w:color w:val="000000"/>
        </w:rPr>
      </w:pPr>
      <w:r w:rsidRPr="005A572B">
        <w:rPr>
          <w:rFonts w:ascii="Arial" w:hAnsi="Arial" w:cs="Arial"/>
        </w:rPr>
        <w:t>k</w:t>
      </w:r>
      <w:r w:rsidRPr="005A572B" w:rsidR="00A96D39">
        <w:rPr>
          <w:rFonts w:ascii="Arial" w:hAnsi="Arial" w:cs="Arial"/>
        </w:rPr>
        <w:t> </w:t>
      </w:r>
      <w:r w:rsidRPr="005A572B" w:rsidR="00EA5DC2">
        <w:rPr>
          <w:rFonts w:ascii="Arial" w:hAnsi="Arial" w:cs="Arial"/>
        </w:rPr>
        <w:t xml:space="preserve">návrhu </w:t>
      </w:r>
      <w:r w:rsidRPr="005A572B" w:rsidR="00EA5DC2">
        <w:rPr>
          <w:rFonts w:ascii="Arial" w:hAnsi="Arial" w:cs="Arial"/>
          <w:szCs w:val="22"/>
        </w:rPr>
        <w:t xml:space="preserve">poslancov Národnej rady Slovenskej republiky Maroša Kondróta a Andreja Kolesíka na vydanie zákona, ktorým sa mení a dopĺňa zákon č. 513/1991 Zb. Obchodný zákonník v znení neskorších predpisov a o zmene a doplnení zákona č. 276/2001 Z. z. o regulácii v sieťových odvetviach a o zmene a doplnení niektorých  zákonov v znení neskorších predpisov (tlač </w:t>
      </w:r>
      <w:r w:rsidRPr="005A572B" w:rsidR="00EA5DC2">
        <w:rPr>
          <w:rFonts w:ascii="Arial" w:hAnsi="Arial" w:cs="Arial"/>
          <w:b/>
          <w:szCs w:val="22"/>
        </w:rPr>
        <w:t>29</w:t>
      </w:r>
      <w:r w:rsidRPr="005A572B" w:rsidR="00EA5DC2">
        <w:rPr>
          <w:rFonts w:ascii="Arial" w:hAnsi="Arial" w:cs="Arial"/>
          <w:szCs w:val="22"/>
        </w:rPr>
        <w:t>)</w:t>
      </w:r>
    </w:p>
    <w:p w:rsidR="003E1A13" w:rsidRPr="005A572B" w:rsidP="003E1A13">
      <w:pPr>
        <w:jc w:val="both"/>
        <w:rPr>
          <w:rFonts w:ascii="Arial" w:hAnsi="Arial" w:cs="Arial"/>
        </w:rPr>
      </w:pPr>
    </w:p>
    <w:p w:rsidR="005A572B" w:rsidRPr="00B23514" w:rsidP="00B23514">
      <w:pPr>
        <w:numPr>
          <w:ilvl w:val="1"/>
          <w:numId w:val="8"/>
        </w:numPr>
        <w:tabs>
          <w:tab w:val="num" w:pos="-284"/>
          <w:tab w:val="clear" w:pos="1440"/>
        </w:tabs>
        <w:ind w:left="426" w:hanging="426"/>
        <w:jc w:val="both"/>
        <w:rPr>
          <w:rFonts w:ascii="Arial" w:hAnsi="Arial" w:cs="Arial"/>
        </w:rPr>
      </w:pPr>
      <w:r w:rsidRPr="00B23514" w:rsidR="00B23514">
        <w:rPr>
          <w:rFonts w:ascii="Arial" w:hAnsi="Arial" w:cs="Arial"/>
        </w:rPr>
        <w:t>Č</w:t>
      </w:r>
      <w:r w:rsidRPr="00B23514">
        <w:rPr>
          <w:rFonts w:ascii="Arial" w:hAnsi="Arial" w:cs="Arial"/>
        </w:rPr>
        <w:t>lánok I znie:</w:t>
      </w:r>
    </w:p>
    <w:p w:rsidR="005A572B" w:rsidRPr="005A572B" w:rsidP="005A572B">
      <w:pPr>
        <w:jc w:val="center"/>
        <w:rPr>
          <w:rFonts w:ascii="Arial" w:hAnsi="Arial" w:cs="Arial"/>
        </w:rPr>
      </w:pPr>
      <w:r w:rsidRPr="005A572B">
        <w:rPr>
          <w:rFonts w:ascii="Arial" w:hAnsi="Arial" w:cs="Arial"/>
        </w:rPr>
        <w:t>„Čl. I</w:t>
      </w:r>
    </w:p>
    <w:p w:rsidR="005A572B" w:rsidRPr="005A572B" w:rsidP="005A572B">
      <w:pPr>
        <w:spacing w:before="100" w:beforeAutospacing="1" w:after="100" w:afterAutospacing="1"/>
        <w:jc w:val="both"/>
        <w:outlineLvl w:val="4"/>
        <w:rPr>
          <w:rFonts w:ascii="Arial" w:hAnsi="Arial" w:cs="Arial"/>
        </w:rPr>
      </w:pPr>
      <w:r w:rsidRPr="005A572B">
        <w:rPr>
          <w:rFonts w:ascii="Arial" w:hAnsi="Arial" w:cs="Arial"/>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a zákona č. 547/2011 Z. z. sa dopĺňa takto:</w:t>
      </w:r>
    </w:p>
    <w:p w:rsidR="005A572B" w:rsidRPr="005A572B" w:rsidP="005A572B">
      <w:pPr>
        <w:autoSpaceDE w:val="0"/>
        <w:autoSpaceDN w:val="0"/>
        <w:adjustRightInd w:val="0"/>
        <w:jc w:val="both"/>
        <w:rPr>
          <w:rFonts w:ascii="Arial" w:hAnsi="Arial" w:cs="Arial"/>
        </w:rPr>
      </w:pPr>
      <w:r w:rsidRPr="005A572B">
        <w:rPr>
          <w:rFonts w:ascii="Arial" w:hAnsi="Arial" w:cs="Arial"/>
        </w:rPr>
        <w:t>Za § 756 sa vk</w:t>
      </w:r>
      <w:r w:rsidRPr="005A572B">
        <w:rPr>
          <w:rFonts w:ascii="Arial" w:hAnsi="Arial" w:cs="Arial"/>
        </w:rPr>
        <w:t xml:space="preserve">ladá § 756a, ktorý znie: </w:t>
      </w:r>
    </w:p>
    <w:p w:rsidR="005A572B" w:rsidRPr="005A572B" w:rsidP="005A572B">
      <w:pPr>
        <w:autoSpaceDE w:val="0"/>
        <w:autoSpaceDN w:val="0"/>
        <w:adjustRightInd w:val="0"/>
        <w:jc w:val="center"/>
        <w:rPr>
          <w:rFonts w:ascii="Arial" w:hAnsi="Arial" w:cs="Arial"/>
        </w:rPr>
      </w:pPr>
      <w:r w:rsidRPr="005A572B">
        <w:rPr>
          <w:rFonts w:ascii="Arial" w:hAnsi="Arial" w:cs="Arial"/>
        </w:rPr>
        <w:t>„§ 756a</w:t>
      </w:r>
    </w:p>
    <w:p w:rsidR="005A572B" w:rsidRPr="005A572B" w:rsidP="005A572B">
      <w:pPr>
        <w:autoSpaceDE w:val="0"/>
        <w:autoSpaceDN w:val="0"/>
        <w:adjustRightInd w:val="0"/>
        <w:jc w:val="center"/>
        <w:rPr>
          <w:rFonts w:ascii="Arial" w:hAnsi="Arial" w:cs="Arial"/>
        </w:rPr>
      </w:pPr>
    </w:p>
    <w:p w:rsidR="005A572B" w:rsidRPr="005A572B" w:rsidP="005A572B">
      <w:pPr>
        <w:autoSpaceDE w:val="0"/>
        <w:autoSpaceDN w:val="0"/>
        <w:adjustRightInd w:val="0"/>
        <w:jc w:val="both"/>
        <w:rPr>
          <w:rFonts w:ascii="Arial" w:hAnsi="Arial" w:cs="Arial"/>
          <w:iCs/>
        </w:rPr>
      </w:pPr>
      <w:r w:rsidRPr="005A572B">
        <w:rPr>
          <w:rFonts w:ascii="Arial" w:hAnsi="Arial" w:cs="Arial"/>
        </w:rPr>
        <w:t xml:space="preserve">(1) </w:t>
      </w:r>
      <w:r w:rsidRPr="005A572B">
        <w:rPr>
          <w:rFonts w:ascii="Arial" w:hAnsi="Arial" w:cs="Arial"/>
          <w:iCs/>
        </w:rPr>
        <w:t xml:space="preserve">Spoločnosť alebo družstvo môže podať návrh ceny a iné návrhy v konaní o cenovej regulácii pred Úradom pre reguláciu sieťových odvetví </w:t>
      </w:r>
      <w:r w:rsidRPr="005A572B">
        <w:rPr>
          <w:rFonts w:ascii="Arial" w:hAnsi="Arial" w:cs="Arial"/>
        </w:rPr>
        <w:t>a Radou pre reguláciu</w:t>
      </w:r>
      <w:r w:rsidRPr="005A572B">
        <w:rPr>
          <w:rFonts w:ascii="Arial" w:hAnsi="Arial" w:cs="Arial"/>
          <w:iCs/>
        </w:rPr>
        <w:t xml:space="preserve"> podľa osobitného zákona iba na základe uznesenia najvyššieho orgánu spoločnosti alebo družstva alebo spoločníkov</w:t>
      </w:r>
      <w:r w:rsidRPr="005A572B">
        <w:rPr>
          <w:rFonts w:ascii="Arial" w:hAnsi="Arial" w:cs="Arial"/>
          <w:iCs/>
        </w:rPr>
        <w:t xml:space="preserve"> </w:t>
      </w:r>
      <w:r w:rsidRPr="005A572B">
        <w:rPr>
          <w:rFonts w:ascii="Arial" w:hAnsi="Arial" w:cs="Arial"/>
          <w:iCs/>
        </w:rPr>
        <w:t>verejnej obchodnej spoločnosti alebo spoločníkov komanditnej spoločnosti; inými návrhmi v konaní o cenovej regulácii sú návrh na zmenu cenového rozhodnutia, doplnenie návrhu v konaní o cenovej regulácii z</w:t>
      </w:r>
      <w:r w:rsidRPr="005A572B">
        <w:rPr>
          <w:rFonts w:ascii="Arial" w:hAnsi="Arial" w:cs="Arial"/>
          <w:iCs/>
        </w:rPr>
        <w:t> podnetu regulovaného subjektu, ak má toto doplnenie vplyv na zmenu ceny a odvolanie v konaní o cenovej regulácii.</w:t>
      </w:r>
    </w:p>
    <w:p w:rsidR="005A572B" w:rsidRPr="005A572B" w:rsidP="005A572B">
      <w:pPr>
        <w:autoSpaceDE w:val="0"/>
        <w:autoSpaceDN w:val="0"/>
        <w:adjustRightInd w:val="0"/>
        <w:jc w:val="both"/>
        <w:rPr>
          <w:rFonts w:ascii="Arial" w:hAnsi="Arial" w:cs="Arial"/>
        </w:rPr>
      </w:pPr>
    </w:p>
    <w:p w:rsidR="005A572B" w:rsidRPr="005A572B" w:rsidP="005A572B">
      <w:pPr>
        <w:autoSpaceDE w:val="0"/>
        <w:autoSpaceDN w:val="0"/>
        <w:adjustRightInd w:val="0"/>
        <w:jc w:val="both"/>
        <w:rPr>
          <w:rFonts w:ascii="Arial" w:hAnsi="Arial" w:cs="Arial"/>
          <w:iCs/>
        </w:rPr>
      </w:pPr>
      <w:r w:rsidRPr="005A572B">
        <w:rPr>
          <w:rFonts w:ascii="Arial" w:hAnsi="Arial" w:cs="Arial"/>
        </w:rPr>
        <w:t>(2)</w:t>
      </w:r>
      <w:r w:rsidRPr="005A572B">
        <w:rPr>
          <w:rFonts w:ascii="Arial" w:hAnsi="Arial" w:cs="Arial"/>
          <w:iCs/>
        </w:rPr>
        <w:t xml:space="preserve"> Najvyšší orgán spoločnosti alebo družstva alebo spoločníci verejnej obchodnej spoločnosti alebo komanditnej spoločnosti môžu preniesť právomoc schvaľovania návrhu ceny a iných návrhov v konaní o cenovej regulácii na štatutárny orgán spoločnosti alebo družstva; na takýto úkon sa vyžaduje súhlas dvojtretinovej väčšiny hlasov všetkých členov najvyššieho orgánu spoločnosti alebo družstva.“.“.</w:t>
      </w:r>
    </w:p>
    <w:p w:rsidR="005A572B" w:rsidRPr="005A572B" w:rsidP="005A572B">
      <w:pPr>
        <w:jc w:val="both"/>
        <w:rPr>
          <w:rFonts w:ascii="Arial" w:hAnsi="Arial" w:cs="Arial"/>
        </w:rPr>
      </w:pPr>
    </w:p>
    <w:p w:rsidR="005A572B" w:rsidRPr="005A572B" w:rsidP="00381F3F">
      <w:pPr>
        <w:ind w:left="2268"/>
        <w:jc w:val="both"/>
        <w:rPr>
          <w:rFonts w:ascii="Arial" w:hAnsi="Arial" w:cs="Arial"/>
          <w:iCs/>
        </w:rPr>
      </w:pPr>
      <w:r w:rsidRPr="005A572B">
        <w:rPr>
          <w:rFonts w:ascii="Arial" w:hAnsi="Arial" w:cs="Arial"/>
        </w:rPr>
        <w:t xml:space="preserve">Navrhovaným ustanovením sa nahrádza doterajšie znenie novelizačného bodu 1. novým znením, ktoré rozširuje povinnosť schvaľovať návrhy ceny a iné návrhy v cenovom konaní pred ich predložením Úradu pre reguláciu sieťových odvetví alebo Rade pre reguláciu pre všetky obchodné spoločnosti a družstvá. Návrh upravuje pôsobnosť pre </w:t>
      </w:r>
      <w:r w:rsidRPr="005A572B">
        <w:rPr>
          <w:rFonts w:ascii="Arial" w:hAnsi="Arial" w:cs="Arial"/>
          <w:iCs/>
        </w:rPr>
        <w:t>najvyšší orgán obchodnej spoločnosti alebo družstva alebo spoločníkov,</w:t>
      </w:r>
      <w:r w:rsidRPr="005A572B">
        <w:rPr>
          <w:rFonts w:ascii="Arial" w:hAnsi="Arial" w:cs="Arial"/>
        </w:rPr>
        <w:t xml:space="preserve"> ktorí tvoria vôľu týchto osôb pri rozhodovaní o najdôležitejších otázkach ich fungovania, ktoré patria do jeho pôsobnosti na základe zákona alebo stanov. To, aké ceny bude obchodná spoločnosť alebo družstvo predkladať na schválenie úradu bez akýchkoľvek pochýb patrí medzi najdôležitejšie otázky existencie tejto osoby, ktorá vykonáva cenovo regulovanú činnosť v sieťových odvetviach, čo je jedným z dôvodov, aby o tejto otázke rozhodoval jej  </w:t>
      </w:r>
      <w:r w:rsidRPr="005A572B">
        <w:rPr>
          <w:rFonts w:ascii="Arial" w:hAnsi="Arial" w:cs="Arial"/>
          <w:iCs/>
        </w:rPr>
        <w:t xml:space="preserve">najvyšší orgán.  </w:t>
      </w:r>
      <w:r w:rsidRPr="005A572B">
        <w:rPr>
          <w:rFonts w:ascii="Arial" w:hAnsi="Arial" w:cs="Arial"/>
        </w:rPr>
        <w:t xml:space="preserve">Návrh zároveň v odseku 2 umožňuje, aby </w:t>
      </w:r>
      <w:r w:rsidRPr="005A572B">
        <w:rPr>
          <w:rFonts w:ascii="Arial" w:hAnsi="Arial" w:cs="Arial"/>
          <w:iCs/>
        </w:rPr>
        <w:t>najvyšší orgán spoločnosti alebo družstva alebo spoločníci verejnej obchodnej spoločnosti alebo komanditnej spoločnosti mali právo preniesť právomoc schvaľovania návrhov cien a iných návrhov v cenovom konaní na štatutárny orgán, ktorý koná v mene obchodnej spoločnosti alebo družstva, pričom sa vyžaduje, aby s takýmto rozhodnutím súhlasila dvojtretinová väčšina hlasov všetkých členov najvyššieho orgánu spoločnosti alebo družstva. Týmto sa môže v závislosti od daného regulovaného subjektu zefektívniť podávanie návrhov v cenovom konaní.</w:t>
      </w:r>
    </w:p>
    <w:p w:rsidR="005A572B" w:rsidRPr="005A572B" w:rsidP="005A572B">
      <w:pPr>
        <w:rPr>
          <w:rFonts w:ascii="Arial" w:hAnsi="Arial" w:cs="Arial"/>
        </w:rPr>
      </w:pPr>
    </w:p>
    <w:p w:rsidR="005A572B" w:rsidRPr="00DB2D81" w:rsidP="00381F3F">
      <w:pPr>
        <w:numPr>
          <w:ilvl w:val="1"/>
          <w:numId w:val="8"/>
        </w:numPr>
        <w:tabs>
          <w:tab w:val="num" w:pos="0"/>
          <w:tab w:val="clear" w:pos="1440"/>
        </w:tabs>
        <w:ind w:left="426"/>
        <w:rPr>
          <w:rFonts w:ascii="Arial" w:hAnsi="Arial" w:cs="Arial"/>
          <w:u w:val="single"/>
        </w:rPr>
      </w:pPr>
      <w:r w:rsidRPr="00DB2D81">
        <w:rPr>
          <w:rFonts w:ascii="Arial" w:hAnsi="Arial" w:cs="Arial"/>
          <w:u w:val="single"/>
        </w:rPr>
        <w:t>V čl. II v</w:t>
      </w:r>
      <w:r w:rsidRPr="00DB2D81" w:rsidR="00DB2D81">
        <w:rPr>
          <w:rFonts w:ascii="Arial" w:hAnsi="Arial" w:cs="Arial"/>
          <w:u w:val="single"/>
        </w:rPr>
        <w:t xml:space="preserve"> </w:t>
      </w:r>
      <w:r w:rsidRPr="00DB2D81">
        <w:rPr>
          <w:rFonts w:ascii="Arial" w:hAnsi="Arial" w:cs="Arial"/>
          <w:u w:val="single"/>
        </w:rPr>
        <w:t>1. bode poznámka pod čiarou k odkazu 6g znie:</w:t>
      </w:r>
    </w:p>
    <w:p w:rsidR="005A572B" w:rsidRPr="005A572B" w:rsidP="005A572B">
      <w:pPr>
        <w:ind w:firstLine="360"/>
        <w:rPr>
          <w:rFonts w:ascii="Arial" w:hAnsi="Arial" w:cs="Arial"/>
        </w:rPr>
      </w:pPr>
      <w:r w:rsidRPr="005A572B">
        <w:rPr>
          <w:rFonts w:ascii="Arial" w:hAnsi="Arial" w:cs="Arial"/>
        </w:rPr>
        <w:t>„</w:t>
      </w:r>
      <w:r w:rsidRPr="005A572B">
        <w:rPr>
          <w:rFonts w:ascii="Arial" w:hAnsi="Arial" w:cs="Arial"/>
          <w:vertAlign w:val="superscript"/>
        </w:rPr>
        <w:t>6g</w:t>
      </w:r>
      <w:r w:rsidRPr="005A572B">
        <w:rPr>
          <w:rFonts w:ascii="Arial" w:hAnsi="Arial" w:cs="Arial"/>
        </w:rPr>
        <w:t>) § 756a Obchodného zákonníka.“.</w:t>
      </w:r>
    </w:p>
    <w:p w:rsidR="005A572B" w:rsidRPr="005A572B" w:rsidP="005A572B">
      <w:pPr>
        <w:tabs>
          <w:tab w:val="left" w:pos="3825"/>
        </w:tabs>
        <w:ind w:left="1980"/>
        <w:jc w:val="both"/>
        <w:rPr>
          <w:rFonts w:ascii="Arial" w:hAnsi="Arial" w:cs="Arial"/>
        </w:rPr>
      </w:pPr>
    </w:p>
    <w:p w:rsidR="005A572B" w:rsidRPr="005A572B" w:rsidP="00DB2D81">
      <w:pPr>
        <w:ind w:left="2268"/>
        <w:jc w:val="both"/>
        <w:rPr>
          <w:rFonts w:ascii="Arial" w:hAnsi="Arial" w:cs="Arial"/>
        </w:rPr>
      </w:pPr>
      <w:r w:rsidRPr="005A572B">
        <w:rPr>
          <w:rFonts w:ascii="Arial" w:hAnsi="Arial" w:cs="Arial"/>
        </w:rPr>
        <w:t xml:space="preserve">Doterajšie znenie poznámky pod čiarou sa nahrádza novým znením z dôvodu zmeny v článku I. </w:t>
      </w:r>
    </w:p>
    <w:p w:rsidR="005A572B" w:rsidRPr="005A572B" w:rsidP="005A572B">
      <w:pPr>
        <w:rPr>
          <w:rFonts w:ascii="Arial" w:hAnsi="Arial" w:cs="Arial"/>
        </w:rPr>
      </w:pPr>
    </w:p>
    <w:p w:rsidR="005A572B" w:rsidRPr="005A572B" w:rsidP="00DB2D81">
      <w:pPr>
        <w:numPr>
          <w:ilvl w:val="1"/>
          <w:numId w:val="8"/>
        </w:numPr>
        <w:tabs>
          <w:tab w:val="num" w:pos="-142"/>
          <w:tab w:val="clear" w:pos="1440"/>
        </w:tabs>
        <w:ind w:left="426"/>
        <w:jc w:val="both"/>
        <w:rPr>
          <w:rFonts w:ascii="Arial" w:hAnsi="Arial" w:cs="Arial"/>
        </w:rPr>
      </w:pPr>
      <w:r w:rsidRPr="00DB2D81">
        <w:rPr>
          <w:rFonts w:ascii="Arial" w:hAnsi="Arial" w:cs="Arial"/>
          <w:u w:val="single"/>
        </w:rPr>
        <w:t xml:space="preserve">V čl. II v 6. bode v § 14 ods. 13 </w:t>
      </w:r>
      <w:r w:rsidRPr="005A572B">
        <w:rPr>
          <w:rFonts w:ascii="Arial" w:hAnsi="Arial" w:cs="Arial"/>
        </w:rPr>
        <w:t>sa za slovo „konaní“ vkladajú slová „ a v konaní o odvolaní“ a za slovo „úrad“ sa vkladajú slová „alebo Rada pre reguláciu“.</w:t>
      </w:r>
    </w:p>
    <w:p w:rsidR="005A572B" w:rsidRPr="005A572B" w:rsidP="005A572B">
      <w:pPr>
        <w:rPr>
          <w:rFonts w:ascii="Arial" w:hAnsi="Arial" w:cs="Arial"/>
        </w:rPr>
      </w:pPr>
    </w:p>
    <w:p w:rsidR="005A572B" w:rsidRPr="005A572B" w:rsidP="00DB2D81">
      <w:pPr>
        <w:ind w:left="2268"/>
        <w:jc w:val="both"/>
        <w:rPr>
          <w:rFonts w:ascii="Arial" w:hAnsi="Arial" w:cs="Arial"/>
        </w:rPr>
      </w:pPr>
      <w:r w:rsidRPr="005A572B">
        <w:rPr>
          <w:rFonts w:ascii="Arial" w:hAnsi="Arial" w:cs="Arial"/>
        </w:rPr>
        <w:t xml:space="preserve">Ustanovuje sa, že aj v odvolacom konaní sa na doplnenie návrhu z podnetu regulovaného subjektu, ktorý má vplyv na zmenu ceny uvedenej v návrhu a nebol schválený najvyšším orgánom regulovaného subjektu, nebude prihliadať a rada rozhodne podľa predloženého návrhu.  </w:t>
      </w:r>
    </w:p>
    <w:p w:rsidR="005A572B" w:rsidRPr="005A572B" w:rsidP="005A572B">
      <w:pPr>
        <w:ind w:left="1980"/>
        <w:jc w:val="both"/>
        <w:rPr>
          <w:rFonts w:ascii="Arial" w:hAnsi="Arial" w:cs="Arial"/>
        </w:rPr>
      </w:pPr>
    </w:p>
    <w:p w:rsidR="005A572B" w:rsidRPr="005A572B" w:rsidP="00DB2D81">
      <w:pPr>
        <w:pStyle w:val="ListParagraph"/>
        <w:numPr>
          <w:ilvl w:val="1"/>
          <w:numId w:val="8"/>
        </w:numPr>
        <w:tabs>
          <w:tab w:val="clear" w:pos="1440"/>
        </w:tabs>
        <w:spacing w:after="200"/>
        <w:ind w:left="426"/>
        <w:jc w:val="both"/>
        <w:rPr>
          <w:rFonts w:ascii="Arial" w:hAnsi="Arial" w:cs="Arial"/>
        </w:rPr>
      </w:pPr>
      <w:r w:rsidRPr="005A572B">
        <w:rPr>
          <w:rFonts w:ascii="Arial" w:hAnsi="Arial" w:cs="Arial"/>
          <w:u w:val="single"/>
        </w:rPr>
        <w:t>V čl. II v</w:t>
      </w:r>
      <w:r w:rsidR="00DB2D81">
        <w:rPr>
          <w:rFonts w:ascii="Arial" w:hAnsi="Arial" w:cs="Arial"/>
          <w:u w:val="single"/>
        </w:rPr>
        <w:t xml:space="preserve"> 6. </w:t>
      </w:r>
      <w:r w:rsidRPr="005A572B">
        <w:rPr>
          <w:rFonts w:ascii="Arial" w:hAnsi="Arial" w:cs="Arial"/>
          <w:u w:val="single"/>
        </w:rPr>
        <w:t xml:space="preserve">bode </w:t>
      </w:r>
      <w:r w:rsidRPr="005A572B">
        <w:rPr>
          <w:rFonts w:ascii="Arial" w:hAnsi="Arial" w:cs="Arial"/>
        </w:rPr>
        <w:t xml:space="preserve"> sa slová „podľa osobitné predpisu</w:t>
      </w:r>
      <w:r w:rsidR="00DB2D81">
        <w:rPr>
          <w:rFonts w:ascii="Arial" w:hAnsi="Arial" w:cs="Arial"/>
          <w:vertAlign w:val="superscript"/>
        </w:rPr>
        <w:t>x</w:t>
      </w:r>
      <w:r w:rsidRPr="005A572B" w:rsidR="00DB2D81">
        <w:rPr>
          <w:rFonts w:ascii="Arial" w:hAnsi="Arial" w:cs="Arial"/>
          <w:vertAlign w:val="superscript"/>
        </w:rPr>
        <w:t>)</w:t>
      </w:r>
      <w:r w:rsidRPr="005A572B">
        <w:rPr>
          <w:rFonts w:ascii="Arial" w:hAnsi="Arial" w:cs="Arial"/>
        </w:rPr>
        <w:t xml:space="preserve">" nahrádzajú slovami „podľa osobitného </w:t>
      </w:r>
      <w:r w:rsidRPr="00DB2D81">
        <w:rPr>
          <w:rFonts w:ascii="Arial" w:hAnsi="Arial" w:cs="Arial"/>
        </w:rPr>
        <w:t>predpisu</w:t>
      </w:r>
      <w:r w:rsidRPr="00DB2D81">
        <w:rPr>
          <w:rFonts w:ascii="Arial" w:hAnsi="Arial" w:cs="Arial"/>
          <w:vertAlign w:val="superscript"/>
        </w:rPr>
        <w:t>6g)</w:t>
      </w:r>
      <w:r w:rsidRPr="005A572B">
        <w:rPr>
          <w:rFonts w:ascii="Arial" w:hAnsi="Arial" w:cs="Arial"/>
        </w:rPr>
        <w:t>".</w:t>
      </w:r>
    </w:p>
    <w:p w:rsidR="005A572B" w:rsidRPr="005A572B" w:rsidP="005A572B">
      <w:pPr>
        <w:pStyle w:val="ListParagraph"/>
        <w:jc w:val="both"/>
        <w:rPr>
          <w:rFonts w:ascii="Arial" w:hAnsi="Arial" w:cs="Arial"/>
        </w:rPr>
      </w:pPr>
    </w:p>
    <w:p w:rsidR="005A572B" w:rsidRPr="005A572B" w:rsidP="005A572B">
      <w:pPr>
        <w:pStyle w:val="ListParagraph"/>
        <w:ind w:left="2268"/>
        <w:jc w:val="both"/>
        <w:rPr>
          <w:rFonts w:ascii="Arial" w:hAnsi="Arial" w:cs="Arial"/>
        </w:rPr>
      </w:pPr>
      <w:r w:rsidRPr="005A572B">
        <w:rPr>
          <w:rFonts w:ascii="Arial" w:hAnsi="Arial" w:cs="Arial"/>
        </w:rPr>
        <w:t xml:space="preserve">Legislatívno–technická oprava a doplnenie chýbajúceho  odkazu na príslušnú poznámku pod čiarou označujúcu o ktorý osobitný predpis ide. </w:t>
      </w:r>
    </w:p>
    <w:p w:rsidR="005A572B" w:rsidP="005A572B">
      <w:pPr>
        <w:ind w:firstLine="720"/>
        <w:jc w:val="both"/>
        <w:rPr>
          <w:rFonts w:ascii="Arial" w:hAnsi="Arial" w:cs="Arial"/>
        </w:rPr>
      </w:pPr>
    </w:p>
    <w:p w:rsidR="00CF4E8A" w:rsidRPr="005A572B" w:rsidP="005A572B">
      <w:pPr>
        <w:ind w:firstLine="720"/>
        <w:jc w:val="both"/>
        <w:rPr>
          <w:rFonts w:ascii="Arial" w:hAnsi="Arial" w:cs="Arial"/>
        </w:rPr>
      </w:pPr>
    </w:p>
    <w:p w:rsidR="005A572B" w:rsidRPr="00DB2D81" w:rsidP="00DB2D81">
      <w:pPr>
        <w:numPr>
          <w:ilvl w:val="1"/>
          <w:numId w:val="8"/>
        </w:numPr>
        <w:tabs>
          <w:tab w:val="num" w:pos="-142"/>
          <w:tab w:val="left" w:pos="0"/>
          <w:tab w:val="clear" w:pos="1440"/>
        </w:tabs>
        <w:ind w:left="426"/>
        <w:rPr>
          <w:rFonts w:ascii="Arial" w:hAnsi="Arial" w:cs="Arial"/>
          <w:u w:val="single"/>
        </w:rPr>
      </w:pPr>
      <w:r w:rsidRPr="00DB2D81">
        <w:rPr>
          <w:rFonts w:ascii="Arial" w:hAnsi="Arial" w:cs="Arial"/>
          <w:u w:val="single"/>
        </w:rPr>
        <w:t xml:space="preserve">V čl. II sa vkladá nový bod x, ktorý znie: </w:t>
      </w:r>
    </w:p>
    <w:p w:rsidR="005A572B" w:rsidRPr="005A572B" w:rsidP="005A572B">
      <w:pPr>
        <w:tabs>
          <w:tab w:val="left" w:pos="360"/>
        </w:tabs>
        <w:rPr>
          <w:rFonts w:ascii="Arial" w:hAnsi="Arial" w:cs="Arial"/>
        </w:rPr>
      </w:pPr>
      <w:r w:rsidRPr="005A572B">
        <w:rPr>
          <w:rFonts w:ascii="Arial" w:hAnsi="Arial" w:cs="Arial"/>
        </w:rPr>
        <w:tab/>
        <w:t>„x. § 14 sa dopĺňa odsekom 1</w:t>
      </w:r>
      <w:r w:rsidR="00446272">
        <w:rPr>
          <w:rFonts w:ascii="Arial" w:hAnsi="Arial" w:cs="Arial"/>
        </w:rPr>
        <w:t>4</w:t>
      </w:r>
      <w:r w:rsidRPr="005A572B">
        <w:rPr>
          <w:rFonts w:ascii="Arial" w:hAnsi="Arial" w:cs="Arial"/>
        </w:rPr>
        <w:t>, ktorý znie:</w:t>
      </w:r>
    </w:p>
    <w:p w:rsidR="005A572B" w:rsidRPr="005A572B" w:rsidP="005A572B">
      <w:pPr>
        <w:tabs>
          <w:tab w:val="left" w:pos="540"/>
        </w:tabs>
        <w:ind w:left="360"/>
        <w:jc w:val="both"/>
        <w:rPr>
          <w:rFonts w:ascii="Arial" w:hAnsi="Arial" w:cs="Arial"/>
        </w:rPr>
      </w:pPr>
      <w:r w:rsidRPr="005A572B">
        <w:rPr>
          <w:rFonts w:ascii="Arial" w:hAnsi="Arial" w:cs="Arial"/>
        </w:rPr>
        <w:t>„(1</w:t>
      </w:r>
      <w:r w:rsidR="00446272">
        <w:rPr>
          <w:rFonts w:ascii="Arial" w:hAnsi="Arial" w:cs="Arial"/>
        </w:rPr>
        <w:t>4</w:t>
      </w:r>
      <w:r w:rsidRPr="005A572B">
        <w:rPr>
          <w:rFonts w:ascii="Arial" w:hAnsi="Arial" w:cs="Arial"/>
        </w:rPr>
        <w:t xml:space="preserve">) Ustanovenia o predkladaní návrhu ceny a iných návrhov v cenovom konaní </w:t>
      </w:r>
      <w:r w:rsidRPr="005A572B">
        <w:rPr>
          <w:rFonts w:ascii="Arial" w:hAnsi="Arial" w:cs="Arial"/>
          <w:iCs/>
        </w:rPr>
        <w:t xml:space="preserve">na základe ich schválenia najvyšším orgánom obchodnej spoločnosti alebo družstva alebo spoločníkmi verejnej obchodnej spoločnosti alebo spoločníkmi komanditnej spoločnosti </w:t>
      </w:r>
      <w:r w:rsidRPr="005A572B">
        <w:rPr>
          <w:rFonts w:ascii="Arial" w:hAnsi="Arial" w:cs="Arial"/>
        </w:rPr>
        <w:t>sú splnené aj, ak regulovaný subjekt predložil návrh ceny alebo iné návrhy v cenovom konaní schválené</w:t>
      </w:r>
      <w:r w:rsidRPr="005A572B">
        <w:rPr>
          <w:rFonts w:ascii="Arial" w:hAnsi="Arial" w:cs="Arial"/>
          <w:iCs/>
        </w:rPr>
        <w:t xml:space="preserve"> štatutárnym orgánom obchodnej spoločnosti alebo družstva </w:t>
      </w:r>
      <w:r w:rsidRPr="005A572B">
        <w:rPr>
          <w:rFonts w:ascii="Arial" w:hAnsi="Arial" w:cs="Arial"/>
        </w:rPr>
        <w:t>podľa osobitného predpisu,</w:t>
      </w:r>
      <w:r w:rsidRPr="005A572B">
        <w:rPr>
          <w:rFonts w:ascii="Arial" w:hAnsi="Arial" w:cs="Arial"/>
          <w:vertAlign w:val="superscript"/>
        </w:rPr>
        <w:t>8a</w:t>
      </w:r>
      <w:r w:rsidRPr="005A572B">
        <w:rPr>
          <w:rFonts w:ascii="Arial" w:hAnsi="Arial" w:cs="Arial"/>
        </w:rPr>
        <w:t xml:space="preserve">) a to pred ich podaním. Regulovaný subjekt je povinný preukázať úradu a Rade pre reguláciu splnenie podmienok na prenesenie právomoci schvaľovať návrh ceny a iné návrhy v cenovom konaní na štatutárny orgán obchodnej spoločnosti alebo družstva.“. </w:t>
      </w:r>
    </w:p>
    <w:p w:rsidR="005A572B" w:rsidRPr="005A572B" w:rsidP="005A572B">
      <w:pPr>
        <w:rPr>
          <w:rFonts w:ascii="Arial" w:hAnsi="Arial" w:cs="Arial"/>
        </w:rPr>
      </w:pPr>
    </w:p>
    <w:p w:rsidR="005A572B" w:rsidRPr="005A572B" w:rsidP="005A572B">
      <w:pPr>
        <w:ind w:firstLine="360"/>
        <w:rPr>
          <w:rFonts w:ascii="Arial" w:hAnsi="Arial" w:cs="Arial"/>
        </w:rPr>
      </w:pPr>
      <w:r w:rsidRPr="005A572B">
        <w:rPr>
          <w:rFonts w:ascii="Arial" w:hAnsi="Arial" w:cs="Arial"/>
        </w:rPr>
        <w:t>Poznámka pod čiarou k odkazu 8a znie:</w:t>
      </w:r>
    </w:p>
    <w:p w:rsidR="005A572B" w:rsidRPr="005A572B" w:rsidP="005A572B">
      <w:pPr>
        <w:ind w:firstLine="360"/>
        <w:rPr>
          <w:rFonts w:ascii="Arial" w:hAnsi="Arial" w:cs="Arial"/>
        </w:rPr>
      </w:pPr>
      <w:r w:rsidRPr="005A572B">
        <w:rPr>
          <w:rFonts w:ascii="Arial" w:hAnsi="Arial" w:cs="Arial"/>
        </w:rPr>
        <w:t>„</w:t>
      </w:r>
      <w:r w:rsidRPr="005A572B">
        <w:rPr>
          <w:rFonts w:ascii="Arial" w:hAnsi="Arial" w:cs="Arial"/>
          <w:vertAlign w:val="superscript"/>
        </w:rPr>
        <w:t>8a</w:t>
      </w:r>
      <w:r w:rsidRPr="005A572B">
        <w:rPr>
          <w:rFonts w:ascii="Arial" w:hAnsi="Arial" w:cs="Arial"/>
        </w:rPr>
        <w:t>) § 756a ods. 2 Obchodného zákonníka.“.“.</w:t>
      </w:r>
    </w:p>
    <w:p w:rsidR="005A572B" w:rsidRPr="005A572B" w:rsidP="005A572B">
      <w:pPr>
        <w:tabs>
          <w:tab w:val="left" w:pos="3825"/>
        </w:tabs>
        <w:ind w:left="1980"/>
        <w:jc w:val="both"/>
        <w:rPr>
          <w:rFonts w:ascii="Arial" w:hAnsi="Arial" w:cs="Arial"/>
        </w:rPr>
      </w:pPr>
    </w:p>
    <w:p w:rsidR="005A572B" w:rsidRPr="005A572B" w:rsidP="00DB2D81">
      <w:pPr>
        <w:ind w:left="2268"/>
        <w:jc w:val="both"/>
        <w:rPr>
          <w:rFonts w:ascii="Arial" w:hAnsi="Arial" w:cs="Arial"/>
        </w:rPr>
      </w:pPr>
      <w:r w:rsidRPr="005A572B">
        <w:rPr>
          <w:rFonts w:ascii="Arial" w:hAnsi="Arial" w:cs="Arial"/>
        </w:rPr>
        <w:t xml:space="preserve">Návrh ustanovuje, že povinnosť regulovaného subjektu predkladať schválené návrhy ceny a iné návrhy v cenovom konaní je dodržaná aj vtedy, ak boli tieto návrhy predložené na základe prenesenej pôsobnosti schvaľovať tieto návrhy z najvyššieho orgánu regulovaného subjektu na štatutárny orgán obchodnej </w:t>
      </w:r>
      <w:r w:rsidRPr="005A572B">
        <w:rPr>
          <w:rFonts w:ascii="Arial" w:hAnsi="Arial" w:cs="Arial"/>
          <w:iCs/>
        </w:rPr>
        <w:t>spoločnosti alebo družstva podľa Obchodného zákonníka.</w:t>
      </w:r>
      <w:r w:rsidRPr="005A572B">
        <w:rPr>
          <w:rFonts w:ascii="Arial" w:hAnsi="Arial" w:cs="Arial"/>
        </w:rPr>
        <w:t xml:space="preserve">  Splnenie podmienok na prenesenie tejto právomoci na štatutárny orgán regulovaný subjekt preukáže dokladom vyhotoveným v súlade s Obchodným zákonníkom. </w:t>
      </w:r>
    </w:p>
    <w:p w:rsidR="005A572B" w:rsidRPr="005A572B" w:rsidP="005A572B">
      <w:pPr>
        <w:tabs>
          <w:tab w:val="left" w:pos="360"/>
        </w:tabs>
        <w:ind w:left="360" w:hanging="360"/>
        <w:jc w:val="both"/>
        <w:rPr>
          <w:rFonts w:ascii="Arial" w:hAnsi="Arial" w:cs="Arial"/>
        </w:rPr>
      </w:pPr>
    </w:p>
    <w:p w:rsidR="005A572B" w:rsidRPr="005A572B" w:rsidP="00DB2D81">
      <w:pPr>
        <w:numPr>
          <w:ilvl w:val="1"/>
          <w:numId w:val="8"/>
        </w:numPr>
        <w:tabs>
          <w:tab w:val="left" w:pos="0"/>
          <w:tab w:val="clear" w:pos="1440"/>
        </w:tabs>
        <w:ind w:left="426"/>
        <w:jc w:val="both"/>
        <w:rPr>
          <w:rFonts w:ascii="Arial" w:hAnsi="Arial" w:cs="Arial"/>
        </w:rPr>
      </w:pPr>
      <w:r w:rsidRPr="00DB2D81">
        <w:rPr>
          <w:rFonts w:ascii="Arial" w:hAnsi="Arial" w:cs="Arial"/>
          <w:u w:val="single"/>
        </w:rPr>
        <w:t xml:space="preserve">V čl. II v celom texte </w:t>
      </w:r>
      <w:r w:rsidRPr="005A572B">
        <w:rPr>
          <w:rFonts w:ascii="Arial" w:hAnsi="Arial" w:cs="Arial"/>
        </w:rPr>
        <w:t>sa slová „valné zhromaždenie“ vo všetkých tvaroch nahrádzajú slovami „</w:t>
      </w:r>
      <w:r w:rsidRPr="005A572B">
        <w:rPr>
          <w:rFonts w:ascii="Arial" w:hAnsi="Arial" w:cs="Arial"/>
          <w:iCs/>
        </w:rPr>
        <w:t xml:space="preserve">najvyšší orgán obchodnej spoločnosti alebo družstva alebo spoločníkmi verejnej obchodnej spoločnosti alebo spoločníkmi komanditnej spoločnosti“ </w:t>
      </w:r>
      <w:r w:rsidRPr="005A572B">
        <w:rPr>
          <w:rFonts w:ascii="Arial" w:hAnsi="Arial" w:cs="Arial"/>
        </w:rPr>
        <w:t>v príslušnom tvare.</w:t>
      </w:r>
    </w:p>
    <w:p w:rsidR="005A572B" w:rsidRPr="005A572B" w:rsidP="005A572B">
      <w:pPr>
        <w:tabs>
          <w:tab w:val="left" w:pos="3825"/>
        </w:tabs>
        <w:ind w:left="1980"/>
        <w:jc w:val="both"/>
        <w:rPr>
          <w:rFonts w:ascii="Arial" w:hAnsi="Arial" w:cs="Arial"/>
        </w:rPr>
      </w:pPr>
    </w:p>
    <w:p w:rsidR="005A572B" w:rsidRPr="005A572B" w:rsidP="00DB2D81">
      <w:pPr>
        <w:ind w:left="2268"/>
        <w:jc w:val="both"/>
        <w:rPr>
          <w:rFonts w:ascii="Arial" w:hAnsi="Arial" w:cs="Arial"/>
        </w:rPr>
      </w:pPr>
      <w:r w:rsidRPr="005A572B">
        <w:rPr>
          <w:rFonts w:ascii="Arial" w:hAnsi="Arial" w:cs="Arial"/>
        </w:rPr>
        <w:t xml:space="preserve">Legislatívno-technická úprava doterajšieho návrhu zákona z dôvodu zmeny v článku I, ktorý rozširuje okruh osôb, ktoré úradu a Rade pre reguláciu predkladajú schválené návrhy v cenovom konaní. </w:t>
      </w:r>
    </w:p>
    <w:p w:rsidR="005A572B" w:rsidRPr="005A572B" w:rsidP="005A572B">
      <w:pPr>
        <w:jc w:val="both"/>
        <w:rPr>
          <w:rFonts w:ascii="Arial" w:hAnsi="Arial" w:cs="Arial"/>
        </w:rPr>
      </w:pPr>
    </w:p>
    <w:p w:rsidR="005A572B" w:rsidRPr="005A572B" w:rsidP="00DB2D81">
      <w:pPr>
        <w:pStyle w:val="ListParagraph"/>
        <w:numPr>
          <w:ilvl w:val="1"/>
          <w:numId w:val="8"/>
        </w:numPr>
        <w:tabs>
          <w:tab w:val="clear" w:pos="1440"/>
        </w:tabs>
        <w:spacing w:after="200"/>
        <w:ind w:left="426"/>
        <w:jc w:val="both"/>
        <w:rPr>
          <w:rFonts w:ascii="Arial" w:hAnsi="Arial" w:cs="Arial"/>
        </w:rPr>
      </w:pPr>
      <w:r w:rsidRPr="005A572B">
        <w:rPr>
          <w:rFonts w:ascii="Arial" w:hAnsi="Arial" w:cs="Arial"/>
          <w:u w:val="single"/>
        </w:rPr>
        <w:t xml:space="preserve">V čl. III </w:t>
      </w:r>
      <w:r w:rsidRPr="005A572B">
        <w:rPr>
          <w:rFonts w:ascii="Arial" w:hAnsi="Arial" w:cs="Arial"/>
        </w:rPr>
        <w:t>sa slová „1. júla 2012“ nahrádzajú slovami „1. augusta 2012“.</w:t>
      </w:r>
    </w:p>
    <w:p w:rsidR="005A572B" w:rsidRPr="005A572B" w:rsidP="005A572B">
      <w:pPr>
        <w:pStyle w:val="ListParagraph"/>
        <w:jc w:val="both"/>
        <w:rPr>
          <w:rFonts w:ascii="Arial" w:hAnsi="Arial" w:cs="Arial"/>
        </w:rPr>
      </w:pPr>
    </w:p>
    <w:p w:rsidR="005A572B" w:rsidRPr="005A572B" w:rsidP="00DB2D81">
      <w:pPr>
        <w:pStyle w:val="ListParagraph"/>
        <w:ind w:left="2268"/>
        <w:jc w:val="both"/>
        <w:rPr>
          <w:rFonts w:ascii="Arial" w:hAnsi="Arial" w:cs="Arial"/>
        </w:rPr>
      </w:pPr>
      <w:r w:rsidRPr="005A572B">
        <w:rPr>
          <w:rFonts w:ascii="Arial" w:hAnsi="Arial" w:cs="Arial"/>
        </w:rPr>
        <w:t xml:space="preserve">Posunutie účinnosti zohľadňuje zákonné lehoty v legislatívnom procese schvaľovania zákona ako aj potrebnú legisvakanciu. </w:t>
      </w:r>
    </w:p>
    <w:p w:rsidR="005A572B" w:rsidRPr="005A572B" w:rsidP="005A572B">
      <w:pPr>
        <w:jc w:val="both"/>
        <w:rPr>
          <w:rFonts w:ascii="Arial" w:hAnsi="Arial" w:cs="Arial"/>
        </w:rPr>
      </w:pPr>
    </w:p>
    <w:sectPr w:rsidSect="00B12DA5">
      <w:footerReference w:type="even" r:id="rId5"/>
      <w:footerReference w:type="default" r:id="rId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81"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2D81" w:rsidP="00B12D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81"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E8A">
      <w:rPr>
        <w:rStyle w:val="PageNumber"/>
        <w:noProof/>
      </w:rPr>
      <w:t>5</w:t>
    </w:r>
    <w:r>
      <w:rPr>
        <w:rStyle w:val="PageNumber"/>
      </w:rPr>
      <w:fldChar w:fldCharType="end"/>
    </w:r>
  </w:p>
  <w:p w:rsidR="00DB2D81" w:rsidP="00B12DA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504"/>
    <w:multiLevelType w:val="hybridMultilevel"/>
    <w:tmpl w:val="2904FE0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b w:val="0"/>
      </w:rPr>
    </w:lvl>
    <w:lvl w:ilvl="2">
      <w:start w:val="0"/>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A6D8D"/>
    <w:multiLevelType w:val="hybridMultilevel"/>
    <w:tmpl w:val="F24847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00724D"/>
    <w:multiLevelType w:val="hybridMultilevel"/>
    <w:tmpl w:val="CC9CFAE6"/>
    <w:lvl w:ilvl="0">
      <w:start w:val="4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7B0A38"/>
    <w:multiLevelType w:val="hybridMultilevel"/>
    <w:tmpl w:val="EAC05BAE"/>
    <w:lvl w:ilvl="0">
      <w:start w:val="4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494CB2"/>
    <w:multiLevelType w:val="hybridMultilevel"/>
    <w:tmpl w:val="01765F4C"/>
    <w:lvl w:ilvl="0">
      <w:start w:val="1"/>
      <w:numFmt w:val="decimal"/>
      <w:lvlText w:val="%1."/>
      <w:lvlJc w:val="left"/>
      <w:pPr>
        <w:tabs>
          <w:tab w:val="num" w:pos="672"/>
        </w:tabs>
        <w:ind w:left="672" w:hanging="360"/>
      </w:pPr>
    </w:lvl>
    <w:lvl w:ilvl="1" w:tentative="1">
      <w:start w:val="1"/>
      <w:numFmt w:val="lowerLetter"/>
      <w:lvlText w:val="%2."/>
      <w:lvlJc w:val="left"/>
      <w:pPr>
        <w:tabs>
          <w:tab w:val="num" w:pos="1392"/>
        </w:tabs>
        <w:ind w:left="1392" w:hanging="360"/>
      </w:pPr>
    </w:lvl>
    <w:lvl w:ilvl="2" w:tentative="1">
      <w:start w:val="1"/>
      <w:numFmt w:val="lowerRoman"/>
      <w:lvlText w:val="%3."/>
      <w:lvlJc w:val="right"/>
      <w:pPr>
        <w:tabs>
          <w:tab w:val="num" w:pos="2112"/>
        </w:tabs>
        <w:ind w:left="2112" w:hanging="180"/>
      </w:pPr>
    </w:lvl>
    <w:lvl w:ilvl="3" w:tentative="1">
      <w:start w:val="1"/>
      <w:numFmt w:val="decimal"/>
      <w:lvlText w:val="%4."/>
      <w:lvlJc w:val="left"/>
      <w:pPr>
        <w:tabs>
          <w:tab w:val="num" w:pos="2832"/>
        </w:tabs>
        <w:ind w:left="2832" w:hanging="360"/>
      </w:pPr>
    </w:lvl>
    <w:lvl w:ilvl="4" w:tentative="1">
      <w:start w:val="1"/>
      <w:numFmt w:val="lowerLetter"/>
      <w:lvlText w:val="%5."/>
      <w:lvlJc w:val="left"/>
      <w:pPr>
        <w:tabs>
          <w:tab w:val="num" w:pos="3552"/>
        </w:tabs>
        <w:ind w:left="3552" w:hanging="360"/>
      </w:pPr>
    </w:lvl>
    <w:lvl w:ilvl="5" w:tentative="1">
      <w:start w:val="1"/>
      <w:numFmt w:val="lowerRoman"/>
      <w:lvlText w:val="%6."/>
      <w:lvlJc w:val="right"/>
      <w:pPr>
        <w:tabs>
          <w:tab w:val="num" w:pos="4272"/>
        </w:tabs>
        <w:ind w:left="4272" w:hanging="180"/>
      </w:pPr>
    </w:lvl>
    <w:lvl w:ilvl="6" w:tentative="1">
      <w:start w:val="1"/>
      <w:numFmt w:val="decimal"/>
      <w:lvlText w:val="%7."/>
      <w:lvlJc w:val="left"/>
      <w:pPr>
        <w:tabs>
          <w:tab w:val="num" w:pos="4992"/>
        </w:tabs>
        <w:ind w:left="4992" w:hanging="360"/>
      </w:pPr>
    </w:lvl>
    <w:lvl w:ilvl="7" w:tentative="1">
      <w:start w:val="1"/>
      <w:numFmt w:val="lowerLetter"/>
      <w:lvlText w:val="%8."/>
      <w:lvlJc w:val="left"/>
      <w:pPr>
        <w:tabs>
          <w:tab w:val="num" w:pos="5712"/>
        </w:tabs>
        <w:ind w:left="5712" w:hanging="360"/>
      </w:pPr>
    </w:lvl>
    <w:lvl w:ilvl="8" w:tentative="1">
      <w:start w:val="1"/>
      <w:numFmt w:val="lowerRoman"/>
      <w:lvlText w:val="%9."/>
      <w:lvlJc w:val="right"/>
      <w:pPr>
        <w:tabs>
          <w:tab w:val="num" w:pos="6432"/>
        </w:tabs>
        <w:ind w:left="6432" w:hanging="180"/>
      </w:pPr>
    </w:lvl>
  </w:abstractNum>
  <w:abstractNum w:abstractNumId="6">
    <w:nsid w:val="195D46F6"/>
    <w:multiLevelType w:val="hybridMultilevel"/>
    <w:tmpl w:val="E152B6C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B23881"/>
    <w:multiLevelType w:val="hybridMultilevel"/>
    <w:tmpl w:val="86783F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6B6195"/>
    <w:multiLevelType w:val="hybridMultilevel"/>
    <w:tmpl w:val="EF288D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0EF1942"/>
    <w:multiLevelType w:val="hybridMultilevel"/>
    <w:tmpl w:val="5BDCA3E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295B8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1D06A01"/>
    <w:multiLevelType w:val="hybridMultilevel"/>
    <w:tmpl w:val="F0F0BE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4797853"/>
    <w:multiLevelType w:val="hybridMultilevel"/>
    <w:tmpl w:val="765662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AA5690"/>
    <w:multiLevelType w:val="hybridMultilevel"/>
    <w:tmpl w:val="0C1252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DB7E74"/>
    <w:multiLevelType w:val="singleLevel"/>
    <w:tmpl w:val="39F038C2"/>
    <w:lvl w:ilvl="0">
      <w:start w:val="1"/>
      <w:numFmt w:val="upperLetter"/>
      <w:pStyle w:val="Heading3"/>
      <w:lvlText w:val="%1."/>
      <w:lvlJc w:val="left"/>
      <w:pPr>
        <w:tabs>
          <w:tab w:val="num" w:pos="420"/>
        </w:tabs>
        <w:ind w:left="420" w:hanging="420"/>
      </w:pPr>
      <w:rPr>
        <w:rFonts w:hint="default"/>
      </w:rPr>
    </w:lvl>
  </w:abstractNum>
  <w:abstractNum w:abstractNumId="15">
    <w:nsid w:val="26DD2447"/>
    <w:multiLevelType w:val="hybridMultilevel"/>
    <w:tmpl w:val="6178D4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23417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D63709B"/>
    <w:multiLevelType w:val="hybridMultilevel"/>
    <w:tmpl w:val="8E96A3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FE777C6"/>
    <w:multiLevelType w:val="hybridMultilevel"/>
    <w:tmpl w:val="AB463B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27D2D0E"/>
    <w:multiLevelType w:val="hybridMultilevel"/>
    <w:tmpl w:val="7AF8F368"/>
    <w:lvl w:ilvl="0">
      <w:start w:val="1"/>
      <w:numFmt w:val="decimal"/>
      <w:lvlText w:val="%1."/>
      <w:lvlJc w:val="left"/>
      <w:pPr>
        <w:tabs>
          <w:tab w:val="num" w:pos="1170"/>
        </w:tabs>
        <w:ind w:left="1170" w:hanging="360"/>
      </w:p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21">
    <w:nsid w:val="33980ADC"/>
    <w:multiLevelType w:val="hybridMultilevel"/>
    <w:tmpl w:val="2EF4D29E"/>
    <w:lvl w:ilvl="0">
      <w:start w:val="1"/>
      <w:numFmt w:val="decimal"/>
      <w:lvlText w:val="%1."/>
      <w:lvlJc w:val="left"/>
      <w:pPr>
        <w:tabs>
          <w:tab w:val="num" w:pos="1080"/>
        </w:tabs>
        <w:ind w:left="1080" w:hanging="360"/>
      </w:pPr>
      <w:rPr>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345F6298"/>
    <w:multiLevelType w:val="hybridMultilevel"/>
    <w:tmpl w:val="8E224C9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5AD72CB"/>
    <w:multiLevelType w:val="hybridMultilevel"/>
    <w:tmpl w:val="7AFED67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4053733B"/>
    <w:multiLevelType w:val="hybridMultilevel"/>
    <w:tmpl w:val="023AA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E202EF"/>
    <w:multiLevelType w:val="hybridMultilevel"/>
    <w:tmpl w:val="60726E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27">
    <w:nsid w:val="49533F80"/>
    <w:multiLevelType w:val="hybridMultilevel"/>
    <w:tmpl w:val="9C46C6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A355B8"/>
    <w:multiLevelType w:val="hybridMultilevel"/>
    <w:tmpl w:val="E0A6FA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5974247"/>
    <w:multiLevelType w:val="hybridMultilevel"/>
    <w:tmpl w:val="8A100D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DC34264"/>
    <w:multiLevelType w:val="hybridMultilevel"/>
    <w:tmpl w:val="94C4B6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1472388"/>
    <w:multiLevelType w:val="hybridMultilevel"/>
    <w:tmpl w:val="049083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676789C"/>
    <w:multiLevelType w:val="hybridMultilevel"/>
    <w:tmpl w:val="424014CE"/>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3">
    <w:nsid w:val="66994E29"/>
    <w:multiLevelType w:val="hybridMultilevel"/>
    <w:tmpl w:val="3122750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6D84C1A"/>
    <w:multiLevelType w:val="hybridMultilevel"/>
    <w:tmpl w:val="D99CC08A"/>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89F5E34"/>
    <w:multiLevelType w:val="hybridMultilevel"/>
    <w:tmpl w:val="D07223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CE42562"/>
    <w:multiLevelType w:val="hybridMultilevel"/>
    <w:tmpl w:val="67326C32"/>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19C363B"/>
    <w:multiLevelType w:val="hybridMultilevel"/>
    <w:tmpl w:val="AA4CB3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1FD5567"/>
    <w:multiLevelType w:val="hybridMultilevel"/>
    <w:tmpl w:val="BE0C4628"/>
    <w:lvl w:ilvl="0">
      <w:start w:val="1"/>
      <w:numFmt w:val="low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9">
    <w:nsid w:val="762D7B8A"/>
    <w:multiLevelType w:val="hybridMultilevel"/>
    <w:tmpl w:val="89C4AAE8"/>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7636372E"/>
    <w:multiLevelType w:val="hybridMultilevel"/>
    <w:tmpl w:val="70169630"/>
    <w:lvl w:ilvl="0">
      <w:start w:val="1"/>
      <w:numFmt w:val="lowerLetter"/>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41">
    <w:nsid w:val="7D2F5268"/>
    <w:multiLevelType w:val="hybridMultilevel"/>
    <w:tmpl w:val="7862D1E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F827311"/>
    <w:multiLevelType w:val="hybridMultilevel"/>
    <w:tmpl w:val="B524AA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26"/>
  </w:num>
  <w:num w:numId="3">
    <w:abstractNumId w:val="1"/>
  </w:num>
  <w:num w:numId="4">
    <w:abstractNumId w:val="29"/>
  </w:num>
  <w:num w:numId="5">
    <w:abstractNumId w:val="35"/>
  </w:num>
  <w:num w:numId="6">
    <w:abstractNumId w:val="0"/>
  </w:num>
  <w:num w:numId="7">
    <w:abstractNumId w:val="31"/>
  </w:num>
  <w:num w:numId="8">
    <w:abstractNumId w:val="34"/>
  </w:num>
  <w:num w:numId="9">
    <w:abstractNumId w:val="30"/>
  </w:num>
  <w:num w:numId="10">
    <w:abstractNumId w:val="9"/>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2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2"/>
  </w:num>
  <w:num w:numId="18">
    <w:abstractNumId w:val="8"/>
  </w:num>
  <w:num w:numId="19">
    <w:abstractNumId w:val="37"/>
  </w:num>
  <w:num w:numId="20">
    <w:abstractNumId w:val="5"/>
  </w:num>
  <w:num w:numId="21">
    <w:abstractNumId w:val="41"/>
  </w:num>
  <w:num w:numId="22">
    <w:abstractNumId w:val="7"/>
  </w:num>
  <w:num w:numId="23">
    <w:abstractNumId w:val="21"/>
  </w:num>
  <w:num w:numId="24">
    <w:abstractNumId w:val="22"/>
  </w:num>
  <w:num w:numId="25">
    <w:abstractNumId w:val="4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27"/>
  </w:num>
  <w:num w:numId="32">
    <w:abstractNumId w:val="13"/>
  </w:num>
  <w:num w:numId="33">
    <w:abstractNumId w:val="25"/>
  </w:num>
  <w:num w:numId="34">
    <w:abstractNumId w:val="18"/>
  </w:num>
  <w:num w:numId="35">
    <w:abstractNumId w:val="38"/>
  </w:num>
  <w:num w:numId="36">
    <w:abstractNumId w:val="24"/>
  </w:num>
  <w:num w:numId="37">
    <w:abstractNumId w:val="32"/>
  </w:num>
  <w:num w:numId="38">
    <w:abstractNumId w:val="28"/>
  </w:num>
  <w:num w:numId="39">
    <w:abstractNumId w:val="20"/>
  </w:num>
  <w:num w:numId="40">
    <w:abstractNumId w:val="36"/>
  </w:num>
  <w:num w:numId="41">
    <w:abstractNumId w:val="6"/>
  </w:num>
  <w:num w:numId="42">
    <w:abstractNumId w:val="39"/>
  </w:num>
  <w:num w:numId="43">
    <w:abstractNumId w:val="40"/>
  </w:num>
  <w:num w:numId="44">
    <w:abstractNumId w:val="15"/>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1811"/>
    <w:rsid w:val="00007A5C"/>
    <w:rsid w:val="00010544"/>
    <w:rsid w:val="0001338E"/>
    <w:rsid w:val="000157BC"/>
    <w:rsid w:val="000215E9"/>
    <w:rsid w:val="000217D7"/>
    <w:rsid w:val="00024682"/>
    <w:rsid w:val="00036847"/>
    <w:rsid w:val="000401ED"/>
    <w:rsid w:val="00040E91"/>
    <w:rsid w:val="00042C75"/>
    <w:rsid w:val="00043142"/>
    <w:rsid w:val="00046C91"/>
    <w:rsid w:val="00050568"/>
    <w:rsid w:val="00056F29"/>
    <w:rsid w:val="0006389B"/>
    <w:rsid w:val="00070F59"/>
    <w:rsid w:val="00071230"/>
    <w:rsid w:val="00071298"/>
    <w:rsid w:val="00081141"/>
    <w:rsid w:val="0008455D"/>
    <w:rsid w:val="000955AC"/>
    <w:rsid w:val="00097B16"/>
    <w:rsid w:val="000A0380"/>
    <w:rsid w:val="000F2310"/>
    <w:rsid w:val="000F2CA6"/>
    <w:rsid w:val="000F2F76"/>
    <w:rsid w:val="000F7F2B"/>
    <w:rsid w:val="001047F3"/>
    <w:rsid w:val="00106191"/>
    <w:rsid w:val="00106567"/>
    <w:rsid w:val="00106601"/>
    <w:rsid w:val="00115576"/>
    <w:rsid w:val="00122F36"/>
    <w:rsid w:val="001240F4"/>
    <w:rsid w:val="00140FC5"/>
    <w:rsid w:val="00145D17"/>
    <w:rsid w:val="0015098B"/>
    <w:rsid w:val="00154657"/>
    <w:rsid w:val="001577CB"/>
    <w:rsid w:val="001831FD"/>
    <w:rsid w:val="0019396E"/>
    <w:rsid w:val="00195D1D"/>
    <w:rsid w:val="001A0B13"/>
    <w:rsid w:val="001A6F11"/>
    <w:rsid w:val="001B0B69"/>
    <w:rsid w:val="001D5CAD"/>
    <w:rsid w:val="001D79F3"/>
    <w:rsid w:val="001E151D"/>
    <w:rsid w:val="001E67C4"/>
    <w:rsid w:val="001F11C0"/>
    <w:rsid w:val="001F4E25"/>
    <w:rsid w:val="00202B6F"/>
    <w:rsid w:val="002102AF"/>
    <w:rsid w:val="0021221E"/>
    <w:rsid w:val="0022161D"/>
    <w:rsid w:val="002301A9"/>
    <w:rsid w:val="00256B8E"/>
    <w:rsid w:val="00277A33"/>
    <w:rsid w:val="00280A1F"/>
    <w:rsid w:val="0028251E"/>
    <w:rsid w:val="002B11B1"/>
    <w:rsid w:val="002B564A"/>
    <w:rsid w:val="002C0C20"/>
    <w:rsid w:val="002D2A34"/>
    <w:rsid w:val="002D4CAA"/>
    <w:rsid w:val="002E6A6F"/>
    <w:rsid w:val="002F1C84"/>
    <w:rsid w:val="002F40D1"/>
    <w:rsid w:val="002F6DCA"/>
    <w:rsid w:val="00336BE0"/>
    <w:rsid w:val="0034406B"/>
    <w:rsid w:val="00351F5F"/>
    <w:rsid w:val="003568D1"/>
    <w:rsid w:val="00362FB8"/>
    <w:rsid w:val="00366B6D"/>
    <w:rsid w:val="003777C3"/>
    <w:rsid w:val="00381F3F"/>
    <w:rsid w:val="00382BAA"/>
    <w:rsid w:val="003B28B3"/>
    <w:rsid w:val="003C4821"/>
    <w:rsid w:val="003E1A13"/>
    <w:rsid w:val="003E3BC3"/>
    <w:rsid w:val="003E69BB"/>
    <w:rsid w:val="003F1811"/>
    <w:rsid w:val="003F3D93"/>
    <w:rsid w:val="0040098A"/>
    <w:rsid w:val="004046B5"/>
    <w:rsid w:val="00411ACA"/>
    <w:rsid w:val="004373E8"/>
    <w:rsid w:val="004375D7"/>
    <w:rsid w:val="00446272"/>
    <w:rsid w:val="00447A28"/>
    <w:rsid w:val="00447AF4"/>
    <w:rsid w:val="00450B7B"/>
    <w:rsid w:val="0046375F"/>
    <w:rsid w:val="0047755B"/>
    <w:rsid w:val="00477D15"/>
    <w:rsid w:val="00485C3A"/>
    <w:rsid w:val="00487B16"/>
    <w:rsid w:val="00491694"/>
    <w:rsid w:val="00493643"/>
    <w:rsid w:val="004B21BB"/>
    <w:rsid w:val="004B6E65"/>
    <w:rsid w:val="004B72E6"/>
    <w:rsid w:val="004C22EE"/>
    <w:rsid w:val="004C2B3F"/>
    <w:rsid w:val="004C34C2"/>
    <w:rsid w:val="004C39AC"/>
    <w:rsid w:val="004C47AB"/>
    <w:rsid w:val="004C7FE5"/>
    <w:rsid w:val="004D4552"/>
    <w:rsid w:val="004D6C9E"/>
    <w:rsid w:val="004E5293"/>
    <w:rsid w:val="00521DCA"/>
    <w:rsid w:val="005239A3"/>
    <w:rsid w:val="005242C8"/>
    <w:rsid w:val="00527135"/>
    <w:rsid w:val="0053513E"/>
    <w:rsid w:val="0053793F"/>
    <w:rsid w:val="005605A4"/>
    <w:rsid w:val="005625A4"/>
    <w:rsid w:val="00567967"/>
    <w:rsid w:val="00573336"/>
    <w:rsid w:val="00577C1F"/>
    <w:rsid w:val="00585558"/>
    <w:rsid w:val="0059163C"/>
    <w:rsid w:val="005A17FA"/>
    <w:rsid w:val="005A572B"/>
    <w:rsid w:val="005D17F2"/>
    <w:rsid w:val="005D20AB"/>
    <w:rsid w:val="005D46AC"/>
    <w:rsid w:val="005E0F20"/>
    <w:rsid w:val="005E386B"/>
    <w:rsid w:val="005E4D9C"/>
    <w:rsid w:val="005E6C1D"/>
    <w:rsid w:val="005E7471"/>
    <w:rsid w:val="005F2928"/>
    <w:rsid w:val="005F4AFB"/>
    <w:rsid w:val="006000E0"/>
    <w:rsid w:val="006063EB"/>
    <w:rsid w:val="00620445"/>
    <w:rsid w:val="006205E7"/>
    <w:rsid w:val="00620D0B"/>
    <w:rsid w:val="0063307B"/>
    <w:rsid w:val="00645499"/>
    <w:rsid w:val="00653716"/>
    <w:rsid w:val="0065771D"/>
    <w:rsid w:val="0066015C"/>
    <w:rsid w:val="00662DCB"/>
    <w:rsid w:val="00662DF3"/>
    <w:rsid w:val="00675CF8"/>
    <w:rsid w:val="00681062"/>
    <w:rsid w:val="00681985"/>
    <w:rsid w:val="006A3860"/>
    <w:rsid w:val="006A6D3F"/>
    <w:rsid w:val="006C4A64"/>
    <w:rsid w:val="006D0B0B"/>
    <w:rsid w:val="006D5213"/>
    <w:rsid w:val="006D74CD"/>
    <w:rsid w:val="006E4B6F"/>
    <w:rsid w:val="006F4258"/>
    <w:rsid w:val="006F758E"/>
    <w:rsid w:val="006F760E"/>
    <w:rsid w:val="0070533C"/>
    <w:rsid w:val="007120C4"/>
    <w:rsid w:val="00726604"/>
    <w:rsid w:val="00730D0E"/>
    <w:rsid w:val="007324A1"/>
    <w:rsid w:val="00737355"/>
    <w:rsid w:val="0074040B"/>
    <w:rsid w:val="007528D4"/>
    <w:rsid w:val="0076346A"/>
    <w:rsid w:val="0076601C"/>
    <w:rsid w:val="00766AE0"/>
    <w:rsid w:val="007A15DD"/>
    <w:rsid w:val="007A3B12"/>
    <w:rsid w:val="007B4455"/>
    <w:rsid w:val="007C0186"/>
    <w:rsid w:val="007D5A81"/>
    <w:rsid w:val="007D67CC"/>
    <w:rsid w:val="007F10EF"/>
    <w:rsid w:val="007F5CB3"/>
    <w:rsid w:val="0080470D"/>
    <w:rsid w:val="008053AD"/>
    <w:rsid w:val="008066D2"/>
    <w:rsid w:val="00811F18"/>
    <w:rsid w:val="0082333D"/>
    <w:rsid w:val="008314AD"/>
    <w:rsid w:val="0083686D"/>
    <w:rsid w:val="00837BBE"/>
    <w:rsid w:val="00842C0B"/>
    <w:rsid w:val="0085008B"/>
    <w:rsid w:val="00852767"/>
    <w:rsid w:val="00863959"/>
    <w:rsid w:val="00867EF1"/>
    <w:rsid w:val="00870897"/>
    <w:rsid w:val="008743DC"/>
    <w:rsid w:val="0088372A"/>
    <w:rsid w:val="0089351F"/>
    <w:rsid w:val="008A5E9A"/>
    <w:rsid w:val="008A77CD"/>
    <w:rsid w:val="008C10BE"/>
    <w:rsid w:val="008D20B9"/>
    <w:rsid w:val="008D6DE8"/>
    <w:rsid w:val="008E6C16"/>
    <w:rsid w:val="008F2636"/>
    <w:rsid w:val="008F3A50"/>
    <w:rsid w:val="009065BC"/>
    <w:rsid w:val="0091432E"/>
    <w:rsid w:val="0091555F"/>
    <w:rsid w:val="00950887"/>
    <w:rsid w:val="00973C15"/>
    <w:rsid w:val="00983562"/>
    <w:rsid w:val="009846B3"/>
    <w:rsid w:val="00990C7C"/>
    <w:rsid w:val="009A631C"/>
    <w:rsid w:val="009B6157"/>
    <w:rsid w:val="009C27F1"/>
    <w:rsid w:val="009F053E"/>
    <w:rsid w:val="009F07F2"/>
    <w:rsid w:val="00A11E39"/>
    <w:rsid w:val="00A24A27"/>
    <w:rsid w:val="00A334CC"/>
    <w:rsid w:val="00A36A70"/>
    <w:rsid w:val="00A436E0"/>
    <w:rsid w:val="00A62B07"/>
    <w:rsid w:val="00A64A66"/>
    <w:rsid w:val="00A7008D"/>
    <w:rsid w:val="00A77B81"/>
    <w:rsid w:val="00A85C47"/>
    <w:rsid w:val="00A92253"/>
    <w:rsid w:val="00A96D39"/>
    <w:rsid w:val="00AB1EC9"/>
    <w:rsid w:val="00AD6BE7"/>
    <w:rsid w:val="00AF7FD1"/>
    <w:rsid w:val="00B016C3"/>
    <w:rsid w:val="00B06746"/>
    <w:rsid w:val="00B12DA5"/>
    <w:rsid w:val="00B14EB3"/>
    <w:rsid w:val="00B23514"/>
    <w:rsid w:val="00B316CD"/>
    <w:rsid w:val="00B31C1B"/>
    <w:rsid w:val="00B358D4"/>
    <w:rsid w:val="00B4466C"/>
    <w:rsid w:val="00B73BB3"/>
    <w:rsid w:val="00B8497D"/>
    <w:rsid w:val="00B850BE"/>
    <w:rsid w:val="00B91218"/>
    <w:rsid w:val="00B937DA"/>
    <w:rsid w:val="00BA43E5"/>
    <w:rsid w:val="00BC4C00"/>
    <w:rsid w:val="00BE1296"/>
    <w:rsid w:val="00BE1444"/>
    <w:rsid w:val="00BF642A"/>
    <w:rsid w:val="00BF71E7"/>
    <w:rsid w:val="00C04C9A"/>
    <w:rsid w:val="00C26E0E"/>
    <w:rsid w:val="00C320FE"/>
    <w:rsid w:val="00C353C2"/>
    <w:rsid w:val="00C44AE0"/>
    <w:rsid w:val="00C47F34"/>
    <w:rsid w:val="00C62C12"/>
    <w:rsid w:val="00C62D82"/>
    <w:rsid w:val="00C74BF4"/>
    <w:rsid w:val="00C95ADC"/>
    <w:rsid w:val="00CA1DD9"/>
    <w:rsid w:val="00CA4AE1"/>
    <w:rsid w:val="00CB4008"/>
    <w:rsid w:val="00CB7AD3"/>
    <w:rsid w:val="00CD2A94"/>
    <w:rsid w:val="00CD2F38"/>
    <w:rsid w:val="00CD4930"/>
    <w:rsid w:val="00CE0341"/>
    <w:rsid w:val="00CE2EFA"/>
    <w:rsid w:val="00CE7D5D"/>
    <w:rsid w:val="00CF4E8A"/>
    <w:rsid w:val="00D0784E"/>
    <w:rsid w:val="00D113A5"/>
    <w:rsid w:val="00D150C5"/>
    <w:rsid w:val="00D22F22"/>
    <w:rsid w:val="00D279F2"/>
    <w:rsid w:val="00D27CF5"/>
    <w:rsid w:val="00D32378"/>
    <w:rsid w:val="00D416F8"/>
    <w:rsid w:val="00D42F6E"/>
    <w:rsid w:val="00D51767"/>
    <w:rsid w:val="00D543FC"/>
    <w:rsid w:val="00D620AE"/>
    <w:rsid w:val="00D643C3"/>
    <w:rsid w:val="00D83C58"/>
    <w:rsid w:val="00D90766"/>
    <w:rsid w:val="00DB2D81"/>
    <w:rsid w:val="00DC2F07"/>
    <w:rsid w:val="00DE1D27"/>
    <w:rsid w:val="00DF57DD"/>
    <w:rsid w:val="00DF7DAF"/>
    <w:rsid w:val="00E060C2"/>
    <w:rsid w:val="00E10CA0"/>
    <w:rsid w:val="00E24180"/>
    <w:rsid w:val="00E25C38"/>
    <w:rsid w:val="00E27117"/>
    <w:rsid w:val="00E37E48"/>
    <w:rsid w:val="00E40707"/>
    <w:rsid w:val="00E44395"/>
    <w:rsid w:val="00E45025"/>
    <w:rsid w:val="00E46968"/>
    <w:rsid w:val="00E52078"/>
    <w:rsid w:val="00E671FA"/>
    <w:rsid w:val="00E73197"/>
    <w:rsid w:val="00E74085"/>
    <w:rsid w:val="00E74956"/>
    <w:rsid w:val="00E86CCA"/>
    <w:rsid w:val="00E92076"/>
    <w:rsid w:val="00E932FD"/>
    <w:rsid w:val="00E97A9C"/>
    <w:rsid w:val="00EA0F1B"/>
    <w:rsid w:val="00EA5DC2"/>
    <w:rsid w:val="00EB254F"/>
    <w:rsid w:val="00EF2148"/>
    <w:rsid w:val="00F03CA8"/>
    <w:rsid w:val="00F07CB2"/>
    <w:rsid w:val="00F12772"/>
    <w:rsid w:val="00F15772"/>
    <w:rsid w:val="00F17C0E"/>
    <w:rsid w:val="00F2079E"/>
    <w:rsid w:val="00F234E3"/>
    <w:rsid w:val="00F5407E"/>
    <w:rsid w:val="00F636F9"/>
    <w:rsid w:val="00F77110"/>
    <w:rsid w:val="00F83392"/>
    <w:rsid w:val="00F83BA5"/>
    <w:rsid w:val="00FA0D68"/>
    <w:rsid w:val="00FA62B0"/>
    <w:rsid w:val="00FC2EF5"/>
    <w:rsid w:val="00FC3E60"/>
    <w:rsid w:val="00FC46BF"/>
    <w:rsid w:val="00FC7A13"/>
    <w:rsid w:val="00FD1CAF"/>
    <w:rsid w:val="00FD1F75"/>
    <w:rsid w:val="00FE20AD"/>
    <w:rsid w:val="00FE24D2"/>
    <w:rsid w:val="00FE596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rFonts w:eastAsia="Arial Unicode MS"/>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rPr>
      <w:sz w:val="32"/>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pPr>
      <w:spacing w:before="40"/>
      <w:jc w:val="both"/>
    </w:pPr>
    <w:rPr>
      <w:sz w:val="20"/>
      <w:szCs w:val="20"/>
    </w:rPr>
  </w:style>
  <w:style w:type="paragraph" w:customStyle="1" w:styleId="AONormal">
    <w:name w:val="AONormal"/>
    <w:pPr>
      <w:spacing w:line="260" w:lineRule="atLeast"/>
    </w:pPr>
    <w:rPr>
      <w:sz w:val="22"/>
      <w:lang w:val="sk-SK" w:eastAsia="sk-SK" w:bidi="ar-SA"/>
    </w:rPr>
  </w:style>
  <w:style w:type="paragraph" w:customStyle="1" w:styleId="AODocTxt">
    <w:name w:val="AODocTxt"/>
    <w:basedOn w:val="Normal"/>
    <w:pPr>
      <w:numPr>
        <w:ilvl w:val="0"/>
        <w:numId w:val="2"/>
      </w:numPr>
      <w:spacing w:before="240" w:line="260" w:lineRule="atLeast"/>
      <w:jc w:val="both"/>
    </w:pPr>
    <w:rPr>
      <w:sz w:val="22"/>
      <w:szCs w:val="20"/>
    </w:rPr>
  </w:style>
  <w:style w:type="paragraph" w:customStyle="1" w:styleId="AODocTxtL1">
    <w:name w:val="AODocTxtL1"/>
    <w:basedOn w:val="AODocTxt"/>
    <w:pPr>
      <w:numPr>
        <w:ilvl w:val="1"/>
        <w:numId w:val="2"/>
      </w:numPr>
      <w:tabs>
        <w:tab w:val="num" w:pos="1080"/>
      </w:tabs>
      <w:ind w:left="1080" w:hanging="360"/>
    </w:pPr>
  </w:style>
  <w:style w:type="paragraph" w:customStyle="1" w:styleId="AODocTxtL2">
    <w:name w:val="AODocTxtL2"/>
    <w:basedOn w:val="AODocTxt"/>
    <w:pPr>
      <w:numPr>
        <w:ilvl w:val="2"/>
        <w:numId w:val="2"/>
      </w:numPr>
      <w:tabs>
        <w:tab w:val="num" w:pos="1800"/>
      </w:tabs>
      <w:ind w:left="1800" w:hanging="180"/>
    </w:pPr>
  </w:style>
  <w:style w:type="paragraph" w:customStyle="1" w:styleId="AODocTxtL3">
    <w:name w:val="AODocTxtL3"/>
    <w:basedOn w:val="AODocTxt"/>
    <w:pPr>
      <w:numPr>
        <w:ilvl w:val="3"/>
        <w:numId w:val="2"/>
      </w:numPr>
      <w:tabs>
        <w:tab w:val="num" w:pos="2520"/>
      </w:tabs>
      <w:ind w:left="2520" w:hanging="360"/>
    </w:pPr>
  </w:style>
  <w:style w:type="paragraph" w:customStyle="1" w:styleId="AODocTxtL4">
    <w:name w:val="AODocTxtL4"/>
    <w:basedOn w:val="AODocTxt"/>
    <w:pPr>
      <w:numPr>
        <w:ilvl w:val="4"/>
        <w:numId w:val="2"/>
      </w:numPr>
      <w:tabs>
        <w:tab w:val="num" w:pos="3240"/>
      </w:tabs>
      <w:ind w:left="3240" w:hanging="360"/>
    </w:pPr>
  </w:style>
  <w:style w:type="paragraph" w:customStyle="1" w:styleId="AODocTxtL5">
    <w:name w:val="AODocTxtL5"/>
    <w:basedOn w:val="AODocTxt"/>
    <w:pPr>
      <w:numPr>
        <w:ilvl w:val="5"/>
        <w:numId w:val="2"/>
      </w:numPr>
      <w:tabs>
        <w:tab w:val="num" w:pos="3960"/>
      </w:tabs>
      <w:ind w:left="3960" w:hanging="180"/>
    </w:pPr>
  </w:style>
  <w:style w:type="paragraph" w:customStyle="1" w:styleId="AODocTxtL6">
    <w:name w:val="AODocTxtL6"/>
    <w:basedOn w:val="AODocTxt"/>
    <w:pPr>
      <w:numPr>
        <w:ilvl w:val="6"/>
        <w:numId w:val="2"/>
      </w:numPr>
      <w:tabs>
        <w:tab w:val="num" w:pos="4680"/>
      </w:tabs>
      <w:ind w:left="4680" w:hanging="360"/>
    </w:pPr>
  </w:style>
  <w:style w:type="paragraph" w:customStyle="1" w:styleId="AODocTxtL7">
    <w:name w:val="AODocTxtL7"/>
    <w:basedOn w:val="AODocTxt"/>
    <w:pPr>
      <w:numPr>
        <w:ilvl w:val="7"/>
        <w:numId w:val="2"/>
      </w:numPr>
      <w:tabs>
        <w:tab w:val="num" w:pos="5400"/>
      </w:tabs>
      <w:ind w:left="5400" w:hanging="360"/>
    </w:pPr>
  </w:style>
  <w:style w:type="paragraph" w:customStyle="1" w:styleId="AODocTxtL8">
    <w:name w:val="AODocTxtL8"/>
    <w:basedOn w:val="AODocTxt"/>
    <w:pPr>
      <w:numPr>
        <w:ilvl w:val="8"/>
        <w:numId w:val="2"/>
      </w:numPr>
      <w:tabs>
        <w:tab w:val="num" w:pos="6120"/>
      </w:tabs>
      <w:ind w:left="6120" w:hanging="180"/>
    </w:p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rsid w:val="00487B16"/>
    <w:pPr>
      <w:tabs>
        <w:tab w:val="center" w:pos="4536"/>
        <w:tab w:val="right" w:pos="9072"/>
      </w:tabs>
    </w:pPr>
    <w:rPr>
      <w:lang w:eastAsia="cs-CZ"/>
    </w:rPr>
  </w:style>
  <w:style w:type="paragraph" w:customStyle="1" w:styleId="NormalWeb">
    <w:name w:val="Normal (Web)"/>
    <w:basedOn w:val="Normal"/>
    <w:rsid w:val="00487B16"/>
    <w:pPr>
      <w:spacing w:before="100" w:beforeAutospacing="1" w:after="100" w:afterAutospacing="1"/>
    </w:pPr>
    <w:rPr>
      <w:rFonts w:ascii="Arial Unicode MS" w:eastAsia="Arial Unicode MS" w:hAnsi="Arial Unicode MS" w:cs="Arial Unicode MS"/>
    </w:rPr>
  </w:style>
  <w:style w:type="character" w:customStyle="1" w:styleId="tw4winMark">
    <w:name w:val="tw4winMark"/>
    <w:rsid w:val="00487B16"/>
    <w:rPr>
      <w:rFonts w:ascii="Courier New" w:hAnsi="Courier New" w:cs="Courier New" w:hint="default"/>
      <w:vanish/>
      <w:color w:val="800080"/>
      <w:sz w:val="24"/>
      <w:vertAlign w:val="subscript"/>
      <w:specVanish w:val="0"/>
    </w:rPr>
  </w:style>
  <w:style w:type="character" w:styleId="LineNumber">
    <w:name w:val="line number"/>
    <w:basedOn w:val="DefaultParagraphFont"/>
    <w:rsid w:val="005D46AC"/>
  </w:style>
  <w:style w:type="paragraph" w:styleId="NormalWeb0">
    <w:name w:val="Normal (Web)"/>
    <w:basedOn w:val="Normal"/>
    <w:rsid w:val="00106191"/>
    <w:pPr>
      <w:spacing w:before="100" w:beforeAutospacing="1" w:after="100" w:afterAutospacing="1"/>
    </w:pPr>
  </w:style>
  <w:style w:type="paragraph" w:styleId="ListParagraph">
    <w:name w:val="List Paragraph"/>
    <w:basedOn w:val="Normal"/>
    <w:uiPriority w:val="34"/>
    <w:qFormat/>
    <w:rsid w:val="00106191"/>
    <w:pPr>
      <w:ind w:left="720"/>
      <w:contextualSpacing/>
    </w:pPr>
  </w:style>
  <w:style w:type="paragraph" w:styleId="BalloonText">
    <w:name w:val="Balloon Text"/>
    <w:basedOn w:val="Normal"/>
    <w:semiHidden/>
    <w:rsid w:val="000955AC"/>
    <w:rPr>
      <w:rFonts w:ascii="Tahoma" w:hAnsi="Tahoma" w:cs="Tahoma"/>
      <w:sz w:val="16"/>
      <w:szCs w:val="16"/>
    </w:rPr>
  </w:style>
  <w:style w:type="character" w:customStyle="1" w:styleId="PlaceholderText">
    <w:name w:val="Placeholder Text"/>
    <w:semiHidden/>
    <w:rsid w:val="00D113A5"/>
    <w:rPr>
      <w:rFonts w:ascii="Times New Roman" w:hAnsi="Times New Roman" w:cs="Times New Roman" w:hint="default"/>
      <w:color w:val="808080"/>
    </w:rPr>
  </w:style>
  <w:style w:type="paragraph" w:customStyle="1" w:styleId="msolistparagraph">
    <w:name w:val="msolistparagraph"/>
    <w:basedOn w:val="Normal"/>
    <w:rsid w:val="00AD6BE7"/>
    <w:pPr>
      <w:ind w:left="720"/>
    </w:pPr>
    <w:rPr>
      <w:rFonts w:ascii="Calibri" w:eastAsia="Calibri" w:hAnsi="Calibri"/>
      <w:sz w:val="22"/>
      <w:szCs w:val="22"/>
    </w:rPr>
  </w:style>
  <w:style w:type="paragraph" w:customStyle="1" w:styleId="ListParagraph0">
    <w:name w:val="List Paragraph"/>
    <w:basedOn w:val="Normal"/>
    <w:rsid w:val="00E92076"/>
    <w:pPr>
      <w:ind w:left="708"/>
    </w:pPr>
    <w:rPr>
      <w:noProof/>
    </w:rPr>
  </w:style>
  <w:style w:type="paragraph" w:customStyle="1" w:styleId="Default">
    <w:name w:val="Default"/>
    <w:rsid w:val="00A36A70"/>
    <w:pPr>
      <w:autoSpaceDE w:val="0"/>
      <w:autoSpaceDN w:val="0"/>
      <w:adjustRightInd w:val="0"/>
    </w:pPr>
    <w:rPr>
      <w:color w:val="000000"/>
      <w:sz w:val="24"/>
      <w:szCs w:val="24"/>
      <w:lang w:val="sk-SK" w:eastAsia="sk-SK" w:bidi="ar-SA"/>
    </w:rPr>
  </w:style>
  <w:style w:type="character" w:styleId="Emphasis">
    <w:name w:val="Emphasis"/>
    <w:qFormat/>
    <w:rsid w:val="004C39AC"/>
    <w:rPr>
      <w:rFonts w:cs="Times New Roman"/>
      <w:i/>
      <w:iCs/>
    </w:rPr>
  </w:style>
  <w:style w:type="character" w:styleId="PageNumber">
    <w:name w:val="page number"/>
    <w:basedOn w:val="DefaultParagraphFont"/>
    <w:rsid w:val="00B12DA5"/>
  </w:style>
  <w:style w:type="character" w:styleId="PlaceholderText0">
    <w:name w:val="Placeholder Text"/>
    <w:semiHidden/>
    <w:rsid w:val="004B72E6"/>
    <w:rPr>
      <w:rFonts w:ascii="Times New Roman" w:hAnsi="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3003-8F8E-48FB-860B-96964870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1529</Words>
  <Characters>8717</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Výbor</vt:lpstr>
    </vt:vector>
  </TitlesOfParts>
  <Company>Kancelaria NR SR</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22</cp:revision>
  <cp:lastPrinted>2012-06-07T11:36:00Z</cp:lastPrinted>
  <dcterms:created xsi:type="dcterms:W3CDTF">2011-04-11T12:40:00Z</dcterms:created>
  <dcterms:modified xsi:type="dcterms:W3CDTF">2012-06-14T07:34:00Z</dcterms:modified>
</cp:coreProperties>
</file>