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4D397F">
        <w:t>3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4D397F">
        <w:t>724</w:t>
      </w:r>
      <w:r w:rsidRPr="00053FB9" w:rsidR="003371B9">
        <w:t>/</w:t>
      </w:r>
      <w:r w:rsidR="00053FB9">
        <w:t>201</w:t>
      </w:r>
      <w:r w:rsidR="004D397F">
        <w:t>2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  <w:r w:rsidR="0007176C">
        <w:rPr>
          <w:b/>
        </w:rPr>
        <w:t xml:space="preserve">          25</w:t>
      </w:r>
    </w:p>
    <w:p w:rsidR="00EC5F3F" w:rsidP="00067F0B">
      <w:pPr>
        <w:ind w:left="3540" w:firstLine="708"/>
        <w:rPr>
          <w:b/>
        </w:rPr>
      </w:pPr>
      <w:r w:rsidR="00E906AB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4D397F">
        <w:rPr>
          <w:b/>
        </w:rPr>
        <w:t>13</w:t>
      </w:r>
      <w:r w:rsidR="00C72FBD">
        <w:rPr>
          <w:b/>
        </w:rPr>
        <w:t xml:space="preserve">. </w:t>
      </w:r>
      <w:r w:rsidR="004D397F">
        <w:rPr>
          <w:b/>
        </w:rPr>
        <w:t>júna</w:t>
      </w:r>
      <w:r w:rsidR="00830899">
        <w:rPr>
          <w:b/>
        </w:rPr>
        <w:t xml:space="preserve"> 201</w:t>
      </w:r>
      <w:r w:rsidR="00E906AB">
        <w:rPr>
          <w:b/>
        </w:rPr>
        <w:t>2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4D397F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777CFA" w:rsidR="0052115B">
        <w:rPr>
          <w:bCs w:val="0"/>
        </w:rPr>
        <w:t xml:space="preserve"> </w:t>
      </w:r>
      <w:r w:rsidR="004D397F">
        <w:rPr>
          <w:bCs w:val="0"/>
        </w:rPr>
        <w:t>n</w:t>
      </w:r>
      <w:r w:rsidR="004D397F">
        <w:t xml:space="preserve">ávrh poslanca Národnej rady Slovenskej republiky Richarda RAŠIHO na vydanie zákona, ktorým sa mení a dopĺňa zákon č. 580/2004 Z. z. o zdravotnom poistení a o zmene a doplnení zákona č. 95/2002 Z. z. o poisťovníctve a o zmene a doplnení niektorých zákonov v znení neskorších predpisov a o zmene a doplnení zákona č. 581/2004 Z. z. o zdravotných poisťovniach, dohľade nad zdravotnou starostlivosťou a o zmene a doplnení niektorých zákonov v znení neskorších predpisov (tlač 28)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D64717" w:rsidP="004D397F">
      <w:pPr>
        <w:pStyle w:val="BodyText"/>
        <w:spacing w:after="0"/>
        <w:ind w:left="1416" w:firstLine="708"/>
        <w:jc w:val="both"/>
        <w:rPr>
          <w:bCs w:val="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4D397F">
        <w:rPr>
          <w:bCs w:val="0"/>
        </w:rPr>
        <w:t>n</w:t>
      </w:r>
      <w:r w:rsidR="004D397F">
        <w:t>ávrhom poslanca Národnej rady Slovenskej republiky Richarda RAŠIHO na vydanie zákona, ktorým sa mení a dopĺňa zákon č. 580/2004 Z. z. o zdravotnom poistení a o zmene a doplnení zákona č. 95/2002 Z. z. o poisťovníctve a o zmene a doplnení niektorých zákonov v znení neskorších predpisov a o zmene a doplnení zákona č. 581/2004 Z. z. o zdravotných poisťovniach, dohľade nad zdravotnou starostlivosťou a o zmene a doplnení niektorých zákonov v znení neskorších predpisov (tlač 28)</w:t>
      </w:r>
    </w:p>
    <w:p w:rsidR="004D397F" w:rsidRPr="00D64717" w:rsidP="004D397F">
      <w:pPr>
        <w:pStyle w:val="BodyText"/>
        <w:spacing w:after="0"/>
        <w:ind w:left="1416" w:firstLine="708"/>
        <w:jc w:val="both"/>
      </w:pPr>
    </w:p>
    <w:p w:rsidR="00777CFA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5B36AB">
      <w:pPr>
        <w:pStyle w:val="Heading1"/>
        <w:ind w:left="1416" w:firstLine="708"/>
        <w:jc w:val="both"/>
      </w:pPr>
      <w:r w:rsidRPr="004D397F" w:rsidR="004D397F">
        <w:rPr>
          <w:b w:val="0"/>
          <w:bCs w:val="0"/>
        </w:rPr>
        <w:t>n</w:t>
      </w:r>
      <w:r w:rsidRPr="004D397F" w:rsidR="004D397F">
        <w:rPr>
          <w:b w:val="0"/>
        </w:rPr>
        <w:t>ávrh poslanca Národnej rady Slovenskej republiky Richarda RAŠIHO na vydanie zákona, ktorým sa mení a dopĺňa zákon č. 580/2004 Z. z. o zdravotnom poistení a o zmene a doplnení zákona č. 95/2002 Z. z. o poisťovníctve a o zmene a doplnení niektorých zákonov v znení neskorších predpisov a o zmene a doplnení zákona č. 581/2004 Z. z. o zdravotných poisťovniach, dohľade nad zdravotnou starostlivosťou a o zmene a doplnení niektorých zákonov v znení neskorších predpisov (tlač 28)</w:t>
      </w:r>
      <w:r w:rsidR="004D397F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P="005919F9">
      <w:pPr>
        <w:pStyle w:val="BodyTextIndent3"/>
        <w:ind w:left="1416" w:firstLine="708"/>
        <w:rPr>
          <w:lang w:val="sk-SK"/>
        </w:rPr>
      </w:pPr>
      <w:r w:rsidR="00117627">
        <w:t xml:space="preserve">  </w:t>
      </w:r>
      <w:r w:rsidRPr="00841EA3">
        <w:rPr>
          <w:lang w:val="sk-SK"/>
        </w:rPr>
        <w:t>podať predsedovi Výboru Národnej rady Slovenskej repu</w:t>
      </w:r>
      <w:r w:rsidRPr="00841EA3">
        <w:rPr>
          <w:lang w:val="sk-SK"/>
        </w:rPr>
        <w:t xml:space="preserve">bliky pre </w:t>
      </w:r>
      <w:r>
        <w:rPr>
          <w:lang w:val="sk-SK"/>
        </w:rPr>
        <w:t xml:space="preserve"> </w:t>
      </w:r>
    </w:p>
    <w:p w:rsidR="005919F9" w:rsidRPr="00841EA3" w:rsidP="005919F9">
      <w:pPr>
        <w:pStyle w:val="BodyTextIndent3"/>
        <w:ind w:firstLine="351"/>
        <w:rPr>
          <w:lang w:val="sk-SK"/>
        </w:rPr>
      </w:pPr>
      <w:r w:rsidR="004D397F">
        <w:rPr>
          <w:lang w:val="sk-SK"/>
        </w:rPr>
        <w:t>zdravotníctvo</w:t>
      </w:r>
      <w:r>
        <w:rPr>
          <w:lang w:val="sk-SK"/>
        </w:rPr>
        <w:t xml:space="preserve"> </w:t>
      </w:r>
      <w:r w:rsidRPr="00841EA3">
        <w:rPr>
          <w:lang w:val="sk-SK"/>
        </w:rPr>
        <w:t xml:space="preserve">ako gestorskému výboru informáciu o </w:t>
      </w:r>
      <w:r>
        <w:rPr>
          <w:lang w:val="sk-SK"/>
        </w:rPr>
        <w:t>výsledku prerokovania</w:t>
      </w:r>
    </w:p>
    <w:p w:rsidR="005919F9" w:rsidP="005919F9">
      <w:pPr>
        <w:ind w:left="1416" w:firstLine="708"/>
      </w:pPr>
    </w:p>
    <w:p w:rsidR="0052115B" w:rsidP="00C739C2">
      <w:pPr>
        <w:rPr>
          <w:b/>
          <w:bCs w:val="0"/>
        </w:rPr>
      </w:pPr>
      <w:r w:rsidR="00E20A99">
        <w:t xml:space="preserve">                                                              </w:t>
      </w:r>
    </w:p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576DE1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F7561B">
        <w:rPr>
          <w:b/>
        </w:rPr>
        <w:t>25</w:t>
      </w:r>
    </w:p>
    <w:p w:rsidR="000D14F9" w:rsidRPr="003371B9" w:rsidP="000D14F9">
      <w:pPr>
        <w:jc w:val="right"/>
      </w:pPr>
      <w:r w:rsidR="004D397F">
        <w:rPr>
          <w:bCs w:val="0"/>
        </w:rPr>
        <w:t>3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D72E6C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C739C2">
      <w:pPr>
        <w:pStyle w:val="Heading1"/>
        <w:ind w:left="360"/>
        <w:jc w:val="center"/>
      </w:pPr>
      <w:r w:rsidR="00117627">
        <w:t>k</w:t>
      </w:r>
      <w:r w:rsidRPr="00117627" w:rsidR="00117627">
        <w:t xml:space="preserve"> </w:t>
      </w:r>
      <w:r w:rsidR="004D397F">
        <w:rPr>
          <w:bCs w:val="0"/>
        </w:rPr>
        <w:t>n</w:t>
      </w:r>
      <w:r w:rsidR="004D397F">
        <w:t>ávrhu poslanca Národnej rady Slovenskej republiky Richarda RAŠIHO na vydanie zákona, ktorým sa mení a dopĺňa zákon č. 580/2004 Z. z. o zdravotnom poistení a o zmene a doplnení zákona č. 95/2002 Z. z. o poisťovníctve a o zmene a doplnení niektorých zákonov v znení neskorších predpisov a o zmene a doplnení zákona č. 581/2004 Z. z. o zdravotných poisťovniach, dohľade nad zdravotnou starostlivosťou a o zmene a doplnení niektorých zákonov v znení neskorších predpisov (tlač 28)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FB2743" w:rsidP="00FB2743">
      <w:pPr>
        <w:numPr>
          <w:ilvl w:val="0"/>
          <w:numId w:val="34"/>
        </w:numPr>
        <w:ind w:left="0" w:firstLine="360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V čl. I, 3. bode sa v § 27 o</w:t>
      </w:r>
      <w:r w:rsidRPr="00FB2743">
        <w:rPr>
          <w:bCs w:val="0"/>
          <w:lang w:eastAsia="en-US"/>
        </w:rPr>
        <w:t xml:space="preserve">ds. 2 písm. c)  za slovami „od 0 do 79 rokov“ a za slovami „od </w:t>
      </w:r>
      <w:r>
        <w:rPr>
          <w:bCs w:val="0"/>
          <w:lang w:eastAsia="en-US"/>
        </w:rPr>
        <w:t xml:space="preserve">           </w:t>
      </w:r>
    </w:p>
    <w:p w:rsidR="00FB2743" w:rsidRPr="00FB2743" w:rsidP="00FB2743">
      <w:pPr>
        <w:ind w:left="360"/>
        <w:contextualSpacing/>
        <w:jc w:val="both"/>
        <w:rPr>
          <w:bCs w:val="0"/>
          <w:lang w:eastAsia="en-US"/>
        </w:rPr>
      </w:pPr>
      <w:r>
        <w:rPr>
          <w:bCs w:val="0"/>
          <w:lang w:eastAsia="en-US"/>
        </w:rPr>
        <w:t xml:space="preserve">      </w:t>
      </w:r>
      <w:r w:rsidRPr="00FB2743">
        <w:rPr>
          <w:bCs w:val="0"/>
          <w:lang w:eastAsia="en-US"/>
        </w:rPr>
        <w:t>80 rokov“ vkladá slovo „veku“.</w:t>
      </w:r>
    </w:p>
    <w:p w:rsidR="00FB2743" w:rsidRPr="00FB2743" w:rsidP="00FB2743">
      <w:pPr>
        <w:ind w:left="708"/>
        <w:contextualSpacing/>
        <w:jc w:val="both"/>
        <w:rPr>
          <w:bCs w:val="0"/>
          <w:lang w:eastAsia="en-US"/>
        </w:rPr>
      </w:pPr>
    </w:p>
    <w:p w:rsidR="00FB2743" w:rsidRPr="00FB2743" w:rsidP="00FB2743">
      <w:pPr>
        <w:ind w:left="2832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Jazyková úprava.</w:t>
      </w:r>
    </w:p>
    <w:p w:rsidR="00FB2743" w:rsidRPr="00FB2743" w:rsidP="00FB2743">
      <w:pPr>
        <w:ind w:left="4956" w:firstLine="708"/>
        <w:contextualSpacing/>
        <w:jc w:val="both"/>
        <w:rPr>
          <w:bCs w:val="0"/>
          <w:lang w:eastAsia="en-US"/>
        </w:rPr>
      </w:pPr>
    </w:p>
    <w:p w:rsidR="00FB2743" w:rsidRPr="00FB2743" w:rsidP="00FB2743">
      <w:pPr>
        <w:numPr>
          <w:ilvl w:val="0"/>
          <w:numId w:val="34"/>
        </w:numPr>
        <w:ind w:hanging="1352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 xml:space="preserve">V čl. I sa za 3. bod  vkladá nový 4. bod,  ktorý znie: </w:t>
      </w:r>
    </w:p>
    <w:p w:rsidR="00FB2743" w:rsidRPr="00FB2743" w:rsidP="00FB2743">
      <w:pPr>
        <w:ind w:left="708"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 xml:space="preserve">„4. V § 27 ods. 2 písm. d) sa za slovo „poistencov“ vkladajú slová „podľa pohlavia a veku“ a  vypúšťajú sa slová za hranatou zátvorkou „podľa pohlavia a veku“.“. </w:t>
      </w:r>
    </w:p>
    <w:p w:rsidR="00FB2743" w:rsidRPr="00FB2743" w:rsidP="00FB2743">
      <w:pPr>
        <w:jc w:val="both"/>
        <w:rPr>
          <w:bCs w:val="0"/>
          <w:lang w:eastAsia="en-US"/>
        </w:rPr>
      </w:pPr>
    </w:p>
    <w:p w:rsidR="00FB2743" w:rsidRPr="00FB2743" w:rsidP="00FB2743">
      <w:pPr>
        <w:ind w:firstLine="708"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Nasledujúce body sa primerane prečíslujú.</w:t>
      </w:r>
    </w:p>
    <w:p w:rsidR="00FB2743" w:rsidRPr="00FB2743" w:rsidP="00FB2743">
      <w:pPr>
        <w:ind w:left="426" w:hanging="142"/>
        <w:jc w:val="both"/>
        <w:rPr>
          <w:bCs w:val="0"/>
          <w:lang w:eastAsia="en-US"/>
        </w:rPr>
      </w:pPr>
    </w:p>
    <w:p w:rsidR="00FB2743" w:rsidRPr="00FB2743" w:rsidP="00FB2743">
      <w:pPr>
        <w:ind w:left="2832"/>
        <w:rPr>
          <w:bCs w:val="0"/>
        </w:rPr>
      </w:pPr>
      <w:r w:rsidRPr="00FB2743">
        <w:rPr>
          <w:bCs w:val="0"/>
        </w:rPr>
        <w:t>Legislatívno-technická úprava; zjednotenie terminológie s  čl. I,  3. a 9. bodom.</w:t>
      </w:r>
    </w:p>
    <w:p w:rsidR="00FB2743" w:rsidRPr="00FB2743" w:rsidP="00FB2743">
      <w:pPr>
        <w:ind w:left="4248"/>
        <w:rPr>
          <w:bCs w:val="0"/>
        </w:rPr>
      </w:pPr>
    </w:p>
    <w:p w:rsidR="00FB2743" w:rsidRPr="00FB2743" w:rsidP="00FB2743">
      <w:pPr>
        <w:ind w:left="1778"/>
        <w:contextualSpacing/>
        <w:jc w:val="both"/>
        <w:rPr>
          <w:bCs w:val="0"/>
          <w:lang w:eastAsia="en-US"/>
        </w:rPr>
      </w:pPr>
    </w:p>
    <w:p w:rsidR="00FB2743" w:rsidRPr="00FB2743" w:rsidP="00FB2743">
      <w:pPr>
        <w:numPr>
          <w:ilvl w:val="0"/>
          <w:numId w:val="34"/>
        </w:numPr>
        <w:ind w:hanging="1494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V čl. I sa na konci 4. bodu pripáj</w:t>
      </w:r>
      <w:r w:rsidRPr="00FB2743">
        <w:rPr>
          <w:bCs w:val="0"/>
          <w:lang w:eastAsia="en-US"/>
        </w:rPr>
        <w:t>ajú tieto slová:</w:t>
      </w:r>
    </w:p>
    <w:p w:rsidR="00FB2743" w:rsidRPr="00FB2743" w:rsidP="00FB2743">
      <w:pPr>
        <w:ind w:firstLine="708"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„Poznámka pod čiarou k odkazu 57aa znie:</w:t>
      </w:r>
    </w:p>
    <w:p w:rsidR="00FB2743" w:rsidRPr="00FB2743" w:rsidP="00FB2743">
      <w:pPr>
        <w:ind w:left="708"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„</w:t>
      </w:r>
      <w:r w:rsidRPr="00FB2743">
        <w:rPr>
          <w:bCs w:val="0"/>
          <w:vertAlign w:val="superscript"/>
          <w:lang w:eastAsia="en-US"/>
        </w:rPr>
        <w:t>57aa</w:t>
      </w:r>
      <w:r w:rsidRPr="00FB2743">
        <w:rPr>
          <w:bCs w:val="0"/>
          <w:lang w:eastAsia="en-US"/>
        </w:rPr>
        <w:t>) § 53 zákona  č. 362/2011 Z. z.  o liekoch a zdravotníckych pomôckach a o zmene a doplnení niektorých zákonov.“.“.</w:t>
      </w:r>
    </w:p>
    <w:p w:rsidR="00FB2743" w:rsidRPr="00FB2743" w:rsidP="00FB2743">
      <w:pPr>
        <w:jc w:val="both"/>
        <w:rPr>
          <w:bCs w:val="0"/>
          <w:lang w:eastAsia="en-US"/>
        </w:rPr>
      </w:pPr>
    </w:p>
    <w:p w:rsidR="00FB2743" w:rsidRPr="00FB2743" w:rsidP="00FB2743">
      <w:pPr>
        <w:ind w:left="2832"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Legislatívno-technická úprava; presun znenia poznámky pod čiarou k odkazu 57</w:t>
      </w:r>
      <w:r w:rsidRPr="00FB2743">
        <w:rPr>
          <w:bCs w:val="0"/>
          <w:lang w:eastAsia="en-US"/>
        </w:rPr>
        <w:t>aa zo 14. bodu.</w:t>
      </w:r>
    </w:p>
    <w:p w:rsidR="00FB2743" w:rsidRPr="00FB2743" w:rsidP="00FB2743">
      <w:pPr>
        <w:contextualSpacing/>
        <w:jc w:val="both"/>
        <w:rPr>
          <w:bCs w:val="0"/>
          <w:lang w:eastAsia="en-US"/>
        </w:rPr>
      </w:pPr>
    </w:p>
    <w:p w:rsidR="00FB2743" w:rsidRPr="00FB2743" w:rsidP="00FB2743">
      <w:pPr>
        <w:contextualSpacing/>
        <w:jc w:val="both"/>
        <w:rPr>
          <w:bCs w:val="0"/>
          <w:lang w:eastAsia="en-US"/>
        </w:rPr>
      </w:pPr>
    </w:p>
    <w:p w:rsidR="00FB2743" w:rsidRPr="00FB2743" w:rsidP="00FB2743">
      <w:pPr>
        <w:numPr>
          <w:ilvl w:val="0"/>
          <w:numId w:val="34"/>
        </w:numPr>
        <w:ind w:hanging="1494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 xml:space="preserve">V čl. I, 9. bod  znie: </w:t>
      </w:r>
    </w:p>
    <w:p w:rsidR="00FB2743" w:rsidRPr="00FB2743" w:rsidP="00FB2743">
      <w:pPr>
        <w:ind w:left="708"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„9. V § 27a ods. 2 písm. c) sa za slovo „poistencov“ vkladajú slová „podľa pohlavia a veku“ a  vypúšťajú sa slová za hranatou zátvorkou „podľa pohlavia a veku“.“.</w:t>
      </w:r>
    </w:p>
    <w:p w:rsidR="00FB2743" w:rsidRPr="00FB2743" w:rsidP="00FB2743">
      <w:pPr>
        <w:ind w:left="426" w:hanging="142"/>
        <w:jc w:val="both"/>
        <w:rPr>
          <w:bCs w:val="0"/>
          <w:lang w:eastAsia="en-US"/>
        </w:rPr>
      </w:pPr>
    </w:p>
    <w:p w:rsidR="00FB2743" w:rsidRPr="00FB2743" w:rsidP="00FB2743">
      <w:pPr>
        <w:ind w:left="2124" w:firstLine="708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Legislatívno-technická úprava.</w:t>
      </w:r>
    </w:p>
    <w:p w:rsidR="00FB2743" w:rsidRPr="00FB2743" w:rsidP="00FB2743">
      <w:pPr>
        <w:ind w:left="426" w:hanging="426"/>
        <w:contextualSpacing/>
        <w:jc w:val="both"/>
        <w:rPr>
          <w:bCs w:val="0"/>
          <w:lang w:eastAsia="en-US"/>
        </w:rPr>
      </w:pPr>
    </w:p>
    <w:p w:rsidR="00FB2743" w:rsidRPr="00FB2743" w:rsidP="00FB2743">
      <w:pPr>
        <w:tabs>
          <w:tab w:val="left" w:pos="851"/>
        </w:tabs>
        <w:rPr>
          <w:bCs w:val="0"/>
        </w:rPr>
      </w:pPr>
    </w:p>
    <w:p w:rsidR="00FB2743" w:rsidP="00FB2743">
      <w:pPr>
        <w:numPr>
          <w:ilvl w:val="0"/>
          <w:numId w:val="34"/>
        </w:numPr>
        <w:ind w:left="0" w:firstLine="360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V čl. I, 13. bode</w:t>
      </w:r>
      <w:r w:rsidRPr="00FB2743">
        <w:rPr>
          <w:bCs w:val="0"/>
          <w:lang w:eastAsia="en-US"/>
        </w:rPr>
        <w:t xml:space="preserve"> sa v § 27b ods. 4 úvodnej vete slová „je zaradená“ nahrádzajú slovami </w:t>
      </w:r>
      <w:r>
        <w:rPr>
          <w:bCs w:val="0"/>
          <w:lang w:eastAsia="en-US"/>
        </w:rPr>
        <w:t xml:space="preserve">   </w:t>
      </w:r>
    </w:p>
    <w:p w:rsidR="00FB2743" w:rsidRPr="00FB2743" w:rsidP="00FB2743">
      <w:pPr>
        <w:ind w:left="360" w:firstLine="348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„sa zaradí“.</w:t>
      </w:r>
    </w:p>
    <w:p w:rsidR="00FB2743" w:rsidRPr="00FB2743" w:rsidP="00FB2743">
      <w:pPr>
        <w:contextualSpacing/>
        <w:jc w:val="both"/>
        <w:rPr>
          <w:bCs w:val="0"/>
          <w:lang w:eastAsia="en-US"/>
        </w:rPr>
      </w:pPr>
    </w:p>
    <w:p w:rsidR="00FB2743" w:rsidRPr="00FB2743" w:rsidP="00FB2743">
      <w:pPr>
        <w:ind w:left="2124" w:firstLine="708"/>
        <w:rPr>
          <w:bCs w:val="0"/>
        </w:rPr>
      </w:pPr>
      <w:r w:rsidRPr="00FB2743">
        <w:rPr>
          <w:bCs w:val="0"/>
        </w:rPr>
        <w:t>Legislatívno-technická úprava.</w:t>
      </w:r>
    </w:p>
    <w:p w:rsidR="00FB2743" w:rsidP="00FB2743">
      <w:pPr>
        <w:ind w:left="1778"/>
        <w:contextualSpacing/>
        <w:jc w:val="both"/>
        <w:rPr>
          <w:bCs w:val="0"/>
          <w:lang w:eastAsia="en-US"/>
        </w:rPr>
      </w:pPr>
    </w:p>
    <w:p w:rsidR="00F05C41" w:rsidP="00FB2743">
      <w:pPr>
        <w:ind w:left="1778"/>
        <w:contextualSpacing/>
        <w:jc w:val="both"/>
        <w:rPr>
          <w:bCs w:val="0"/>
          <w:lang w:eastAsia="en-US"/>
        </w:rPr>
      </w:pPr>
    </w:p>
    <w:p w:rsidR="00F05C41" w:rsidP="00FB2743">
      <w:pPr>
        <w:ind w:left="1778"/>
        <w:contextualSpacing/>
        <w:jc w:val="both"/>
        <w:rPr>
          <w:bCs w:val="0"/>
          <w:lang w:eastAsia="en-US"/>
        </w:rPr>
      </w:pPr>
    </w:p>
    <w:p w:rsidR="00F05C41" w:rsidP="00FB2743">
      <w:pPr>
        <w:ind w:left="1778"/>
        <w:contextualSpacing/>
        <w:jc w:val="both"/>
        <w:rPr>
          <w:bCs w:val="0"/>
          <w:lang w:eastAsia="en-US"/>
        </w:rPr>
      </w:pPr>
    </w:p>
    <w:p w:rsidR="00F05C41" w:rsidRPr="00FB2743" w:rsidP="00FB2743">
      <w:pPr>
        <w:ind w:left="1778"/>
        <w:contextualSpacing/>
        <w:jc w:val="both"/>
        <w:rPr>
          <w:bCs w:val="0"/>
          <w:lang w:eastAsia="en-US"/>
        </w:rPr>
      </w:pPr>
    </w:p>
    <w:p w:rsidR="00FB2743" w:rsidRPr="00FB2743" w:rsidP="00FB2743">
      <w:pPr>
        <w:numPr>
          <w:ilvl w:val="0"/>
          <w:numId w:val="34"/>
        </w:numPr>
        <w:ind w:hanging="1494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V čl. I sa na konci 13. bodu pripájajú tieto slová:</w:t>
      </w:r>
    </w:p>
    <w:p w:rsidR="00FB2743" w:rsidRPr="00FB2743" w:rsidP="00FB2743">
      <w:pPr>
        <w:ind w:firstLine="708"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„Poznámka pod čiarou k odkazu 57c znie:</w:t>
      </w:r>
    </w:p>
    <w:p w:rsidR="00FB2743" w:rsidRPr="00FB2743" w:rsidP="00FB2743">
      <w:pPr>
        <w:ind w:left="708"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„</w:t>
      </w:r>
      <w:r w:rsidRPr="00FB2743">
        <w:rPr>
          <w:bCs w:val="0"/>
          <w:vertAlign w:val="superscript"/>
          <w:lang w:eastAsia="en-US"/>
        </w:rPr>
        <w:t>57c</w:t>
      </w:r>
      <w:r w:rsidRPr="00FB2743">
        <w:rPr>
          <w:bCs w:val="0"/>
          <w:lang w:eastAsia="en-US"/>
        </w:rPr>
        <w:t>) § 8 zákona  č. 363/2011 Z. z.  o </w:t>
      </w:r>
      <w:r w:rsidRPr="00FB2743">
        <w:rPr>
          <w:bCs w:val="0"/>
          <w:lang w:eastAsia="en-US"/>
        </w:rPr>
        <w:t>rozsahu a podmienkach úhrady liekov, zdravotníckych pomôcok a dietetických potravín na základe verejného zdravotného poistenia a o zmene a doplnení niektorých zákonov.“.“.</w:t>
      </w:r>
    </w:p>
    <w:p w:rsidR="00FB2743" w:rsidRPr="00FB2743" w:rsidP="00FB2743">
      <w:pPr>
        <w:jc w:val="both"/>
        <w:rPr>
          <w:bCs w:val="0"/>
          <w:lang w:eastAsia="en-US"/>
        </w:rPr>
      </w:pPr>
    </w:p>
    <w:p w:rsidR="00FB2743" w:rsidRPr="00FB2743" w:rsidP="00FB2743">
      <w:pPr>
        <w:ind w:left="2832"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Legislatívno-technická úprava; presun znenia poznámky pod čiarou k odkazu 57c zo 14</w:t>
      </w:r>
      <w:r w:rsidRPr="00FB2743">
        <w:rPr>
          <w:bCs w:val="0"/>
          <w:lang w:eastAsia="en-US"/>
        </w:rPr>
        <w:t>. bodu.</w:t>
      </w:r>
    </w:p>
    <w:p w:rsidR="00FB2743" w:rsidRPr="00FB2743" w:rsidP="00FB2743">
      <w:pPr>
        <w:ind w:left="4245"/>
        <w:jc w:val="both"/>
        <w:rPr>
          <w:bCs w:val="0"/>
          <w:lang w:eastAsia="en-US"/>
        </w:rPr>
      </w:pPr>
    </w:p>
    <w:p w:rsidR="00FB2743" w:rsidRPr="00FB2743" w:rsidP="00FB2743">
      <w:pPr>
        <w:ind w:left="284"/>
        <w:contextualSpacing/>
        <w:jc w:val="both"/>
        <w:rPr>
          <w:bCs w:val="0"/>
          <w:lang w:eastAsia="en-US"/>
        </w:rPr>
      </w:pPr>
    </w:p>
    <w:p w:rsidR="00FB2743" w:rsidP="00FB2743">
      <w:pPr>
        <w:numPr>
          <w:ilvl w:val="0"/>
          <w:numId w:val="34"/>
        </w:numPr>
        <w:ind w:left="0" w:firstLine="357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 xml:space="preserve">V čl. I,  14. bode sa v § 28 ods. 2 a ods. 6 písm. a)  slovo „indexy“ nahrádza slovom </w:t>
      </w:r>
      <w:r>
        <w:rPr>
          <w:bCs w:val="0"/>
          <w:lang w:eastAsia="en-US"/>
        </w:rPr>
        <w:t xml:space="preserve"> </w:t>
      </w:r>
    </w:p>
    <w:p w:rsidR="00FB2743" w:rsidRPr="00FB2743" w:rsidP="00FB2743">
      <w:pPr>
        <w:ind w:left="708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„index“, v § 28 ods. 2 sa slová „ustanovujú indexy“ nahrádzajú slovami „ustanoví index“,      v § 28 ods. 3 sa slová „Indexy rizika nákladov sa vypočítajú“ nahrádzajú slovami „Index rizika nákladov sa vypočíta“,  v § 28 ods. 4 písm. a), b) c) a d) sa slová „vypočítavajú indexy“ nahrádzajú slovami „vypočítava index“, v § 28 ods. 5 sa slová „s vypočítanými indexmi“ nahrádzajú slovami „s vypočítaným indexom“ a v §</w:t>
      </w:r>
      <w:r w:rsidRPr="00FB2743">
        <w:rPr>
          <w:bCs w:val="0"/>
          <w:lang w:eastAsia="en-US"/>
        </w:rPr>
        <w:t xml:space="preserve"> 28 ods. 5 a ods. 10  sa slovo „indexov“ nahrádza slovom „indexu“.“.</w:t>
      </w:r>
    </w:p>
    <w:p w:rsidR="00FB2743" w:rsidP="00FB2743">
      <w:pPr>
        <w:ind w:left="4248"/>
        <w:contextualSpacing/>
        <w:jc w:val="both"/>
        <w:rPr>
          <w:bCs w:val="0"/>
          <w:lang w:eastAsia="en-US"/>
        </w:rPr>
      </w:pPr>
    </w:p>
    <w:p w:rsidR="00FB2743" w:rsidRPr="00FB2743" w:rsidP="00FB2743">
      <w:pPr>
        <w:ind w:left="2832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Legislatívno-technická úprava; zosúladenie so zavedenou legislatívnou skratkou v § 23 ods. 9 písm. d) (čl. I, 2. bod).</w:t>
      </w:r>
    </w:p>
    <w:p w:rsidR="00FB2743" w:rsidRPr="00FB2743" w:rsidP="00FB2743">
      <w:pPr>
        <w:ind w:left="284"/>
        <w:contextualSpacing/>
        <w:jc w:val="both"/>
        <w:rPr>
          <w:bCs w:val="0"/>
          <w:lang w:eastAsia="en-US"/>
        </w:rPr>
      </w:pPr>
    </w:p>
    <w:p w:rsidR="00FB2743" w:rsidRPr="00FB2743" w:rsidP="00FB2743">
      <w:pPr>
        <w:ind w:left="284"/>
        <w:contextualSpacing/>
        <w:jc w:val="both"/>
        <w:rPr>
          <w:bCs w:val="0"/>
          <w:lang w:eastAsia="en-US"/>
        </w:rPr>
      </w:pPr>
    </w:p>
    <w:p w:rsidR="00FB2743" w:rsidP="00FB2743">
      <w:pPr>
        <w:numPr>
          <w:ilvl w:val="0"/>
          <w:numId w:val="34"/>
        </w:numPr>
        <w:ind w:left="0" w:firstLine="284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V čl. I, 14. bode sa v § 28 ods. 4 písm. d) slová „údaje o regist</w:t>
      </w:r>
      <w:r w:rsidRPr="00FB2743">
        <w:rPr>
          <w:bCs w:val="0"/>
          <w:lang w:eastAsia="en-US"/>
        </w:rPr>
        <w:t xml:space="preserve">ri“ nahrádzajú slovami </w:t>
      </w:r>
    </w:p>
    <w:p w:rsidR="00FB2743" w:rsidRPr="00FB2743" w:rsidP="00FB2743">
      <w:pPr>
        <w:ind w:left="284" w:firstLine="424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„údaje z registra“.</w:t>
      </w:r>
    </w:p>
    <w:p w:rsidR="00FB2743" w:rsidRPr="00FB2743" w:rsidP="00FB2743">
      <w:pPr>
        <w:ind w:left="708"/>
        <w:contextualSpacing/>
        <w:jc w:val="both"/>
        <w:rPr>
          <w:bCs w:val="0"/>
          <w:lang w:eastAsia="en-US"/>
        </w:rPr>
      </w:pPr>
    </w:p>
    <w:p w:rsidR="00FB2743" w:rsidRPr="00FB2743" w:rsidP="00FB2743">
      <w:pPr>
        <w:ind w:left="2124" w:firstLine="708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 xml:space="preserve">Jazyková úprava. </w:t>
      </w:r>
    </w:p>
    <w:p w:rsidR="00FB2743" w:rsidRPr="00FB2743" w:rsidP="00FB2743">
      <w:pPr>
        <w:ind w:left="708"/>
        <w:contextualSpacing/>
        <w:jc w:val="both"/>
        <w:rPr>
          <w:bCs w:val="0"/>
          <w:lang w:eastAsia="en-US"/>
        </w:rPr>
      </w:pPr>
    </w:p>
    <w:p w:rsidR="00FB2743" w:rsidRPr="00FB2743" w:rsidP="00FB2743">
      <w:pPr>
        <w:numPr>
          <w:ilvl w:val="0"/>
          <w:numId w:val="34"/>
        </w:numPr>
        <w:ind w:left="0" w:firstLine="284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 xml:space="preserve">V čl. I sa na konci 14. bodu vypúšťa tento text: </w:t>
      </w:r>
    </w:p>
    <w:p w:rsidR="00FB2743" w:rsidRPr="00FB2743" w:rsidP="00FB2743">
      <w:pPr>
        <w:ind w:firstLine="708"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„Poznámky pod čiarou k odkazom 57aa a 57c znejú:</w:t>
      </w:r>
    </w:p>
    <w:p w:rsidR="00FB2743" w:rsidRPr="00FB2743" w:rsidP="00FB2743">
      <w:pPr>
        <w:ind w:left="708"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„</w:t>
      </w:r>
      <w:r w:rsidRPr="00FB2743">
        <w:rPr>
          <w:bCs w:val="0"/>
          <w:vertAlign w:val="superscript"/>
          <w:lang w:eastAsia="en-US"/>
        </w:rPr>
        <w:t>57aa</w:t>
      </w:r>
      <w:r w:rsidRPr="00FB2743">
        <w:rPr>
          <w:bCs w:val="0"/>
          <w:lang w:eastAsia="en-US"/>
        </w:rPr>
        <w:t>)</w:t>
      </w:r>
      <w:r w:rsidRPr="00FB2743">
        <w:rPr>
          <w:bCs w:val="0"/>
          <w:vertAlign w:val="superscript"/>
          <w:lang w:eastAsia="en-US"/>
        </w:rPr>
        <w:t xml:space="preserve"> </w:t>
      </w:r>
      <w:r w:rsidRPr="00FB2743">
        <w:rPr>
          <w:bCs w:val="0"/>
          <w:lang w:eastAsia="en-US"/>
        </w:rPr>
        <w:t>§ 53 zákona č. 362/2011 Z. z. o liekoch a zdravotníckych pomôckach a o zmene a doplnen</w:t>
      </w:r>
      <w:r w:rsidRPr="00FB2743">
        <w:rPr>
          <w:bCs w:val="0"/>
          <w:lang w:eastAsia="en-US"/>
        </w:rPr>
        <w:t>í niektorých zákonov.</w:t>
      </w:r>
    </w:p>
    <w:p w:rsidR="00FB2743" w:rsidRPr="00FB2743" w:rsidP="00FB2743">
      <w:pPr>
        <w:ind w:left="708"/>
        <w:rPr>
          <w:bCs w:val="0"/>
        </w:rPr>
      </w:pPr>
      <w:r w:rsidRPr="00FB2743">
        <w:rPr>
          <w:bCs w:val="0"/>
          <w:vertAlign w:val="superscript"/>
        </w:rPr>
        <w:t>57c</w:t>
      </w:r>
      <w:r w:rsidRPr="00FB2743">
        <w:rPr>
          <w:bCs w:val="0"/>
        </w:rPr>
        <w:t>)</w:t>
      </w:r>
      <w:r w:rsidRPr="00FB2743">
        <w:rPr>
          <w:bCs w:val="0"/>
          <w:vertAlign w:val="superscript"/>
        </w:rPr>
        <w:t xml:space="preserve"> </w:t>
      </w:r>
      <w:r w:rsidRPr="00FB2743">
        <w:rPr>
          <w:bCs w:val="0"/>
        </w:rPr>
        <w:t>§ 8 zákona č. 363/2011 Z. z. o rozsahu a podmienkach úhrady liekov, zdravotníckych pomôcok a dietetických potravín na základe verejného zdravotného poistenia a o zmene a doplnení niektorých zákonov.“.“.</w:t>
      </w:r>
    </w:p>
    <w:p w:rsidR="00FB2743" w:rsidRPr="00FB2743" w:rsidP="00FB2743">
      <w:pPr>
        <w:ind w:left="709"/>
        <w:contextualSpacing/>
        <w:jc w:val="both"/>
        <w:rPr>
          <w:bCs w:val="0"/>
          <w:lang w:eastAsia="en-US"/>
        </w:rPr>
      </w:pPr>
    </w:p>
    <w:p w:rsidR="00FB2743" w:rsidRPr="00FB2743" w:rsidP="00FB2743">
      <w:pPr>
        <w:ind w:left="2832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Legislatívno-technická úprava; odkazy 57aa a 57c sa v 14. bode nenachádzajú. Uvedené poznámky pod čiarou boli presunuté do 4. a 13. bodu, kde sa odkazy na ne nachádzajú.</w:t>
      </w:r>
    </w:p>
    <w:p w:rsidR="00FB2743" w:rsidRPr="00FB2743" w:rsidP="00FB2743">
      <w:pPr>
        <w:ind w:left="284"/>
        <w:contextualSpacing/>
        <w:jc w:val="both"/>
        <w:rPr>
          <w:bCs w:val="0"/>
          <w:lang w:eastAsia="en-US"/>
        </w:rPr>
      </w:pPr>
    </w:p>
    <w:p w:rsidR="00FB2743" w:rsidP="00FB2743">
      <w:pPr>
        <w:numPr>
          <w:ilvl w:val="0"/>
          <w:numId w:val="34"/>
        </w:numPr>
        <w:ind w:left="0" w:firstLine="284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 xml:space="preserve">V čl. I, 15. bode sa v § 38a ods. 1  slová „indexov rizika“ nahrádzajú slovami „indexu </w:t>
      </w:r>
    </w:p>
    <w:p w:rsidR="00FB2743" w:rsidRPr="00FB2743" w:rsidP="00FB2743">
      <w:pPr>
        <w:ind w:left="708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rizika nákladov“</w:t>
      </w:r>
      <w:r w:rsidRPr="00FB2743">
        <w:rPr>
          <w:bCs w:val="0"/>
          <w:lang w:eastAsia="en-US"/>
        </w:rPr>
        <w:t xml:space="preserve"> a v § 38a ods. 2 sa slová „s vypočítanými indexmi“ nahrádzajú slovami „s vypočítaným indexom“.</w:t>
      </w:r>
    </w:p>
    <w:p w:rsidR="00FB2743" w:rsidRPr="00FB2743" w:rsidP="00FB2743">
      <w:pPr>
        <w:contextualSpacing/>
        <w:jc w:val="both"/>
        <w:rPr>
          <w:bCs w:val="0"/>
          <w:lang w:eastAsia="en-US"/>
        </w:rPr>
      </w:pPr>
    </w:p>
    <w:p w:rsidR="00FB2743" w:rsidRPr="00FB2743" w:rsidP="00FB2743">
      <w:pPr>
        <w:ind w:left="2832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Legislatívno-technická úprava; zosúladenie so zavedenou legislatívnou skratkou v § 23 ods. 9 písm. d) (čl. I, 2. bod).</w:t>
      </w:r>
    </w:p>
    <w:p w:rsidR="00FB2743" w:rsidRPr="00FB2743" w:rsidP="00FB2743">
      <w:pPr>
        <w:contextualSpacing/>
        <w:jc w:val="both"/>
        <w:rPr>
          <w:bCs w:val="0"/>
          <w:lang w:eastAsia="en-US"/>
        </w:rPr>
      </w:pPr>
    </w:p>
    <w:p w:rsidR="00FB2743" w:rsidP="00FB2743">
      <w:pPr>
        <w:numPr>
          <w:ilvl w:val="0"/>
          <w:numId w:val="34"/>
        </w:numPr>
        <w:ind w:left="0" w:firstLine="284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 xml:space="preserve">V čl. II v úvodnej vete sa za slová „zákona č. 250/2011 Z. z.“ vkladá čiarka a  slová </w:t>
      </w:r>
    </w:p>
    <w:p w:rsidR="00FB2743" w:rsidRPr="00FB2743" w:rsidP="00FB2743">
      <w:pPr>
        <w:ind w:left="284" w:firstLine="424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„zákona č. 362/2011 Z. z.“.</w:t>
      </w:r>
    </w:p>
    <w:p w:rsidR="00FB2743" w:rsidRPr="00FB2743" w:rsidP="00FB2743">
      <w:pPr>
        <w:ind w:left="426"/>
        <w:contextualSpacing/>
        <w:jc w:val="both"/>
        <w:rPr>
          <w:bCs w:val="0"/>
          <w:lang w:eastAsia="en-US"/>
        </w:rPr>
      </w:pPr>
    </w:p>
    <w:p w:rsidR="00FB2743" w:rsidRPr="00FB2743" w:rsidP="00FB2743">
      <w:pPr>
        <w:ind w:left="2124" w:firstLine="708"/>
        <w:rPr>
          <w:bCs w:val="0"/>
        </w:rPr>
      </w:pPr>
      <w:r w:rsidRPr="00FB2743">
        <w:rPr>
          <w:bCs w:val="0"/>
        </w:rPr>
        <w:t>Legislatívno-technická úprava.</w:t>
      </w:r>
    </w:p>
    <w:p w:rsidR="00FB2743" w:rsidP="00FB2743">
      <w:pPr>
        <w:ind w:left="426" w:hanging="426"/>
        <w:contextualSpacing/>
        <w:jc w:val="both"/>
        <w:rPr>
          <w:bCs w:val="0"/>
          <w:lang w:eastAsia="en-US"/>
        </w:rPr>
      </w:pPr>
    </w:p>
    <w:p w:rsidR="00F05C41" w:rsidP="00FB2743">
      <w:pPr>
        <w:ind w:left="426" w:hanging="426"/>
        <w:contextualSpacing/>
        <w:jc w:val="both"/>
        <w:rPr>
          <w:bCs w:val="0"/>
          <w:lang w:eastAsia="en-US"/>
        </w:rPr>
      </w:pPr>
    </w:p>
    <w:p w:rsidR="00F05C41" w:rsidP="00FB2743">
      <w:pPr>
        <w:ind w:left="426" w:hanging="426"/>
        <w:contextualSpacing/>
        <w:jc w:val="both"/>
        <w:rPr>
          <w:bCs w:val="0"/>
          <w:lang w:eastAsia="en-US"/>
        </w:rPr>
      </w:pPr>
    </w:p>
    <w:p w:rsidR="00F05C41" w:rsidP="00FB2743">
      <w:pPr>
        <w:ind w:left="426" w:hanging="426"/>
        <w:contextualSpacing/>
        <w:jc w:val="both"/>
        <w:rPr>
          <w:bCs w:val="0"/>
          <w:lang w:eastAsia="en-US"/>
        </w:rPr>
      </w:pPr>
    </w:p>
    <w:p w:rsidR="00F05C41" w:rsidRPr="00FB2743" w:rsidP="00FB2743">
      <w:pPr>
        <w:ind w:left="426" w:hanging="426"/>
        <w:contextualSpacing/>
        <w:jc w:val="both"/>
        <w:rPr>
          <w:bCs w:val="0"/>
          <w:lang w:eastAsia="en-US"/>
        </w:rPr>
      </w:pPr>
    </w:p>
    <w:p w:rsidR="00FB2743" w:rsidP="00FB2743">
      <w:pPr>
        <w:numPr>
          <w:ilvl w:val="0"/>
          <w:numId w:val="34"/>
        </w:numPr>
        <w:ind w:left="0" w:firstLine="284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 xml:space="preserve">V čl. II, 2. bode sa v § 14 ods. 4 slovo „poisťovne“ nahrádza slovami „zdravotnej </w:t>
      </w:r>
    </w:p>
    <w:p w:rsidR="00FB2743" w:rsidRPr="00FB2743" w:rsidP="00FB2743">
      <w:pPr>
        <w:ind w:left="284" w:firstLine="424"/>
        <w:contextualSpacing/>
        <w:jc w:val="both"/>
        <w:rPr>
          <w:bCs w:val="0"/>
          <w:lang w:eastAsia="en-US"/>
        </w:rPr>
      </w:pPr>
      <w:r>
        <w:rPr>
          <w:bCs w:val="0"/>
          <w:lang w:eastAsia="en-US"/>
        </w:rPr>
        <w:t xml:space="preserve"> </w:t>
      </w:r>
      <w:r w:rsidRPr="00FB2743">
        <w:rPr>
          <w:bCs w:val="0"/>
          <w:lang w:eastAsia="en-US"/>
        </w:rPr>
        <w:t>poisťovne“.</w:t>
      </w:r>
    </w:p>
    <w:p w:rsidR="00FB2743" w:rsidRPr="00FB2743" w:rsidP="00FB2743">
      <w:pPr>
        <w:ind w:left="426" w:hanging="142"/>
        <w:contextualSpacing/>
        <w:jc w:val="both"/>
        <w:rPr>
          <w:bCs w:val="0"/>
          <w:lang w:eastAsia="en-US"/>
        </w:rPr>
      </w:pPr>
    </w:p>
    <w:p w:rsidR="00FB2743" w:rsidRPr="00FB2743" w:rsidP="00FB2743">
      <w:pPr>
        <w:ind w:left="2124" w:firstLine="708"/>
        <w:rPr>
          <w:bCs w:val="0"/>
        </w:rPr>
      </w:pPr>
      <w:r w:rsidRPr="00FB2743">
        <w:rPr>
          <w:bCs w:val="0"/>
        </w:rPr>
        <w:t>Terminologická úprava.</w:t>
      </w:r>
    </w:p>
    <w:p w:rsidR="00FB2743" w:rsidRPr="00FB2743" w:rsidP="00FB2743">
      <w:pPr>
        <w:ind w:left="1778"/>
        <w:contextualSpacing/>
        <w:jc w:val="both"/>
        <w:rPr>
          <w:bCs w:val="0"/>
          <w:lang w:eastAsia="en-US"/>
        </w:rPr>
      </w:pPr>
    </w:p>
    <w:p w:rsidR="00FB2743" w:rsidP="00FB2743">
      <w:pPr>
        <w:numPr>
          <w:ilvl w:val="0"/>
          <w:numId w:val="34"/>
        </w:numPr>
        <w:ind w:left="0" w:firstLine="284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 xml:space="preserve">V čl. II, 2. bode sa na konci slová „odkazom 32a až 32c“ nahrádzajú slovami „odkazom </w:t>
      </w:r>
    </w:p>
    <w:p w:rsidR="00FB2743" w:rsidRPr="00FB2743" w:rsidP="00FB2743">
      <w:pPr>
        <w:ind w:left="708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32a a 32c“.</w:t>
      </w:r>
    </w:p>
    <w:p w:rsidR="00FB2743" w:rsidRPr="00FB2743" w:rsidP="00FB2743">
      <w:pPr>
        <w:contextualSpacing/>
        <w:jc w:val="both"/>
        <w:rPr>
          <w:bCs w:val="0"/>
          <w:lang w:eastAsia="en-US"/>
        </w:rPr>
      </w:pPr>
    </w:p>
    <w:p w:rsidR="00FB2743" w:rsidRPr="00FB2743" w:rsidP="00FB2743">
      <w:pPr>
        <w:ind w:left="2832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Legislatívno-technická úprava; poznámku pod čiarou k odkazu 32b nemožno vypustiť, keďže odkaz 32b sa v texte zákona naďalej vyskytuje v § 61h ods. 1.</w:t>
      </w:r>
    </w:p>
    <w:p w:rsidR="00FB2743" w:rsidRPr="00FB2743" w:rsidP="00FB2743">
      <w:pPr>
        <w:ind w:left="1778"/>
        <w:contextualSpacing/>
        <w:jc w:val="both"/>
        <w:rPr>
          <w:bCs w:val="0"/>
          <w:lang w:eastAsia="en-US"/>
        </w:rPr>
      </w:pPr>
    </w:p>
    <w:p w:rsidR="00FB2743" w:rsidRPr="00FB2743" w:rsidP="00FB2743">
      <w:pPr>
        <w:numPr>
          <w:ilvl w:val="0"/>
          <w:numId w:val="34"/>
        </w:numPr>
        <w:ind w:hanging="1494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V čl. II, 11. bod  znie:</w:t>
      </w:r>
    </w:p>
    <w:p w:rsidR="00FB2743" w:rsidRPr="00FB2743" w:rsidP="00FB2743">
      <w:pPr>
        <w:ind w:firstLine="708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„11. V § 24 ods. 8 písm. b) sa na konci vypúšťa čiarka a pripájajú sa tieto slová: „a 11,“.</w:t>
      </w:r>
    </w:p>
    <w:p w:rsidR="00FB2743" w:rsidRPr="00FB2743" w:rsidP="00FB2743">
      <w:pPr>
        <w:rPr>
          <w:bCs w:val="0"/>
        </w:rPr>
      </w:pPr>
    </w:p>
    <w:p w:rsidR="00FB2743" w:rsidRPr="00FB2743" w:rsidP="00FB2743">
      <w:pPr>
        <w:ind w:left="2124" w:firstLine="708"/>
        <w:rPr>
          <w:bCs w:val="0"/>
        </w:rPr>
      </w:pPr>
      <w:r w:rsidRPr="00FB2743">
        <w:rPr>
          <w:bCs w:val="0"/>
        </w:rPr>
        <w:t>Legislatívno-technická úprava.</w:t>
      </w:r>
    </w:p>
    <w:p w:rsidR="00FB2743" w:rsidP="00FB2743">
      <w:pPr>
        <w:ind w:left="4956" w:firstLine="708"/>
        <w:contextualSpacing/>
        <w:jc w:val="both"/>
        <w:rPr>
          <w:bCs w:val="0"/>
          <w:lang w:eastAsia="en-US"/>
        </w:rPr>
      </w:pPr>
    </w:p>
    <w:p w:rsidR="00FB2743" w:rsidRPr="00FB2743" w:rsidP="00FB2743">
      <w:pPr>
        <w:numPr>
          <w:ilvl w:val="0"/>
          <w:numId w:val="34"/>
        </w:numPr>
        <w:ind w:left="0" w:firstLine="284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>V čl. II sa vypúšťa 15. bod.</w:t>
      </w:r>
    </w:p>
    <w:p w:rsidR="00FB2743" w:rsidP="00FB2743">
      <w:pPr>
        <w:contextualSpacing/>
        <w:jc w:val="both"/>
        <w:rPr>
          <w:bCs w:val="0"/>
        </w:rPr>
      </w:pPr>
    </w:p>
    <w:p w:rsidR="00FB2743" w:rsidP="00FB2743">
      <w:pPr>
        <w:ind w:left="2832"/>
        <w:contextualSpacing/>
        <w:jc w:val="both"/>
        <w:rPr>
          <w:bCs w:val="0"/>
          <w:lang w:eastAsia="en-US"/>
        </w:rPr>
      </w:pPr>
      <w:r w:rsidRPr="00FB2743">
        <w:rPr>
          <w:bCs w:val="0"/>
          <w:lang w:eastAsia="en-US"/>
        </w:rPr>
        <w:t xml:space="preserve">V čl. II v 15. bode sa navrhuje vypustiť § 86i, ktorý je prechodným ustanovením. Vzhľadom na nereálnosť navrhovanej účinnosti v čl. III (1. jún 2012) termín v § 86i (30. jún 2012) uplynie pred nadobudnutím účinnosti zákona, t. j. dané prechodné ustanovenie už bude „skonzumované“, a preto nie je dôvod na jeho vypustenie. </w:t>
      </w:r>
    </w:p>
    <w:p w:rsidR="000A404A" w:rsidP="000A404A">
      <w:pPr>
        <w:contextualSpacing/>
        <w:jc w:val="both"/>
        <w:rPr>
          <w:bCs w:val="0"/>
          <w:lang w:eastAsia="en-US"/>
        </w:rPr>
      </w:pPr>
    </w:p>
    <w:p w:rsidR="000A404A" w:rsidRPr="000A404A" w:rsidP="000A404A">
      <w:pPr>
        <w:numPr>
          <w:ilvl w:val="0"/>
          <w:numId w:val="34"/>
        </w:numPr>
        <w:ind w:hanging="1494"/>
        <w:jc w:val="both"/>
        <w:rPr>
          <w:b/>
          <w:bCs w:val="0"/>
        </w:rPr>
      </w:pPr>
      <w:r w:rsidRPr="000A404A">
        <w:rPr>
          <w:b/>
          <w:bCs w:val="0"/>
        </w:rPr>
        <w:t>Nový bod</w:t>
      </w:r>
    </w:p>
    <w:p w:rsidR="000A404A" w:rsidRPr="000A404A" w:rsidP="000A404A">
      <w:pPr>
        <w:ind w:left="284" w:firstLine="424"/>
        <w:jc w:val="both"/>
        <w:rPr>
          <w:bCs w:val="0"/>
        </w:rPr>
      </w:pPr>
      <w:r w:rsidRPr="000A404A">
        <w:rPr>
          <w:bCs w:val="0"/>
        </w:rPr>
        <w:t>Za čl. II vložiť nový čl. III, ktorý znie:</w:t>
      </w:r>
    </w:p>
    <w:p w:rsidR="000A404A" w:rsidRPr="000A404A" w:rsidP="000A404A">
      <w:pPr>
        <w:jc w:val="both"/>
        <w:rPr>
          <w:bCs w:val="0"/>
        </w:rPr>
      </w:pPr>
    </w:p>
    <w:p w:rsidR="000A404A" w:rsidRPr="000A404A" w:rsidP="000A404A">
      <w:pPr>
        <w:tabs>
          <w:tab w:val="left" w:pos="615"/>
          <w:tab w:val="center" w:pos="4536"/>
        </w:tabs>
        <w:spacing w:line="20" w:lineRule="atLeast"/>
        <w:rPr>
          <w:bCs w:val="0"/>
        </w:rPr>
      </w:pPr>
      <w:r w:rsidRPr="000A404A">
        <w:rPr>
          <w:bCs w:val="0"/>
        </w:rPr>
        <w:tab/>
        <w:tab/>
        <w:t>„Čl. III</w:t>
      </w:r>
    </w:p>
    <w:p w:rsidR="000A404A" w:rsidRPr="000A404A" w:rsidP="000A404A">
      <w:pPr>
        <w:spacing w:line="20" w:lineRule="atLeast"/>
        <w:jc w:val="both"/>
        <w:rPr>
          <w:bCs w:val="0"/>
        </w:rPr>
      </w:pPr>
    </w:p>
    <w:p w:rsidR="000A404A" w:rsidRPr="000A404A" w:rsidP="000A404A">
      <w:pPr>
        <w:spacing w:line="20" w:lineRule="atLeast"/>
        <w:ind w:firstLine="426"/>
        <w:jc w:val="both"/>
        <w:rPr>
          <w:bCs w:val="0"/>
        </w:rPr>
      </w:pPr>
      <w:r w:rsidRPr="000A404A">
        <w:rPr>
          <w:bCs w:val="0"/>
        </w:rPr>
        <w:t>Zákon č. 328/2002 Z. z. o sociálnom zabezpečení policajtov a vojakov a o zmene a doplnení niektorých zákonov v znení zákona č. 447/2002 Z. z., zákona č. 534/2002 Z. z., zákona č. 463/2003 Z. z., zákona č. 365/2004 Z. z., zákona č. 732/2004 Z. z., zákona č. 592/2006 Z. z., zákona č. 274/2007 Z. z., zákona č. 519/2007 Z. z., zákona č. 643/2007 Z. z., zákona č. 61/2008 Z. z., zákona č. 445/2008 Z. z., zákona č. 449/2008 Z. z., zákona č. 58/2009 Z. z., zákona č. 59/2009 Z. z., zákona č. 70/2009 Z. z., zákona č. 82/2009 Z. z., zákona č. 285/2009 Z. z., zákona č. 543/2010 Z. z. a zákona č. 220/2011 Z. z. sa mení a dopĺňa takto:</w:t>
      </w:r>
    </w:p>
    <w:p w:rsidR="000A404A" w:rsidRPr="000A404A" w:rsidP="000A404A">
      <w:pPr>
        <w:spacing w:line="20" w:lineRule="atLeast"/>
        <w:ind w:firstLine="708"/>
        <w:jc w:val="both"/>
        <w:rPr>
          <w:bCs w:val="0"/>
        </w:rPr>
      </w:pPr>
    </w:p>
    <w:p w:rsidR="000A404A" w:rsidRPr="000A404A" w:rsidP="000A404A">
      <w:pPr>
        <w:numPr>
          <w:ilvl w:val="0"/>
          <w:numId w:val="35"/>
        </w:numPr>
        <w:spacing w:after="200" w:line="20" w:lineRule="atLeast"/>
        <w:ind w:left="284" w:hanging="284"/>
        <w:contextualSpacing/>
        <w:jc w:val="both"/>
        <w:rPr>
          <w:bCs w:val="0"/>
        </w:rPr>
      </w:pPr>
      <w:r w:rsidRPr="000A404A">
        <w:rPr>
          <w:bCs w:val="0"/>
        </w:rPr>
        <w:t>V § 68 ods. 1 až 7 sa na konci bodka nahrádza čiarkou a pripájajú sa tieto slová: „ak v odseku 13 nie je ustanovené inak.“.</w:t>
      </w:r>
    </w:p>
    <w:p w:rsidR="000A404A" w:rsidRPr="000A404A" w:rsidP="000A404A">
      <w:pPr>
        <w:tabs>
          <w:tab w:val="left" w:pos="6165"/>
        </w:tabs>
        <w:spacing w:line="20" w:lineRule="atLeast"/>
        <w:ind w:left="284"/>
        <w:contextualSpacing/>
        <w:jc w:val="both"/>
        <w:rPr>
          <w:bCs w:val="0"/>
        </w:rPr>
      </w:pPr>
      <w:r w:rsidRPr="000A404A">
        <w:rPr>
          <w:bCs w:val="0"/>
        </w:rPr>
        <w:tab/>
      </w:r>
    </w:p>
    <w:p w:rsidR="000A404A" w:rsidRPr="000A404A" w:rsidP="000A404A">
      <w:pPr>
        <w:numPr>
          <w:ilvl w:val="0"/>
          <w:numId w:val="35"/>
        </w:numPr>
        <w:spacing w:after="200" w:line="20" w:lineRule="atLeast"/>
        <w:ind w:left="284" w:hanging="284"/>
        <w:contextualSpacing/>
        <w:jc w:val="both"/>
        <w:rPr>
          <w:bCs w:val="0"/>
        </w:rPr>
      </w:pPr>
      <w:r w:rsidRPr="000A404A">
        <w:rPr>
          <w:bCs w:val="0"/>
        </w:rPr>
        <w:t>§ 68 sa dopĺňa odsekom 13, ktorý znie:</w:t>
      </w:r>
    </w:p>
    <w:p w:rsidR="000A404A" w:rsidRPr="000A404A" w:rsidP="000A404A">
      <w:pPr>
        <w:ind w:left="720"/>
        <w:contextualSpacing/>
        <w:rPr>
          <w:bCs w:val="0"/>
        </w:rPr>
      </w:pPr>
    </w:p>
    <w:p w:rsidR="000A404A" w:rsidRPr="000A404A" w:rsidP="000A404A">
      <w:pPr>
        <w:spacing w:line="20" w:lineRule="atLeast"/>
        <w:ind w:firstLine="426"/>
        <w:jc w:val="both"/>
        <w:rPr>
          <w:bCs w:val="0"/>
        </w:rPr>
      </w:pPr>
      <w:r w:rsidRPr="000A404A">
        <w:rPr>
          <w:bCs w:val="0"/>
        </w:rPr>
        <w:t>„(13) Dávky výsluhového zabezpečenia sa zvyšujú podľa odsekov 1 až 7 v tom kalendárnom roku, v ktorom sa funkčné platy príslušníkov Policajného zboru, Zboru väzenskej a justičnej stráže, Slovenskej informačnej služby, Národného bezpečnostného úradu, stupnica platových taríf príslušníkov Hasičského a záchranného zboru, Horskej záchrannej služby, funkčné platy colníkov alebo hodnostné platy profesionálnych vojakov zvyšujú na základe zákona o štátnom rozpočte viac ako o 0 %. Ak sa funkčné platy, stupnica platových taríf alebo hodnostné platy v príslušnom kalendárnom roku zvyšujú len u niektorého zo subjektov podľa predchádzajúcej vety, dávky výsluhového zabezpečenia podľa odsekov 1 až 7 sa zvyšujú iba poberateľom, ktorí ukončili posledný služobný pomer v zbore, štátnom orgáne alebo v ozbrojených silách, v ktorom sa uvedené platové náležitosti zvyšujú, a pozostalým po nich.“.</w:t>
      </w:r>
    </w:p>
    <w:p w:rsidR="000A404A" w:rsidRPr="000A404A" w:rsidP="000A404A">
      <w:pPr>
        <w:spacing w:line="20" w:lineRule="atLeast"/>
        <w:ind w:firstLine="426"/>
        <w:jc w:val="both"/>
        <w:rPr>
          <w:bCs w:val="0"/>
        </w:rPr>
      </w:pPr>
    </w:p>
    <w:p w:rsidR="000A404A" w:rsidRPr="000A404A" w:rsidP="000A404A">
      <w:pPr>
        <w:spacing w:line="20" w:lineRule="atLeast"/>
        <w:ind w:firstLine="426"/>
        <w:jc w:val="both"/>
        <w:rPr>
          <w:bCs w:val="0"/>
        </w:rPr>
      </w:pPr>
      <w:r w:rsidRPr="000A404A">
        <w:rPr>
          <w:bCs w:val="0"/>
        </w:rPr>
        <w:t>Účinnosť novonavrhovaného čl. III ustanoviť 30. júna 2012. Zároveň je potrebné upraviť názov zákona a doterajší čl. III označiť ako čl. IV.</w:t>
      </w:r>
    </w:p>
    <w:p w:rsidR="000A404A" w:rsidRPr="000A404A" w:rsidP="000A404A">
      <w:pPr>
        <w:jc w:val="both"/>
        <w:rPr>
          <w:bCs w:val="0"/>
        </w:rPr>
      </w:pPr>
    </w:p>
    <w:p w:rsidR="000A404A" w:rsidRPr="000A404A" w:rsidP="000A404A">
      <w:pPr>
        <w:jc w:val="both"/>
        <w:rPr>
          <w:bCs w:val="0"/>
        </w:rPr>
      </w:pPr>
    </w:p>
    <w:p w:rsidR="000A404A" w:rsidRPr="000A404A" w:rsidP="0050751E">
      <w:pPr>
        <w:ind w:left="2832"/>
        <w:jc w:val="both"/>
        <w:rPr>
          <w:rFonts w:ascii="Calibri" w:hAnsi="Calibri"/>
          <w:bCs w:val="0"/>
        </w:rPr>
      </w:pPr>
      <w:r w:rsidRPr="000A404A">
        <w:rPr>
          <w:bCs w:val="0"/>
        </w:rPr>
        <w:t>Z osobitných účtov Ministerstva vnútra Slovenskej republiky, Ministerstva spravodlivosti Slovenskej republiky, Ministerstva financií Slovenskej republiky, Ministerstva obrany Slovenskej republiky. Slovenskej informačnej služby a Národného bezpečnostného úradu sa uhrádzajú opakované výsluhové dávky výsluhového zabezpečenia. Príjmy týchto účtov nestačia pokryť nároky na výdavky osobitných účtov. Príjmami osobitných účtov sú v zásade predovšetkým odvody poistného zo služobných platov policajtov, hasičov, záchranárov, príslušníkov ZVJS, colníkov, príslušníkov SIS, NBÚ a vojakov.</w:t>
      </w:r>
    </w:p>
    <w:p w:rsidR="000A404A" w:rsidRPr="000A404A" w:rsidP="0050751E">
      <w:pPr>
        <w:ind w:left="2832"/>
        <w:jc w:val="both"/>
        <w:rPr>
          <w:bCs w:val="0"/>
        </w:rPr>
      </w:pPr>
      <w:r w:rsidRPr="000A404A">
        <w:rPr>
          <w:bCs w:val="0"/>
        </w:rPr>
        <w:t>V roku 2011 a 2012 nedošlo k valorizácii služobných platov príslušníkov Policajného zboru, Hasičského a záchranného zboru, Horskej záchrannej služby, príslušníkov ZVJS, colníkov, príslušníkov SIS, NBU a vojakov, čo malo za následok, že odvody poistného ostali na úrovni predchádzajúceho obdobia.</w:t>
      </w:r>
    </w:p>
    <w:p w:rsidR="000A404A" w:rsidRPr="000A404A" w:rsidP="0050751E">
      <w:pPr>
        <w:ind w:left="2832"/>
        <w:jc w:val="both"/>
        <w:rPr>
          <w:bCs w:val="0"/>
        </w:rPr>
      </w:pPr>
      <w:r w:rsidRPr="000A404A">
        <w:rPr>
          <w:bCs w:val="0"/>
        </w:rPr>
        <w:t>V roku 2011 došlo k valorizácii výsluhových dôchodkov o 2,1 %, čím sa zvýšili rozdiely medzi príjmami a výdavkami osobitných účtov.</w:t>
      </w:r>
    </w:p>
    <w:p w:rsidR="000A404A" w:rsidRPr="000A404A" w:rsidP="0050751E">
      <w:pPr>
        <w:ind w:left="2832"/>
        <w:jc w:val="both"/>
        <w:rPr>
          <w:bCs w:val="0"/>
        </w:rPr>
      </w:pPr>
      <w:r w:rsidRPr="000A404A">
        <w:rPr>
          <w:bCs w:val="0"/>
        </w:rPr>
        <w:t>Taktiež v súlade s uznesením vlády Slovenskej republiky č. 667/2010 k návrhu rozpočtu verejnej správy na roky 2011 až 2013 a zákonom č. 498/2010 Z. z. o štátnom rozpočte na rok 2011 bolo v rozpočte mzdových prostriedkov rozpočtových organizácií Ministerstva vnútra Slovenskej republiky premietnuté 5,77 % zníženie limitu mzdových prostriedkov pre príslušníkov Policajného zboru a 5 % zníženie limitu mzdových prostriedkov pre príslušníkov Hasičského a záchranného zboru oproti roku 2010, čím sa automaticky znížili percentuálne o rovnakú časť aj nominálne príjmy osobitného účtu Ministerstva vnútra Slovenskej republiky z odvodov poistného v roku 2011.</w:t>
      </w:r>
    </w:p>
    <w:p w:rsidR="000A404A" w:rsidRPr="000A404A" w:rsidP="0050751E">
      <w:pPr>
        <w:ind w:left="2832"/>
        <w:jc w:val="both"/>
        <w:rPr>
          <w:bCs w:val="0"/>
        </w:rPr>
      </w:pPr>
      <w:r w:rsidRPr="000A404A">
        <w:rPr>
          <w:bCs w:val="0"/>
        </w:rPr>
        <w:t>V roku 2012 má dôjsť k 1. júlu 2012 k valorizácii výsluhových dôchodkov o 3,05 %, čím by sa ešte zvýšili rozdiely medzi príjmami a výdavkami osobitných účtov.</w:t>
      </w:r>
    </w:p>
    <w:p w:rsidR="000A404A" w:rsidRPr="000A404A" w:rsidP="00F05C41">
      <w:pPr>
        <w:ind w:left="2832"/>
        <w:jc w:val="both"/>
        <w:rPr>
          <w:bCs w:val="0"/>
        </w:rPr>
      </w:pPr>
      <w:r w:rsidRPr="000A404A">
        <w:rPr>
          <w:bCs w:val="0"/>
        </w:rPr>
        <w:t>Vzhľadom na uvedené sa navrhuje previazať valorizáciu príjmov osobitného účtu, ktorými sú odvody poistného odvádzané na osobitný účet z valorizovaných funkčných platov policajtov,</w:t>
      </w:r>
      <w:r w:rsidRPr="000A404A">
        <w:rPr>
          <w:rFonts w:eastAsia="Calibri"/>
          <w:bCs w:val="0"/>
          <w:sz w:val="22"/>
          <w:szCs w:val="22"/>
          <w:lang w:eastAsia="en-US"/>
        </w:rPr>
        <w:t xml:space="preserve"> príslušníkov Hasičského a záchranného zboru, príslušníkov Horskej záchrannej služby,</w:t>
      </w:r>
      <w:r w:rsidRPr="000A404A">
        <w:rPr>
          <w:bCs w:val="0"/>
        </w:rPr>
        <w:t xml:space="preserve"> príslušníkov ZVJS, colníkov, príslušníkov SIS, NBU</w:t>
      </w:r>
      <w:r w:rsidRPr="000A404A">
        <w:rPr>
          <w:rFonts w:eastAsia="Calibri"/>
          <w:bCs w:val="0"/>
          <w:sz w:val="22"/>
          <w:szCs w:val="22"/>
          <w:lang w:eastAsia="en-US"/>
        </w:rPr>
        <w:t xml:space="preserve"> a hodnostných platov profesionálnych vojakov</w:t>
      </w:r>
      <w:r w:rsidRPr="000A404A">
        <w:rPr>
          <w:bCs w:val="0"/>
        </w:rPr>
        <w:t xml:space="preserve"> s valorizáciou jeho výdavkov, ktorými sú v prevažnej miere valorizované dávky výsluhového zabezpečenia a valorizované dávky sociálneho poistenia. </w:t>
      </w:r>
    </w:p>
    <w:p w:rsidR="000A404A" w:rsidRPr="000A404A" w:rsidP="00F05C41">
      <w:pPr>
        <w:ind w:left="2832"/>
        <w:jc w:val="both"/>
        <w:rPr>
          <w:b/>
          <w:bCs w:val="0"/>
        </w:rPr>
      </w:pPr>
      <w:r w:rsidRPr="000A404A">
        <w:rPr>
          <w:bCs w:val="0"/>
        </w:rPr>
        <w:t>Vzhľadom na deficitný stav osobitných účtov a ich ďalšie očakávané zhoršenie od 1. júla 2012, kedy by sa mali dávky výsluhového zabezpečenia valorizovať o 3,05 %, je potrebné, aby zákon nadobudol účinnosť ešte pred očakávanou valorizáciou. Preto sa navrhuje nadobudnutie jeho účinnosti dňom 30. júna 2012.</w:t>
      </w:r>
    </w:p>
    <w:p w:rsidR="000A404A" w:rsidRPr="000A404A" w:rsidP="000A404A">
      <w:pPr>
        <w:spacing w:after="200" w:line="276" w:lineRule="auto"/>
        <w:rPr>
          <w:rFonts w:eastAsia="Calibri"/>
          <w:bCs w:val="0"/>
          <w:lang w:eastAsia="en-US"/>
        </w:rPr>
      </w:pPr>
    </w:p>
    <w:p w:rsidR="000A404A" w:rsidRPr="00FB2743" w:rsidP="000A404A">
      <w:pPr>
        <w:contextualSpacing/>
        <w:jc w:val="both"/>
        <w:rPr>
          <w:bCs w:val="0"/>
          <w:lang w:eastAsia="en-US"/>
        </w:rPr>
      </w:pPr>
    </w:p>
    <w:p w:rsidR="00FB2743" w:rsidP="00FB2743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014B">
      <w:rPr>
        <w:rStyle w:val="PageNumber"/>
        <w:noProof/>
      </w:rPr>
      <w:t>4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5E64DA"/>
    <w:multiLevelType w:val="hybridMultilevel"/>
    <w:tmpl w:val="04B878B4"/>
    <w:lvl w:ilvl="0">
      <w:start w:val="1"/>
      <w:numFmt w:val="decimal"/>
      <w:lvlText w:val="%1."/>
      <w:lvlJc w:val="left"/>
      <w:pPr>
        <w:ind w:left="360" w:hanging="360"/>
      </w:pPr>
      <w:rPr>
        <w:rFonts w:ascii="Times" w:hAnsi="Times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B753A58"/>
    <w:multiLevelType w:val="hybridMultilevel"/>
    <w:tmpl w:val="101EAF08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6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5"/>
  </w:num>
  <w:num w:numId="6">
    <w:abstractNumId w:val="5"/>
  </w:num>
  <w:num w:numId="7">
    <w:abstractNumId w:val="16"/>
  </w:num>
  <w:num w:numId="8">
    <w:abstractNumId w:val="28"/>
  </w:num>
  <w:num w:numId="9">
    <w:abstractNumId w:val="29"/>
  </w:num>
  <w:num w:numId="10">
    <w:abstractNumId w:val="1"/>
  </w:num>
  <w:num w:numId="11">
    <w:abstractNumId w:val="18"/>
  </w:num>
  <w:num w:numId="12">
    <w:abstractNumId w:val="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2"/>
  </w:num>
  <w:num w:numId="19">
    <w:abstractNumId w:val="9"/>
  </w:num>
  <w:num w:numId="20">
    <w:abstractNumId w:val="24"/>
  </w:num>
  <w:num w:numId="21">
    <w:abstractNumId w:val="6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21"/>
  </w:num>
  <w:num w:numId="25">
    <w:abstractNumId w:val="32"/>
  </w:num>
  <w:num w:numId="26">
    <w:abstractNumId w:val="20"/>
  </w:num>
  <w:num w:numId="27">
    <w:abstractNumId w:val="17"/>
  </w:num>
  <w:num w:numId="28">
    <w:abstractNumId w:val="8"/>
  </w:num>
  <w:num w:numId="29">
    <w:abstractNumId w:val="2"/>
  </w:num>
  <w:num w:numId="30">
    <w:abstractNumId w:val="27"/>
  </w:num>
  <w:num w:numId="31">
    <w:abstractNumId w:val="13"/>
  </w:num>
  <w:num w:numId="32">
    <w:abstractNumId w:val="19"/>
  </w:num>
  <w:num w:numId="33">
    <w:abstractNumId w:val="15"/>
  </w:num>
  <w:num w:numId="34">
    <w:abstractNumId w:val="14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176C"/>
    <w:rsid w:val="000741D0"/>
    <w:rsid w:val="0007451E"/>
    <w:rsid w:val="000826D8"/>
    <w:rsid w:val="0008289A"/>
    <w:rsid w:val="00085A9B"/>
    <w:rsid w:val="00092341"/>
    <w:rsid w:val="00092B30"/>
    <w:rsid w:val="000A0E23"/>
    <w:rsid w:val="000A404A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5C7B"/>
    <w:rsid w:val="0020683C"/>
    <w:rsid w:val="00210542"/>
    <w:rsid w:val="00213659"/>
    <w:rsid w:val="00214BD9"/>
    <w:rsid w:val="00232F32"/>
    <w:rsid w:val="002461A5"/>
    <w:rsid w:val="002470B4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80A1C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1556"/>
    <w:rsid w:val="004925DB"/>
    <w:rsid w:val="00493DCA"/>
    <w:rsid w:val="004A12F3"/>
    <w:rsid w:val="004A3E40"/>
    <w:rsid w:val="004B7312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0751E"/>
    <w:rsid w:val="0052115B"/>
    <w:rsid w:val="00522678"/>
    <w:rsid w:val="0052497C"/>
    <w:rsid w:val="005375F3"/>
    <w:rsid w:val="00552BE1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37845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77CFA"/>
    <w:rsid w:val="007865EF"/>
    <w:rsid w:val="00787F13"/>
    <w:rsid w:val="00791016"/>
    <w:rsid w:val="007965EB"/>
    <w:rsid w:val="007A7FC3"/>
    <w:rsid w:val="007B40ED"/>
    <w:rsid w:val="007C3A2E"/>
    <w:rsid w:val="007C6EC6"/>
    <w:rsid w:val="007D3639"/>
    <w:rsid w:val="007E168E"/>
    <w:rsid w:val="0081158D"/>
    <w:rsid w:val="00830899"/>
    <w:rsid w:val="00841EA3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4AF"/>
    <w:rsid w:val="00901501"/>
    <w:rsid w:val="00902EC3"/>
    <w:rsid w:val="00914F38"/>
    <w:rsid w:val="009171A7"/>
    <w:rsid w:val="009434CE"/>
    <w:rsid w:val="00945E30"/>
    <w:rsid w:val="0095014B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D0864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C5E34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21AA"/>
    <w:rsid w:val="00D64717"/>
    <w:rsid w:val="00D72E6C"/>
    <w:rsid w:val="00D77944"/>
    <w:rsid w:val="00D93A8F"/>
    <w:rsid w:val="00DA4A4E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05C41"/>
    <w:rsid w:val="00F15963"/>
    <w:rsid w:val="00F328DE"/>
    <w:rsid w:val="00F33022"/>
    <w:rsid w:val="00F362CE"/>
    <w:rsid w:val="00F6286E"/>
    <w:rsid w:val="00F7316C"/>
    <w:rsid w:val="00F7461A"/>
    <w:rsid w:val="00F7561B"/>
    <w:rsid w:val="00F80E71"/>
    <w:rsid w:val="00F87FF3"/>
    <w:rsid w:val="00F966EF"/>
    <w:rsid w:val="00FB2743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99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DF322-F1C9-4542-A14E-2AB9A7AF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5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306</cp:revision>
  <cp:lastPrinted>2012-06-13T10:39:00Z</cp:lastPrinted>
  <dcterms:created xsi:type="dcterms:W3CDTF">2003-06-05T10:59:00Z</dcterms:created>
  <dcterms:modified xsi:type="dcterms:W3CDTF">2012-06-13T13:08:00Z</dcterms:modified>
</cp:coreProperties>
</file>