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1D09" w:rsidRPr="004B1D09" w:rsidP="004B1D0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4B1D09" w:rsidRPr="004B1D09" w:rsidP="004B1D09">
      <w:pPr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4B1D09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4B1D09" w:rsidRPr="004B1D09" w:rsidP="004B1D09">
      <w:pPr>
        <w:bidi w:val="0"/>
        <w:jc w:val="both"/>
        <w:rPr>
          <w:rFonts w:ascii="Times New Roman" w:hAnsi="Times New Roman"/>
          <w:color w:val="000000"/>
        </w:rPr>
      </w:pPr>
    </w:p>
    <w:p w:rsidR="004B1D09" w:rsidRPr="004B1D09" w:rsidP="004B1D09">
      <w:pPr>
        <w:bidi w:val="0"/>
        <w:jc w:val="both"/>
        <w:rPr>
          <w:rFonts w:ascii="Times New Roman" w:hAnsi="Times New Roman"/>
          <w:color w:val="000000"/>
        </w:rPr>
      </w:pPr>
    </w:p>
    <w:p w:rsidR="004B1D09" w:rsidRPr="004B1D09" w:rsidP="004B1D09">
      <w:pPr>
        <w:bidi w:val="0"/>
        <w:jc w:val="both"/>
        <w:rPr>
          <w:rFonts w:ascii="Times New Roman" w:hAnsi="Times New Roman"/>
          <w:color w:val="000000"/>
        </w:rPr>
      </w:pPr>
    </w:p>
    <w:p w:rsidR="004B1D09" w:rsidRPr="004B1D09" w:rsidP="004B1D09">
      <w:pPr>
        <w:bidi w:val="0"/>
        <w:jc w:val="both"/>
        <w:rPr>
          <w:rFonts w:ascii="Times New Roman" w:hAnsi="Times New Roman"/>
          <w:b/>
          <w:color w:val="000000"/>
        </w:rPr>
      </w:pPr>
      <w:r w:rsidRPr="004B1D09">
        <w:rPr>
          <w:rFonts w:ascii="Times New Roman" w:hAnsi="Times New Roman"/>
          <w:b/>
          <w:color w:val="000000"/>
        </w:rPr>
        <w:t>A. Všeobecná časť</w:t>
      </w:r>
    </w:p>
    <w:p w:rsidR="004B1D09" w:rsidRPr="002765FA" w:rsidP="004B1D09">
      <w:pPr>
        <w:bidi w:val="0"/>
        <w:jc w:val="both"/>
        <w:rPr>
          <w:rFonts w:ascii="Arial Narrow" w:hAnsi="Arial Narrow"/>
          <w:color w:val="000000"/>
        </w:rPr>
      </w:pPr>
    </w:p>
    <w:p w:rsidR="004B1D09" w:rsidP="00FE0D41">
      <w:pPr>
        <w:bidi w:val="0"/>
        <w:spacing w:line="276" w:lineRule="auto"/>
        <w:ind w:firstLine="708"/>
        <w:jc w:val="both"/>
        <w:rPr>
          <w:rFonts w:ascii="Times New Roman" w:hAnsi="Times New Roman"/>
          <w:bCs/>
        </w:rPr>
      </w:pPr>
      <w:r w:rsidR="00E40AB0">
        <w:rPr>
          <w:rFonts w:ascii="Times New Roman" w:hAnsi="Times New Roman"/>
          <w:bCs/>
        </w:rPr>
        <w:t>Pre</w:t>
      </w:r>
      <w:r w:rsidRPr="004B1D09">
        <w:rPr>
          <w:rFonts w:ascii="Times New Roman" w:hAnsi="Times New Roman"/>
          <w:bCs/>
        </w:rPr>
        <w:t>dložen</w:t>
      </w:r>
      <w:r w:rsidR="00E40AB0">
        <w:rPr>
          <w:rFonts w:ascii="Times New Roman" w:hAnsi="Times New Roman"/>
          <w:bCs/>
        </w:rPr>
        <w:t>ým</w:t>
      </w:r>
      <w:r w:rsidRPr="004B1D09">
        <w:rPr>
          <w:rFonts w:ascii="Times New Roman" w:hAnsi="Times New Roman"/>
          <w:bCs/>
        </w:rPr>
        <w:t xml:space="preserve"> návrh</w:t>
      </w:r>
      <w:r w:rsidR="00E40AB0">
        <w:rPr>
          <w:rFonts w:ascii="Times New Roman" w:hAnsi="Times New Roman"/>
          <w:bCs/>
        </w:rPr>
        <w:t>om</w:t>
      </w:r>
      <w:r w:rsidRPr="004B1D09">
        <w:rPr>
          <w:rFonts w:ascii="Times New Roman" w:hAnsi="Times New Roman"/>
          <w:bCs/>
        </w:rPr>
        <w:t xml:space="preserve"> zákona </w:t>
      </w:r>
      <w:r w:rsidR="00E40AB0">
        <w:rPr>
          <w:rFonts w:ascii="Times New Roman" w:hAnsi="Times New Roman"/>
          <w:bCs/>
        </w:rPr>
        <w:t>sa</w:t>
      </w:r>
      <w:r w:rsidRPr="004B1D09">
        <w:rPr>
          <w:rFonts w:ascii="Times New Roman" w:hAnsi="Times New Roman"/>
          <w:bCs/>
        </w:rPr>
        <w:t xml:space="preserve"> ustanov</w:t>
      </w:r>
      <w:r w:rsidR="00E40AB0">
        <w:rPr>
          <w:rFonts w:ascii="Times New Roman" w:hAnsi="Times New Roman"/>
          <w:bCs/>
        </w:rPr>
        <w:t>uje</w:t>
      </w:r>
      <w:r w:rsidR="004679EE">
        <w:rPr>
          <w:rFonts w:ascii="Times New Roman" w:hAnsi="Times New Roman"/>
          <w:bCs/>
        </w:rPr>
        <w:t xml:space="preserve"> právnickým osobám</w:t>
      </w:r>
      <w:r w:rsidRPr="004B1D09">
        <w:rPr>
          <w:rFonts w:ascii="Times New Roman" w:hAnsi="Times New Roman"/>
          <w:bCs/>
        </w:rPr>
        <w:t xml:space="preserve"> </w:t>
      </w:r>
      <w:r w:rsidR="004679EE">
        <w:rPr>
          <w:rFonts w:ascii="Times New Roman" w:hAnsi="Times New Roman"/>
          <w:bCs/>
        </w:rPr>
        <w:t xml:space="preserve">osobitný odvod </w:t>
      </w:r>
      <w:r w:rsidRPr="00E90752" w:rsidR="004679EE">
        <w:rPr>
          <w:rFonts w:ascii="Times New Roman" w:hAnsi="Times New Roman"/>
          <w:color w:val="000000"/>
          <w:lang w:bidi="si-LK"/>
        </w:rPr>
        <w:t>z podnikania v regulovaných odvetviach</w:t>
      </w:r>
      <w:r w:rsidR="004679EE">
        <w:rPr>
          <w:rFonts w:ascii="Times New Roman" w:hAnsi="Times New Roman"/>
          <w:color w:val="000000"/>
          <w:lang w:bidi="si-LK"/>
        </w:rPr>
        <w:t xml:space="preserve">. </w:t>
      </w:r>
      <w:r w:rsidR="00E40AB0">
        <w:rPr>
          <w:rFonts w:ascii="Times New Roman" w:hAnsi="Times New Roman"/>
          <w:color w:val="000000"/>
          <w:lang w:bidi="si-LK"/>
        </w:rPr>
        <w:t>Navrhovaný zákon sa predkladá ako</w:t>
      </w:r>
      <w:r w:rsidRPr="004B1D09">
        <w:rPr>
          <w:rFonts w:ascii="Times New Roman" w:hAnsi="Times New Roman"/>
          <w:bCs/>
        </w:rPr>
        <w:t xml:space="preserve"> jedno z opatrení na spravodlivejšie a ekonomicky efektívnejšie rozdelenie bremena vplyvov globálnej finančnej a hospodárskej krízy. V dôsledku krízy prišlo k zhoršeniu bilancie verejných financií v prevažnej väčšine krajín Európskej únie vrátane Slovenska.</w:t>
      </w:r>
    </w:p>
    <w:p w:rsidR="004679EE" w:rsidRPr="004B1D09" w:rsidP="004679EE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4B1D09" w:rsidP="00FE0D41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="00E40AB0">
        <w:rPr>
          <w:rFonts w:ascii="Times New Roman" w:hAnsi="Times New Roman"/>
        </w:rPr>
        <w:t xml:space="preserve">Na základe </w:t>
      </w:r>
      <w:r w:rsidRPr="004B1D09">
        <w:rPr>
          <w:rFonts w:ascii="Times New Roman" w:hAnsi="Times New Roman"/>
        </w:rPr>
        <w:t>svojich medz</w:t>
      </w:r>
      <w:r w:rsidR="00B36552">
        <w:rPr>
          <w:rFonts w:ascii="Times New Roman" w:hAnsi="Times New Roman"/>
        </w:rPr>
        <w:t>inárodných záväzkov a z titulu ú</w:t>
      </w:r>
      <w:r w:rsidRPr="004B1D09">
        <w:rPr>
          <w:rFonts w:ascii="Times New Roman" w:hAnsi="Times New Roman"/>
        </w:rPr>
        <w:t xml:space="preserve">stavného zákona </w:t>
      </w:r>
      <w:r w:rsidR="00B36552">
        <w:rPr>
          <w:rFonts w:ascii="Times New Roman" w:hAnsi="Times New Roman"/>
        </w:rPr>
        <w:t xml:space="preserve"> </w:t>
      </w:r>
      <w:r w:rsidR="00731B2F">
        <w:rPr>
          <w:rFonts w:ascii="Times New Roman" w:hAnsi="Times New Roman"/>
        </w:rPr>
        <w:br/>
      </w:r>
      <w:r w:rsidR="00B36552">
        <w:rPr>
          <w:rFonts w:ascii="Times New Roman" w:hAnsi="Times New Roman"/>
        </w:rPr>
        <w:t xml:space="preserve">č. 493/2011 Z. z. </w:t>
      </w:r>
      <w:r w:rsidRPr="004B1D09">
        <w:rPr>
          <w:rFonts w:ascii="Times New Roman" w:hAnsi="Times New Roman"/>
        </w:rPr>
        <w:t xml:space="preserve">o rozpočtovej zodpovednosti je Slovenská republika nútená do konca roka 2013 znížiť deficit verejných financií pod 3 % HDP. Doposiaľ sa konsolidácia verejných financií realizovala prostredníctvom zvýšenia nepriamych daní a plošného znižovania verejných výdavkov, s priamym negatívnym dopadom na disponibilné príjmy občanov. Aj v opatreniach na roky 2012 a 2013 sa budú musieť realizovať úsporné opatrenia bez zjavného priameho pozitívneho vplyvu na životnú úroveň obyvateľstva. Aby celá ťarcha konsolidácie nespočívala iba na pleciach občanov, vláda Slovenskej republiky pristupuje k zavedeniu </w:t>
      </w:r>
      <w:r w:rsidR="004679EE">
        <w:rPr>
          <w:rFonts w:ascii="Times New Roman" w:hAnsi="Times New Roman"/>
        </w:rPr>
        <w:t>osobitného</w:t>
      </w:r>
      <w:r w:rsidRPr="004B1D09">
        <w:rPr>
          <w:rFonts w:ascii="Times New Roman" w:hAnsi="Times New Roman"/>
        </w:rPr>
        <w:t xml:space="preserve"> </w:t>
      </w:r>
      <w:r w:rsidR="00E94FF3">
        <w:rPr>
          <w:rFonts w:ascii="Times New Roman" w:hAnsi="Times New Roman"/>
        </w:rPr>
        <w:t>odvodu</w:t>
      </w:r>
      <w:r w:rsidRPr="004B1D09">
        <w:rPr>
          <w:rFonts w:ascii="Times New Roman" w:hAnsi="Times New Roman"/>
        </w:rPr>
        <w:t xml:space="preserve"> vybraných spoločností, ktoré pôsobia v regulovaných odvetviach. </w:t>
      </w:r>
    </w:p>
    <w:p w:rsidR="004679EE" w:rsidRPr="004B1D09" w:rsidP="004679E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E94FF3" w:rsidRPr="001275FE" w:rsidP="00FE0D41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383CA2">
        <w:rPr>
          <w:rFonts w:ascii="Times New Roman" w:hAnsi="Times New Roman"/>
        </w:rPr>
        <w:t>Predložený návrh zákona predpokladá, že príjmy z</w:t>
      </w:r>
      <w:r w:rsidR="00884D07">
        <w:rPr>
          <w:rFonts w:ascii="Times New Roman" w:hAnsi="Times New Roman"/>
        </w:rPr>
        <w:t> </w:t>
      </w:r>
      <w:r w:rsidRPr="00383CA2">
        <w:rPr>
          <w:rFonts w:ascii="Times New Roman" w:hAnsi="Times New Roman"/>
        </w:rPr>
        <w:t>navrhnut</w:t>
      </w:r>
      <w:r w:rsidR="00884D07">
        <w:rPr>
          <w:rFonts w:ascii="Times New Roman" w:hAnsi="Times New Roman"/>
        </w:rPr>
        <w:t>ého osobitného odvodu</w:t>
      </w:r>
      <w:r w:rsidRPr="00383CA2">
        <w:rPr>
          <w:rFonts w:ascii="Times New Roman" w:hAnsi="Times New Roman"/>
        </w:rPr>
        <w:t xml:space="preserve"> </w:t>
      </w:r>
      <w:r w:rsidR="00884D07">
        <w:rPr>
          <w:rFonts w:ascii="Times New Roman" w:hAnsi="Times New Roman"/>
        </w:rPr>
        <w:t xml:space="preserve">z podnikania v </w:t>
      </w:r>
      <w:r>
        <w:rPr>
          <w:rFonts w:ascii="Times New Roman" w:hAnsi="Times New Roman"/>
        </w:rPr>
        <w:t xml:space="preserve">regulovaných </w:t>
      </w:r>
      <w:r w:rsidR="00884D07">
        <w:rPr>
          <w:rFonts w:ascii="Times New Roman" w:hAnsi="Times New Roman"/>
        </w:rPr>
        <w:t>odvetviach</w:t>
      </w:r>
      <w:r w:rsidRPr="00383CA2">
        <w:rPr>
          <w:rFonts w:ascii="Times New Roman" w:hAnsi="Times New Roman"/>
        </w:rPr>
        <w:t xml:space="preserve"> budú slúžiť na perspektívne vytvorenie </w:t>
      </w:r>
      <w:r w:rsidRPr="00393969">
        <w:rPr>
          <w:rFonts w:ascii="Times New Roman" w:hAnsi="Times New Roman"/>
        </w:rPr>
        <w:t>účelovo určenej osobitnej časti štátnych finančných aktív, z ktorých sa budú financovať</w:t>
      </w:r>
      <w:r>
        <w:rPr>
          <w:rFonts w:ascii="Times New Roman" w:hAnsi="Times New Roman"/>
        </w:rPr>
        <w:t xml:space="preserve"> prioritné projekty na naštartovanie hospodárskeho rastu a zamestnanosti. Vláda Slovenskej republiky chce takýmto spôsobom nielen spravodlivejšie rozdeliť bremeno nákladov hospodárskej krízy, ale aj efektívnym spôsobom mobilizovať zdroje za účelom zvýšenia tempa hospodárskeho rastu, a teda zlepšenia základne pre výber príjmov verejných financií.</w:t>
      </w:r>
    </w:p>
    <w:p w:rsidR="004B1D09" w:rsidP="00E94FF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3B32D6" w:rsidP="00FE0D4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Cs/>
        </w:rPr>
      </w:pPr>
      <w:r w:rsidRPr="00722102" w:rsidR="00722102">
        <w:rPr>
          <w:rFonts w:ascii="Times New Roman" w:hAnsi="Times New Roman"/>
          <w:bCs/>
        </w:rPr>
        <w:t xml:space="preserve">Návrh zákona upravuje povinnosť platenia </w:t>
      </w:r>
      <w:r w:rsidR="00722102">
        <w:rPr>
          <w:rFonts w:ascii="Times New Roman" w:hAnsi="Times New Roman"/>
          <w:bCs/>
        </w:rPr>
        <w:t>osobitného odvodu</w:t>
      </w:r>
      <w:r w:rsidRPr="00722102" w:rsidR="00722102">
        <w:rPr>
          <w:rFonts w:ascii="Times New Roman" w:hAnsi="Times New Roman"/>
          <w:bCs/>
        </w:rPr>
        <w:t xml:space="preserve">, výšku a spôsob jeho platenia, ako aj správu </w:t>
      </w:r>
      <w:r w:rsidR="00722102">
        <w:rPr>
          <w:rFonts w:ascii="Times New Roman" w:hAnsi="Times New Roman"/>
          <w:bCs/>
        </w:rPr>
        <w:t>osobitného odvodu.</w:t>
      </w:r>
      <w:r w:rsidR="00884D07">
        <w:rPr>
          <w:rFonts w:ascii="Times New Roman" w:hAnsi="Times New Roman"/>
          <w:bCs/>
        </w:rPr>
        <w:t xml:space="preserve"> </w:t>
      </w:r>
      <w:r w:rsidRPr="00722102" w:rsidR="00722102">
        <w:rPr>
          <w:rFonts w:ascii="Times New Roman" w:hAnsi="Times New Roman"/>
          <w:bCs/>
        </w:rPr>
        <w:t>Základ</w:t>
      </w:r>
      <w:r w:rsidR="00722102">
        <w:rPr>
          <w:rFonts w:ascii="Times New Roman" w:hAnsi="Times New Roman"/>
          <w:bCs/>
        </w:rPr>
        <w:t>om</w:t>
      </w:r>
      <w:r w:rsidRPr="00722102" w:rsidR="00722102">
        <w:rPr>
          <w:rFonts w:ascii="Times New Roman" w:hAnsi="Times New Roman"/>
          <w:bCs/>
        </w:rPr>
        <w:t xml:space="preserve"> pre výpočet odvodu</w:t>
      </w:r>
      <w:r w:rsidR="00722102">
        <w:rPr>
          <w:rFonts w:ascii="Times New Roman" w:hAnsi="Times New Roman"/>
          <w:bCs/>
        </w:rPr>
        <w:t xml:space="preserve"> je výsledok hospodárenia vykázaný za to účtovné obdobie, v ktorom regulovaná osoba (právnická osoba, ktorá má oprávnenie na výkon činnosti v regulovaných oblastiach) má oprávnenie na výkon takejto činnosti. Odvodovým obdobím podľa navrhovaného zákona je každý kalendárny mesiac účtovného obdobia, v ktorom má regulovaná osoba oprávn</w:t>
      </w:r>
      <w:r w:rsidR="00D916EB">
        <w:rPr>
          <w:rFonts w:ascii="Times New Roman" w:hAnsi="Times New Roman"/>
          <w:bCs/>
        </w:rPr>
        <w:t>enie na výkon</w:t>
      </w:r>
      <w:r w:rsidR="00722102">
        <w:rPr>
          <w:rFonts w:ascii="Times New Roman" w:hAnsi="Times New Roman"/>
          <w:bCs/>
        </w:rPr>
        <w:t xml:space="preserve"> činnosti v regulovaných oblastiach. </w:t>
      </w:r>
    </w:p>
    <w:p w:rsidR="003B32D6" w:rsidP="00FE0D4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Cs/>
        </w:rPr>
      </w:pPr>
    </w:p>
    <w:p w:rsidR="003B32D6" w:rsidP="00FE0D4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722102">
        <w:rPr>
          <w:rFonts w:ascii="Times New Roman" w:hAnsi="Times New Roman"/>
          <w:bCs/>
        </w:rPr>
        <w:t>Zaplatený odvod bude možné</w:t>
      </w:r>
      <w:r w:rsidR="00722102">
        <w:rPr>
          <w:rFonts w:ascii="Times New Roman" w:hAnsi="Times New Roman"/>
        </w:rPr>
        <w:t xml:space="preserve"> uplatniť ako daňový výdavok.</w:t>
      </w:r>
    </w:p>
    <w:p w:rsidR="003B32D6" w:rsidP="00FE0D4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4B1D09" w:rsidRPr="00722102" w:rsidP="00FE0D4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Cs/>
        </w:rPr>
      </w:pPr>
      <w:r w:rsidR="00722102">
        <w:rPr>
          <w:rFonts w:ascii="Times New Roman" w:hAnsi="Times New Roman"/>
        </w:rPr>
        <w:t xml:space="preserve"> </w:t>
      </w:r>
      <w:r w:rsidR="00884D07">
        <w:rPr>
          <w:rFonts w:ascii="Times New Roman" w:hAnsi="Times New Roman"/>
        </w:rPr>
        <w:t xml:space="preserve">Po predložení výsledku hospodárenia za príslušné účtovné obdobie sa zaplatený osobitný odvod zúčtuje, t.j. prepočíta sa podľa skutočne vykázaného výsledku hospodárenia za príslušné účtovné obdobie. </w:t>
      </w:r>
    </w:p>
    <w:p w:rsidR="004B1D09" w:rsidP="004B1D0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FE0D41" w:rsidP="00FE0D4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Prijatie navrhovaného zákona bude mať pozitívny vplyv na verejné financie, pričom z hľadiska vplyvov na podnikateľské prostredie sa predpokladá vyššie finančné zaťaženie tých právnických osôb, ktorých sú podľa navrhovaného zákona regulovanými osobami. Návrh zákona nemá sociálne vplyvy a tiež nemá vplyvy na zamestnanosť, životné prostredie a  informatizáciu spoločnosti.</w:t>
      </w:r>
    </w:p>
    <w:p w:rsidR="00437137" w:rsidP="00FE0D41">
      <w:pPr>
        <w:bidi w:val="0"/>
        <w:ind w:firstLine="708"/>
        <w:jc w:val="both"/>
        <w:rPr>
          <w:rFonts w:ascii="Times New Roman" w:hAnsi="Times New Roman"/>
        </w:rPr>
      </w:pPr>
    </w:p>
    <w:p w:rsidR="00FE0D41" w:rsidRPr="00FE0D41" w:rsidP="00FE0D41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FE0D41">
        <w:rPr>
          <w:rFonts w:ascii="Times New Roman" w:hAnsi="Times New Roman"/>
          <w:bCs/>
        </w:rPr>
        <w:t>Predkladaný návrh zákona nebude mať vplyv na rozpočty obcí a vyšších územných celkov.</w:t>
      </w:r>
    </w:p>
    <w:p w:rsidR="00FE0D41" w:rsidP="00FE0D41">
      <w:pPr>
        <w:bidi w:val="0"/>
        <w:jc w:val="both"/>
        <w:rPr>
          <w:rFonts w:ascii="Times New Roman" w:hAnsi="Times New Roman"/>
        </w:rPr>
      </w:pPr>
    </w:p>
    <w:p w:rsidR="00FE0D41" w:rsidP="00FE0D4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Predložený návrh zákona je v súlade s Ústavou Slovenskej republiky, ústavnými zákonmi, inými zákonmi a ostatnými všeobecne záväznými právnymi predpismi Slovenskej republiky, s právom Európskej únie a s medzinárodnými zmluvami, ktorými je Slovenská republika viazaná. </w:t>
      </w:r>
    </w:p>
    <w:p w:rsidR="00FE0D41" w:rsidP="00FE0D41">
      <w:pPr>
        <w:bidi w:val="0"/>
        <w:rPr>
          <w:rFonts w:ascii="Times New Roman" w:hAnsi="Times New Roman"/>
        </w:rPr>
      </w:pPr>
    </w:p>
    <w:p w:rsidR="004B1D09" w:rsidP="004B1D0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4B1D09" w:rsidP="004B1D0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4B1D09" w:rsidRPr="00FE0D41" w:rsidP="00FE0D4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4B1D09" w:rsidP="004B1D0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4B1D09" w:rsidP="004B1D0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4B1D09" w:rsidP="004B1D0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4B1D09" w:rsidRPr="0047032D" w:rsidP="004B1D0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47032D">
        <w:rPr>
          <w:rFonts w:ascii="Times New Roman" w:hAnsi="Times New Roman"/>
          <w:b/>
          <w:bCs/>
        </w:rPr>
        <w:t>Doložka vybraných vplyvov</w:t>
      </w:r>
    </w:p>
    <w:p w:rsidR="004B1D09" w:rsidRPr="0047032D" w:rsidP="004B1D0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47032D">
        <w:rPr>
          <w:rFonts w:ascii="Times New Roman" w:hAnsi="Times New Roman"/>
          <w:b/>
          <w:bCs/>
        </w:rPr>
        <w:t> </w:t>
      </w:r>
    </w:p>
    <w:p w:rsidR="004B1D09" w:rsidRPr="0047032D" w:rsidP="004B1D09">
      <w:pPr>
        <w:bidi w:val="0"/>
        <w:jc w:val="both"/>
        <w:rPr>
          <w:rFonts w:ascii="Times New Roman" w:hAnsi="Times New Roman"/>
          <w:b/>
          <w:bCs/>
        </w:rPr>
      </w:pPr>
      <w:r w:rsidRPr="0047032D">
        <w:rPr>
          <w:rFonts w:ascii="Times New Roman" w:hAnsi="Times New Roman"/>
          <w:b/>
          <w:bCs/>
        </w:rPr>
        <w:t xml:space="preserve"> A.1. Názov materiálu: </w:t>
      </w:r>
      <w:r w:rsidRPr="0047032D">
        <w:rPr>
          <w:rFonts w:ascii="Times New Roman" w:hAnsi="Times New Roman"/>
          <w:bCs/>
        </w:rPr>
        <w:t>Návrh zákona</w:t>
      </w:r>
      <w:r>
        <w:rPr>
          <w:rFonts w:ascii="Times New Roman" w:hAnsi="Times New Roman"/>
          <w:bCs/>
        </w:rPr>
        <w:t xml:space="preserve"> o osobitnom odvode z podnikania v regulovaných odvetviach a o zmene a doplnení niektorých zákonov</w:t>
      </w:r>
    </w:p>
    <w:p w:rsidR="004B1D09" w:rsidRPr="0047032D" w:rsidP="004B1D0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B1D09" w:rsidRPr="0047032D" w:rsidP="004B1D0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47032D">
        <w:rPr>
          <w:rFonts w:ascii="Times New Roman" w:hAnsi="Times New Roman"/>
          <w:b/>
          <w:bCs/>
        </w:rPr>
        <w:t> Termín začatia a ukončenia PPK: </w:t>
      </w:r>
      <w:r>
        <w:rPr>
          <w:rFonts w:ascii="Times New Roman" w:hAnsi="Times New Roman"/>
          <w:b/>
          <w:bCs/>
        </w:rPr>
        <w:t>-</w:t>
      </w:r>
    </w:p>
    <w:p w:rsidR="004B1D09" w:rsidRPr="0047032D" w:rsidP="004B1D0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47032D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9180" w:type="dxa"/>
        <w:tblLayout w:type="fixed"/>
        <w:tblCellMar>
          <w:left w:w="0" w:type="dxa"/>
          <w:right w:w="0" w:type="dxa"/>
        </w:tblCellMar>
      </w:tblPr>
      <w:tblGrid>
        <w:gridCol w:w="5211"/>
        <w:gridCol w:w="1276"/>
        <w:gridCol w:w="1276"/>
        <w:gridCol w:w="1417"/>
      </w:tblGrid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Pozitívne</w:t>
            </w:r>
            <w:r w:rsidRPr="0047032D">
              <w:rPr>
                <w:rFonts w:ascii="Times New Roman" w:hAnsi="Times New Roman"/>
                <w:vertAlign w:val="superscript"/>
              </w:rPr>
              <w:t>*</w:t>
            </w:r>
            <w:r w:rsidRPr="004703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Žiadne</w:t>
            </w:r>
            <w:r w:rsidRPr="0047032D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Negatívne</w:t>
            </w:r>
            <w:r w:rsidRPr="0047032D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X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 xml:space="preserve">3, Sociálne vplyvy </w:t>
            </w:r>
          </w:p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– vplyvy na hospodárenie obyvateľstva,</w:t>
            </w:r>
          </w:p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– sociálnu exklúziu,</w:t>
            </w:r>
          </w:p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– rovnosť príležitostí a rodovú rovnosť a vplyvy na zamestnanosť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X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 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X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1D09" w:rsidRPr="0047032D" w:rsidP="00DD1D4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7032D">
              <w:rPr>
                <w:rFonts w:ascii="Times New Roman" w:hAnsi="Times New Roman"/>
              </w:rPr>
              <w:t> </w:t>
            </w:r>
          </w:p>
        </w:tc>
      </w:tr>
    </w:tbl>
    <w:p w:rsidR="004B1D09" w:rsidRPr="0047032D" w:rsidP="004B1D0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7032D">
        <w:rPr>
          <w:rFonts w:ascii="Times New Roman" w:hAnsi="Times New Roman"/>
        </w:rPr>
        <w:t> </w:t>
      </w:r>
    </w:p>
    <w:p w:rsidR="004B1D09" w:rsidRPr="0047032D" w:rsidP="004B1D0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7032D">
        <w:rPr>
          <w:rFonts w:ascii="Times New Roman" w:hAnsi="Times New Roman"/>
          <w:b/>
          <w:bCs/>
        </w:rPr>
        <w:t>A.3. Poznámky</w:t>
      </w:r>
    </w:p>
    <w:p w:rsidR="004B1D09" w:rsidRPr="0047032D" w:rsidP="004B1D0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7032D">
        <w:rPr>
          <w:rFonts w:ascii="Times New Roman" w:hAnsi="Times New Roman"/>
          <w:b/>
          <w:bCs/>
        </w:rPr>
        <w:t>A.4. Alternatívne riešenia</w:t>
      </w:r>
    </w:p>
    <w:p w:rsidR="004B1D09" w:rsidRPr="0047032D" w:rsidP="004B1D0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Bezpredmetné.</w:t>
      </w:r>
      <w:r w:rsidRPr="0047032D">
        <w:rPr>
          <w:rFonts w:ascii="Times New Roman" w:hAnsi="Times New Roman"/>
        </w:rPr>
        <w:t> </w:t>
      </w:r>
    </w:p>
    <w:p w:rsidR="004B1D09" w:rsidP="004B1D0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4B1D09" w:rsidRPr="00207C1A" w:rsidP="004B1D0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47032D">
        <w:rPr>
          <w:rFonts w:ascii="Times New Roman" w:hAnsi="Times New Roman"/>
          <w:b/>
          <w:bCs/>
        </w:rPr>
        <w:t>A.5. Stanovisko gestorov</w:t>
      </w:r>
    </w:p>
    <w:p w:rsidR="004B1D09" w:rsidP="004B1D0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8025E">
      <w:pPr>
        <w:bidi w:val="0"/>
        <w:rPr>
          <w:rFonts w:ascii="Times New Roman" w:hAnsi="Times New Roman"/>
        </w:rPr>
      </w:pPr>
    </w:p>
    <w:p w:rsidR="004B1D09">
      <w:pPr>
        <w:bidi w:val="0"/>
        <w:rPr>
          <w:rFonts w:ascii="Times New Roman" w:hAnsi="Times New Roman"/>
        </w:rPr>
      </w:pPr>
    </w:p>
    <w:p w:rsidR="004B1D09">
      <w:pPr>
        <w:bidi w:val="0"/>
        <w:rPr>
          <w:rFonts w:ascii="Times New Roman" w:hAnsi="Times New Roman"/>
        </w:rPr>
      </w:pPr>
    </w:p>
    <w:p w:rsidR="004B1D09">
      <w:pPr>
        <w:bidi w:val="0"/>
        <w:rPr>
          <w:rFonts w:ascii="Times New Roman" w:hAnsi="Times New Roman"/>
        </w:rPr>
      </w:pPr>
    </w:p>
    <w:p w:rsidR="004B1D09">
      <w:pPr>
        <w:bidi w:val="0"/>
        <w:rPr>
          <w:rFonts w:ascii="Times New Roman" w:hAnsi="Times New Roman"/>
        </w:rPr>
      </w:pPr>
    </w:p>
    <w:p w:rsidR="00B27669" w:rsidP="00B2766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Vplyvy na rozpočet verejnej správy,</w:t>
      </w:r>
    </w:p>
    <w:p w:rsidR="00B27669" w:rsidP="00B2766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 zamestnanosť vo verejnej správe a financovanie </w:t>
      </w:r>
    </w:p>
    <w:p w:rsidR="00B27669" w:rsidP="00B27669">
      <w:pPr>
        <w:bidi w:val="0"/>
        <w:jc w:val="center"/>
        <w:rPr>
          <w:rFonts w:ascii="Times New Roman" w:hAnsi="Times New Roman"/>
        </w:rPr>
      </w:pP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2.1. Zhrnutie vplyvov na rozpočet verejnej správy v návrhu</w:t>
      </w:r>
    </w:p>
    <w:p w:rsidR="00B27669" w:rsidP="00B27669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Tabuľka č. 1</w:t>
      </w:r>
    </w:p>
    <w:tbl>
      <w:tblPr>
        <w:tblStyle w:val="TableNormal"/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99"/>
        <w:gridCol w:w="1357"/>
        <w:gridCol w:w="1356"/>
        <w:gridCol w:w="1356"/>
        <w:gridCol w:w="1357"/>
      </w:tblGrid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(v tis. eur)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(ESA95)</w:t>
            </w: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27 000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81 000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Štátny rozpočet (VPS)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27 000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81 000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z toho: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ŠR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27 000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81 000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územnú samosprávu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Štátny rozpočet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z toho: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ŠR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územnú samosprávu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27669" w:rsidP="00B27669">
      <w:pPr>
        <w:bidi w:val="0"/>
        <w:jc w:val="right"/>
        <w:rPr>
          <w:rFonts w:ascii="Times New Roman" w:hAnsi="Times New Roman"/>
        </w:rPr>
      </w:pPr>
    </w:p>
    <w:tbl>
      <w:tblPr>
        <w:tblStyle w:val="TableNormal"/>
        <w:tblW w:w="9225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01"/>
        <w:gridCol w:w="1356"/>
        <w:gridCol w:w="1356"/>
        <w:gridCol w:w="1356"/>
        <w:gridCol w:w="1356"/>
      </w:tblGrid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(v tis. eur)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20 250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81 000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6 750</w:t>
            </w: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Štátny rozpočet (VPS)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20 250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81 000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6 750</w:t>
            </w: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z toho: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ŠR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20 250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81 000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6 750</w:t>
            </w: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územnú samosprávu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Štátny rozpočet (MPSVaR)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z toho: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ŠR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územnú samosprávu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27669" w:rsidP="00B27669">
      <w:pPr>
        <w:bidi w:val="0"/>
        <w:rPr>
          <w:rFonts w:ascii="Times New Roman" w:hAnsi="Times New Roman"/>
        </w:rPr>
      </w:pPr>
    </w:p>
    <w:p w:rsidR="00B27669" w:rsidP="00B27669">
      <w:pPr>
        <w:bidi w:val="0"/>
        <w:rPr>
          <w:rFonts w:ascii="Times New Roman" w:hAnsi="Times New Roman"/>
        </w:rPr>
      </w:pPr>
      <w:bookmarkStart w:id="0" w:name="OLE_LINK1"/>
      <w:bookmarkEnd w:id="0"/>
      <w:r>
        <w:rPr>
          <w:rFonts w:ascii="Times New Roman" w:hAnsi="Times New Roman"/>
        </w:rPr>
        <w:t> 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2.2. Financovanie návrhu</w:t>
      </w:r>
    </w:p>
    <w:p w:rsidR="00B27669" w:rsidP="00B27669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Tabuľka č. 2</w:t>
      </w:r>
    </w:p>
    <w:tbl>
      <w:tblPr>
        <w:tblStyle w:val="TableNormal"/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19"/>
        <w:gridCol w:w="1352"/>
        <w:gridCol w:w="1351"/>
        <w:gridCol w:w="1351"/>
        <w:gridCol w:w="1352"/>
      </w:tblGrid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Financovanie (v tis. eur)</w:t>
            </w:r>
          </w:p>
        </w:tc>
        <w:tc>
          <w:tcPr>
            <w:tcW w:w="54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(ESA95)</w:t>
            </w: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Celkový vplyv na rozpočet verejnej správy (- príjmy, + výdavky)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- 27 000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- 81 000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ind w:firstLine="480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 toho vplyv na ŠR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- 27 000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- 81 000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financovanie zabezpečené v rozpočte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ostatné zdroje financovania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Rozpočtovo nekrytý vplyv / úspora *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- 27 000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- 81 000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27669" w:rsidP="00B27669">
      <w:pPr>
        <w:bidi w:val="0"/>
        <w:jc w:val="right"/>
        <w:rPr>
          <w:rFonts w:ascii="Times New Roman" w:hAnsi="Times New Roman"/>
        </w:rPr>
      </w:pPr>
    </w:p>
    <w:tbl>
      <w:tblPr>
        <w:tblStyle w:val="TableNormal"/>
        <w:tblW w:w="9225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21"/>
        <w:gridCol w:w="773"/>
        <w:gridCol w:w="578"/>
        <w:gridCol w:w="411"/>
        <w:gridCol w:w="940"/>
        <w:gridCol w:w="419"/>
        <w:gridCol w:w="932"/>
        <w:gridCol w:w="1351"/>
      </w:tblGrid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F</w:t>
            </w: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inancovanie (v tis. eur)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3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3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3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Celkový vplyv na rozpočet verejnej správy (- príjmy, + výdavky)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- 20 250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- 81 000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- 6 750</w:t>
            </w: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ind w:firstLine="480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 toho vplyv na ŠR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- 20 250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- 81 000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- 6 750</w:t>
            </w: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financovanie zabezpečené v rozpočte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ostatné zdroje financovania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Rozpočtovo nekrytý vplyv / úspora *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- 20 250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- 81 000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- 6 750</w:t>
            </w:r>
          </w:p>
        </w:tc>
      </w:tr>
      <w:tr>
        <w:tblPrEx>
          <w:tblW w:w="922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3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 úspora má znamienko (-)</w:t>
            </w:r>
          </w:p>
        </w:tc>
        <w:tc>
          <w:tcPr>
            <w:tcW w:w="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27669" w:rsidP="00B27669">
      <w:pPr>
        <w:bidi w:val="0"/>
        <w:rPr>
          <w:rFonts w:ascii="Times New Roman" w:hAnsi="Times New Roman"/>
          <w:b/>
          <w:bCs/>
        </w:rPr>
      </w:pPr>
    </w:p>
    <w:p w:rsidR="00B27669" w:rsidP="00B27669">
      <w:pPr>
        <w:bidi w:val="0"/>
        <w:rPr>
          <w:rFonts w:ascii="Times New Roman" w:hAnsi="Times New Roman"/>
          <w:b/>
          <w:bCs/>
        </w:rPr>
      </w:pP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B27669" w:rsidP="00B276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B27669" w:rsidP="00B276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B27669" w:rsidP="00B276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B27669" w:rsidP="00B276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B27669" w:rsidP="00B27669">
      <w:pPr>
        <w:bidi w:val="0"/>
        <w:rPr>
          <w:rFonts w:ascii="Times New Roman" w:hAnsi="Times New Roman"/>
          <w:b/>
          <w:bCs/>
        </w:rPr>
      </w:pP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 Popis a charakteristika návrhu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27669" w:rsidP="00B2766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2.3.1. Popis návrhu:</w:t>
      </w:r>
    </w:p>
    <w:p w:rsidR="00B27669" w:rsidP="00B27669">
      <w:pPr>
        <w:bidi w:val="0"/>
        <w:jc w:val="both"/>
        <w:rPr>
          <w:rFonts w:ascii="Times New Roman" w:hAnsi="Times New Roman"/>
          <w:b/>
          <w:bCs/>
        </w:rPr>
      </w:pP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2.3.2. Charakteristika návrhu podľa bodu  2.3.2. Metodiky :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>
        <w:rPr>
          <w:rFonts w:ascii="Times New Roman" w:hAnsi="Times New Roman"/>
          <w:b/>
          <w:bCs/>
        </w:rPr>
        <w:t xml:space="preserve">  </w:t>
      </w:r>
      <w:r>
        <w:rPr>
          <w:rFonts w:ascii="Times New Roman" w:hAnsi="Times New Roman"/>
        </w:rPr>
        <w:t>zmena sadzby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zmena v nároku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nová služba alebo nariadenie (alebo ich zrušenie)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>     </w:t>
      </w:r>
      <w:r>
        <w:rPr>
          <w:rFonts w:ascii="Times New Roman" w:hAnsi="Times New Roman"/>
        </w:rPr>
        <w:t>  kombinovaný návrh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x  </w:t>
      </w:r>
      <w:r>
        <w:rPr>
          <w:rFonts w:ascii="Times New Roman" w:hAnsi="Times New Roman"/>
        </w:rPr>
        <w:t>  iné (rozšírenie základne pre výpočet dane z príjmov)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2.3.3. Predpoklady vývoja objemu aktivít: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27669" w:rsidP="00B276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p w:rsidR="00B27669" w:rsidP="00B27669">
      <w:pPr>
        <w:bidi w:val="0"/>
        <w:rPr>
          <w:rFonts w:ascii="Times New Roman" w:hAnsi="Times New Roman"/>
        </w:rPr>
      </w:pPr>
    </w:p>
    <w:p w:rsidR="00B27669" w:rsidP="00B27669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2.3.4. Výpočty vplyvov na verejné financie</w:t>
      </w: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Kvantifikácia predpokladá pozitívny vplyv na úrovni 25,7 mil. EUR v roku 2012 a vo výške 77 mil. Eur v roku 2013. Výpočet bol uskutočnený na individuálnych dátach dotknutých spoločností podľa príslušného regulátora v zmysle § 3 ods. 1 zákona </w:t>
      </w:r>
      <w:r>
        <w:rPr>
          <w:rFonts w:ascii="Times New Roman" w:hAnsi="Times New Roman"/>
          <w:bCs/>
          <w:color w:val="000000"/>
        </w:rPr>
        <w:t>o osobitnom odvode z podnikania v regulovaných odvetviach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</w:rPr>
        <w:t xml:space="preserve">a dátach poskytnutých Finančnou správou SR. V kvantifikácii je zohľadnená skutočnosť, že osobitný odvod bude daňovým výdavkom a bude mať negatívny vplyv na výnos DPPO. </w:t>
      </w:r>
    </w:p>
    <w:p w:rsidR="00B27669" w:rsidP="00B27669">
      <w:pPr>
        <w:bidi w:val="0"/>
        <w:jc w:val="both"/>
        <w:rPr>
          <w:rFonts w:ascii="Times New Roman" w:hAnsi="Times New Roman"/>
        </w:rPr>
      </w:pP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Kvantifikácia príjmov</w:t>
      </w: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27669" w:rsidP="00B27669">
      <w:pPr>
        <w:pStyle w:val="ListParagraph"/>
        <w:bidi w:val="0"/>
        <w:rPr>
          <w:rStyle w:val="PlaceholderText"/>
          <w:rFonts w:ascii="Times New Roman" w:hAnsi="Times New Roman"/>
          <w:i/>
          <w:color w:val="000000"/>
        </w:rPr>
      </w:pPr>
    </w:p>
    <w:tbl>
      <w:tblPr>
        <w:tblStyle w:val="TableNormal"/>
        <w:tblW w:w="9075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3442"/>
        <w:gridCol w:w="1168"/>
        <w:gridCol w:w="1168"/>
        <w:gridCol w:w="1168"/>
        <w:gridCol w:w="1169"/>
      </w:tblGrid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Štátny rozpočet (VPS) - príjmy (v tis. eur)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štátny rozpočet (ESA95)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4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Daňové príjmy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27 000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81 000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právnickej osoby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- 6 333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- 19 000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vyberaná zrážkou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130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Dane za tovary a služby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pridanej hodnoty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Spotrebné dane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Dane z používania tovarov a z povolenia na výkon činnosti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Iné dane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33 333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(ESA95)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- príjmy (v tis. eur)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Daňové príjmy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27 000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81 000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právnickej osoby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- 6 333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- 19 000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vyberaná zrážkou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130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Dane za tovary a služby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pridanej hodnoty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Spotrebné dane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Dane za špecifické služby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Dane z používania tovarov a z povolenia na výkon činnosti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Iné dane za tovary a služby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150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Poistné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151-153, 155-158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Sociálne poistenie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Zdravotné poistenie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Iné dane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33 333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100 000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27669" w:rsidP="00B27669">
      <w:pPr>
        <w:tabs>
          <w:tab w:val="left" w:pos="851"/>
        </w:tabs>
        <w:autoSpaceDE w:val="0"/>
        <w:autoSpaceDN w:val="0"/>
        <w:bidi w:val="0"/>
        <w:adjustRightInd w:val="0"/>
        <w:jc w:val="both"/>
        <w:rPr>
          <w:rStyle w:val="PlaceholderText"/>
          <w:rFonts w:ascii="Times New Roman" w:hAnsi="Times New Roman"/>
          <w:i/>
          <w:color w:val="000000"/>
        </w:rPr>
      </w:pPr>
    </w:p>
    <w:p w:rsidR="00B27669" w:rsidP="00B27669">
      <w:pPr>
        <w:tabs>
          <w:tab w:val="left" w:pos="851"/>
        </w:tabs>
        <w:autoSpaceDE w:val="0"/>
        <w:autoSpaceDN w:val="0"/>
        <w:bidi w:val="0"/>
        <w:adjustRightInd w:val="0"/>
        <w:jc w:val="both"/>
        <w:rPr>
          <w:rStyle w:val="PlaceholderText"/>
          <w:rFonts w:ascii="Times New Roman" w:hAnsi="Times New Roman"/>
          <w:i/>
          <w:color w:val="000000"/>
        </w:rPr>
      </w:pPr>
    </w:p>
    <w:tbl>
      <w:tblPr>
        <w:tblStyle w:val="TableNormal"/>
        <w:tblW w:w="9075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3442"/>
        <w:gridCol w:w="1168"/>
        <w:gridCol w:w="1168"/>
        <w:gridCol w:w="1168"/>
        <w:gridCol w:w="1169"/>
      </w:tblGrid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štátny rozpočet (cash)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Štátny rozpočet (VPS) - príjmy (v tis. eur)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Daňové príjmy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 20 250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 81 000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6 750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právnickej osoby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- 4 750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- 19 000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- 1 583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vyberaná zrážkou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130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Dane za tovary a služby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pridanej hodnoty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Spotrebné dane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Dane z používania tovarov a z povolenia na výkon činnosti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Iné dane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25 000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8 333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- príjmy (v tis. eur)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4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Daňové príjmy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 20 250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 81 000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6 750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110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Dane z príjmov a kapitálového majetku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fyzickej osoby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právnickej osoby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- 4 750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- 19 000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- 1 583</w:t>
            </w: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príjmov vyberaná zrážkou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130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Dane za tovary a služby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Daň z pridanej hodnoty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Spotrebné dane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Dane za špecifické služby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Dane z používania tovarov a z povolenia na výkon činnosti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Iné dane za tovary a služby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150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Poistné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151-153, 155-158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Sociálne poistenie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Zdravotné poistenie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W w:w="9075" w:type="dxa"/>
          <w:tblInd w:w="6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Iné dane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25 000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100 000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8 333</w:t>
            </w:r>
          </w:p>
        </w:tc>
      </w:tr>
    </w:tbl>
    <w:p w:rsidR="00B27669" w:rsidP="00B27669">
      <w:pPr>
        <w:tabs>
          <w:tab w:val="left" w:pos="851"/>
        </w:tabs>
        <w:autoSpaceDE w:val="0"/>
        <w:autoSpaceDN w:val="0"/>
        <w:bidi w:val="0"/>
        <w:adjustRightInd w:val="0"/>
        <w:jc w:val="both"/>
        <w:rPr>
          <w:rStyle w:val="PlaceholderText"/>
          <w:rFonts w:ascii="Times New Roman" w:hAnsi="Times New Roman"/>
          <w:i/>
          <w:color w:val="000000"/>
        </w:rPr>
      </w:pP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Kvantifikácia výdavkov</w:t>
      </w:r>
    </w:p>
    <w:p w:rsidR="00B27669" w:rsidP="00B27669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</w:p>
    <w:tbl>
      <w:tblPr>
        <w:tblStyle w:val="TableNormal"/>
        <w:tblW w:w="921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752"/>
        <w:gridCol w:w="4649"/>
        <w:gridCol w:w="952"/>
        <w:gridCol w:w="952"/>
        <w:gridCol w:w="952"/>
        <w:gridCol w:w="953"/>
      </w:tblGrid>
      <w:tr>
        <w:tblPrEx>
          <w:tblW w:w="921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Štátny rozpočet - výdavky (v tis. eur)</w:t>
            </w: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štátny rozpočet (ESA95)</w:t>
            </w:r>
          </w:p>
        </w:tc>
      </w:tr>
      <w:tr>
        <w:tblPrEx>
          <w:tblW w:w="921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46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/>
            <w:noWrap/>
            <w:textDirection w:val="lrTb"/>
            <w:vAlign w:val="bottom"/>
            <w:hideMark/>
          </w:tcPr>
          <w:p w:rsidR="00B2766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921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600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Bežné výdavky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921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640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Bežné transfery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>
        <w:tblPrEx>
          <w:tblW w:w="921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Transfery v rámci verejnej správy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921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Transfery jednotlivcom a neziskovým právnickým osobám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1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  <w:jc w:val="center"/>
        </w:trPr>
        <w:tc>
          <w:tcPr>
            <w:tcW w:w="7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B27669">
            <w:pPr>
              <w:bidi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27669" w:rsidP="00B2766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27669" w:rsidP="00B27669">
      <w:pPr>
        <w:bidi w:val="0"/>
        <w:rPr>
          <w:rFonts w:ascii="Times New Roman" w:hAnsi="Times New Roman"/>
        </w:rPr>
      </w:pPr>
    </w:p>
    <w:p w:rsidR="00B27669" w:rsidP="00B27669">
      <w:pPr>
        <w:bidi w:val="0"/>
        <w:jc w:val="both"/>
        <w:rPr>
          <w:rFonts w:ascii="Times New Roman" w:hAnsi="Times New Roman"/>
        </w:rPr>
      </w:pPr>
    </w:p>
    <w:p w:rsidR="004B1D0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B27669">
      <w:pPr>
        <w:bidi w:val="0"/>
        <w:rPr>
          <w:rFonts w:ascii="Times New Roman" w:hAnsi="Times New Roman"/>
        </w:rPr>
      </w:pPr>
    </w:p>
    <w:p w:rsidR="004B1D09" w:rsidRPr="002A0DDB" w:rsidP="004B1D09">
      <w:pPr>
        <w:bidi w:val="0"/>
        <w:jc w:val="center"/>
        <w:rPr>
          <w:rFonts w:ascii="Times New Roman" w:hAnsi="Times New Roman"/>
          <w:b/>
          <w:bCs/>
        </w:rPr>
      </w:pPr>
      <w:r w:rsidRPr="002A0DDB">
        <w:rPr>
          <w:rFonts w:ascii="Times New Roman" w:hAnsi="Times New Roman"/>
          <w:b/>
          <w:bCs/>
        </w:rPr>
        <w:t>Vplyvy na podnikateľské prostredie</w:t>
      </w:r>
    </w:p>
    <w:p w:rsidR="004B1D09" w:rsidRPr="002A0DDB" w:rsidP="004B1D09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3134"/>
        <w:gridCol w:w="6061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4B1D09" w:rsidRPr="002A0DDB" w:rsidP="00DD1D4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2A0DDB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</w:p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  <w:r w:rsidRPr="002A0DDB">
              <w:rPr>
                <w:rFonts w:ascii="Times New Roman" w:hAnsi="Times New Roman"/>
                <w:b/>
              </w:rPr>
              <w:t>3.1</w:t>
            </w:r>
            <w:r w:rsidRPr="002A0DDB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B1D09" w:rsidP="00DD1D49">
            <w:pPr>
              <w:bidi w:val="0"/>
              <w:ind w:left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Právnické osoby, ktoré majú oprávnenie na výkon činnosti v oblasti: </w:t>
            </w:r>
          </w:p>
          <w:p w:rsidR="004B1D09" w:rsidP="00DD1D49">
            <w:pPr>
              <w:numPr>
                <w:numId w:val="1"/>
              </w:numPr>
              <w:bidi w:val="0"/>
              <w:ind w:left="326"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energetiky, </w:t>
            </w:r>
          </w:p>
          <w:p w:rsidR="004B1D09" w:rsidP="00DD1D49">
            <w:pPr>
              <w:numPr>
                <w:numId w:val="1"/>
              </w:numPr>
              <w:bidi w:val="0"/>
              <w:ind w:left="326"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poisťovníctva a zaisťovníctva,</w:t>
            </w:r>
          </w:p>
          <w:p w:rsidR="00393969" w:rsidP="00DD1D49">
            <w:pPr>
              <w:numPr>
                <w:numId w:val="1"/>
              </w:numPr>
              <w:bidi w:val="0"/>
              <w:ind w:left="326"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verejného zdravotného poistenia,</w:t>
            </w:r>
          </w:p>
          <w:p w:rsidR="004B1D09" w:rsidP="00DD1D49">
            <w:pPr>
              <w:numPr>
                <w:numId w:val="1"/>
              </w:numPr>
              <w:bidi w:val="0"/>
              <w:ind w:left="326"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elektronickej komunikácie,</w:t>
            </w:r>
          </w:p>
          <w:p w:rsidR="004B1D09" w:rsidP="00DD1D49">
            <w:pPr>
              <w:numPr>
                <w:numId w:val="1"/>
              </w:numPr>
              <w:bidi w:val="0"/>
              <w:ind w:left="326" w:firstLine="29"/>
              <w:rPr>
                <w:rFonts w:ascii="Times New Roman" w:hAnsi="Times New Roman"/>
              </w:rPr>
            </w:pPr>
            <w:r w:rsidR="006301E6">
              <w:rPr>
                <w:rFonts w:ascii="Times New Roman" w:hAnsi="Times New Roman"/>
              </w:rPr>
              <w:t>zaobchádzania s liekmi</w:t>
            </w:r>
            <w:r>
              <w:rPr>
                <w:rFonts w:ascii="Times New Roman" w:hAnsi="Times New Roman"/>
              </w:rPr>
              <w:t>,</w:t>
            </w:r>
          </w:p>
          <w:p w:rsidR="004B1D09" w:rsidP="00DD1D49">
            <w:pPr>
              <w:numPr>
                <w:numId w:val="1"/>
              </w:numPr>
              <w:bidi w:val="0"/>
              <w:ind w:left="326"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poštových služieb,</w:t>
            </w:r>
          </w:p>
          <w:p w:rsidR="004B1D09" w:rsidP="00DD1D49">
            <w:pPr>
              <w:numPr>
                <w:numId w:val="1"/>
              </w:numPr>
              <w:bidi w:val="0"/>
              <w:ind w:left="326"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doprave na dráhe,</w:t>
            </w:r>
          </w:p>
          <w:p w:rsidR="004B1D09" w:rsidP="00DD1D49">
            <w:pPr>
              <w:numPr>
                <w:numId w:val="1"/>
              </w:numPr>
              <w:bidi w:val="0"/>
              <w:ind w:left="326"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verejných vodovodov a verejných kanalizácii,</w:t>
            </w:r>
          </w:p>
          <w:p w:rsidR="004B1D09" w:rsidRPr="002A0DDB" w:rsidP="00DD1D49">
            <w:pPr>
              <w:numPr>
                <w:numId w:val="1"/>
              </w:numPr>
              <w:bidi w:val="0"/>
              <w:ind w:left="326"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leteckej dopravy.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</w:p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  <w:r w:rsidRPr="002A0DDB">
              <w:rPr>
                <w:rFonts w:ascii="Times New Roman" w:hAnsi="Times New Roman"/>
                <w:b/>
              </w:rPr>
              <w:t>3.2</w:t>
            </w:r>
            <w:r w:rsidRPr="002A0DDB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B1D09" w:rsidRPr="002A0DDB" w:rsidP="00DD1D49">
            <w:pPr>
              <w:bidi w:val="0"/>
              <w:ind w:left="468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Zavedením osobitného odvodu dôjde u právnických osôb uvedených v bode 3.1. k zníženiu daňového zaťaženia v oblasti dane z príjmov v dôsledku možnosti uplatnenia odvodu ako daňového výdavku. Zároveň sa predpokladá u týchto právnických osôb zvýšenie ich finančného zaťaženia z dôvodu platenia osobitného odvodu.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</w:p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  <w:r w:rsidRPr="002A0DDB">
              <w:rPr>
                <w:rFonts w:ascii="Times New Roman" w:hAnsi="Times New Roman"/>
                <w:b/>
              </w:rPr>
              <w:t>3.3</w:t>
            </w:r>
            <w:r w:rsidRPr="002A0DDB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4B1D09" w:rsidRPr="002A0DDB" w:rsidP="00DD1D49">
            <w:pPr>
              <w:bidi w:val="0"/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B1D09" w:rsidRPr="002A0DDB" w:rsidP="00393969">
            <w:pPr>
              <w:bidi w:val="0"/>
              <w:ind w:left="46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Predpokladá sa mierne zvýšenie</w:t>
            </w:r>
            <w:r w:rsidRPr="002A0DDB">
              <w:rPr>
                <w:rFonts w:ascii="Times New Roman" w:hAnsi="Times New Roman"/>
              </w:rPr>
              <w:t xml:space="preserve"> administratívneho zaťaženia </w:t>
            </w:r>
            <w:r>
              <w:rPr>
                <w:rFonts w:ascii="Times New Roman" w:hAnsi="Times New Roman"/>
              </w:rPr>
              <w:t xml:space="preserve">vybraných </w:t>
            </w:r>
            <w:r w:rsidRPr="002A0DDB">
              <w:rPr>
                <w:rFonts w:ascii="Times New Roman" w:hAnsi="Times New Roman"/>
              </w:rPr>
              <w:t>právnických osôb</w:t>
            </w:r>
            <w:r>
              <w:rPr>
                <w:rFonts w:ascii="Times New Roman" w:hAnsi="Times New Roman"/>
              </w:rPr>
              <w:t xml:space="preserve"> z dôvodu zavedenia </w:t>
            </w:r>
            <w:r w:rsidR="00393969">
              <w:rPr>
                <w:rFonts w:ascii="Times New Roman" w:hAnsi="Times New Roman"/>
              </w:rPr>
              <w:t>oznamovacej povinnosti.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</w:p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  <w:r w:rsidRPr="002A0DDB">
              <w:rPr>
                <w:rFonts w:ascii="Times New Roman" w:hAnsi="Times New Roman"/>
                <w:b/>
              </w:rPr>
              <w:t>3.4</w:t>
            </w:r>
            <w:r w:rsidRPr="002A0DDB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4B1D09" w:rsidRPr="002A0DDB" w:rsidP="00DD1D49">
            <w:pPr>
              <w:bidi w:val="0"/>
              <w:ind w:left="360"/>
              <w:rPr>
                <w:rFonts w:ascii="Times New Roman" w:hAnsi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B1D09" w:rsidRPr="002A0DDB" w:rsidP="00DD1D49">
            <w:pPr>
              <w:bidi w:val="0"/>
              <w:ind w:left="468"/>
              <w:jc w:val="both"/>
              <w:rPr>
                <w:rFonts w:ascii="Times New Roman" w:hAnsi="Times New Roman"/>
              </w:rPr>
            </w:pPr>
            <w:r w:rsidRPr="002A0DDB">
              <w:rPr>
                <w:rFonts w:ascii="Times New Roman" w:hAnsi="Times New Roman"/>
              </w:rPr>
              <w:t xml:space="preserve">Okrem vplyvov uvedených v bode 3.2 a 3.3 sa očakáva, že </w:t>
            </w:r>
            <w:r>
              <w:rPr>
                <w:rFonts w:ascii="Times New Roman" w:hAnsi="Times New Roman"/>
              </w:rPr>
              <w:t>vybrané právnické osoby budú mať vyššie finančné zaťaženie v porovnaní s právnickými osobami vykonávajúcimi rovnakú činnosť, ktoré však nedosahujú zákonom stanovenú výšku základu odvodu.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</w:p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  <w:r w:rsidRPr="002A0DDB">
              <w:rPr>
                <w:rFonts w:ascii="Times New Roman" w:hAnsi="Times New Roman"/>
                <w:b/>
              </w:rPr>
              <w:t>3.5</w:t>
            </w:r>
            <w:r w:rsidRPr="002A0DDB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4B1D09" w:rsidRPr="002A0DDB" w:rsidP="00DD1D4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B1D09" w:rsidRPr="002A0DDB" w:rsidP="00DD1D49">
            <w:pPr>
              <w:bidi w:val="0"/>
              <w:ind w:left="468"/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 xml:space="preserve">Zavedením odvodu sa nepredpokladá zvýšenie cien poskytovaných služieb a dodávaných tovarov pre konečného spotrebiteľa. Tento odvod sa nebude považovať za oprávnený náklad, ktorý možno započítať do regulovanej ceny a zákon priamo zakazuje zvyšovať z tohto dôvodu regulovanú cenu. </w:t>
            </w:r>
            <w:r w:rsidRPr="002A0DDB">
              <w:rPr>
                <w:rFonts w:ascii="Arial" w:hAnsi="Arial" w:cs="Arial"/>
              </w:rPr>
              <w:t xml:space="preserve"> </w:t>
            </w:r>
          </w:p>
        </w:tc>
      </w:tr>
    </w:tbl>
    <w:p w:rsidR="004B1D09" w:rsidRPr="002A0DDB" w:rsidP="004B1D09">
      <w:pPr>
        <w:pStyle w:val="NormalWeb"/>
        <w:bidi w:val="0"/>
        <w:rPr>
          <w:rFonts w:ascii="Times New Roman" w:hAnsi="Times New Roman"/>
        </w:rPr>
      </w:pPr>
    </w:p>
    <w:p w:rsidR="004B1D09">
      <w:pPr>
        <w:bidi w:val="0"/>
        <w:rPr>
          <w:rFonts w:ascii="Times New Roman" w:hAnsi="Times New Roman"/>
        </w:rPr>
      </w:pPr>
    </w:p>
    <w:p w:rsidR="004B1D09">
      <w:pPr>
        <w:bidi w:val="0"/>
        <w:rPr>
          <w:rFonts w:ascii="Times New Roman" w:hAnsi="Times New Roman"/>
        </w:rPr>
      </w:pPr>
    </w:p>
    <w:p w:rsidR="004B1D09">
      <w:pPr>
        <w:bidi w:val="0"/>
        <w:rPr>
          <w:rFonts w:ascii="Times New Roman" w:hAnsi="Times New Roman"/>
        </w:rPr>
      </w:pPr>
    </w:p>
    <w:p w:rsidR="004B1D09">
      <w:pPr>
        <w:bidi w:val="0"/>
        <w:rPr>
          <w:rFonts w:ascii="Times New Roman" w:hAnsi="Times New Roman"/>
        </w:rPr>
      </w:pPr>
    </w:p>
    <w:p w:rsidR="004B1D09">
      <w:pPr>
        <w:bidi w:val="0"/>
        <w:rPr>
          <w:rFonts w:ascii="Times New Roman" w:hAnsi="Times New Roman"/>
        </w:rPr>
      </w:pPr>
    </w:p>
    <w:p w:rsidR="009A6861" w:rsidRPr="009A6861" w:rsidP="009A6861">
      <w:pPr>
        <w:bidi w:val="0"/>
        <w:jc w:val="center"/>
        <w:rPr>
          <w:rFonts w:ascii="Times New Roman" w:hAnsi="Times New Roman"/>
          <w:b/>
          <w:bCs/>
        </w:rPr>
      </w:pPr>
      <w:r w:rsidRPr="009A6861">
        <w:rPr>
          <w:rFonts w:ascii="Times New Roman" w:hAnsi="Times New Roman"/>
          <w:b/>
          <w:bCs/>
        </w:rPr>
        <w:t>DOLOŽKA ZLUČITEĽNOSTI</w:t>
      </w:r>
    </w:p>
    <w:p w:rsidR="009A6861" w:rsidRPr="009A6861" w:rsidP="009A6861">
      <w:pPr>
        <w:tabs>
          <w:tab w:val="left" w:pos="0"/>
        </w:tabs>
        <w:bidi w:val="0"/>
        <w:ind w:firstLine="720"/>
        <w:jc w:val="center"/>
        <w:rPr>
          <w:rFonts w:ascii="Times New Roman" w:hAnsi="Times New Roman"/>
        </w:rPr>
      </w:pPr>
      <w:r w:rsidRPr="009A6861">
        <w:rPr>
          <w:rFonts w:ascii="Times New Roman" w:hAnsi="Times New Roman"/>
        </w:rPr>
        <w:t xml:space="preserve">návrhu zákona </w:t>
      </w:r>
      <w:r w:rsidRPr="009A6861">
        <w:rPr>
          <w:rFonts w:ascii="Times New Roman" w:hAnsi="Times New Roman"/>
          <w:bCs/>
        </w:rPr>
        <w:t>o osobitnom odvode z podnikania v regulovaných odvetviach a o zmene a doplnení niektorých zákonov</w:t>
      </w:r>
      <w:r w:rsidRPr="009A6861">
        <w:rPr>
          <w:rFonts w:ascii="Times New Roman" w:hAnsi="Times New Roman"/>
        </w:rPr>
        <w:t xml:space="preserve"> s právom Európskej únie</w:t>
      </w:r>
    </w:p>
    <w:p w:rsidR="009A6861" w:rsidRPr="009A6861" w:rsidP="009A6861">
      <w:pPr>
        <w:bidi w:val="0"/>
        <w:jc w:val="center"/>
        <w:rPr>
          <w:rFonts w:ascii="Times New Roman" w:hAnsi="Times New Roman"/>
        </w:rPr>
      </w:pPr>
      <w:r w:rsidRPr="009A6861">
        <w:rPr>
          <w:rFonts w:ascii="Times New Roman" w:hAnsi="Times New Roman"/>
        </w:rPr>
        <w:t>___________________________________________________________________________</w:t>
      </w:r>
    </w:p>
    <w:p w:rsidR="009A6861" w:rsidRPr="009A6861" w:rsidP="009A6861">
      <w:pPr>
        <w:bidi w:val="0"/>
        <w:jc w:val="both"/>
        <w:rPr>
          <w:rFonts w:ascii="Times New Roman" w:hAnsi="Times New Roman"/>
        </w:rPr>
      </w:pPr>
    </w:p>
    <w:p w:rsidR="009A6861" w:rsidRPr="009A6861" w:rsidP="009A6861">
      <w:pPr>
        <w:bidi w:val="0"/>
        <w:jc w:val="both"/>
        <w:rPr>
          <w:rFonts w:ascii="Times New Roman" w:hAnsi="Times New Roman"/>
        </w:rPr>
      </w:pPr>
    </w:p>
    <w:p w:rsidR="00E55992" w:rsidRPr="00E55992" w:rsidP="00E55992">
      <w:pPr>
        <w:bidi w:val="0"/>
        <w:spacing w:after="120"/>
        <w:ind w:left="425" w:hanging="425"/>
        <w:jc w:val="both"/>
        <w:rPr>
          <w:rFonts w:ascii="Times New Roman" w:hAnsi="Times New Roman"/>
        </w:rPr>
      </w:pPr>
      <w:r w:rsidRPr="00E55992">
        <w:rPr>
          <w:rFonts w:ascii="Times New Roman" w:hAnsi="Times New Roman"/>
          <w:b/>
          <w:bCs/>
        </w:rPr>
        <w:t>1.</w:t>
        <w:tab/>
        <w:t>Predkladateľ zákona:</w:t>
      </w:r>
    </w:p>
    <w:p w:rsidR="00E55992" w:rsidRPr="00E55992" w:rsidP="00E55992">
      <w:pPr>
        <w:bidi w:val="0"/>
        <w:ind w:firstLine="425"/>
        <w:jc w:val="both"/>
        <w:rPr>
          <w:rFonts w:ascii="Times New Roman" w:hAnsi="Times New Roman"/>
          <w:bCs/>
        </w:rPr>
      </w:pPr>
      <w:r w:rsidRPr="00E55992">
        <w:rPr>
          <w:rFonts w:ascii="Times New Roman" w:hAnsi="Times New Roman"/>
          <w:bCs/>
        </w:rPr>
        <w:t>Vláda Slovenskej republiky.</w:t>
      </w:r>
    </w:p>
    <w:p w:rsidR="00E55992" w:rsidRPr="00E55992" w:rsidP="00E55992">
      <w:pPr>
        <w:bidi w:val="0"/>
        <w:jc w:val="both"/>
        <w:rPr>
          <w:rFonts w:ascii="Times New Roman" w:hAnsi="Times New Roman"/>
          <w:b/>
          <w:bCs/>
        </w:rPr>
      </w:pPr>
    </w:p>
    <w:p w:rsidR="00E55992" w:rsidRPr="00E55992" w:rsidP="00E55992">
      <w:pPr>
        <w:bidi w:val="0"/>
        <w:spacing w:after="120"/>
        <w:ind w:left="425" w:hanging="425"/>
        <w:jc w:val="both"/>
        <w:rPr>
          <w:rFonts w:ascii="Times New Roman" w:hAnsi="Times New Roman"/>
          <w:b/>
          <w:bCs/>
        </w:rPr>
      </w:pPr>
      <w:r w:rsidRPr="00E55992">
        <w:rPr>
          <w:rFonts w:ascii="Times New Roman" w:hAnsi="Times New Roman"/>
          <w:b/>
          <w:bCs/>
        </w:rPr>
        <w:t>2.</w:t>
        <w:tab/>
        <w:t>Názov návrhu zákona:</w:t>
      </w:r>
    </w:p>
    <w:p w:rsidR="00E55992" w:rsidRPr="00E55992" w:rsidP="00E55992">
      <w:pPr>
        <w:bidi w:val="0"/>
        <w:ind w:left="425"/>
        <w:jc w:val="both"/>
        <w:rPr>
          <w:rFonts w:ascii="Times New Roman" w:hAnsi="Times New Roman"/>
        </w:rPr>
      </w:pPr>
      <w:r w:rsidRPr="00E55992">
        <w:rPr>
          <w:rFonts w:ascii="Times New Roman" w:hAnsi="Times New Roman"/>
        </w:rPr>
        <w:t xml:space="preserve">Návrh zákona </w:t>
      </w:r>
      <w:r w:rsidRPr="00E55992">
        <w:rPr>
          <w:rFonts w:ascii="Times New Roman" w:hAnsi="Times New Roman"/>
          <w:bCs/>
        </w:rPr>
        <w:t>o osobitnom odvode z podnikania v regulovaných odvetviach a o zmene a doplnení niektorých zákonov</w:t>
      </w:r>
      <w:r w:rsidRPr="00E55992">
        <w:rPr>
          <w:rFonts w:ascii="Times New Roman" w:hAnsi="Times New Roman"/>
        </w:rPr>
        <w:t>.</w:t>
      </w:r>
    </w:p>
    <w:p w:rsidR="00E55992" w:rsidRPr="00E55992" w:rsidP="00E55992">
      <w:pPr>
        <w:bidi w:val="0"/>
        <w:jc w:val="both"/>
        <w:rPr>
          <w:rFonts w:ascii="Times New Roman" w:hAnsi="Times New Roman"/>
          <w:b/>
          <w:bCs/>
        </w:rPr>
      </w:pPr>
    </w:p>
    <w:p w:rsidR="00E55992" w:rsidRPr="00E55992" w:rsidP="00E55992">
      <w:pPr>
        <w:bidi w:val="0"/>
        <w:spacing w:after="120"/>
        <w:ind w:left="425" w:hanging="425"/>
        <w:jc w:val="both"/>
        <w:rPr>
          <w:rFonts w:ascii="Times New Roman" w:hAnsi="Times New Roman"/>
          <w:b/>
          <w:bCs/>
        </w:rPr>
      </w:pPr>
      <w:r w:rsidRPr="00E55992">
        <w:rPr>
          <w:rFonts w:ascii="Times New Roman" w:hAnsi="Times New Roman"/>
          <w:b/>
          <w:bCs/>
        </w:rPr>
        <w:t>3.</w:t>
        <w:tab/>
        <w:t xml:space="preserve">Problematika návrhu zákona: </w:t>
      </w:r>
    </w:p>
    <w:p w:rsidR="00E55992" w:rsidRPr="00E55992" w:rsidP="00E55992">
      <w:pPr>
        <w:bidi w:val="0"/>
        <w:ind w:left="850" w:hanging="425"/>
        <w:rPr>
          <w:rFonts w:ascii="Times New Roman" w:hAnsi="Times New Roman"/>
          <w:lang w:val="x-none"/>
        </w:rPr>
      </w:pPr>
      <w:r w:rsidRPr="00E55992">
        <w:rPr>
          <w:rFonts w:ascii="Times New Roman" w:hAnsi="Times New Roman"/>
          <w:lang w:val="x-none"/>
        </w:rPr>
        <w:t>a)</w:t>
        <w:tab/>
        <w:t>nie je upravená v práve Európskej únie;</w:t>
      </w:r>
    </w:p>
    <w:p w:rsidR="00E55992" w:rsidRPr="00E55992" w:rsidP="00E55992">
      <w:pPr>
        <w:bidi w:val="0"/>
        <w:ind w:left="850" w:hanging="425"/>
        <w:rPr>
          <w:rFonts w:ascii="Times New Roman" w:hAnsi="Times New Roman"/>
          <w:lang w:val="x-none"/>
        </w:rPr>
      </w:pPr>
      <w:r w:rsidRPr="00E55992">
        <w:rPr>
          <w:rFonts w:ascii="Times New Roman" w:hAnsi="Times New Roman"/>
          <w:lang w:val="x-none"/>
        </w:rPr>
        <w:t>b)</w:t>
        <w:tab/>
        <w:t>nie je obsiahnutá v judikatúre Súdneho dvora Európskej únie.</w:t>
      </w:r>
    </w:p>
    <w:p w:rsidR="00E55992" w:rsidRPr="00E55992" w:rsidP="00E55992">
      <w:pPr>
        <w:bidi w:val="0"/>
        <w:rPr>
          <w:rFonts w:ascii="Times New Roman" w:hAnsi="Times New Roman"/>
          <w:lang w:val="x-none"/>
        </w:rPr>
      </w:pPr>
    </w:p>
    <w:p w:rsidR="00E55992" w:rsidRPr="00E55992" w:rsidP="00E55992">
      <w:pPr>
        <w:bidi w:val="0"/>
        <w:jc w:val="both"/>
        <w:rPr>
          <w:rFonts w:ascii="Times New Roman" w:hAnsi="Times New Roman"/>
        </w:rPr>
      </w:pPr>
    </w:p>
    <w:p w:rsidR="00E55992" w:rsidRPr="00E55992" w:rsidP="00E55992">
      <w:pPr>
        <w:bidi w:val="0"/>
        <w:jc w:val="both"/>
        <w:rPr>
          <w:rFonts w:ascii="Times New Roman" w:hAnsi="Times New Roman"/>
          <w:b/>
        </w:rPr>
      </w:pPr>
      <w:r w:rsidRPr="00E55992"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9A6861" w:rsidP="009A6861">
      <w:pPr>
        <w:bidi w:val="0"/>
        <w:jc w:val="both"/>
        <w:rPr>
          <w:rFonts w:ascii="Times New Roman" w:hAnsi="Times New Roman"/>
        </w:rPr>
      </w:pPr>
    </w:p>
    <w:p w:rsidR="00E55992" w:rsidP="009A6861">
      <w:pPr>
        <w:bidi w:val="0"/>
        <w:jc w:val="both"/>
        <w:rPr>
          <w:rFonts w:ascii="Times New Roman" w:hAnsi="Times New Roman"/>
        </w:rPr>
      </w:pPr>
    </w:p>
    <w:p w:rsidR="00E55992" w:rsidP="009A6861">
      <w:pPr>
        <w:bidi w:val="0"/>
        <w:jc w:val="both"/>
        <w:rPr>
          <w:rFonts w:ascii="Times New Roman" w:hAnsi="Times New Roman"/>
        </w:rPr>
      </w:pPr>
    </w:p>
    <w:p w:rsidR="00E55992" w:rsidP="009A6861">
      <w:pPr>
        <w:bidi w:val="0"/>
        <w:jc w:val="both"/>
        <w:rPr>
          <w:rFonts w:ascii="Times New Roman" w:hAnsi="Times New Roman"/>
        </w:rPr>
      </w:pPr>
    </w:p>
    <w:p w:rsidR="00E55992" w:rsidP="009A6861">
      <w:pPr>
        <w:bidi w:val="0"/>
        <w:jc w:val="both"/>
        <w:rPr>
          <w:rFonts w:ascii="Times New Roman" w:hAnsi="Times New Roman"/>
        </w:rPr>
      </w:pPr>
    </w:p>
    <w:p w:rsidR="00E55992" w:rsidP="009A6861">
      <w:pPr>
        <w:bidi w:val="0"/>
        <w:jc w:val="both"/>
        <w:rPr>
          <w:rFonts w:ascii="Times New Roman" w:hAnsi="Times New Roman"/>
        </w:rPr>
      </w:pPr>
    </w:p>
    <w:p w:rsidR="00E55992" w:rsidP="009A6861">
      <w:pPr>
        <w:bidi w:val="0"/>
        <w:jc w:val="both"/>
        <w:rPr>
          <w:rFonts w:ascii="Times New Roman" w:hAnsi="Times New Roman"/>
        </w:rPr>
      </w:pPr>
    </w:p>
    <w:p w:rsidR="00E55992" w:rsidP="009A6861">
      <w:pPr>
        <w:bidi w:val="0"/>
        <w:jc w:val="both"/>
        <w:rPr>
          <w:rFonts w:ascii="Times New Roman" w:hAnsi="Times New Roman"/>
        </w:rPr>
      </w:pPr>
    </w:p>
    <w:p w:rsidR="00E55992" w:rsidP="009A6861">
      <w:pPr>
        <w:bidi w:val="0"/>
        <w:jc w:val="both"/>
        <w:rPr>
          <w:rFonts w:ascii="Times New Roman" w:hAnsi="Times New Roman"/>
        </w:rPr>
      </w:pPr>
    </w:p>
    <w:p w:rsidR="00E55992" w:rsidRPr="009A6861" w:rsidP="009A6861">
      <w:pPr>
        <w:bidi w:val="0"/>
        <w:jc w:val="both"/>
        <w:rPr>
          <w:rFonts w:ascii="Times New Roman" w:hAnsi="Times New Roman"/>
        </w:rPr>
      </w:pPr>
    </w:p>
    <w:p w:rsidR="009A6861" w:rsidRPr="009A6861" w:rsidP="009A6861">
      <w:pPr>
        <w:bidi w:val="0"/>
        <w:rPr>
          <w:rFonts w:ascii="Times New Roman" w:hAnsi="Times New Roman"/>
        </w:rPr>
      </w:pPr>
    </w:p>
    <w:p w:rsidR="009A6861" w:rsidRPr="009A6861" w:rsidP="009A6861">
      <w:pPr>
        <w:bidi w:val="0"/>
        <w:rPr>
          <w:rFonts w:ascii="Times New Roman" w:hAnsi="Times New Roman"/>
        </w:rPr>
      </w:pPr>
    </w:p>
    <w:p w:rsidR="009A6861" w:rsidRPr="009A6861" w:rsidP="009A6861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5C4F4B">
      <w:pPr>
        <w:bidi w:val="0"/>
        <w:rPr>
          <w:rFonts w:ascii="Times New Roman" w:hAnsi="Times New Roman"/>
        </w:rPr>
      </w:pPr>
    </w:p>
    <w:p w:rsidR="0042666E" w:rsidP="005C4F4B">
      <w:pPr>
        <w:bidi w:val="0"/>
        <w:ind w:left="360"/>
        <w:rPr>
          <w:rFonts w:ascii="Times New Roman" w:hAnsi="Times New Roman"/>
        </w:rPr>
      </w:pPr>
    </w:p>
    <w:p w:rsidR="009A6861" w:rsidP="005C4F4B">
      <w:pPr>
        <w:bidi w:val="0"/>
        <w:ind w:left="360"/>
        <w:rPr>
          <w:rFonts w:ascii="Times New Roman" w:hAnsi="Times New Roman"/>
          <w:b/>
        </w:rPr>
      </w:pPr>
    </w:p>
    <w:p w:rsidR="00F1383F" w:rsidP="005C4F4B">
      <w:pPr>
        <w:bidi w:val="0"/>
        <w:ind w:left="360"/>
        <w:rPr>
          <w:rFonts w:ascii="Times New Roman" w:hAnsi="Times New Roman"/>
          <w:b/>
        </w:rPr>
      </w:pPr>
    </w:p>
    <w:p w:rsidR="005C4F4B" w:rsidP="005C4F4B">
      <w:pPr>
        <w:bidi w:val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</w:r>
      <w:r w:rsidRPr="00541C2F">
        <w:rPr>
          <w:rFonts w:ascii="Times New Roman" w:hAnsi="Times New Roman"/>
          <w:b/>
        </w:rPr>
        <w:t xml:space="preserve">Osobitná časť </w:t>
      </w:r>
    </w:p>
    <w:p w:rsidR="005C4F4B" w:rsidP="005C4F4B">
      <w:pPr>
        <w:bidi w:val="0"/>
        <w:ind w:left="360"/>
        <w:rPr>
          <w:rFonts w:ascii="Times New Roman" w:hAnsi="Times New Roman"/>
          <w:b/>
        </w:rPr>
      </w:pPr>
    </w:p>
    <w:p w:rsidR="005C4F4B" w:rsidP="005C4F4B">
      <w:pPr>
        <w:bidi w:val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</w:t>
      </w:r>
    </w:p>
    <w:p w:rsidR="005C4F4B" w:rsidP="005C4F4B">
      <w:pPr>
        <w:bidi w:val="0"/>
        <w:ind w:left="360"/>
        <w:rPr>
          <w:rFonts w:ascii="Times New Roman" w:hAnsi="Times New Roman"/>
          <w:b/>
        </w:rPr>
      </w:pPr>
    </w:p>
    <w:p w:rsidR="005C4F4B" w:rsidP="005C4F4B">
      <w:pPr>
        <w:bidi w:val="0"/>
        <w:ind w:left="360"/>
        <w:rPr>
          <w:rFonts w:ascii="Times New Roman" w:hAnsi="Times New Roman"/>
          <w:b/>
        </w:rPr>
      </w:pPr>
      <w:r w:rsidRPr="00541C2F">
        <w:rPr>
          <w:rFonts w:ascii="Times New Roman" w:hAnsi="Times New Roman"/>
          <w:b/>
        </w:rPr>
        <w:t>K </w:t>
      </w:r>
      <w:r>
        <w:rPr>
          <w:rFonts w:ascii="Times New Roman" w:hAnsi="Times New Roman"/>
          <w:b/>
        </w:rPr>
        <w:t>§ 1</w:t>
      </w:r>
    </w:p>
    <w:p w:rsidR="005C4F4B" w:rsidRPr="008B0799" w:rsidP="004601E2">
      <w:pPr>
        <w:bidi w:val="0"/>
        <w:ind w:left="360"/>
        <w:jc w:val="both"/>
        <w:rPr>
          <w:rFonts w:ascii="Times New Roman" w:hAnsi="Times New Roman"/>
          <w:color w:val="000000"/>
          <w:szCs w:val="22"/>
          <w:lang w:bidi="si-LK"/>
        </w:rPr>
      </w:pPr>
      <w:r w:rsidR="00D44978">
        <w:rPr>
          <w:rFonts w:ascii="Times New Roman" w:hAnsi="Times New Roman"/>
          <w:szCs w:val="22"/>
        </w:rPr>
        <w:t>Navrhovaným ustanovením sa</w:t>
      </w:r>
      <w:r>
        <w:rPr>
          <w:rFonts w:ascii="Times New Roman" w:hAnsi="Times New Roman"/>
          <w:szCs w:val="22"/>
        </w:rPr>
        <w:t xml:space="preserve"> upravuje </w:t>
      </w:r>
      <w:r w:rsidR="00D44978">
        <w:rPr>
          <w:rFonts w:ascii="Times New Roman" w:hAnsi="Times New Roman"/>
          <w:szCs w:val="22"/>
        </w:rPr>
        <w:t xml:space="preserve">predmet úpravy zákona, ktorým je </w:t>
      </w:r>
      <w:r w:rsidRPr="008B0799">
        <w:rPr>
          <w:rFonts w:ascii="Times New Roman" w:hAnsi="Times New Roman"/>
          <w:color w:val="000000"/>
          <w:szCs w:val="22"/>
          <w:lang w:bidi="si-LK"/>
        </w:rPr>
        <w:t>povinnosť platenia osobitného odvodu z podnikania v regulovaných odvetviach regulovanou osobou</w:t>
      </w:r>
      <w:r>
        <w:rPr>
          <w:rFonts w:ascii="Times New Roman" w:hAnsi="Times New Roman"/>
          <w:color w:val="000000"/>
          <w:szCs w:val="22"/>
          <w:lang w:bidi="si-LK"/>
        </w:rPr>
        <w:t xml:space="preserve">, </w:t>
      </w:r>
      <w:r w:rsidRPr="005D0E6F">
        <w:rPr>
          <w:rFonts w:ascii="Times New Roman" w:hAnsi="Times New Roman"/>
        </w:rPr>
        <w:t>výšk</w:t>
      </w:r>
      <w:r w:rsidR="00D4497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a spôsob platenia</w:t>
      </w:r>
      <w:r w:rsidRPr="005D0E6F">
        <w:rPr>
          <w:rFonts w:ascii="Times New Roman" w:hAnsi="Times New Roman"/>
        </w:rPr>
        <w:t xml:space="preserve"> odvodu a správ</w:t>
      </w:r>
      <w:r w:rsidR="00D44978">
        <w:rPr>
          <w:rFonts w:ascii="Times New Roman" w:hAnsi="Times New Roman"/>
        </w:rPr>
        <w:t>a odvodu</w:t>
      </w:r>
      <w:bookmarkStart w:id="1" w:name="f_5604521"/>
      <w:bookmarkEnd w:id="1"/>
      <w:r w:rsidR="00B2671F">
        <w:rPr>
          <w:rFonts w:ascii="Times New Roman" w:hAnsi="Times New Roman"/>
        </w:rPr>
        <w:t>. Za správcu odvodu sa navrhuje</w:t>
      </w:r>
      <w:r w:rsidRPr="008B0799" w:rsidR="00B2671F">
        <w:rPr>
          <w:rFonts w:ascii="Times New Roman" w:eastAsia="Calibri" w:hAnsi="Times New Roman" w:hint="default"/>
        </w:rPr>
        <w:t xml:space="preserve"> daň</w:t>
      </w:r>
      <w:r w:rsidRPr="008B0799" w:rsidR="00B2671F">
        <w:rPr>
          <w:rFonts w:ascii="Times New Roman" w:eastAsia="Calibri" w:hAnsi="Times New Roman" w:hint="default"/>
        </w:rPr>
        <w:t>ový</w:t>
      </w:r>
      <w:r w:rsidRPr="008B0799" w:rsidR="00B2671F">
        <w:rPr>
          <w:rFonts w:ascii="Times New Roman" w:eastAsia="Calibri" w:hAnsi="Times New Roman" w:hint="default"/>
        </w:rPr>
        <w:t xml:space="preserve"> ú</w:t>
      </w:r>
      <w:r w:rsidRPr="008B0799" w:rsidR="00B2671F">
        <w:rPr>
          <w:rFonts w:ascii="Times New Roman" w:eastAsia="Calibri" w:hAnsi="Times New Roman" w:hint="default"/>
        </w:rPr>
        <w:t>rad</w:t>
      </w:r>
      <w:r w:rsidR="00B2671F">
        <w:rPr>
          <w:rFonts w:ascii="Times New Roman" w:hAnsi="Times New Roman"/>
        </w:rPr>
        <w:t xml:space="preserve">, ktorý je </w:t>
      </w:r>
      <w:r w:rsidRPr="008B0799" w:rsidR="00B2671F">
        <w:rPr>
          <w:rFonts w:ascii="Times New Roman" w:eastAsia="Calibri" w:hAnsi="Times New Roman" w:hint="default"/>
        </w:rPr>
        <w:t>prí</w:t>
      </w:r>
      <w:r w:rsidRPr="008B0799" w:rsidR="00B2671F">
        <w:rPr>
          <w:rFonts w:ascii="Times New Roman" w:eastAsia="Calibri" w:hAnsi="Times New Roman" w:hint="default"/>
        </w:rPr>
        <w:t>sluš</w:t>
      </w:r>
      <w:r w:rsidRPr="008B0799" w:rsidR="00B2671F">
        <w:rPr>
          <w:rFonts w:ascii="Times New Roman" w:eastAsia="Calibri" w:hAnsi="Times New Roman" w:hint="default"/>
        </w:rPr>
        <w:t>ný</w:t>
      </w:r>
      <w:r w:rsidRPr="008B0799" w:rsidR="00B2671F">
        <w:rPr>
          <w:rFonts w:ascii="Times New Roman" w:eastAsia="Calibri" w:hAnsi="Times New Roman" w:hint="default"/>
        </w:rPr>
        <w:t xml:space="preserve"> na sprá</w:t>
      </w:r>
      <w:r w:rsidRPr="008B0799" w:rsidR="00B2671F">
        <w:rPr>
          <w:rFonts w:ascii="Times New Roman" w:eastAsia="Calibri" w:hAnsi="Times New Roman" w:hint="default"/>
        </w:rPr>
        <w:t>vu dane z </w:t>
      </w:r>
      <w:r w:rsidRPr="008B0799" w:rsidR="00B2671F">
        <w:rPr>
          <w:rFonts w:ascii="Times New Roman" w:eastAsia="Calibri" w:hAnsi="Times New Roman" w:hint="default"/>
        </w:rPr>
        <w:t>prí</w:t>
      </w:r>
      <w:r w:rsidRPr="008B0799" w:rsidR="00B2671F">
        <w:rPr>
          <w:rFonts w:ascii="Times New Roman" w:eastAsia="Calibri" w:hAnsi="Times New Roman" w:hint="default"/>
        </w:rPr>
        <w:t>jmov regulovanej osoby</w:t>
      </w:r>
      <w:r w:rsidR="00B2671F">
        <w:rPr>
          <w:rFonts w:ascii="Times New Roman" w:hAnsi="Times New Roman"/>
        </w:rPr>
        <w:t>.</w:t>
      </w:r>
    </w:p>
    <w:p w:rsidR="005C4F4B" w:rsidP="005C4F4B">
      <w:pPr>
        <w:bidi w:val="0"/>
        <w:ind w:left="360"/>
        <w:rPr>
          <w:rFonts w:ascii="Times New Roman" w:hAnsi="Times New Roman"/>
        </w:rPr>
      </w:pPr>
    </w:p>
    <w:p w:rsidR="005C4F4B" w:rsidP="005C4F4B">
      <w:pPr>
        <w:bidi w:val="0"/>
        <w:ind w:left="360"/>
        <w:rPr>
          <w:rFonts w:ascii="Times New Roman" w:hAnsi="Times New Roman"/>
          <w:b/>
        </w:rPr>
      </w:pPr>
      <w:r w:rsidRPr="008B0799">
        <w:rPr>
          <w:rFonts w:ascii="Times New Roman" w:hAnsi="Times New Roman"/>
          <w:b/>
        </w:rPr>
        <w:t>K § 2</w:t>
      </w:r>
    </w:p>
    <w:p w:rsidR="005C4F4B" w:rsidP="005C4F4B">
      <w:pPr>
        <w:bidi w:val="0"/>
        <w:ind w:left="360"/>
        <w:jc w:val="both"/>
        <w:rPr>
          <w:rFonts w:ascii="Times New Roman" w:hAnsi="Times New Roman"/>
        </w:rPr>
      </w:pPr>
      <w:r w:rsidRPr="005D0E6F">
        <w:rPr>
          <w:rFonts w:ascii="Times New Roman" w:hAnsi="Times New Roman"/>
        </w:rPr>
        <w:t xml:space="preserve">Navrhuje sa, aby </w:t>
      </w:r>
      <w:r w:rsidRPr="008B0799">
        <w:rPr>
          <w:rFonts w:ascii="Times New Roman" w:eastAsia="Calibri" w:hAnsi="Times New Roman" w:hint="default"/>
        </w:rPr>
        <w:t>odvodový</w:t>
      </w:r>
      <w:r w:rsidRPr="008B0799">
        <w:rPr>
          <w:rFonts w:ascii="Times New Roman" w:eastAsia="Calibri" w:hAnsi="Times New Roman" w:hint="default"/>
        </w:rPr>
        <w:t>m období</w:t>
      </w:r>
      <w:r w:rsidRPr="008B0799">
        <w:rPr>
          <w:rFonts w:ascii="Times New Roman" w:eastAsia="Calibri" w:hAnsi="Times New Roman" w:hint="default"/>
        </w:rPr>
        <w:t xml:space="preserve">m </w:t>
      </w:r>
      <w:r>
        <w:rPr>
          <w:rFonts w:ascii="Times New Roman" w:hAnsi="Times New Roman"/>
        </w:rPr>
        <w:t xml:space="preserve">bol </w:t>
      </w:r>
      <w:r w:rsidRPr="008B0799">
        <w:rPr>
          <w:rFonts w:ascii="Times New Roman" w:eastAsia="Calibri" w:hAnsi="Times New Roman" w:hint="default"/>
        </w:rPr>
        <w:t>kaž</w:t>
      </w:r>
      <w:r w:rsidRPr="008B0799">
        <w:rPr>
          <w:rFonts w:ascii="Times New Roman" w:eastAsia="Calibri" w:hAnsi="Times New Roman" w:hint="default"/>
        </w:rPr>
        <w:t>dý</w:t>
      </w:r>
      <w:r w:rsidRPr="008B0799">
        <w:rPr>
          <w:rFonts w:ascii="Times New Roman" w:eastAsia="Calibri" w:hAnsi="Times New Roman" w:hint="default"/>
        </w:rPr>
        <w:t xml:space="preserve"> kalendá</w:t>
      </w:r>
      <w:r w:rsidRPr="008B0799">
        <w:rPr>
          <w:rFonts w:ascii="Times New Roman" w:eastAsia="Calibri" w:hAnsi="Times New Roman" w:hint="default"/>
        </w:rPr>
        <w:t>rny mesiac úč</w:t>
      </w:r>
      <w:r w:rsidRPr="008B0799">
        <w:rPr>
          <w:rFonts w:ascii="Times New Roman" w:eastAsia="Calibri" w:hAnsi="Times New Roman" w:hint="default"/>
        </w:rPr>
        <w:t>tovné</w:t>
      </w:r>
      <w:r w:rsidRPr="008B0799">
        <w:rPr>
          <w:rFonts w:ascii="Times New Roman" w:eastAsia="Calibri" w:hAnsi="Times New Roman" w:hint="default"/>
        </w:rPr>
        <w:t>ho obdobia, v </w:t>
      </w:r>
      <w:r w:rsidRPr="008B0799">
        <w:rPr>
          <w:rFonts w:ascii="Times New Roman" w:eastAsia="Calibri" w:hAnsi="Times New Roman" w:hint="default"/>
        </w:rPr>
        <w:t>ktorom má</w:t>
      </w:r>
      <w:r w:rsidRPr="008B0799">
        <w:rPr>
          <w:rFonts w:ascii="Times New Roman" w:eastAsia="Calibri" w:hAnsi="Times New Roman" w:hint="default"/>
        </w:rPr>
        <w:t xml:space="preserve"> regulovaná</w:t>
      </w:r>
      <w:r w:rsidRPr="008B0799">
        <w:rPr>
          <w:rFonts w:ascii="Times New Roman" w:eastAsia="Calibri" w:hAnsi="Times New Roman" w:hint="default"/>
        </w:rPr>
        <w:t xml:space="preserve"> osoba oprá</w:t>
      </w:r>
      <w:r w:rsidRPr="008B0799">
        <w:rPr>
          <w:rFonts w:ascii="Times New Roman" w:eastAsia="Calibri" w:hAnsi="Times New Roman" w:hint="default"/>
        </w:rPr>
        <w:t>vnenie na vý</w:t>
      </w:r>
      <w:r w:rsidRPr="008B0799">
        <w:rPr>
          <w:rFonts w:ascii="Times New Roman" w:eastAsia="Calibri" w:hAnsi="Times New Roman" w:hint="default"/>
        </w:rPr>
        <w:t xml:space="preserve">kon </w:t>
      </w:r>
      <w:r>
        <w:rPr>
          <w:rFonts w:ascii="Times New Roman" w:hAnsi="Times New Roman"/>
        </w:rPr>
        <w:t xml:space="preserve">činnosti podľa § 3. </w:t>
      </w:r>
    </w:p>
    <w:p w:rsidR="005C4F4B" w:rsidP="005C4F4B">
      <w:pPr>
        <w:bidi w:val="0"/>
        <w:ind w:left="360"/>
        <w:jc w:val="both"/>
        <w:rPr>
          <w:rFonts w:ascii="Times New Roman" w:hAnsi="Times New Roman"/>
        </w:rPr>
      </w:pPr>
    </w:p>
    <w:p w:rsidR="005C4F4B" w:rsidRPr="000B5E50" w:rsidP="005C4F4B">
      <w:pPr>
        <w:bidi w:val="0"/>
        <w:ind w:left="360"/>
        <w:jc w:val="both"/>
        <w:rPr>
          <w:rFonts w:ascii="Times New Roman" w:hAnsi="Times New Roman"/>
          <w:b/>
        </w:rPr>
      </w:pPr>
      <w:r w:rsidRPr="000B5E50">
        <w:rPr>
          <w:rFonts w:ascii="Times New Roman" w:hAnsi="Times New Roman"/>
          <w:b/>
        </w:rPr>
        <w:t>K § 3</w:t>
      </w:r>
    </w:p>
    <w:p w:rsidR="0021073F" w:rsidP="005C4F4B">
      <w:pPr>
        <w:bidi w:val="0"/>
        <w:ind w:left="360"/>
        <w:jc w:val="both"/>
        <w:rPr>
          <w:rFonts w:ascii="Times New Roman" w:eastAsia="Calibri" w:hAnsi="Times New Roman" w:hint="default"/>
          <w:szCs w:val="22"/>
        </w:rPr>
      </w:pPr>
      <w:r w:rsidRPr="000B5E50" w:rsidR="005C4F4B">
        <w:rPr>
          <w:rFonts w:ascii="Times New Roman" w:hAnsi="Times New Roman"/>
        </w:rPr>
        <w:t xml:space="preserve">V navrhovanom ustanovení sú špecifikované </w:t>
      </w:r>
      <w:r w:rsidR="005C4F4B">
        <w:rPr>
          <w:rFonts w:ascii="Times New Roman" w:hAnsi="Times New Roman"/>
        </w:rPr>
        <w:t xml:space="preserve">regulované </w:t>
      </w:r>
      <w:r w:rsidR="00E84F49">
        <w:rPr>
          <w:rFonts w:ascii="Times New Roman" w:hAnsi="Times New Roman"/>
        </w:rPr>
        <w:t>osoby</w:t>
      </w:r>
      <w:r w:rsidR="005C4F4B">
        <w:rPr>
          <w:rFonts w:ascii="Times New Roman" w:hAnsi="Times New Roman"/>
        </w:rPr>
        <w:t>. Navrhuje sa</w:t>
      </w:r>
      <w:r w:rsidR="00E84F49">
        <w:rPr>
          <w:rFonts w:ascii="Times New Roman" w:hAnsi="Times New Roman"/>
        </w:rPr>
        <w:t>,</w:t>
      </w:r>
      <w:r w:rsidR="005C4F4B">
        <w:rPr>
          <w:rFonts w:ascii="Times New Roman" w:hAnsi="Times New Roman"/>
        </w:rPr>
        <w:t xml:space="preserve"> </w:t>
      </w:r>
      <w:r w:rsidR="00E84F49">
        <w:rPr>
          <w:rFonts w:ascii="Times New Roman" w:hAnsi="Times New Roman"/>
        </w:rPr>
        <w:t>a</w:t>
      </w:r>
      <w:r w:rsidR="005C4F4B">
        <w:rPr>
          <w:rFonts w:ascii="Times New Roman" w:hAnsi="Times New Roman"/>
        </w:rPr>
        <w:t>by takouto osobou bola právnická osoba, ktorá má oprávnenie na výkon činnosti v oblasti e</w:t>
      </w:r>
      <w:r w:rsidRPr="000B5E50" w:rsidR="005C4F4B">
        <w:rPr>
          <w:rFonts w:ascii="Times New Roman" w:eastAsia="Calibri" w:hAnsi="Times New Roman"/>
          <w:szCs w:val="22"/>
        </w:rPr>
        <w:t>nergetiky</w:t>
      </w:r>
      <w:r w:rsidR="005C4F4B">
        <w:rPr>
          <w:rFonts w:ascii="Times New Roman" w:hAnsi="Times New Roman"/>
          <w:szCs w:val="22"/>
        </w:rPr>
        <w:t>,</w:t>
      </w:r>
      <w:r w:rsidRPr="000B5E50" w:rsidR="005C4F4B">
        <w:rPr>
          <w:rFonts w:ascii="Arial Narrow" w:hAnsi="Arial Narrow"/>
          <w:sz w:val="22"/>
          <w:szCs w:val="22"/>
        </w:rPr>
        <w:t xml:space="preserve"> </w:t>
      </w:r>
      <w:r w:rsidRPr="000B5E50" w:rsidR="005C4F4B">
        <w:rPr>
          <w:rFonts w:ascii="Times New Roman" w:eastAsia="Calibri" w:hAnsi="Times New Roman" w:hint="default"/>
          <w:szCs w:val="22"/>
        </w:rPr>
        <w:t>poisť</w:t>
      </w:r>
      <w:r w:rsidRPr="000B5E50" w:rsidR="005C4F4B">
        <w:rPr>
          <w:rFonts w:ascii="Times New Roman" w:eastAsia="Calibri" w:hAnsi="Times New Roman" w:hint="default"/>
          <w:szCs w:val="22"/>
        </w:rPr>
        <w:t>ovní</w:t>
      </w:r>
      <w:r w:rsidRPr="000B5E50" w:rsidR="005C4F4B">
        <w:rPr>
          <w:rFonts w:ascii="Times New Roman" w:eastAsia="Calibri" w:hAnsi="Times New Roman" w:hint="default"/>
          <w:szCs w:val="22"/>
        </w:rPr>
        <w:t>ctva a</w:t>
      </w:r>
      <w:r w:rsidR="005C4F4B">
        <w:rPr>
          <w:rFonts w:ascii="Times New Roman" w:hAnsi="Times New Roman"/>
          <w:szCs w:val="22"/>
        </w:rPr>
        <w:t> </w:t>
      </w:r>
      <w:r w:rsidRPr="000B5E50" w:rsidR="005C4F4B">
        <w:rPr>
          <w:rFonts w:ascii="Times New Roman" w:eastAsia="Calibri" w:hAnsi="Times New Roman" w:hint="default"/>
          <w:szCs w:val="22"/>
        </w:rPr>
        <w:t>zaisť</w:t>
      </w:r>
      <w:r w:rsidRPr="000B5E50" w:rsidR="005C4F4B">
        <w:rPr>
          <w:rFonts w:ascii="Times New Roman" w:eastAsia="Calibri" w:hAnsi="Times New Roman" w:hint="default"/>
          <w:szCs w:val="22"/>
        </w:rPr>
        <w:t>ovní</w:t>
      </w:r>
      <w:r w:rsidRPr="000B5E50" w:rsidR="005C4F4B">
        <w:rPr>
          <w:rFonts w:ascii="Times New Roman" w:eastAsia="Calibri" w:hAnsi="Times New Roman" w:hint="default"/>
          <w:szCs w:val="22"/>
        </w:rPr>
        <w:t>ctva</w:t>
      </w:r>
      <w:r w:rsidRPr="00E84F49" w:rsidR="005C4F4B">
        <w:rPr>
          <w:rFonts w:ascii="Times New Roman" w:hAnsi="Times New Roman"/>
        </w:rPr>
        <w:t xml:space="preserve">, </w:t>
      </w:r>
      <w:r w:rsidRPr="00E84F49" w:rsidR="00E84F49">
        <w:rPr>
          <w:rFonts w:ascii="Times New Roman" w:hAnsi="Times New Roman"/>
        </w:rPr>
        <w:t>verejného zdravotného poistenia</w:t>
      </w:r>
      <w:r w:rsidR="00E84F49">
        <w:rPr>
          <w:rFonts w:ascii="Arial Narrow" w:hAnsi="Arial Narrow"/>
          <w:sz w:val="22"/>
          <w:szCs w:val="22"/>
        </w:rPr>
        <w:t xml:space="preserve">, </w:t>
      </w:r>
      <w:r w:rsidRPr="000B5E50" w:rsidR="005C4F4B">
        <w:rPr>
          <w:rFonts w:ascii="Times New Roman" w:eastAsia="Calibri" w:hAnsi="Times New Roman" w:hint="default"/>
          <w:szCs w:val="22"/>
        </w:rPr>
        <w:t>elektronický</w:t>
      </w:r>
      <w:r w:rsidRPr="000B5E50" w:rsidR="005C4F4B">
        <w:rPr>
          <w:rFonts w:ascii="Times New Roman" w:eastAsia="Calibri" w:hAnsi="Times New Roman" w:hint="default"/>
          <w:szCs w:val="22"/>
        </w:rPr>
        <w:t>ch ko</w:t>
      </w:r>
      <w:r w:rsidRPr="000B5E50" w:rsidR="005C4F4B">
        <w:rPr>
          <w:rFonts w:ascii="Times New Roman" w:eastAsia="Calibri" w:hAnsi="Times New Roman" w:hint="default"/>
          <w:szCs w:val="22"/>
        </w:rPr>
        <w:t>muniká</w:t>
      </w:r>
      <w:r w:rsidRPr="000B5E50" w:rsidR="005C4F4B">
        <w:rPr>
          <w:rFonts w:ascii="Times New Roman" w:eastAsia="Calibri" w:hAnsi="Times New Roman" w:hint="default"/>
          <w:szCs w:val="22"/>
        </w:rPr>
        <w:t>cií</w:t>
      </w:r>
      <w:r w:rsidR="005C4F4B">
        <w:rPr>
          <w:rFonts w:ascii="Times New Roman" w:hAnsi="Times New Roman"/>
          <w:szCs w:val="22"/>
        </w:rPr>
        <w:t>,</w:t>
      </w:r>
      <w:r w:rsidRPr="000B5E50" w:rsidR="005C4F4B">
        <w:rPr>
          <w:rFonts w:ascii="Arial Narrow" w:hAnsi="Arial Narrow"/>
          <w:sz w:val="22"/>
          <w:szCs w:val="22"/>
        </w:rPr>
        <w:t xml:space="preserve"> </w:t>
      </w:r>
      <w:r w:rsidR="00871F78">
        <w:rPr>
          <w:rFonts w:ascii="Times New Roman" w:eastAsia="Calibri" w:hAnsi="Times New Roman" w:hint="default"/>
          <w:szCs w:val="22"/>
        </w:rPr>
        <w:t>zaobchá</w:t>
      </w:r>
      <w:r w:rsidR="00871F78">
        <w:rPr>
          <w:rFonts w:ascii="Times New Roman" w:eastAsia="Calibri" w:hAnsi="Times New Roman" w:hint="default"/>
          <w:szCs w:val="22"/>
        </w:rPr>
        <w:t>dzania s liekmi</w:t>
      </w:r>
      <w:r w:rsidR="005C4F4B">
        <w:rPr>
          <w:rFonts w:ascii="Times New Roman" w:hAnsi="Times New Roman"/>
          <w:szCs w:val="22"/>
        </w:rPr>
        <w:t>,</w:t>
      </w:r>
      <w:r w:rsidRPr="000B5E50" w:rsidR="005C4F4B">
        <w:rPr>
          <w:rFonts w:ascii="Arial Narrow" w:hAnsi="Arial Narrow"/>
          <w:sz w:val="22"/>
          <w:szCs w:val="22"/>
        </w:rPr>
        <w:t xml:space="preserve"> </w:t>
      </w:r>
      <w:r w:rsidRPr="000B5E50" w:rsidR="005C4F4B">
        <w:rPr>
          <w:rFonts w:ascii="Times New Roman" w:eastAsia="Calibri" w:hAnsi="Times New Roman" w:hint="default"/>
          <w:szCs w:val="22"/>
        </w:rPr>
        <w:t>poš</w:t>
      </w:r>
      <w:r w:rsidRPr="000B5E50" w:rsidR="005C4F4B">
        <w:rPr>
          <w:rFonts w:ascii="Times New Roman" w:eastAsia="Calibri" w:hAnsi="Times New Roman" w:hint="default"/>
          <w:szCs w:val="22"/>
        </w:rPr>
        <w:t>tový</w:t>
      </w:r>
      <w:r w:rsidRPr="000B5E50" w:rsidR="005C4F4B">
        <w:rPr>
          <w:rFonts w:ascii="Times New Roman" w:eastAsia="Calibri" w:hAnsi="Times New Roman" w:hint="default"/>
          <w:szCs w:val="22"/>
        </w:rPr>
        <w:t>ch služ</w:t>
      </w:r>
      <w:r w:rsidRPr="000B5E50" w:rsidR="005C4F4B">
        <w:rPr>
          <w:rFonts w:ascii="Times New Roman" w:eastAsia="Calibri" w:hAnsi="Times New Roman" w:hint="default"/>
          <w:szCs w:val="22"/>
        </w:rPr>
        <w:t>ieb</w:t>
      </w:r>
      <w:r w:rsidR="005C4F4B">
        <w:rPr>
          <w:rFonts w:ascii="Times New Roman" w:hAnsi="Times New Roman"/>
          <w:szCs w:val="22"/>
        </w:rPr>
        <w:t>,</w:t>
      </w:r>
      <w:r w:rsidRPr="000B5E50" w:rsidR="005C4F4B">
        <w:rPr>
          <w:rFonts w:ascii="Arial Narrow" w:hAnsi="Arial Narrow"/>
          <w:sz w:val="22"/>
          <w:szCs w:val="22"/>
        </w:rPr>
        <w:t xml:space="preserve"> </w:t>
      </w:r>
      <w:r w:rsidRPr="000B5E50" w:rsidR="005C4F4B">
        <w:rPr>
          <w:rFonts w:ascii="Times New Roman" w:eastAsia="Calibri" w:hAnsi="Times New Roman" w:hint="default"/>
          <w:szCs w:val="22"/>
        </w:rPr>
        <w:t>dopravy na drá</w:t>
      </w:r>
      <w:r w:rsidRPr="000B5E50" w:rsidR="005C4F4B">
        <w:rPr>
          <w:rFonts w:ascii="Times New Roman" w:eastAsia="Calibri" w:hAnsi="Times New Roman" w:hint="default"/>
          <w:szCs w:val="22"/>
        </w:rPr>
        <w:t>he</w:t>
      </w:r>
      <w:r w:rsidR="005C4F4B">
        <w:rPr>
          <w:rFonts w:ascii="Times New Roman" w:hAnsi="Times New Roman"/>
          <w:szCs w:val="22"/>
        </w:rPr>
        <w:t>,</w:t>
      </w:r>
      <w:r w:rsidRPr="00BD7394" w:rsidR="00BD7394">
        <w:rPr>
          <w:rFonts w:ascii="Times New Roman" w:hAnsi="Times New Roman"/>
        </w:rPr>
        <w:t xml:space="preserve"> </w:t>
      </w:r>
      <w:r w:rsidRPr="00BD7394" w:rsidR="00BD7394">
        <w:rPr>
          <w:rFonts w:ascii="Times New Roman" w:hAnsi="Times New Roman"/>
          <w:szCs w:val="22"/>
        </w:rPr>
        <w:t>verejných vodovodov</w:t>
      </w:r>
      <w:r w:rsidR="00BD7394">
        <w:rPr>
          <w:rFonts w:ascii="Times New Roman" w:hAnsi="Times New Roman"/>
          <w:szCs w:val="22"/>
        </w:rPr>
        <w:t>,</w:t>
      </w:r>
      <w:r w:rsidRPr="000B5E50" w:rsidR="005C4F4B">
        <w:rPr>
          <w:rFonts w:ascii="Arial Narrow" w:hAnsi="Arial Narrow"/>
          <w:sz w:val="22"/>
          <w:szCs w:val="22"/>
        </w:rPr>
        <w:t xml:space="preserve"> </w:t>
      </w:r>
      <w:r w:rsidRPr="000B5E50" w:rsidR="005C4F4B">
        <w:rPr>
          <w:rFonts w:ascii="Times New Roman" w:eastAsia="Calibri" w:hAnsi="Times New Roman" w:hint="default"/>
          <w:szCs w:val="22"/>
        </w:rPr>
        <w:t>verejný</w:t>
      </w:r>
      <w:r w:rsidRPr="000B5E50" w:rsidR="005C4F4B">
        <w:rPr>
          <w:rFonts w:ascii="Times New Roman" w:eastAsia="Calibri" w:hAnsi="Times New Roman" w:hint="default"/>
          <w:szCs w:val="22"/>
        </w:rPr>
        <w:t>ch kanalizá</w:t>
      </w:r>
      <w:r w:rsidRPr="000B5E50" w:rsidR="005C4F4B">
        <w:rPr>
          <w:rFonts w:ascii="Times New Roman" w:eastAsia="Calibri" w:hAnsi="Times New Roman" w:hint="default"/>
          <w:szCs w:val="22"/>
        </w:rPr>
        <w:t>cií</w:t>
      </w:r>
      <w:r w:rsidRPr="000B5E50" w:rsidR="005C4F4B">
        <w:rPr>
          <w:rFonts w:ascii="Times New Roman" w:hAnsi="Times New Roman"/>
          <w:szCs w:val="22"/>
        </w:rPr>
        <w:t xml:space="preserve"> </w:t>
      </w:r>
      <w:r w:rsidRPr="00BD7394" w:rsidR="00BD7394">
        <w:rPr>
          <w:rFonts w:ascii="Times New Roman" w:eastAsia="Calibri" w:hAnsi="Times New Roman"/>
          <w:szCs w:val="22"/>
        </w:rPr>
        <w:t>a leteckej dopravy</w:t>
      </w:r>
      <w:r w:rsidR="00553212">
        <w:rPr>
          <w:rFonts w:ascii="Times New Roman" w:eastAsia="Calibri" w:hAnsi="Times New Roman"/>
          <w:szCs w:val="22"/>
        </w:rPr>
        <w:t xml:space="preserve"> a </w:t>
      </w:r>
      <w:r w:rsidR="00553212">
        <w:rPr>
          <w:rFonts w:ascii="Times New Roman" w:eastAsia="Calibri" w:hAnsi="Times New Roman" w:hint="default"/>
          <w:szCs w:val="22"/>
        </w:rPr>
        <w:t>ktorá</w:t>
      </w:r>
      <w:r w:rsidR="00553212">
        <w:rPr>
          <w:rFonts w:ascii="Times New Roman" w:eastAsia="Calibri" w:hAnsi="Times New Roman" w:hint="default"/>
          <w:szCs w:val="22"/>
        </w:rPr>
        <w:t xml:space="preserve"> predpokladá</w:t>
      </w:r>
      <w:r w:rsidR="00553212">
        <w:rPr>
          <w:rFonts w:ascii="Times New Roman" w:eastAsia="Calibri" w:hAnsi="Times New Roman" w:hint="default"/>
          <w:szCs w:val="22"/>
        </w:rPr>
        <w:t>, ž</w:t>
      </w:r>
      <w:r w:rsidR="00553212">
        <w:rPr>
          <w:rFonts w:ascii="Times New Roman" w:eastAsia="Calibri" w:hAnsi="Times New Roman" w:hint="default"/>
          <w:szCs w:val="22"/>
        </w:rPr>
        <w:t>e</w:t>
      </w:r>
      <w:r w:rsidR="00812A69">
        <w:rPr>
          <w:rFonts w:ascii="Times New Roman" w:hAnsi="Times New Roman"/>
          <w:szCs w:val="22"/>
        </w:rPr>
        <w:t xml:space="preserve"> jej výnos</w:t>
      </w:r>
      <w:r>
        <w:rPr>
          <w:rFonts w:ascii="Times New Roman" w:hAnsi="Times New Roman"/>
          <w:szCs w:val="22"/>
        </w:rPr>
        <w:t>y</w:t>
      </w:r>
      <w:r w:rsidR="00812A69">
        <w:rPr>
          <w:rFonts w:ascii="Times New Roman" w:hAnsi="Times New Roman"/>
          <w:szCs w:val="22"/>
        </w:rPr>
        <w:t xml:space="preserve"> z regulovanej činnosti</w:t>
      </w:r>
      <w:r w:rsidR="00553212">
        <w:rPr>
          <w:rFonts w:ascii="Times New Roman" w:hAnsi="Times New Roman"/>
          <w:szCs w:val="22"/>
        </w:rPr>
        <w:t xml:space="preserve"> za účtovné obdobie</w:t>
      </w:r>
      <w:r w:rsidR="00BD7394">
        <w:rPr>
          <w:rFonts w:ascii="Times New Roman" w:hAnsi="Times New Roman"/>
          <w:szCs w:val="22"/>
        </w:rPr>
        <w:t>,</w:t>
      </w:r>
      <w:r w:rsidR="00553212">
        <w:rPr>
          <w:rFonts w:ascii="Times New Roman" w:hAnsi="Times New Roman"/>
          <w:szCs w:val="22"/>
        </w:rPr>
        <w:t xml:space="preserve"> v ktorom získala oprávnenie na výkon činnosti </w:t>
      </w:r>
      <w:r w:rsidR="00812A69">
        <w:rPr>
          <w:rFonts w:ascii="Times New Roman" w:hAnsi="Times New Roman"/>
          <w:szCs w:val="22"/>
        </w:rPr>
        <w:t>dosiahli aspoň 5</w:t>
      </w:r>
      <w:r w:rsidR="00553212">
        <w:rPr>
          <w:rFonts w:ascii="Times New Roman" w:hAnsi="Times New Roman"/>
          <w:szCs w:val="22"/>
        </w:rPr>
        <w:t>0</w:t>
      </w:r>
      <w:r w:rsidR="00812A69">
        <w:rPr>
          <w:rFonts w:ascii="Times New Roman" w:hAnsi="Times New Roman"/>
          <w:szCs w:val="22"/>
        </w:rPr>
        <w:t>% z je</w:t>
      </w:r>
      <w:r>
        <w:rPr>
          <w:rFonts w:ascii="Times New Roman" w:hAnsi="Times New Roman"/>
          <w:szCs w:val="22"/>
        </w:rPr>
        <w:t>j</w:t>
      </w:r>
      <w:r w:rsidR="00812A69">
        <w:rPr>
          <w:rFonts w:ascii="Times New Roman" w:hAnsi="Times New Roman"/>
          <w:szCs w:val="22"/>
        </w:rPr>
        <w:t xml:space="preserve"> celkových výnosov</w:t>
      </w:r>
      <w:r w:rsidR="00553212">
        <w:rPr>
          <w:rFonts w:ascii="Times New Roman" w:hAnsi="Times New Roman"/>
          <w:szCs w:val="22"/>
        </w:rPr>
        <w:t xml:space="preserve"> tohto účtovného obdobia</w:t>
      </w:r>
      <w:r w:rsidR="00812A69">
        <w:rPr>
          <w:rFonts w:ascii="Times New Roman" w:hAnsi="Times New Roman"/>
          <w:szCs w:val="22"/>
        </w:rPr>
        <w:t xml:space="preserve">. </w:t>
      </w:r>
      <w:r w:rsidR="005C4F4B">
        <w:rPr>
          <w:rFonts w:ascii="Times New Roman" w:hAnsi="Times New Roman"/>
          <w:szCs w:val="22"/>
        </w:rPr>
        <w:t>V ustanovení sa tiež navrhuje, aby regulovaná osoba</w:t>
      </w:r>
      <w:r>
        <w:rPr>
          <w:rFonts w:ascii="Times New Roman" w:hAnsi="Times New Roman"/>
          <w:szCs w:val="22"/>
        </w:rPr>
        <w:t xml:space="preserve"> v ustanovenej lehote</w:t>
      </w:r>
      <w:r w:rsidR="005C4F4B">
        <w:rPr>
          <w:rFonts w:ascii="Times New Roman" w:hAnsi="Times New Roman"/>
          <w:szCs w:val="22"/>
        </w:rPr>
        <w:t xml:space="preserve"> </w:t>
      </w:r>
      <w:r w:rsidR="00E84F49">
        <w:rPr>
          <w:rFonts w:ascii="Times New Roman" w:hAnsi="Times New Roman"/>
          <w:szCs w:val="22"/>
        </w:rPr>
        <w:t xml:space="preserve">písomne </w:t>
      </w:r>
      <w:r w:rsidRPr="00B60B76" w:rsidR="005C4F4B">
        <w:rPr>
          <w:rFonts w:ascii="Times New Roman" w:eastAsia="Calibri" w:hAnsi="Times New Roman" w:hint="default"/>
          <w:szCs w:val="22"/>
        </w:rPr>
        <w:t>ozná</w:t>
      </w:r>
      <w:r w:rsidRPr="00B60B76" w:rsidR="005C4F4B">
        <w:rPr>
          <w:rFonts w:ascii="Times New Roman" w:eastAsia="Calibri" w:hAnsi="Times New Roman" w:hint="default"/>
          <w:szCs w:val="22"/>
        </w:rPr>
        <w:t>mi</w:t>
      </w:r>
      <w:r w:rsidR="005C4F4B">
        <w:rPr>
          <w:rFonts w:ascii="Times New Roman" w:hAnsi="Times New Roman"/>
          <w:szCs w:val="22"/>
        </w:rPr>
        <w:t>la správcovi odvodu</w:t>
      </w:r>
      <w:r w:rsidRPr="00B60B76" w:rsidR="005C4F4B">
        <w:rPr>
          <w:rFonts w:ascii="Times New Roman" w:eastAsia="Calibri" w:hAnsi="Times New Roman"/>
          <w:szCs w:val="22"/>
        </w:rPr>
        <w:t xml:space="preserve"> </w:t>
      </w:r>
      <w:r w:rsidR="00E84F49">
        <w:rPr>
          <w:rFonts w:ascii="Times New Roman" w:eastAsia="Calibri" w:hAnsi="Times New Roman" w:hint="default"/>
          <w:szCs w:val="22"/>
        </w:rPr>
        <w:t>skutoč</w:t>
      </w:r>
      <w:r w:rsidR="00E84F49">
        <w:rPr>
          <w:rFonts w:ascii="Times New Roman" w:eastAsia="Calibri" w:hAnsi="Times New Roman" w:hint="default"/>
          <w:szCs w:val="22"/>
        </w:rPr>
        <w:t xml:space="preserve">nosti </w:t>
      </w:r>
      <w:r>
        <w:rPr>
          <w:rFonts w:ascii="Times New Roman" w:eastAsia="Calibri" w:hAnsi="Times New Roman" w:hint="default"/>
          <w:szCs w:val="22"/>
        </w:rPr>
        <w:t>potrebné</w:t>
      </w:r>
      <w:r>
        <w:rPr>
          <w:rFonts w:ascii="Times New Roman" w:eastAsia="Calibri" w:hAnsi="Times New Roman" w:hint="default"/>
          <w:szCs w:val="22"/>
        </w:rPr>
        <w:t xml:space="preserve"> pre sprá</w:t>
      </w:r>
      <w:r>
        <w:rPr>
          <w:rFonts w:ascii="Times New Roman" w:eastAsia="Calibri" w:hAnsi="Times New Roman" w:hint="default"/>
          <w:szCs w:val="22"/>
        </w:rPr>
        <w:t>vu tohto osobitné</w:t>
      </w:r>
      <w:r>
        <w:rPr>
          <w:rFonts w:ascii="Times New Roman" w:eastAsia="Calibri" w:hAnsi="Times New Roman" w:hint="default"/>
          <w:szCs w:val="22"/>
        </w:rPr>
        <w:t xml:space="preserve">ho odvodu. </w:t>
      </w:r>
    </w:p>
    <w:p w:rsidR="0021073F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</w:p>
    <w:p w:rsidR="005C4F4B" w:rsidRPr="006D72EB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 w:rsidRPr="006D72EB">
        <w:rPr>
          <w:rFonts w:ascii="Times New Roman" w:hAnsi="Times New Roman"/>
          <w:b/>
          <w:szCs w:val="22"/>
        </w:rPr>
        <w:t>K § 4</w:t>
      </w:r>
    </w:p>
    <w:p w:rsidR="005C4F4B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</w:t>
      </w:r>
      <w:r w:rsidR="006E3FA2">
        <w:rPr>
          <w:rFonts w:ascii="Times New Roman" w:hAnsi="Times New Roman"/>
          <w:szCs w:val="22"/>
        </w:rPr>
        <w:t> návrhu ustanovenia je upravený vznik povinnosti</w:t>
      </w:r>
      <w:r>
        <w:rPr>
          <w:rFonts w:ascii="Times New Roman" w:hAnsi="Times New Roman"/>
          <w:szCs w:val="22"/>
        </w:rPr>
        <w:t xml:space="preserve"> platiť odvod</w:t>
      </w:r>
      <w:r w:rsidR="006E3FA2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Ďalej sa navrhuj</w:t>
      </w:r>
      <w:r w:rsidR="0021073F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 </w:t>
      </w:r>
      <w:r w:rsidR="006E3FA2">
        <w:rPr>
          <w:rFonts w:ascii="Times New Roman" w:hAnsi="Times New Roman"/>
          <w:szCs w:val="22"/>
        </w:rPr>
        <w:t>sum</w:t>
      </w:r>
      <w:r w:rsidR="0021073F">
        <w:rPr>
          <w:rFonts w:ascii="Times New Roman" w:hAnsi="Times New Roman"/>
          <w:szCs w:val="22"/>
        </w:rPr>
        <w:t>a</w:t>
      </w:r>
      <w:r w:rsidR="006E3FA2">
        <w:rPr>
          <w:rFonts w:ascii="Times New Roman" w:hAnsi="Times New Roman"/>
          <w:szCs w:val="22"/>
        </w:rPr>
        <w:t xml:space="preserve"> základ</w:t>
      </w:r>
      <w:r w:rsidR="0021073F">
        <w:rPr>
          <w:rFonts w:ascii="Times New Roman" w:hAnsi="Times New Roman"/>
          <w:szCs w:val="22"/>
        </w:rPr>
        <w:t>u</w:t>
      </w:r>
      <w:r w:rsidR="006E3FA2">
        <w:rPr>
          <w:rFonts w:ascii="Times New Roman" w:hAnsi="Times New Roman"/>
          <w:szCs w:val="22"/>
        </w:rPr>
        <w:t xml:space="preserve"> odvod</w:t>
      </w:r>
      <w:r w:rsidR="0021073F">
        <w:rPr>
          <w:rFonts w:ascii="Times New Roman" w:hAnsi="Times New Roman"/>
          <w:szCs w:val="22"/>
        </w:rPr>
        <w:t>u</w:t>
      </w:r>
      <w:r w:rsidR="00553212">
        <w:rPr>
          <w:rFonts w:ascii="Times New Roman" w:hAnsi="Times New Roman"/>
          <w:szCs w:val="22"/>
        </w:rPr>
        <w:t>, od ktorej vzniká povinnosť platiť odvod</w:t>
      </w:r>
      <w:r w:rsidR="0021073F">
        <w:rPr>
          <w:rFonts w:ascii="Times New Roman" w:hAnsi="Times New Roman"/>
          <w:szCs w:val="22"/>
        </w:rPr>
        <w:t>.</w:t>
      </w:r>
      <w:r w:rsidR="006E3FA2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V ustanovení sa tiež navrhuje</w:t>
      </w:r>
      <w:r w:rsidR="006E3FA2">
        <w:rPr>
          <w:rFonts w:ascii="Times New Roman" w:hAnsi="Times New Roman"/>
          <w:szCs w:val="22"/>
        </w:rPr>
        <w:t xml:space="preserve"> oznamovacia povinnosť pre regulovanú osobu, ktorej účelom má byť posúdenie vzniku povinnosti platiť odvod.</w:t>
      </w:r>
      <w:r>
        <w:rPr>
          <w:rFonts w:ascii="Times New Roman" w:hAnsi="Times New Roman"/>
          <w:szCs w:val="22"/>
        </w:rPr>
        <w:t xml:space="preserve"> </w:t>
      </w:r>
      <w:r w:rsidR="006E3FA2">
        <w:rPr>
          <w:rFonts w:ascii="Times New Roman" w:hAnsi="Times New Roman"/>
          <w:szCs w:val="22"/>
        </w:rPr>
        <w:t xml:space="preserve">Osobe, ktorej vznikne povinnosť platiť odvod podľa tohto zákona povinnosť platiť </w:t>
      </w:r>
      <w:r w:rsidR="00553212">
        <w:rPr>
          <w:rFonts w:ascii="Times New Roman" w:hAnsi="Times New Roman"/>
          <w:szCs w:val="22"/>
        </w:rPr>
        <w:t>nezaniká, ani ak výsledok hospodárenia pri zúčtovaní nedosiahne sumu základu odvodu.</w:t>
      </w:r>
      <w:r w:rsidR="006E3FA2">
        <w:rPr>
          <w:rFonts w:ascii="Times New Roman" w:hAnsi="Times New Roman"/>
          <w:szCs w:val="22"/>
        </w:rPr>
        <w:t xml:space="preserve"> Rovnako sa ustanovuje prechod povinnosti platiť odvod na právnych nástupcov regulovanej osoby. V u</w:t>
      </w:r>
      <w:r w:rsidR="006F310C">
        <w:rPr>
          <w:rFonts w:ascii="Times New Roman" w:hAnsi="Times New Roman"/>
          <w:szCs w:val="22"/>
        </w:rPr>
        <w:t>s</w:t>
      </w:r>
      <w:r w:rsidR="006E3FA2">
        <w:rPr>
          <w:rFonts w:ascii="Times New Roman" w:hAnsi="Times New Roman"/>
          <w:szCs w:val="22"/>
        </w:rPr>
        <w:t xml:space="preserve">tanovení sa definuje aj zánik povinnosti platiť odvod </w:t>
      </w:r>
      <w:r w:rsidR="006F310C">
        <w:rPr>
          <w:rFonts w:ascii="Times New Roman" w:hAnsi="Times New Roman"/>
          <w:szCs w:val="22"/>
        </w:rPr>
        <w:t>splnením všetkých záväzkov regulovanej osoby podľa návrhu zákona</w:t>
      </w:r>
      <w:r w:rsidR="006E3FA2">
        <w:rPr>
          <w:rFonts w:ascii="Times New Roman" w:hAnsi="Times New Roman"/>
          <w:szCs w:val="22"/>
        </w:rPr>
        <w:t xml:space="preserve">. </w:t>
      </w:r>
    </w:p>
    <w:p w:rsidR="006F310C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</w:p>
    <w:p w:rsidR="005C4F4B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 w:rsidRPr="006D72EB">
        <w:rPr>
          <w:rFonts w:ascii="Times New Roman" w:hAnsi="Times New Roman"/>
          <w:b/>
          <w:szCs w:val="22"/>
        </w:rPr>
        <w:t>K § 5</w:t>
      </w:r>
    </w:p>
    <w:p w:rsidR="00AD265D" w:rsidP="005C4F4B">
      <w:pPr>
        <w:bidi w:val="0"/>
        <w:ind w:left="360"/>
        <w:jc w:val="both"/>
        <w:rPr>
          <w:rFonts w:ascii="Times New Roman" w:eastAsia="Calibri" w:hAnsi="Times New Roman"/>
          <w:szCs w:val="22"/>
        </w:rPr>
      </w:pPr>
      <w:r w:rsidRPr="006D72EB" w:rsidR="005C4F4B">
        <w:rPr>
          <w:rFonts w:ascii="Times New Roman" w:hAnsi="Times New Roman"/>
          <w:szCs w:val="22"/>
        </w:rPr>
        <w:t>Navrhuje sa, aby základom odvodu bol výsledok hospodárenia vykázaný</w:t>
      </w:r>
      <w:r w:rsidR="005C4F4B">
        <w:rPr>
          <w:rFonts w:ascii="Times New Roman" w:hAnsi="Times New Roman"/>
          <w:szCs w:val="22"/>
        </w:rPr>
        <w:t xml:space="preserve"> </w:t>
      </w:r>
      <w:r w:rsidRPr="006D72EB" w:rsidR="005C4F4B">
        <w:rPr>
          <w:rFonts w:ascii="Times New Roman" w:eastAsia="Calibri" w:hAnsi="Times New Roman" w:hint="default"/>
          <w:szCs w:val="22"/>
        </w:rPr>
        <w:t>za to úč</w:t>
      </w:r>
      <w:r w:rsidRPr="006D72EB" w:rsidR="005C4F4B">
        <w:rPr>
          <w:rFonts w:ascii="Times New Roman" w:eastAsia="Calibri" w:hAnsi="Times New Roman" w:hint="default"/>
          <w:szCs w:val="22"/>
        </w:rPr>
        <w:t>tovné</w:t>
      </w:r>
      <w:r w:rsidRPr="006D72EB" w:rsidR="005C4F4B">
        <w:rPr>
          <w:rFonts w:ascii="Times New Roman" w:eastAsia="Calibri" w:hAnsi="Times New Roman" w:hint="default"/>
          <w:szCs w:val="22"/>
        </w:rPr>
        <w:t xml:space="preserve"> obdobie, v ktorom regulova</w:t>
      </w:r>
      <w:r w:rsidRPr="006D72EB" w:rsidR="005C4F4B">
        <w:rPr>
          <w:rFonts w:ascii="Times New Roman" w:eastAsia="Calibri" w:hAnsi="Times New Roman" w:hint="default"/>
          <w:szCs w:val="22"/>
        </w:rPr>
        <w:t>ná</w:t>
      </w:r>
      <w:r w:rsidRPr="006D72EB" w:rsidR="005C4F4B">
        <w:rPr>
          <w:rFonts w:ascii="Times New Roman" w:eastAsia="Calibri" w:hAnsi="Times New Roman" w:hint="default"/>
          <w:szCs w:val="22"/>
        </w:rPr>
        <w:t xml:space="preserve"> osoba </w:t>
      </w:r>
      <w:r>
        <w:rPr>
          <w:rFonts w:ascii="Times New Roman" w:eastAsia="Calibri" w:hAnsi="Times New Roman"/>
          <w:szCs w:val="22"/>
        </w:rPr>
        <w:t>vy</w:t>
      </w:r>
      <w:r w:rsidRPr="006D72EB" w:rsidR="005C4F4B">
        <w:rPr>
          <w:rFonts w:ascii="Times New Roman" w:eastAsia="Calibri" w:hAnsi="Times New Roman"/>
          <w:szCs w:val="22"/>
        </w:rPr>
        <w:t>kon</w:t>
      </w:r>
      <w:r>
        <w:rPr>
          <w:rFonts w:ascii="Times New Roman" w:eastAsia="Calibri" w:hAnsi="Times New Roman" w:hint="default"/>
          <w:szCs w:val="22"/>
        </w:rPr>
        <w:t>á</w:t>
      </w:r>
      <w:r>
        <w:rPr>
          <w:rFonts w:ascii="Times New Roman" w:eastAsia="Calibri" w:hAnsi="Times New Roman" w:hint="default"/>
          <w:szCs w:val="22"/>
        </w:rPr>
        <w:t xml:space="preserve">va </w:t>
      </w:r>
      <w:r w:rsidRPr="006D72EB" w:rsidR="005C4F4B">
        <w:rPr>
          <w:rFonts w:ascii="Times New Roman" w:eastAsia="Calibri" w:hAnsi="Times New Roman" w:hint="default"/>
          <w:szCs w:val="22"/>
        </w:rPr>
        <w:t>č</w:t>
      </w:r>
      <w:r w:rsidRPr="006D72EB" w:rsidR="005C4F4B">
        <w:rPr>
          <w:rFonts w:ascii="Times New Roman" w:eastAsia="Calibri" w:hAnsi="Times New Roman" w:hint="default"/>
          <w:szCs w:val="22"/>
        </w:rPr>
        <w:t>innosti podľ</w:t>
      </w:r>
      <w:r w:rsidRPr="006D72EB" w:rsidR="005C4F4B">
        <w:rPr>
          <w:rFonts w:ascii="Times New Roman" w:eastAsia="Calibri" w:hAnsi="Times New Roman" w:hint="default"/>
          <w:szCs w:val="22"/>
        </w:rPr>
        <w:t>a</w:t>
      </w:r>
      <w:r>
        <w:rPr>
          <w:rFonts w:ascii="Times New Roman" w:eastAsia="Calibri" w:hAnsi="Times New Roman" w:hint="default"/>
          <w:szCs w:val="22"/>
        </w:rPr>
        <w:t xml:space="preserve"> tohto ná</w:t>
      </w:r>
      <w:r>
        <w:rPr>
          <w:rFonts w:ascii="Times New Roman" w:eastAsia="Calibri" w:hAnsi="Times New Roman" w:hint="default"/>
          <w:szCs w:val="22"/>
        </w:rPr>
        <w:t>vrhu</w:t>
      </w:r>
      <w:r w:rsidRPr="006D72EB" w:rsidR="005C4F4B">
        <w:rPr>
          <w:rFonts w:ascii="Times New Roman" w:eastAsia="Calibri" w:hAnsi="Times New Roman"/>
          <w:szCs w:val="22"/>
        </w:rPr>
        <w:t xml:space="preserve"> </w:t>
      </w:r>
      <w:r w:rsidR="00BD7394">
        <w:rPr>
          <w:rFonts w:ascii="Times New Roman" w:eastAsia="Calibri" w:hAnsi="Times New Roman" w:hint="default"/>
          <w:szCs w:val="22"/>
        </w:rPr>
        <w:t>zá</w:t>
      </w:r>
      <w:r w:rsidR="00BD7394">
        <w:rPr>
          <w:rFonts w:ascii="Times New Roman" w:eastAsia="Calibri" w:hAnsi="Times New Roman" w:hint="default"/>
          <w:szCs w:val="22"/>
        </w:rPr>
        <w:t>kona;</w:t>
      </w:r>
      <w:r>
        <w:rPr>
          <w:rFonts w:ascii="Times New Roman" w:eastAsia="Calibri" w:hAnsi="Times New Roman" w:hint="default"/>
          <w:szCs w:val="22"/>
        </w:rPr>
        <w:t xml:space="preserve"> na tento úč</w:t>
      </w:r>
      <w:r>
        <w:rPr>
          <w:rFonts w:ascii="Times New Roman" w:eastAsia="Calibri" w:hAnsi="Times New Roman" w:hint="default"/>
          <w:szCs w:val="22"/>
        </w:rPr>
        <w:t>el sa použ</w:t>
      </w:r>
      <w:r>
        <w:rPr>
          <w:rFonts w:ascii="Times New Roman" w:eastAsia="Calibri" w:hAnsi="Times New Roman" w:hint="default"/>
          <w:szCs w:val="22"/>
        </w:rPr>
        <w:t>ije vý</w:t>
      </w:r>
      <w:r>
        <w:rPr>
          <w:rFonts w:ascii="Times New Roman" w:eastAsia="Calibri" w:hAnsi="Times New Roman" w:hint="default"/>
          <w:szCs w:val="22"/>
        </w:rPr>
        <w:t>sledok hospodá</w:t>
      </w:r>
      <w:r>
        <w:rPr>
          <w:rFonts w:ascii="Times New Roman" w:eastAsia="Calibri" w:hAnsi="Times New Roman" w:hint="default"/>
          <w:szCs w:val="22"/>
        </w:rPr>
        <w:t>renia vyká</w:t>
      </w:r>
      <w:r>
        <w:rPr>
          <w:rFonts w:ascii="Times New Roman" w:eastAsia="Calibri" w:hAnsi="Times New Roman" w:hint="default"/>
          <w:szCs w:val="22"/>
        </w:rPr>
        <w:t>zaný</w:t>
      </w:r>
      <w:r>
        <w:rPr>
          <w:rFonts w:ascii="Times New Roman" w:eastAsia="Calibri" w:hAnsi="Times New Roman" w:hint="default"/>
          <w:szCs w:val="22"/>
        </w:rPr>
        <w:t xml:space="preserve"> podľ</w:t>
      </w:r>
      <w:r>
        <w:rPr>
          <w:rFonts w:ascii="Times New Roman" w:eastAsia="Calibri" w:hAnsi="Times New Roman" w:hint="default"/>
          <w:szCs w:val="22"/>
        </w:rPr>
        <w:t>a slovenský</w:t>
      </w:r>
      <w:r>
        <w:rPr>
          <w:rFonts w:ascii="Times New Roman" w:eastAsia="Calibri" w:hAnsi="Times New Roman" w:hint="default"/>
          <w:szCs w:val="22"/>
        </w:rPr>
        <w:t>ch prá</w:t>
      </w:r>
      <w:r>
        <w:rPr>
          <w:rFonts w:ascii="Times New Roman" w:eastAsia="Calibri" w:hAnsi="Times New Roman" w:hint="default"/>
          <w:szCs w:val="22"/>
        </w:rPr>
        <w:t>vnych predpisov alebo medziná</w:t>
      </w:r>
      <w:r>
        <w:rPr>
          <w:rFonts w:ascii="Times New Roman" w:eastAsia="Calibri" w:hAnsi="Times New Roman" w:hint="default"/>
          <w:szCs w:val="22"/>
        </w:rPr>
        <w:t>rodný</w:t>
      </w:r>
      <w:r>
        <w:rPr>
          <w:rFonts w:ascii="Times New Roman" w:eastAsia="Calibri" w:hAnsi="Times New Roman" w:hint="default"/>
          <w:szCs w:val="22"/>
        </w:rPr>
        <w:t>ch úč</w:t>
      </w:r>
      <w:r>
        <w:rPr>
          <w:rFonts w:ascii="Times New Roman" w:eastAsia="Calibri" w:hAnsi="Times New Roman" w:hint="default"/>
          <w:szCs w:val="22"/>
        </w:rPr>
        <w:t>tovný</w:t>
      </w:r>
      <w:r>
        <w:rPr>
          <w:rFonts w:ascii="Times New Roman" w:eastAsia="Calibri" w:hAnsi="Times New Roman" w:hint="default"/>
          <w:szCs w:val="22"/>
        </w:rPr>
        <w:t>ch noriem.</w:t>
      </w:r>
      <w:r w:rsidR="00037A18">
        <w:rPr>
          <w:rFonts w:ascii="Times New Roman" w:eastAsia="Calibri" w:hAnsi="Times New Roman" w:hint="default"/>
          <w:szCs w:val="22"/>
        </w:rPr>
        <w:t xml:space="preserve"> Tento vý</w:t>
      </w:r>
      <w:r w:rsidR="00037A18">
        <w:rPr>
          <w:rFonts w:ascii="Times New Roman" w:eastAsia="Calibri" w:hAnsi="Times New Roman" w:hint="default"/>
          <w:szCs w:val="22"/>
        </w:rPr>
        <w:t>sledok hospodá</w:t>
      </w:r>
      <w:r w:rsidR="00037A18">
        <w:rPr>
          <w:rFonts w:ascii="Times New Roman" w:eastAsia="Calibri" w:hAnsi="Times New Roman" w:hint="default"/>
          <w:szCs w:val="22"/>
        </w:rPr>
        <w:t>renia sa uvá</w:t>
      </w:r>
      <w:r w:rsidR="00037A18">
        <w:rPr>
          <w:rFonts w:ascii="Times New Roman" w:eastAsia="Calibri" w:hAnsi="Times New Roman" w:hint="default"/>
          <w:szCs w:val="22"/>
        </w:rPr>
        <w:t>dza na riadku 100 daň</w:t>
      </w:r>
      <w:r w:rsidR="00037A18">
        <w:rPr>
          <w:rFonts w:ascii="Times New Roman" w:eastAsia="Calibri" w:hAnsi="Times New Roman" w:hint="default"/>
          <w:szCs w:val="22"/>
        </w:rPr>
        <w:t>ové</w:t>
      </w:r>
      <w:r w:rsidR="00037A18">
        <w:rPr>
          <w:rFonts w:ascii="Times New Roman" w:eastAsia="Calibri" w:hAnsi="Times New Roman" w:hint="default"/>
          <w:szCs w:val="22"/>
        </w:rPr>
        <w:t>ho priznania</w:t>
      </w:r>
      <w:r w:rsidR="00037A18">
        <w:rPr>
          <w:rFonts w:ascii="Times New Roman" w:eastAsia="Calibri" w:hAnsi="Times New Roman" w:hint="default"/>
          <w:szCs w:val="22"/>
        </w:rPr>
        <w:t xml:space="preserve"> k dani z </w:t>
      </w:r>
      <w:r w:rsidR="00037A18">
        <w:rPr>
          <w:rFonts w:ascii="Times New Roman" w:eastAsia="Calibri" w:hAnsi="Times New Roman" w:hint="default"/>
          <w:szCs w:val="22"/>
        </w:rPr>
        <w:t>prí</w:t>
      </w:r>
      <w:r w:rsidR="00037A18">
        <w:rPr>
          <w:rFonts w:ascii="Times New Roman" w:eastAsia="Calibri" w:hAnsi="Times New Roman" w:hint="default"/>
          <w:szCs w:val="22"/>
        </w:rPr>
        <w:t>jmov prá</w:t>
      </w:r>
      <w:r w:rsidR="00037A18">
        <w:rPr>
          <w:rFonts w:ascii="Times New Roman" w:eastAsia="Calibri" w:hAnsi="Times New Roman" w:hint="default"/>
          <w:szCs w:val="22"/>
        </w:rPr>
        <w:t>vnický</w:t>
      </w:r>
      <w:r w:rsidR="00037A18">
        <w:rPr>
          <w:rFonts w:ascii="Times New Roman" w:eastAsia="Calibri" w:hAnsi="Times New Roman" w:hint="default"/>
          <w:szCs w:val="22"/>
        </w:rPr>
        <w:t>ch osô</w:t>
      </w:r>
      <w:r w:rsidR="00037A18">
        <w:rPr>
          <w:rFonts w:ascii="Times New Roman" w:eastAsia="Calibri" w:hAnsi="Times New Roman" w:hint="default"/>
          <w:szCs w:val="22"/>
        </w:rPr>
        <w:t>b.</w:t>
      </w:r>
      <w:r w:rsidR="00FC21B3">
        <w:rPr>
          <w:rFonts w:ascii="Times New Roman" w:eastAsia="Calibri" w:hAnsi="Times New Roman" w:hint="default"/>
          <w:szCs w:val="22"/>
        </w:rPr>
        <w:t xml:space="preserve"> Navrhujú</w:t>
      </w:r>
      <w:r w:rsidR="00FC21B3">
        <w:rPr>
          <w:rFonts w:ascii="Times New Roman" w:eastAsia="Calibri" w:hAnsi="Times New Roman" w:hint="default"/>
          <w:szCs w:val="22"/>
        </w:rPr>
        <w:t xml:space="preserve"> sa aj alternatí</w:t>
      </w:r>
      <w:r w:rsidR="00FC21B3">
        <w:rPr>
          <w:rFonts w:ascii="Times New Roman" w:eastAsia="Calibri" w:hAnsi="Times New Roman" w:hint="default"/>
          <w:szCs w:val="22"/>
        </w:rPr>
        <w:t>vy zá</w:t>
      </w:r>
      <w:r w:rsidR="00FC21B3">
        <w:rPr>
          <w:rFonts w:ascii="Times New Roman" w:eastAsia="Calibri" w:hAnsi="Times New Roman" w:hint="default"/>
          <w:szCs w:val="22"/>
        </w:rPr>
        <w:t>kladu odvodu.</w:t>
      </w:r>
    </w:p>
    <w:p w:rsidR="005C4F4B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</w:p>
    <w:p w:rsidR="005C4F4B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 w:rsidRPr="00773ACD">
        <w:rPr>
          <w:rFonts w:ascii="Times New Roman" w:hAnsi="Times New Roman"/>
          <w:b/>
          <w:szCs w:val="22"/>
        </w:rPr>
        <w:t>K § 6</w:t>
      </w:r>
    </w:p>
    <w:p w:rsidR="00843737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  <w:r w:rsidRPr="00773ACD" w:rsidR="005C4F4B">
        <w:rPr>
          <w:rFonts w:ascii="Times New Roman" w:hAnsi="Times New Roman"/>
          <w:szCs w:val="22"/>
        </w:rPr>
        <w:t>V ustanovení sa navrhuj</w:t>
      </w:r>
      <w:r w:rsidR="0021073F">
        <w:rPr>
          <w:rFonts w:ascii="Times New Roman" w:hAnsi="Times New Roman"/>
          <w:szCs w:val="22"/>
        </w:rPr>
        <w:t>e</w:t>
      </w:r>
      <w:r w:rsidRPr="00773ACD" w:rsidR="005C4F4B">
        <w:rPr>
          <w:rFonts w:ascii="Times New Roman" w:hAnsi="Times New Roman"/>
          <w:szCs w:val="22"/>
        </w:rPr>
        <w:t xml:space="preserve"> sadzb</w:t>
      </w:r>
      <w:r w:rsidR="0021073F">
        <w:rPr>
          <w:rFonts w:ascii="Times New Roman" w:hAnsi="Times New Roman"/>
          <w:szCs w:val="22"/>
        </w:rPr>
        <w:t>a</w:t>
      </w:r>
      <w:r w:rsidRPr="00773ACD" w:rsidR="005C4F4B">
        <w:rPr>
          <w:rFonts w:ascii="Times New Roman" w:hAnsi="Times New Roman"/>
          <w:szCs w:val="22"/>
        </w:rPr>
        <w:t xml:space="preserve"> odvodu</w:t>
      </w:r>
      <w:r w:rsidR="009C11B0">
        <w:rPr>
          <w:rFonts w:ascii="Times New Roman" w:hAnsi="Times New Roman"/>
          <w:szCs w:val="22"/>
        </w:rPr>
        <w:t>, ktor</w:t>
      </w:r>
      <w:r w:rsidR="0021073F">
        <w:rPr>
          <w:rFonts w:ascii="Times New Roman" w:hAnsi="Times New Roman"/>
          <w:szCs w:val="22"/>
        </w:rPr>
        <w:t>á</w:t>
      </w:r>
      <w:r w:rsidR="009C11B0">
        <w:rPr>
          <w:rFonts w:ascii="Times New Roman" w:hAnsi="Times New Roman"/>
          <w:szCs w:val="22"/>
        </w:rPr>
        <w:t xml:space="preserve"> sa použij</w:t>
      </w:r>
      <w:r w:rsidR="0021073F">
        <w:rPr>
          <w:rFonts w:ascii="Times New Roman" w:hAnsi="Times New Roman"/>
          <w:szCs w:val="22"/>
        </w:rPr>
        <w:t>e</w:t>
      </w:r>
      <w:r w:rsidR="009C11B0">
        <w:rPr>
          <w:rFonts w:ascii="Times New Roman" w:hAnsi="Times New Roman"/>
          <w:szCs w:val="22"/>
        </w:rPr>
        <w:t xml:space="preserve"> pri výpočte odvodu.</w:t>
      </w:r>
      <w:r w:rsidRPr="00773ACD" w:rsidR="005C4F4B">
        <w:rPr>
          <w:rFonts w:ascii="Times New Roman" w:hAnsi="Times New Roman"/>
          <w:szCs w:val="22"/>
        </w:rPr>
        <w:t xml:space="preserve"> </w:t>
      </w:r>
    </w:p>
    <w:p w:rsidR="009C11B0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</w:p>
    <w:p w:rsidR="005C4F4B" w:rsidRPr="00D85663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 w:rsidRPr="00D85663">
        <w:rPr>
          <w:rFonts w:ascii="Times New Roman" w:hAnsi="Times New Roman"/>
          <w:b/>
          <w:szCs w:val="22"/>
        </w:rPr>
        <w:t>K § 7</w:t>
      </w:r>
    </w:p>
    <w:p w:rsidR="005C4F4B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  ustanovení sa navrhuje výpočet odvodu ako súčin </w:t>
      </w:r>
      <w:r w:rsidR="00D916EB">
        <w:rPr>
          <w:rFonts w:ascii="Times New Roman" w:hAnsi="Times New Roman"/>
          <w:szCs w:val="22"/>
        </w:rPr>
        <w:t>základu odvodu a sadzby odvodu.</w:t>
      </w:r>
    </w:p>
    <w:p w:rsidR="00D916EB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</w:p>
    <w:p w:rsidR="0074773F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</w:p>
    <w:p w:rsidR="0074773F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</w:p>
    <w:p w:rsidR="005C4F4B" w:rsidRPr="00D85663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 w:rsidRPr="00D85663">
        <w:rPr>
          <w:rFonts w:ascii="Times New Roman" w:hAnsi="Times New Roman"/>
          <w:b/>
          <w:szCs w:val="22"/>
        </w:rPr>
        <w:t>K § 8</w:t>
      </w:r>
    </w:p>
    <w:p w:rsidR="005C4F4B" w:rsidP="00604EFA">
      <w:pPr>
        <w:bidi w:val="0"/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Navrhuje sa, aby sa odvod </w:t>
      </w:r>
      <w:r w:rsidR="00037A18">
        <w:rPr>
          <w:rFonts w:ascii="Times New Roman" w:hAnsi="Times New Roman"/>
          <w:szCs w:val="22"/>
        </w:rPr>
        <w:t>považoval za vyrubený</w:t>
      </w:r>
      <w:r>
        <w:rPr>
          <w:rFonts w:ascii="Times New Roman" w:hAnsi="Times New Roman"/>
          <w:szCs w:val="22"/>
        </w:rPr>
        <w:t xml:space="preserve"> </w:t>
      </w:r>
      <w:r w:rsidR="00037A18">
        <w:rPr>
          <w:rFonts w:ascii="Times New Roman" w:hAnsi="Times New Roman"/>
          <w:szCs w:val="22"/>
        </w:rPr>
        <w:t>doručením</w:t>
      </w:r>
      <w:r>
        <w:rPr>
          <w:rFonts w:ascii="Times New Roman" w:hAnsi="Times New Roman"/>
          <w:szCs w:val="22"/>
        </w:rPr>
        <w:t xml:space="preserve"> písomného oznámenia</w:t>
      </w:r>
      <w:r w:rsidR="00037A18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</w:t>
      </w:r>
      <w:r w:rsidR="00037A18">
        <w:rPr>
          <w:rFonts w:ascii="Times New Roman" w:hAnsi="Times New Roman"/>
          <w:szCs w:val="22"/>
        </w:rPr>
        <w:t>na základe ktorého je regulovaná osoba povinná tento odvod platiť, a to do konca každého odvodového obdobia, za ktoré sa odvod platí.</w:t>
      </w:r>
      <w:r w:rsidR="00604EFA">
        <w:rPr>
          <w:rFonts w:ascii="Times New Roman" w:hAnsi="Times New Roman"/>
          <w:szCs w:val="22"/>
        </w:rPr>
        <w:t xml:space="preserve"> Ak dôjde k zmene sumy základu odvodu, r</w:t>
      </w:r>
      <w:r w:rsidR="003B32D6">
        <w:rPr>
          <w:rFonts w:ascii="Times New Roman" w:hAnsi="Times New Roman"/>
          <w:szCs w:val="22"/>
        </w:rPr>
        <w:t>egulovaná osoba bude povinná</w:t>
      </w:r>
      <w:r w:rsidR="00037A18">
        <w:rPr>
          <w:rFonts w:ascii="Times New Roman" w:hAnsi="Times New Roman"/>
          <w:szCs w:val="22"/>
        </w:rPr>
        <w:t xml:space="preserve"> oznámiť novú sumu výsledku hospodárenia</w:t>
      </w:r>
      <w:r w:rsidR="00604EFA">
        <w:rPr>
          <w:rFonts w:ascii="Times New Roman" w:hAnsi="Times New Roman"/>
          <w:szCs w:val="22"/>
        </w:rPr>
        <w:t>.</w:t>
      </w:r>
      <w:r w:rsidR="00A40F5D">
        <w:rPr>
          <w:rFonts w:ascii="Times New Roman" w:hAnsi="Times New Roman"/>
          <w:szCs w:val="22"/>
        </w:rPr>
        <w:t xml:space="preserve"> Navrhuje sa</w:t>
      </w:r>
      <w:r w:rsidR="009F6DA0">
        <w:rPr>
          <w:rFonts w:ascii="Times New Roman" w:hAnsi="Times New Roman"/>
          <w:szCs w:val="22"/>
        </w:rPr>
        <w:t>, aby správca dane vydal rozhodnutie o určení výšky odvodu,</w:t>
      </w:r>
      <w:r w:rsidR="00A40F5D">
        <w:rPr>
          <w:rFonts w:ascii="Times New Roman" w:hAnsi="Times New Roman"/>
          <w:szCs w:val="22"/>
        </w:rPr>
        <w:t xml:space="preserve">  ak regulovaná osoba v oznámení nesprávne uvedie výšku odvodu. Navrhuje sa možnosť podania opravného prostriedku – námietky proti rozhodnutiam podľa tohto zákona.</w:t>
      </w:r>
    </w:p>
    <w:p w:rsidR="005C4F4B" w:rsidRPr="006C5F13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</w:p>
    <w:p w:rsidR="005C4F4B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 w:rsidRPr="006C5F13">
        <w:rPr>
          <w:rFonts w:ascii="Times New Roman" w:hAnsi="Times New Roman"/>
          <w:b/>
          <w:szCs w:val="22"/>
        </w:rPr>
        <w:t xml:space="preserve">K § 9 </w:t>
      </w:r>
    </w:p>
    <w:p w:rsidR="005C4F4B" w:rsidRPr="006824A5" w:rsidP="006824A5">
      <w:pPr>
        <w:bidi w:val="0"/>
        <w:ind w:left="360"/>
        <w:jc w:val="both"/>
        <w:rPr>
          <w:rFonts w:ascii="Times New Roman" w:hAnsi="Times New Roman"/>
          <w:szCs w:val="22"/>
        </w:rPr>
      </w:pPr>
      <w:r w:rsidR="00843737">
        <w:rPr>
          <w:rFonts w:ascii="Times New Roman" w:hAnsi="Times New Roman"/>
          <w:szCs w:val="22"/>
        </w:rPr>
        <w:t>V ustanovení sa navrhuje, aby správca odvodu po predložení výsledku hospod</w:t>
      </w:r>
      <w:r w:rsidR="00CC3BDF">
        <w:rPr>
          <w:rFonts w:ascii="Times New Roman" w:hAnsi="Times New Roman"/>
          <w:szCs w:val="22"/>
        </w:rPr>
        <w:t xml:space="preserve">árenia vykonal zúčtovanie odvodov. Zúčtovaním </w:t>
      </w:r>
      <w:r w:rsidR="009F6DA0">
        <w:rPr>
          <w:rFonts w:ascii="Times New Roman" w:hAnsi="Times New Roman"/>
          <w:szCs w:val="22"/>
        </w:rPr>
        <w:t xml:space="preserve">odvodov </w:t>
      </w:r>
      <w:r w:rsidR="00CC3BDF">
        <w:rPr>
          <w:rFonts w:ascii="Times New Roman" w:hAnsi="Times New Roman"/>
          <w:szCs w:val="22"/>
        </w:rPr>
        <w:t xml:space="preserve">správca odvodu porovná súčet zaplatených odvodov za príslušné odvodové obdobia so súčtom odvodov vypočítaných z reálneho výsledku hospodárenia. </w:t>
      </w:r>
      <w:r w:rsidR="00CC3BDF">
        <w:rPr>
          <w:rFonts w:ascii="Times New Roman" w:eastAsia="Calibri" w:hAnsi="Times New Roman" w:hint="default"/>
          <w:szCs w:val="22"/>
        </w:rPr>
        <w:t>Definuje sa nedoplatok zo zúč</w:t>
      </w:r>
      <w:r w:rsidR="00CC3BDF">
        <w:rPr>
          <w:rFonts w:ascii="Times New Roman" w:eastAsia="Calibri" w:hAnsi="Times New Roman" w:hint="default"/>
          <w:szCs w:val="22"/>
        </w:rPr>
        <w:t>tovania odvodov a preplatok na odvodoch. O </w:t>
      </w:r>
      <w:r w:rsidR="00CC3BDF">
        <w:rPr>
          <w:rFonts w:ascii="Times New Roman" w:eastAsia="Calibri" w:hAnsi="Times New Roman" w:hint="default"/>
          <w:szCs w:val="22"/>
        </w:rPr>
        <w:t>zúč</w:t>
      </w:r>
      <w:r w:rsidR="00CC3BDF">
        <w:rPr>
          <w:rFonts w:ascii="Times New Roman" w:eastAsia="Calibri" w:hAnsi="Times New Roman" w:hint="default"/>
          <w:szCs w:val="22"/>
        </w:rPr>
        <w:t>tovaní</w:t>
      </w:r>
      <w:r w:rsidR="00CC3BDF">
        <w:rPr>
          <w:rFonts w:ascii="Times New Roman" w:eastAsia="Calibri" w:hAnsi="Times New Roman" w:hint="default"/>
          <w:szCs w:val="22"/>
        </w:rPr>
        <w:t xml:space="preserve"> odvodov vydá</w:t>
      </w:r>
      <w:r w:rsidR="00CC3BDF">
        <w:rPr>
          <w:rFonts w:ascii="Times New Roman" w:eastAsia="Calibri" w:hAnsi="Times New Roman" w:hint="default"/>
          <w:szCs w:val="22"/>
        </w:rPr>
        <w:t xml:space="preserve"> sprá</w:t>
      </w:r>
      <w:r w:rsidR="00CC3BDF">
        <w:rPr>
          <w:rFonts w:ascii="Times New Roman" w:eastAsia="Calibri" w:hAnsi="Times New Roman" w:hint="default"/>
          <w:szCs w:val="22"/>
        </w:rPr>
        <w:t>vca odvodu rozhodnutie. Ustanovuje sa postup pri zmene zá</w:t>
      </w:r>
      <w:r w:rsidR="00CC3BDF">
        <w:rPr>
          <w:rFonts w:ascii="Times New Roman" w:eastAsia="Calibri" w:hAnsi="Times New Roman" w:hint="default"/>
          <w:szCs w:val="22"/>
        </w:rPr>
        <w:t>kladu odvodu za to úč</w:t>
      </w:r>
      <w:r w:rsidR="00CC3BDF">
        <w:rPr>
          <w:rFonts w:ascii="Times New Roman" w:eastAsia="Calibri" w:hAnsi="Times New Roman" w:hint="default"/>
          <w:szCs w:val="22"/>
        </w:rPr>
        <w:t>tovn</w:t>
      </w:r>
      <w:r w:rsidR="00CC3BDF">
        <w:rPr>
          <w:rFonts w:ascii="Times New Roman" w:eastAsia="Calibri" w:hAnsi="Times New Roman" w:hint="default"/>
          <w:szCs w:val="22"/>
        </w:rPr>
        <w:t>é</w:t>
      </w:r>
      <w:r w:rsidR="00CC3BDF">
        <w:rPr>
          <w:rFonts w:ascii="Times New Roman" w:eastAsia="Calibri" w:hAnsi="Times New Roman" w:hint="default"/>
          <w:szCs w:val="22"/>
        </w:rPr>
        <w:t xml:space="preserve"> obdobie, za ktoré</w:t>
      </w:r>
      <w:r w:rsidR="00CC3BDF">
        <w:rPr>
          <w:rFonts w:ascii="Times New Roman" w:eastAsia="Calibri" w:hAnsi="Times New Roman" w:hint="default"/>
          <w:szCs w:val="22"/>
        </w:rPr>
        <w:t xml:space="preserve"> už</w:t>
      </w:r>
      <w:r w:rsidR="00CC3BDF">
        <w:rPr>
          <w:rFonts w:ascii="Times New Roman" w:eastAsia="Calibri" w:hAnsi="Times New Roman" w:hint="default"/>
          <w:szCs w:val="22"/>
        </w:rPr>
        <w:t xml:space="preserve"> bolo vykonané</w:t>
      </w:r>
      <w:r w:rsidR="004B6EB2">
        <w:rPr>
          <w:rFonts w:ascii="Times New Roman" w:eastAsia="Calibri" w:hAnsi="Times New Roman" w:hint="default"/>
          <w:szCs w:val="22"/>
        </w:rPr>
        <w:t xml:space="preserve"> zúč</w:t>
      </w:r>
      <w:r w:rsidR="004B6EB2">
        <w:rPr>
          <w:rFonts w:ascii="Times New Roman" w:eastAsia="Calibri" w:hAnsi="Times New Roman" w:hint="default"/>
          <w:szCs w:val="22"/>
        </w:rPr>
        <w:t>tovanie</w:t>
      </w:r>
      <w:r w:rsidR="00CC3BDF">
        <w:rPr>
          <w:rFonts w:ascii="Times New Roman" w:eastAsia="Calibri" w:hAnsi="Times New Roman"/>
          <w:szCs w:val="22"/>
        </w:rPr>
        <w:t>.</w:t>
      </w:r>
    </w:p>
    <w:p w:rsidR="00843737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</w:p>
    <w:p w:rsidR="005C4F4B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K §  10</w:t>
      </w:r>
    </w:p>
    <w:p w:rsidR="006824A5" w:rsidRPr="006824A5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navrhovanom ustanovení sa uvádza</w:t>
      </w:r>
      <w:r w:rsidRPr="006824A5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spôsob, akým je regulovaná osoba povinná platiť odvod. Rovnako sa ustanovujú sankcie za nesplnenie tejto povinnosti. Navrhuje sa, aby </w:t>
      </w:r>
      <w:r w:rsidR="00FC21B3">
        <w:rPr>
          <w:rFonts w:ascii="Times New Roman" w:hAnsi="Times New Roman"/>
          <w:szCs w:val="22"/>
        </w:rPr>
        <w:t xml:space="preserve">povinnosť zaplatiť nezaplatený odvod regulovanej osoby uhradili jej </w:t>
      </w:r>
      <w:r>
        <w:rPr>
          <w:rFonts w:ascii="Times New Roman" w:hAnsi="Times New Roman"/>
          <w:szCs w:val="22"/>
        </w:rPr>
        <w:t xml:space="preserve">právni  nástupcovia </w:t>
      </w:r>
      <w:r w:rsidR="008720D7">
        <w:rPr>
          <w:rFonts w:ascii="Times New Roman" w:hAnsi="Times New Roman"/>
          <w:szCs w:val="22"/>
        </w:rPr>
        <w:t>spoločne a nerozdielne</w:t>
      </w:r>
      <w:r>
        <w:rPr>
          <w:rFonts w:ascii="Times New Roman" w:hAnsi="Times New Roman"/>
          <w:szCs w:val="22"/>
        </w:rPr>
        <w:t>.</w:t>
      </w:r>
      <w:r w:rsidR="00D423EF">
        <w:rPr>
          <w:rFonts w:ascii="Times New Roman" w:hAnsi="Times New Roman"/>
          <w:szCs w:val="22"/>
        </w:rPr>
        <w:t xml:space="preserve"> Navrhuje sa spôsob použitia prepl</w:t>
      </w:r>
      <w:r w:rsidR="00B2671F">
        <w:rPr>
          <w:rFonts w:ascii="Times New Roman" w:hAnsi="Times New Roman"/>
          <w:szCs w:val="22"/>
        </w:rPr>
        <w:t>atku na odvodoch.</w:t>
      </w:r>
    </w:p>
    <w:p w:rsidR="006824A5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</w:p>
    <w:p w:rsidR="00D423EF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K § 11</w:t>
      </w:r>
    </w:p>
    <w:p w:rsidR="00D423EF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  <w:r w:rsidRPr="00D423EF">
        <w:rPr>
          <w:rFonts w:ascii="Times New Roman" w:hAnsi="Times New Roman"/>
          <w:szCs w:val="22"/>
        </w:rPr>
        <w:t>Navrhuje sa posledné odvodové obdobie, ktorým je december 2013.</w:t>
      </w:r>
    </w:p>
    <w:p w:rsidR="00D423EF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</w:p>
    <w:p w:rsidR="00D423EF" w:rsidRPr="00D423EF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 w:rsidRPr="00D423EF">
        <w:rPr>
          <w:rFonts w:ascii="Times New Roman" w:hAnsi="Times New Roman"/>
          <w:b/>
          <w:szCs w:val="22"/>
        </w:rPr>
        <w:t>K § 12</w:t>
      </w:r>
    </w:p>
    <w:p w:rsidR="005C4F4B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  <w:r w:rsidRPr="00EB0342">
        <w:rPr>
          <w:rFonts w:ascii="Times New Roman" w:hAnsi="Times New Roman"/>
          <w:szCs w:val="22"/>
        </w:rPr>
        <w:t xml:space="preserve">V ustanovení sa navrhujú </w:t>
      </w:r>
      <w:r w:rsidR="006824A5">
        <w:rPr>
          <w:rFonts w:ascii="Times New Roman" w:hAnsi="Times New Roman"/>
          <w:szCs w:val="22"/>
        </w:rPr>
        <w:t xml:space="preserve">spoločné, </w:t>
      </w:r>
      <w:r w:rsidRPr="00EB0342">
        <w:rPr>
          <w:rFonts w:ascii="Times New Roman" w:hAnsi="Times New Roman"/>
          <w:szCs w:val="22"/>
        </w:rPr>
        <w:t>prechodné a záverečné ustanovenia</w:t>
      </w:r>
      <w:r w:rsidR="00D423EF">
        <w:rPr>
          <w:rFonts w:ascii="Times New Roman" w:hAnsi="Times New Roman"/>
          <w:szCs w:val="22"/>
        </w:rPr>
        <w:t xml:space="preserve"> k tomuto zákonu. Navrhuje sa subsidiárne použitie daňového poriad</w:t>
      </w:r>
      <w:r w:rsidRPr="00EB0342">
        <w:rPr>
          <w:rFonts w:ascii="Times New Roman" w:hAnsi="Times New Roman"/>
          <w:szCs w:val="22"/>
        </w:rPr>
        <w:t>k</w:t>
      </w:r>
      <w:r w:rsidR="00D423EF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. </w:t>
      </w:r>
      <w:r w:rsidR="00B2671F">
        <w:rPr>
          <w:rFonts w:ascii="Times New Roman" w:hAnsi="Times New Roman"/>
          <w:szCs w:val="22"/>
        </w:rPr>
        <w:t xml:space="preserve">Navrhuje sa postup pri vymáhaní nedoplatku na odvodoch. </w:t>
      </w:r>
      <w:r w:rsidR="00D423EF">
        <w:rPr>
          <w:rFonts w:ascii="Times New Roman" w:hAnsi="Times New Roman"/>
          <w:szCs w:val="22"/>
        </w:rPr>
        <w:t>Navrhuje sa, aby uhradené odvody boli štátnymi finančnými aktívami, ktoré sú účelovo určené na podporu rozvojových programov vlády Slovenskej republiky</w:t>
      </w:r>
      <w:r>
        <w:rPr>
          <w:rFonts w:ascii="Times New Roman" w:hAnsi="Times New Roman"/>
          <w:szCs w:val="22"/>
        </w:rPr>
        <w:t xml:space="preserve">. </w:t>
      </w:r>
      <w:r w:rsidR="00D423EF">
        <w:rPr>
          <w:rFonts w:ascii="Times New Roman" w:hAnsi="Times New Roman"/>
          <w:szCs w:val="22"/>
        </w:rPr>
        <w:t>N</w:t>
      </w:r>
      <w:r>
        <w:rPr>
          <w:rFonts w:ascii="Times New Roman" w:hAnsi="Times New Roman"/>
          <w:szCs w:val="22"/>
        </w:rPr>
        <w:t>avrhuje</w:t>
      </w:r>
      <w:r w:rsidR="0021073F">
        <w:rPr>
          <w:rFonts w:ascii="Times New Roman" w:hAnsi="Times New Roman"/>
          <w:szCs w:val="22"/>
        </w:rPr>
        <w:t xml:space="preserve"> sa</w:t>
      </w:r>
      <w:r>
        <w:rPr>
          <w:rFonts w:ascii="Times New Roman" w:hAnsi="Times New Roman"/>
          <w:szCs w:val="22"/>
        </w:rPr>
        <w:t xml:space="preserve">, aby </w:t>
      </w:r>
      <w:r w:rsidR="00D423EF">
        <w:rPr>
          <w:rFonts w:ascii="Times New Roman" w:hAnsi="Times New Roman"/>
          <w:szCs w:val="22"/>
        </w:rPr>
        <w:t xml:space="preserve">regulovaná osoba mohla </w:t>
      </w:r>
      <w:r>
        <w:rPr>
          <w:rFonts w:ascii="Times New Roman" w:hAnsi="Times New Roman"/>
          <w:szCs w:val="22"/>
        </w:rPr>
        <w:t>odvod zahrnúť do základu dane z príjmo</w:t>
      </w:r>
      <w:r w:rsidR="00CE50DD">
        <w:rPr>
          <w:rFonts w:ascii="Times New Roman" w:hAnsi="Times New Roman"/>
          <w:szCs w:val="22"/>
        </w:rPr>
        <w:t xml:space="preserve">v. </w:t>
      </w:r>
      <w:r w:rsidR="00DB570E">
        <w:rPr>
          <w:rFonts w:ascii="Times New Roman" w:hAnsi="Times New Roman"/>
          <w:szCs w:val="22"/>
        </w:rPr>
        <w:t>Ďalej sa n</w:t>
      </w:r>
      <w:r>
        <w:rPr>
          <w:rFonts w:ascii="Times New Roman" w:hAnsi="Times New Roman"/>
          <w:szCs w:val="22"/>
        </w:rPr>
        <w:t xml:space="preserve">avrhuje </w:t>
      </w:r>
      <w:r w:rsidR="00DB570E">
        <w:rPr>
          <w:rFonts w:ascii="Times New Roman" w:hAnsi="Times New Roman"/>
          <w:szCs w:val="22"/>
        </w:rPr>
        <w:t>zákaz</w:t>
      </w:r>
      <w:r>
        <w:rPr>
          <w:rFonts w:ascii="Times New Roman" w:hAnsi="Times New Roman"/>
          <w:szCs w:val="22"/>
        </w:rPr>
        <w:t xml:space="preserve"> </w:t>
      </w:r>
      <w:r w:rsidR="00DB570E">
        <w:rPr>
          <w:rFonts w:ascii="Times New Roman" w:hAnsi="Times New Roman"/>
          <w:szCs w:val="22"/>
        </w:rPr>
        <w:t>zvýšenia</w:t>
      </w:r>
      <w:r>
        <w:rPr>
          <w:rFonts w:ascii="Times New Roman" w:hAnsi="Times New Roman"/>
          <w:szCs w:val="22"/>
        </w:rPr>
        <w:t xml:space="preserve"> regulovanej ceny </w:t>
      </w:r>
      <w:r w:rsidR="00DB570E">
        <w:rPr>
          <w:rFonts w:ascii="Times New Roman" w:hAnsi="Times New Roman"/>
          <w:szCs w:val="22"/>
        </w:rPr>
        <w:t xml:space="preserve">z dôvodu zaplatenia odvodu. </w:t>
      </w:r>
    </w:p>
    <w:p w:rsidR="00DB570E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</w:p>
    <w:p w:rsidR="00DB570E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K § 13</w:t>
      </w:r>
    </w:p>
    <w:p w:rsidR="005C4F4B" w:rsidRPr="006B7231" w:rsidP="006B7231">
      <w:pPr>
        <w:bidi w:val="0"/>
        <w:ind w:left="360"/>
        <w:jc w:val="both"/>
        <w:rPr>
          <w:rFonts w:ascii="Times New Roman" w:eastAsia="Calibri" w:hAnsi="Times New Roman"/>
          <w:szCs w:val="22"/>
        </w:rPr>
      </w:pPr>
      <w:r w:rsidRPr="007869F8">
        <w:rPr>
          <w:rFonts w:ascii="Times New Roman" w:hAnsi="Times New Roman"/>
          <w:szCs w:val="22"/>
        </w:rPr>
        <w:t xml:space="preserve">Navrhuje sa, aby sa za regulovanú osobu považovala právnická osoba, ktorá ku dňu nadobudnutia účinnosti tohto zákona mala oprávnenie na výkon </w:t>
      </w:r>
      <w:r w:rsidR="00D916EB">
        <w:rPr>
          <w:rFonts w:ascii="Times New Roman" w:hAnsi="Times New Roman"/>
          <w:szCs w:val="22"/>
        </w:rPr>
        <w:t>aspoň jednej z</w:t>
      </w:r>
      <w:r w:rsidRPr="007869F8">
        <w:rPr>
          <w:rFonts w:ascii="Times New Roman" w:hAnsi="Times New Roman"/>
          <w:szCs w:val="22"/>
        </w:rPr>
        <w:t xml:space="preserve"> činností </w:t>
      </w:r>
      <w:r w:rsidR="00DB570E">
        <w:rPr>
          <w:rFonts w:ascii="Times New Roman" w:hAnsi="Times New Roman"/>
          <w:szCs w:val="22"/>
        </w:rPr>
        <w:t>podľa tohto zákona</w:t>
      </w:r>
      <w:r w:rsidR="007F759F">
        <w:rPr>
          <w:rFonts w:ascii="Times New Roman" w:hAnsi="Times New Roman"/>
          <w:szCs w:val="22"/>
        </w:rPr>
        <w:t xml:space="preserve"> a stala sa regulovanou osobou podľa § 3 ods. 1</w:t>
      </w:r>
      <w:r w:rsidR="008720D7">
        <w:rPr>
          <w:rFonts w:ascii="Times New Roman" w:hAnsi="Times New Roman"/>
          <w:szCs w:val="22"/>
        </w:rPr>
        <w:t xml:space="preserve">, ako aj osoba, ktorá </w:t>
      </w:r>
      <w:r w:rsidRPr="007869F8" w:rsidR="008720D7">
        <w:rPr>
          <w:rFonts w:ascii="Times New Roman" w:hAnsi="Times New Roman"/>
          <w:szCs w:val="22"/>
        </w:rPr>
        <w:t>ku dňu nadobudnutia účinnosti tohto zákona mala opr</w:t>
      </w:r>
      <w:r w:rsidR="00D916EB">
        <w:rPr>
          <w:rFonts w:ascii="Times New Roman" w:hAnsi="Times New Roman"/>
          <w:szCs w:val="22"/>
        </w:rPr>
        <w:t>ávnenie na výkon aspoň jednej z</w:t>
      </w:r>
      <w:r w:rsidRPr="007869F8" w:rsidR="008720D7">
        <w:rPr>
          <w:rFonts w:ascii="Times New Roman" w:hAnsi="Times New Roman"/>
          <w:szCs w:val="22"/>
        </w:rPr>
        <w:t xml:space="preserve"> činností </w:t>
      </w:r>
      <w:r w:rsidR="008720D7">
        <w:rPr>
          <w:rFonts w:ascii="Times New Roman" w:hAnsi="Times New Roman"/>
          <w:szCs w:val="22"/>
        </w:rPr>
        <w:t>podľa tohto zákona a ešte nevykázala žiadny výsledok hospodárenia</w:t>
      </w:r>
      <w:r w:rsidR="00DB570E">
        <w:rPr>
          <w:rFonts w:ascii="Times New Roman" w:hAnsi="Times New Roman"/>
          <w:szCs w:val="22"/>
        </w:rPr>
        <w:t xml:space="preserve">. </w:t>
      </w:r>
      <w:r w:rsidRPr="008720D7" w:rsidR="008720D7">
        <w:rPr>
          <w:rFonts w:ascii="Times New Roman" w:hAnsi="Times New Roman"/>
          <w:szCs w:val="22"/>
        </w:rPr>
        <w:t>Týmto osobám sa zároveň</w:t>
      </w:r>
      <w:r w:rsidRPr="008720D7" w:rsidR="006B7231">
        <w:rPr>
          <w:rFonts w:ascii="Times New Roman" w:hAnsi="Times New Roman"/>
          <w:szCs w:val="22"/>
        </w:rPr>
        <w:t xml:space="preserve"> určuje oznamovacia povinnosť.</w:t>
      </w:r>
    </w:p>
    <w:p w:rsidR="005C4F4B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</w:p>
    <w:p w:rsidR="005C4F4B" w:rsidRPr="004679EE" w:rsidP="004679EE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 w:rsidR="007B53F1">
        <w:rPr>
          <w:rFonts w:ascii="Times New Roman" w:hAnsi="Times New Roman"/>
          <w:b/>
          <w:szCs w:val="22"/>
        </w:rPr>
        <w:t>K čl.</w:t>
      </w:r>
      <w:r w:rsidRPr="004679EE">
        <w:rPr>
          <w:rFonts w:ascii="Times New Roman" w:eastAsia="Times New Roman" w:hAnsi="Times New Roman" w:cs="Times New Roman"/>
          <w:b/>
          <w:szCs w:val="22"/>
          <w:rtl w:val="0"/>
        </w:rPr>
        <w:sym w:font="Times New Roman" w:char="F0A0"/>
      </w:r>
      <w:r w:rsidRPr="004679EE">
        <w:rPr>
          <w:rFonts w:ascii="Times New Roman" w:hAnsi="Times New Roman"/>
          <w:b/>
          <w:szCs w:val="22"/>
        </w:rPr>
        <w:t>II</w:t>
      </w:r>
    </w:p>
    <w:p w:rsidR="00402199" w:rsidRPr="00CE50DD" w:rsidP="004679EE">
      <w:pPr>
        <w:bidi w:val="0"/>
        <w:ind w:left="360"/>
        <w:jc w:val="both"/>
        <w:rPr>
          <w:rFonts w:ascii="Times New Roman" w:hAnsi="Times New Roman"/>
          <w:szCs w:val="22"/>
        </w:rPr>
      </w:pPr>
      <w:r w:rsidR="006B7231">
        <w:rPr>
          <w:rFonts w:ascii="Times New Roman" w:hAnsi="Times New Roman"/>
          <w:szCs w:val="22"/>
        </w:rPr>
        <w:t>Navrhovaným článkom sa rozširujú kompetencie daňového úradu a daňového úradu pre vybrané daňové subjekty o správu osobitného odvodu podľa tohto zákona.</w:t>
      </w:r>
      <w:r w:rsidR="00CE50DD">
        <w:rPr>
          <w:rFonts w:ascii="Times New Roman" w:hAnsi="Times New Roman"/>
          <w:szCs w:val="22"/>
        </w:rPr>
        <w:t xml:space="preserve"> </w:t>
      </w:r>
    </w:p>
    <w:p w:rsidR="00CE50DD" w:rsidP="004679EE">
      <w:pPr>
        <w:bidi w:val="0"/>
        <w:ind w:left="360"/>
        <w:jc w:val="both"/>
        <w:rPr>
          <w:rFonts w:ascii="Times New Roman" w:hAnsi="Times New Roman"/>
          <w:b/>
          <w:szCs w:val="22"/>
        </w:rPr>
      </w:pPr>
    </w:p>
    <w:p w:rsidR="005C4F4B" w:rsidRPr="004679EE" w:rsidP="004679EE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 w:rsidR="007B53F1">
        <w:rPr>
          <w:rFonts w:ascii="Times New Roman" w:hAnsi="Times New Roman"/>
          <w:b/>
          <w:szCs w:val="22"/>
        </w:rPr>
        <w:t>K čl.</w:t>
      </w:r>
      <w:r w:rsidRPr="004679EE">
        <w:rPr>
          <w:rFonts w:ascii="Times New Roman" w:eastAsia="Times New Roman" w:hAnsi="Times New Roman" w:cs="Times New Roman"/>
          <w:b/>
          <w:szCs w:val="22"/>
          <w:rtl w:val="0"/>
        </w:rPr>
        <w:sym w:font="Times New Roman" w:char="F0A0"/>
      </w:r>
      <w:r w:rsidRPr="004679EE">
        <w:rPr>
          <w:rFonts w:ascii="Times New Roman" w:hAnsi="Times New Roman"/>
          <w:b/>
          <w:szCs w:val="22"/>
        </w:rPr>
        <w:t>III</w:t>
      </w:r>
    </w:p>
    <w:p w:rsidR="00D916EB" w:rsidRPr="0074773F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  <w:r w:rsidRPr="006B7231" w:rsidR="006B7231">
        <w:rPr>
          <w:rFonts w:ascii="Times New Roman" w:hAnsi="Times New Roman"/>
          <w:szCs w:val="22"/>
        </w:rPr>
        <w:t xml:space="preserve">Navrhovaným článkom </w:t>
      </w:r>
      <w:r w:rsidR="006B7231">
        <w:rPr>
          <w:rFonts w:ascii="Times New Roman" w:hAnsi="Times New Roman"/>
          <w:szCs w:val="22"/>
        </w:rPr>
        <w:t xml:space="preserve">sa rozširuje predmet úpravy daňového poriadku o osobitný odvod </w:t>
      </w:r>
      <w:r w:rsidRPr="004679EE" w:rsidR="005C4F4B">
        <w:rPr>
          <w:rFonts w:ascii="Times New Roman" w:hAnsi="Times New Roman"/>
          <w:szCs w:val="22"/>
        </w:rPr>
        <w:t>z podnik</w:t>
      </w:r>
      <w:r w:rsidR="006B7231">
        <w:rPr>
          <w:rFonts w:ascii="Times New Roman" w:hAnsi="Times New Roman"/>
          <w:szCs w:val="22"/>
        </w:rPr>
        <w:t>ania v regulovaných odvetviach.</w:t>
      </w:r>
      <w:r w:rsidR="00F220B5">
        <w:rPr>
          <w:rFonts w:ascii="Times New Roman" w:hAnsi="Times New Roman"/>
          <w:szCs w:val="22"/>
        </w:rPr>
        <w:t xml:space="preserve"> Dopĺňa sa oprávnenie správcu dane ukladať sankcie za nesplnenie oznamovacej povinnosti opakovane. </w:t>
      </w:r>
    </w:p>
    <w:p w:rsidR="00975634" w:rsidRPr="00F220B5" w:rsidP="005C4F4B">
      <w:pPr>
        <w:bidi w:val="0"/>
        <w:ind w:left="360"/>
        <w:jc w:val="both"/>
        <w:rPr>
          <w:rFonts w:ascii="Times New Roman" w:hAnsi="Times New Roman"/>
          <w:b/>
          <w:szCs w:val="22"/>
        </w:rPr>
      </w:pPr>
      <w:r w:rsidRPr="00F220B5">
        <w:rPr>
          <w:rFonts w:ascii="Times New Roman" w:hAnsi="Times New Roman"/>
          <w:b/>
          <w:szCs w:val="22"/>
        </w:rPr>
        <w:t>K</w:t>
      </w:r>
      <w:r w:rsidR="007B53F1">
        <w:rPr>
          <w:rFonts w:ascii="Times New Roman" w:hAnsi="Times New Roman"/>
          <w:b/>
          <w:szCs w:val="22"/>
        </w:rPr>
        <w:t> čl.</w:t>
      </w:r>
      <w:r w:rsidRPr="00F220B5">
        <w:rPr>
          <w:rFonts w:ascii="Times New Roman" w:hAnsi="Times New Roman"/>
          <w:b/>
          <w:szCs w:val="22"/>
        </w:rPr>
        <w:t xml:space="preserve"> IV</w:t>
      </w:r>
    </w:p>
    <w:p w:rsidR="00975634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Nadobudnutie účinnosti zákona sa navrhuje od 1. septembra 2012. </w:t>
      </w:r>
    </w:p>
    <w:p w:rsidR="00C33192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</w:p>
    <w:p w:rsidR="00C33192" w:rsidRPr="00C33192" w:rsidP="00C33192">
      <w:pPr>
        <w:bidi w:val="0"/>
        <w:ind w:left="360"/>
        <w:jc w:val="both"/>
        <w:rPr>
          <w:rFonts w:ascii="Times New Roman" w:hAnsi="Times New Roman"/>
          <w:szCs w:val="22"/>
        </w:rPr>
      </w:pPr>
    </w:p>
    <w:p w:rsidR="00C33192" w:rsidRPr="00C33192" w:rsidP="00C33192">
      <w:pPr>
        <w:bidi w:val="0"/>
        <w:ind w:left="360"/>
        <w:jc w:val="both"/>
        <w:rPr>
          <w:rFonts w:ascii="Times New Roman" w:hAnsi="Times New Roman"/>
          <w:szCs w:val="22"/>
        </w:rPr>
      </w:pPr>
      <w:r w:rsidRPr="00C33192">
        <w:rPr>
          <w:rFonts w:ascii="Times New Roman" w:hAnsi="Times New Roman"/>
          <w:szCs w:val="22"/>
        </w:rPr>
        <w:t>Schválené  na rokovaní vlády Slovenskej republiky dňa</w:t>
      </w:r>
      <w:r w:rsidR="002D5442">
        <w:rPr>
          <w:rFonts w:ascii="Times New Roman" w:hAnsi="Times New Roman"/>
          <w:szCs w:val="22"/>
        </w:rPr>
        <w:t xml:space="preserve"> 31.</w:t>
      </w:r>
      <w:r w:rsidR="00893069">
        <w:rPr>
          <w:rFonts w:ascii="Times New Roman" w:hAnsi="Times New Roman"/>
          <w:szCs w:val="22"/>
        </w:rPr>
        <w:t xml:space="preserve"> mája 2012</w:t>
      </w:r>
      <w:r w:rsidRPr="00C33192">
        <w:rPr>
          <w:rFonts w:ascii="Times New Roman" w:hAnsi="Times New Roman"/>
          <w:szCs w:val="22"/>
        </w:rPr>
        <w:t>.</w:t>
      </w:r>
    </w:p>
    <w:p w:rsidR="00C33192" w:rsidRPr="00C33192" w:rsidP="00C33192">
      <w:pPr>
        <w:bidi w:val="0"/>
        <w:ind w:left="360"/>
        <w:jc w:val="both"/>
        <w:rPr>
          <w:rFonts w:ascii="Times New Roman" w:hAnsi="Times New Roman"/>
          <w:szCs w:val="22"/>
        </w:rPr>
      </w:pPr>
    </w:p>
    <w:p w:rsidR="00C33192" w:rsidRPr="00C33192" w:rsidP="00C33192">
      <w:pPr>
        <w:bidi w:val="0"/>
        <w:ind w:left="360"/>
        <w:jc w:val="both"/>
        <w:rPr>
          <w:rFonts w:ascii="Times New Roman" w:hAnsi="Times New Roman"/>
          <w:szCs w:val="22"/>
        </w:rPr>
      </w:pPr>
    </w:p>
    <w:p w:rsidR="00C33192" w:rsidRPr="00C33192" w:rsidP="00CE50DD">
      <w:pPr>
        <w:bidi w:val="0"/>
        <w:jc w:val="both"/>
        <w:rPr>
          <w:rFonts w:ascii="Times New Roman" w:hAnsi="Times New Roman"/>
          <w:szCs w:val="22"/>
        </w:rPr>
      </w:pPr>
    </w:p>
    <w:p w:rsidR="00C33192" w:rsidRPr="00C33192" w:rsidP="00CE50DD">
      <w:pPr>
        <w:bidi w:val="0"/>
        <w:jc w:val="center"/>
        <w:rPr>
          <w:rFonts w:ascii="Times New Roman" w:hAnsi="Times New Roman"/>
          <w:szCs w:val="22"/>
        </w:rPr>
      </w:pPr>
    </w:p>
    <w:p w:rsidR="00C33192" w:rsidRPr="00C33192" w:rsidP="00CE50DD">
      <w:pPr>
        <w:bidi w:val="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Robert Fico</w:t>
      </w:r>
      <w:r w:rsidR="00D97784">
        <w:rPr>
          <w:rFonts w:ascii="Times New Roman" w:hAnsi="Times New Roman"/>
          <w:szCs w:val="22"/>
        </w:rPr>
        <w:t>, v. r.</w:t>
      </w:r>
    </w:p>
    <w:p w:rsidR="00C33192" w:rsidRPr="00C33192" w:rsidP="00CE50DD">
      <w:pPr>
        <w:bidi w:val="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predsed</w:t>
      </w:r>
      <w:r w:rsidRPr="00C33192">
        <w:rPr>
          <w:rFonts w:ascii="Times New Roman" w:hAnsi="Times New Roman"/>
          <w:szCs w:val="22"/>
        </w:rPr>
        <w:t>a vlády Slovenskej republiky</w:t>
      </w:r>
    </w:p>
    <w:p w:rsidR="00C33192" w:rsidRPr="00C33192" w:rsidP="00CE50DD">
      <w:pPr>
        <w:bidi w:val="0"/>
        <w:jc w:val="center"/>
        <w:rPr>
          <w:rFonts w:ascii="Times New Roman" w:hAnsi="Times New Roman"/>
          <w:szCs w:val="22"/>
        </w:rPr>
      </w:pPr>
    </w:p>
    <w:p w:rsidR="00C33192" w:rsidRPr="00C33192" w:rsidP="00CE50DD">
      <w:pPr>
        <w:bidi w:val="0"/>
        <w:jc w:val="center"/>
        <w:rPr>
          <w:rFonts w:ascii="Times New Roman" w:hAnsi="Times New Roman"/>
          <w:szCs w:val="22"/>
        </w:rPr>
      </w:pPr>
    </w:p>
    <w:p w:rsidR="00C33192" w:rsidRPr="00C33192" w:rsidP="00CE50DD">
      <w:pPr>
        <w:bidi w:val="0"/>
        <w:jc w:val="center"/>
        <w:rPr>
          <w:rFonts w:ascii="Times New Roman" w:hAnsi="Times New Roman"/>
          <w:szCs w:val="22"/>
        </w:rPr>
      </w:pPr>
    </w:p>
    <w:p w:rsidR="00C33192" w:rsidRPr="00C33192" w:rsidP="00CE50DD">
      <w:pPr>
        <w:bidi w:val="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Peter Kažimír</w:t>
      </w:r>
      <w:r w:rsidR="00D97784">
        <w:rPr>
          <w:rFonts w:ascii="Times New Roman" w:hAnsi="Times New Roman"/>
          <w:szCs w:val="22"/>
        </w:rPr>
        <w:t>, v. r.</w:t>
      </w:r>
    </w:p>
    <w:p w:rsidR="00C33192" w:rsidRPr="00C33192" w:rsidP="00CE50DD">
      <w:pPr>
        <w:bidi w:val="0"/>
        <w:jc w:val="center"/>
        <w:rPr>
          <w:rFonts w:ascii="Times New Roman" w:hAnsi="Times New Roman"/>
          <w:szCs w:val="22"/>
        </w:rPr>
      </w:pPr>
      <w:r w:rsidRPr="00C33192">
        <w:rPr>
          <w:rFonts w:ascii="Times New Roman" w:hAnsi="Times New Roman"/>
          <w:szCs w:val="22"/>
        </w:rPr>
        <w:t>podpredseda vlády a minister financií Slovenskej republiky</w:t>
      </w:r>
    </w:p>
    <w:p w:rsidR="00C33192" w:rsidRPr="007869F8" w:rsidP="005C4F4B">
      <w:pPr>
        <w:bidi w:val="0"/>
        <w:ind w:left="360"/>
        <w:jc w:val="both"/>
        <w:rPr>
          <w:rFonts w:ascii="Times New Roman" w:hAnsi="Times New Roman"/>
          <w:szCs w:val="22"/>
        </w:rPr>
      </w:pPr>
    </w:p>
    <w:p w:rsidR="005C4F4B">
      <w:pPr>
        <w:bidi w:val="0"/>
        <w:rPr>
          <w:rFonts w:ascii="Times New Roman" w:hAnsi="Times New Roman"/>
        </w:rPr>
      </w:pPr>
    </w:p>
    <w:sectPr w:rsidSect="00DD1D49">
      <w:headerReference w:type="default" r:id="rId4"/>
      <w:pgSz w:w="11906" w:h="16838"/>
      <w:pgMar w:top="993" w:right="1417" w:bottom="1417" w:left="1417" w:header="426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D49" w:rsidRPr="00EA28BA">
    <w:pPr>
      <w:pStyle w:val="Header"/>
      <w:bidi w:val="0"/>
      <w:rPr>
        <w:rFonts w:ascii="Times New Roman" w:hAnsi="Times New Roman"/>
      </w:rPr>
    </w:pPr>
    <w:r w:rsidRPr="00EA28BA" w:rsidR="004601E2">
      <w:rPr>
        <w:rFonts w:ascii="Times New Roman" w:hAnsi="Times New Roman"/>
      </w:rPr>
      <w:t xml:space="preserve">                                                                                                </w:t>
    </w:r>
    <w:r w:rsidR="004601E2">
      <w:rPr>
        <w:rFonts w:ascii="Times New Roman" w:hAnsi="Times New Roman"/>
      </w:rP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F7F"/>
    <w:multiLevelType w:val="hybridMultilevel"/>
    <w:tmpl w:val="47DC2F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A83C25"/>
    <w:multiLevelType w:val="hybridMultilevel"/>
    <w:tmpl w:val="A32A2824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4B1D09"/>
    <w:rsid w:val="00037A18"/>
    <w:rsid w:val="00066602"/>
    <w:rsid w:val="00081ECD"/>
    <w:rsid w:val="00085E19"/>
    <w:rsid w:val="000B5E50"/>
    <w:rsid w:val="001275FE"/>
    <w:rsid w:val="001E79BD"/>
    <w:rsid w:val="00207C1A"/>
    <w:rsid w:val="0021073F"/>
    <w:rsid w:val="00232EC8"/>
    <w:rsid w:val="002765FA"/>
    <w:rsid w:val="002A0DDB"/>
    <w:rsid w:val="002B10E1"/>
    <w:rsid w:val="002D3F29"/>
    <w:rsid w:val="002D5442"/>
    <w:rsid w:val="002F6DC9"/>
    <w:rsid w:val="00335B1C"/>
    <w:rsid w:val="00383CA2"/>
    <w:rsid w:val="00393969"/>
    <w:rsid w:val="003A36D9"/>
    <w:rsid w:val="003B32D6"/>
    <w:rsid w:val="003C517C"/>
    <w:rsid w:val="00402199"/>
    <w:rsid w:val="0042666E"/>
    <w:rsid w:val="00437137"/>
    <w:rsid w:val="004601E2"/>
    <w:rsid w:val="004679EE"/>
    <w:rsid w:val="0047032D"/>
    <w:rsid w:val="004B1D09"/>
    <w:rsid w:val="004B6EB2"/>
    <w:rsid w:val="004E70E6"/>
    <w:rsid w:val="00541C2F"/>
    <w:rsid w:val="00553212"/>
    <w:rsid w:val="005C4F4B"/>
    <w:rsid w:val="005D0E6F"/>
    <w:rsid w:val="00604EFA"/>
    <w:rsid w:val="006127BD"/>
    <w:rsid w:val="006301E6"/>
    <w:rsid w:val="00666C4A"/>
    <w:rsid w:val="006824A5"/>
    <w:rsid w:val="0068551D"/>
    <w:rsid w:val="006B7231"/>
    <w:rsid w:val="006C5F13"/>
    <w:rsid w:val="006D72EB"/>
    <w:rsid w:val="006E3FA2"/>
    <w:rsid w:val="006F310C"/>
    <w:rsid w:val="00722102"/>
    <w:rsid w:val="00731B2F"/>
    <w:rsid w:val="0073717D"/>
    <w:rsid w:val="0074773F"/>
    <w:rsid w:val="00773ACD"/>
    <w:rsid w:val="007869F8"/>
    <w:rsid w:val="007B53F1"/>
    <w:rsid w:val="007F759F"/>
    <w:rsid w:val="008008E1"/>
    <w:rsid w:val="00812A69"/>
    <w:rsid w:val="008402CC"/>
    <w:rsid w:val="00843737"/>
    <w:rsid w:val="00871F78"/>
    <w:rsid w:val="008720D7"/>
    <w:rsid w:val="00884D07"/>
    <w:rsid w:val="00893069"/>
    <w:rsid w:val="008B0799"/>
    <w:rsid w:val="00975634"/>
    <w:rsid w:val="00987D37"/>
    <w:rsid w:val="009A6861"/>
    <w:rsid w:val="009B1DB7"/>
    <w:rsid w:val="009C11B0"/>
    <w:rsid w:val="009D37CD"/>
    <w:rsid w:val="009F1EB2"/>
    <w:rsid w:val="009F6DA0"/>
    <w:rsid w:val="00A10E65"/>
    <w:rsid w:val="00A40F5D"/>
    <w:rsid w:val="00A8025E"/>
    <w:rsid w:val="00AA78A4"/>
    <w:rsid w:val="00AD265D"/>
    <w:rsid w:val="00B2671F"/>
    <w:rsid w:val="00B27669"/>
    <w:rsid w:val="00B36552"/>
    <w:rsid w:val="00B60B76"/>
    <w:rsid w:val="00B828A8"/>
    <w:rsid w:val="00BD7394"/>
    <w:rsid w:val="00C33192"/>
    <w:rsid w:val="00C60F39"/>
    <w:rsid w:val="00C846A5"/>
    <w:rsid w:val="00CC3BDF"/>
    <w:rsid w:val="00CE50DD"/>
    <w:rsid w:val="00D031D6"/>
    <w:rsid w:val="00D3362A"/>
    <w:rsid w:val="00D423EF"/>
    <w:rsid w:val="00D44978"/>
    <w:rsid w:val="00D71FCF"/>
    <w:rsid w:val="00D85663"/>
    <w:rsid w:val="00D916EB"/>
    <w:rsid w:val="00D933DC"/>
    <w:rsid w:val="00D97784"/>
    <w:rsid w:val="00DB570E"/>
    <w:rsid w:val="00DD0C46"/>
    <w:rsid w:val="00DD1D49"/>
    <w:rsid w:val="00DE518D"/>
    <w:rsid w:val="00DE5493"/>
    <w:rsid w:val="00E40AB0"/>
    <w:rsid w:val="00E55992"/>
    <w:rsid w:val="00E84F49"/>
    <w:rsid w:val="00E90752"/>
    <w:rsid w:val="00E94FF3"/>
    <w:rsid w:val="00EA28BA"/>
    <w:rsid w:val="00EA7D99"/>
    <w:rsid w:val="00EB0342"/>
    <w:rsid w:val="00F1383F"/>
    <w:rsid w:val="00F220B5"/>
    <w:rsid w:val="00F62785"/>
    <w:rsid w:val="00F73A82"/>
    <w:rsid w:val="00FC21B3"/>
    <w:rsid w:val="00FE0D4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1D0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4B1D09"/>
    <w:rPr>
      <w:rFonts w:ascii="Times New Roman" w:hAnsi="Times New Roman" w:cs="Times New Roman"/>
      <w:sz w:val="24"/>
      <w:lang w:val="x-none" w:eastAsia="sk-SK"/>
    </w:rPr>
  </w:style>
  <w:style w:type="paragraph" w:styleId="NormalWeb">
    <w:name w:val="Normal (Web)"/>
    <w:aliases w:val="webb"/>
    <w:basedOn w:val="Normal"/>
    <w:uiPriority w:val="99"/>
    <w:rsid w:val="004B1D09"/>
    <w:pPr>
      <w:spacing w:before="100" w:beforeAutospacing="1" w:after="100" w:afterAutospacing="1"/>
      <w:jc w:val="left"/>
    </w:pPr>
  </w:style>
  <w:style w:type="paragraph" w:styleId="Title">
    <w:name w:val="Title"/>
    <w:basedOn w:val="Normal"/>
    <w:link w:val="TitleChar"/>
    <w:uiPriority w:val="10"/>
    <w:qFormat/>
    <w:rsid w:val="004B1D09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sid w:val="004B1D09"/>
    <w:rPr>
      <w:rFonts w:ascii="Times New Roman" w:hAnsi="Times New Roman" w:cs="Times New Roman"/>
      <w:b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4B1D09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locked/>
    <w:rsid w:val="004B1D09"/>
    <w:rPr>
      <w:rFonts w:ascii="Times New Roman" w:hAnsi="Times New Roman" w:cs="Times New Roman"/>
      <w:sz w:val="24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rsid w:val="004B1D09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locked/>
    <w:rsid w:val="004B1D09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7221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97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44978"/>
    <w:rPr>
      <w:rFonts w:ascii="Tahoma" w:hAnsi="Tahoma" w:cs="Tahoma"/>
      <w:sz w:val="16"/>
      <w:lang w:val="x-none" w:eastAsia="sk-SK"/>
    </w:rPr>
  </w:style>
  <w:style w:type="paragraph" w:styleId="ListParagraph">
    <w:name w:val="List Paragraph"/>
    <w:basedOn w:val="Normal"/>
    <w:uiPriority w:val="99"/>
    <w:qFormat/>
    <w:rsid w:val="00B2766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2725</Words>
  <Characters>15539</Characters>
  <Application>Microsoft Office Word</Application>
  <DocSecurity>0</DocSecurity>
  <Lines>0</Lines>
  <Paragraphs>0</Paragraphs>
  <ScaleCrop>false</ScaleCrop>
  <Company>MF SR</Company>
  <LinksUpToDate>false</LinksUpToDate>
  <CharactersWithSpaces>18228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eivanicova</dc:creator>
  <cp:lastModifiedBy>Gašparíková, Jarmila</cp:lastModifiedBy>
  <cp:revision>2</cp:revision>
  <cp:lastPrinted>2012-05-31T17:15:00Z</cp:lastPrinted>
  <dcterms:created xsi:type="dcterms:W3CDTF">2012-06-01T16:01:00Z</dcterms:created>
  <dcterms:modified xsi:type="dcterms:W3CDTF">2012-06-01T16:01:00Z</dcterms:modified>
</cp:coreProperties>
</file>