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6833" w:rsidP="0011768B">
      <w:pPr>
        <w:bidi w:val="0"/>
        <w:jc w:val="center"/>
        <w:rPr>
          <w:rFonts w:ascii="Times New Roman" w:hAnsi="Times New Roman"/>
          <w:b/>
        </w:rPr>
      </w:pPr>
      <w:r w:rsidRPr="00336833">
        <w:rPr>
          <w:rFonts w:ascii="Times New Roman" w:hAnsi="Times New Roman"/>
          <w:b/>
        </w:rPr>
        <w:t>Obsah</w:t>
      </w:r>
    </w:p>
    <w:p w:rsidR="00E74856" w:rsidP="0011768B">
      <w:pPr>
        <w:bidi w:val="0"/>
        <w:jc w:val="center"/>
        <w:rPr>
          <w:rFonts w:ascii="Times New Roman" w:hAnsi="Times New Roman"/>
          <w:b/>
        </w:rPr>
      </w:pPr>
    </w:p>
    <w:p w:rsidR="003C467F" w:rsidP="003C467F">
      <w:pPr>
        <w:bidi w:val="0"/>
        <w:spacing w:line="360" w:lineRule="auto"/>
        <w:rPr>
          <w:rFonts w:ascii="Times New Roman" w:hAnsi="Times New Roman"/>
        </w:rPr>
      </w:pPr>
      <w:r w:rsidR="006A07E9">
        <w:rPr>
          <w:rFonts w:ascii="Times New Roman" w:hAnsi="Times New Roman"/>
        </w:rPr>
        <w:t xml:space="preserve">Návrh uznesenia </w:t>
      </w:r>
      <w:r>
        <w:rPr>
          <w:rFonts w:ascii="Times New Roman" w:hAnsi="Times New Roman"/>
        </w:rPr>
        <w:t>Národnej rady SR</w:t>
      </w:r>
    </w:p>
    <w:p w:rsidR="003C467F" w:rsidRPr="003C467F" w:rsidP="003C467F">
      <w:pPr>
        <w:bidi w:val="0"/>
        <w:rPr>
          <w:rFonts w:ascii="Times New Roman" w:hAnsi="Times New Roman"/>
        </w:rPr>
      </w:pPr>
    </w:p>
    <w:p w:rsidR="001E0A5D">
      <w:pPr>
        <w:pStyle w:val="TOC1"/>
        <w:bidi w:val="0"/>
        <w:rPr>
          <w:rFonts w:ascii="Calibri" w:hAnsi="Calibri"/>
          <w:noProof/>
          <w:sz w:val="22"/>
          <w:szCs w:val="22"/>
        </w:rPr>
      </w:pPr>
      <w:r w:rsidR="0011768B">
        <w:rPr>
          <w:rFonts w:ascii="Arial Narrow" w:hAnsi="Arial Narrow"/>
          <w:b/>
          <w:sz w:val="20"/>
          <w:szCs w:val="20"/>
        </w:rPr>
        <w:fldChar w:fldCharType="begin"/>
      </w:r>
      <w:r w:rsidR="0011768B">
        <w:rPr>
          <w:rFonts w:ascii="Arial Narrow" w:hAnsi="Arial Narrow"/>
          <w:b/>
          <w:sz w:val="20"/>
          <w:szCs w:val="20"/>
        </w:rPr>
        <w:instrText xml:space="preserve"> TOC \o "1-3" \h \z \u </w:instrText>
      </w:r>
      <w:r w:rsidR="0011768B">
        <w:rPr>
          <w:rFonts w:ascii="Arial Narrow" w:hAnsi="Arial Narrow"/>
          <w:b/>
          <w:sz w:val="20"/>
          <w:szCs w:val="20"/>
        </w:rPr>
        <w:fldChar w:fldCharType="separate"/>
      </w:r>
      <w:hyperlink w:anchor="_Toc322614739" w:history="1">
        <w:r w:rsidRPr="00356D45">
          <w:rPr>
            <w:rStyle w:val="Hyperlink"/>
            <w:rFonts w:ascii="Times New Roman" w:hAnsi="Times New Roman"/>
            <w:noProof/>
          </w:rPr>
          <w:t>1. Ekonomický rámec rozpočtového hospodárenia Slovenskej republiky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_Toc322614739 \h </w:instrText>
        </w:r>
        <w:r>
          <w:rPr>
            <w:rFonts w:ascii="Times New Roman" w:hAnsi="Times New Roman"/>
            <w:noProof/>
            <w:webHidden/>
          </w:rPr>
          <w:fldChar w:fldCharType="separate"/>
        </w:r>
        <w:r w:rsidR="004E4555">
          <w:rPr>
            <w:rFonts w:ascii="Times New Roman" w:hAnsi="Times New Roman"/>
            <w:noProof/>
            <w:webHidden/>
          </w:rPr>
          <w:t>2</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40" w:history="1">
        <w:r w:rsidRPr="00356D45">
          <w:rPr>
            <w:rStyle w:val="Hyperlink"/>
            <w:rFonts w:ascii="Times New Roman" w:hAnsi="Times New Roman"/>
            <w:noProof/>
          </w:rPr>
          <w:t>1.1. Ekonomický vývoj SR v kontexte vývoja globálnej ekonomiky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_Toc322614740 \h </w:instrText>
        </w:r>
        <w:r>
          <w:rPr>
            <w:rFonts w:ascii="Times New Roman" w:hAnsi="Times New Roman"/>
            <w:noProof/>
            <w:webHidden/>
          </w:rPr>
          <w:fldChar w:fldCharType="separate"/>
        </w:r>
        <w:r w:rsidR="004E4555">
          <w:rPr>
            <w:rFonts w:ascii="Times New Roman" w:hAnsi="Times New Roman"/>
            <w:noProof/>
            <w:webHidden/>
          </w:rPr>
          <w:t>2</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41" w:history="1">
        <w:r w:rsidRPr="00356D45">
          <w:rPr>
            <w:rStyle w:val="Hyperlink"/>
            <w:rFonts w:ascii="Times New Roman" w:hAnsi="Times New Roman"/>
            <w:noProof/>
          </w:rPr>
          <w:t>1.2. Základné ekonomické ukazovatele SR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_Toc322614741 \h </w:instrText>
        </w:r>
        <w:r>
          <w:rPr>
            <w:rFonts w:ascii="Times New Roman" w:hAnsi="Times New Roman"/>
            <w:noProof/>
            <w:webHidden/>
          </w:rPr>
          <w:fldChar w:fldCharType="separate"/>
        </w:r>
        <w:r w:rsidR="004E4555">
          <w:rPr>
            <w:rFonts w:ascii="Times New Roman" w:hAnsi="Times New Roman"/>
            <w:noProof/>
            <w:webHidden/>
          </w:rPr>
          <w:t>4</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42" w:history="1">
        <w:r w:rsidRPr="00356D45">
          <w:rPr>
            <w:rStyle w:val="Hyperlink"/>
            <w:rFonts w:ascii="Times New Roman" w:hAnsi="Times New Roman"/>
            <w:noProof/>
          </w:rPr>
          <w:t>1.2.1.Vývoj HDP a jeho štruktúra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_Toc322614742 \h </w:instrText>
        </w:r>
        <w:r>
          <w:rPr>
            <w:rFonts w:ascii="Times New Roman" w:hAnsi="Times New Roman"/>
            <w:noProof/>
            <w:webHidden/>
          </w:rPr>
          <w:fldChar w:fldCharType="separate"/>
        </w:r>
        <w:r w:rsidR="004E4555">
          <w:rPr>
            <w:rFonts w:ascii="Times New Roman" w:hAnsi="Times New Roman"/>
            <w:noProof/>
            <w:webHidden/>
          </w:rPr>
          <w:t>4</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43" w:history="1">
        <w:r w:rsidRPr="00356D45">
          <w:rPr>
            <w:rStyle w:val="Hyperlink"/>
            <w:rFonts w:ascii="Times New Roman" w:hAnsi="Times New Roman"/>
            <w:noProof/>
          </w:rPr>
          <w:t>1.2.2. Cenový vývoj a inflácia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_Toc322614743 \h </w:instrText>
        </w:r>
        <w:r>
          <w:rPr>
            <w:rFonts w:ascii="Times New Roman" w:hAnsi="Times New Roman"/>
            <w:noProof/>
            <w:webHidden/>
          </w:rPr>
          <w:fldChar w:fldCharType="separate"/>
        </w:r>
        <w:r w:rsidR="004E4555">
          <w:rPr>
            <w:rFonts w:ascii="Times New Roman" w:hAnsi="Times New Roman"/>
            <w:noProof/>
            <w:webHidden/>
          </w:rPr>
          <w:t>6</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44" w:history="1">
        <w:r w:rsidRPr="00356D45">
          <w:rPr>
            <w:rStyle w:val="Hyperlink"/>
            <w:rFonts w:ascii="Times New Roman" w:hAnsi="Times New Roman"/>
            <w:noProof/>
          </w:rPr>
          <w:t>1.2.3. Vývoj na trhu práce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_Toc322614744 \h </w:instrText>
        </w:r>
        <w:r>
          <w:rPr>
            <w:rFonts w:ascii="Times New Roman" w:hAnsi="Times New Roman"/>
            <w:noProof/>
            <w:webHidden/>
          </w:rPr>
          <w:fldChar w:fldCharType="separate"/>
        </w:r>
        <w:r w:rsidR="004E4555">
          <w:rPr>
            <w:rFonts w:ascii="Times New Roman" w:hAnsi="Times New Roman"/>
            <w:noProof/>
            <w:webHidden/>
          </w:rPr>
          <w:t>7</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45" w:history="1">
        <w:r w:rsidRPr="00356D45">
          <w:rPr>
            <w:rStyle w:val="Hyperlink"/>
            <w:rFonts w:ascii="Times New Roman" w:hAnsi="Times New Roman"/>
            <w:noProof/>
          </w:rPr>
          <w:t>1.2.4. Platobná a obchodná bilancia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_Toc322614745 \h </w:instrText>
        </w:r>
        <w:r>
          <w:rPr>
            <w:rFonts w:ascii="Times New Roman" w:hAnsi="Times New Roman"/>
            <w:noProof/>
            <w:webHidden/>
          </w:rPr>
          <w:fldChar w:fldCharType="separate"/>
        </w:r>
        <w:r w:rsidR="004E4555">
          <w:rPr>
            <w:rFonts w:ascii="Times New Roman" w:hAnsi="Times New Roman"/>
            <w:noProof/>
            <w:webHidden/>
          </w:rPr>
          <w:t>7</w:t>
        </w:r>
        <w:r>
          <w:rPr>
            <w:rFonts w:ascii="Times New Roman" w:hAnsi="Times New Roman"/>
            <w:noProof/>
            <w:webHidden/>
          </w:rPr>
          <w:fldChar w:fldCharType="end"/>
        </w:r>
      </w:hyperlink>
    </w:p>
    <w:p w:rsidR="001E0A5D">
      <w:pPr>
        <w:pStyle w:val="TOC1"/>
        <w:bidi w:val="0"/>
        <w:rPr>
          <w:rFonts w:ascii="Calibri" w:hAnsi="Calibri"/>
          <w:noProof/>
          <w:sz w:val="22"/>
          <w:szCs w:val="22"/>
        </w:rPr>
      </w:pPr>
      <w:hyperlink w:anchor="_Toc322614746" w:history="1">
        <w:r w:rsidRPr="00356D45">
          <w:rPr>
            <w:rStyle w:val="Hyperlink"/>
            <w:rFonts w:ascii="Times New Roman" w:hAnsi="Times New Roman"/>
            <w:noProof/>
          </w:rPr>
          <w:t>2. Výsledok hospodárenia rozpočtu verejnej správy v metodike ESA 95</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_Toc322614746 \h </w:instrText>
        </w:r>
        <w:r>
          <w:rPr>
            <w:rFonts w:ascii="Times New Roman" w:hAnsi="Times New Roman"/>
            <w:noProof/>
            <w:webHidden/>
          </w:rPr>
          <w:fldChar w:fldCharType="separate"/>
        </w:r>
        <w:r w:rsidR="004E4555">
          <w:rPr>
            <w:rFonts w:ascii="Times New Roman" w:hAnsi="Times New Roman"/>
            <w:noProof/>
            <w:webHidden/>
          </w:rPr>
          <w:t>9</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47" w:history="1">
        <w:r w:rsidRPr="00356D45">
          <w:rPr>
            <w:rStyle w:val="Hyperlink"/>
            <w:rFonts w:ascii="Times New Roman" w:hAnsi="Times New Roman"/>
            <w:noProof/>
          </w:rPr>
          <w:t>2.1. Súhrnné výsledky hospodárenia verejnej správy v metodike ESA 95</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_Toc322614747 \h </w:instrText>
        </w:r>
        <w:r>
          <w:rPr>
            <w:rFonts w:ascii="Times New Roman" w:hAnsi="Times New Roman"/>
            <w:noProof/>
            <w:webHidden/>
          </w:rPr>
          <w:fldChar w:fldCharType="separate"/>
        </w:r>
        <w:r w:rsidR="004E4555">
          <w:rPr>
            <w:rFonts w:ascii="Times New Roman" w:hAnsi="Times New Roman"/>
            <w:noProof/>
            <w:webHidden/>
          </w:rPr>
          <w:t>11</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48" w:history="1">
        <w:r w:rsidRPr="00356D45">
          <w:rPr>
            <w:rStyle w:val="Hyperlink"/>
            <w:rFonts w:ascii="Times New Roman" w:hAnsi="Times New Roman"/>
            <w:noProof/>
          </w:rPr>
          <w:t>2.2. Stav a vývoj dlhu verejnej správy podľa maastrichtských kritérií</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_Toc322614748 \h </w:instrText>
        </w:r>
        <w:r>
          <w:rPr>
            <w:rFonts w:ascii="Times New Roman" w:hAnsi="Times New Roman"/>
            <w:noProof/>
            <w:webHidden/>
          </w:rPr>
          <w:fldChar w:fldCharType="separate"/>
        </w:r>
        <w:r w:rsidR="004E4555">
          <w:rPr>
            <w:rFonts w:ascii="Times New Roman" w:hAnsi="Times New Roman"/>
            <w:noProof/>
            <w:webHidden/>
          </w:rPr>
          <w:t>14</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49" w:history="1">
        <w:r w:rsidRPr="00356D45">
          <w:rPr>
            <w:rStyle w:val="Hyperlink"/>
            <w:rFonts w:ascii="Times New Roman" w:hAnsi="Times New Roman"/>
            <w:noProof/>
          </w:rPr>
          <w:t>2.2.1. Maastrichtský dlh štátnych rozpočtových organizácií</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_Toc322614749 \h </w:instrText>
        </w:r>
        <w:r>
          <w:rPr>
            <w:rFonts w:ascii="Times New Roman" w:hAnsi="Times New Roman"/>
            <w:noProof/>
            <w:webHidden/>
          </w:rPr>
          <w:fldChar w:fldCharType="separate"/>
        </w:r>
        <w:r w:rsidR="004E4555">
          <w:rPr>
            <w:rFonts w:ascii="Times New Roman" w:hAnsi="Times New Roman"/>
            <w:noProof/>
            <w:webHidden/>
          </w:rPr>
          <w:t>16</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50" w:history="1">
        <w:r w:rsidRPr="00356D45">
          <w:rPr>
            <w:rStyle w:val="Hyperlink"/>
            <w:rFonts w:ascii="Times New Roman" w:hAnsi="Times New Roman"/>
            <w:noProof/>
          </w:rPr>
          <w:t>2.2.2. Maastrichtský dlh ostatných subjektov verejnej správy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_Toc322614750 \h </w:instrText>
        </w:r>
        <w:r>
          <w:rPr>
            <w:rFonts w:ascii="Times New Roman" w:hAnsi="Times New Roman"/>
            <w:noProof/>
            <w:webHidden/>
          </w:rPr>
          <w:fldChar w:fldCharType="separate"/>
        </w:r>
        <w:r w:rsidR="004E4555">
          <w:rPr>
            <w:rFonts w:ascii="Times New Roman" w:hAnsi="Times New Roman"/>
            <w:noProof/>
            <w:webHidden/>
          </w:rPr>
          <w:t>18</w:t>
        </w:r>
        <w:r>
          <w:rPr>
            <w:rFonts w:ascii="Times New Roman" w:hAnsi="Times New Roman"/>
            <w:noProof/>
            <w:webHidden/>
          </w:rPr>
          <w:fldChar w:fldCharType="end"/>
        </w:r>
      </w:hyperlink>
    </w:p>
    <w:p w:rsidR="001E0A5D">
      <w:pPr>
        <w:pStyle w:val="TOC1"/>
        <w:bidi w:val="0"/>
        <w:rPr>
          <w:rFonts w:ascii="Calibri" w:hAnsi="Calibri"/>
          <w:noProof/>
          <w:sz w:val="22"/>
          <w:szCs w:val="22"/>
        </w:rPr>
      </w:pPr>
      <w:hyperlink w:anchor="_Toc322614751" w:history="1">
        <w:r w:rsidRPr="00356D45">
          <w:rPr>
            <w:rStyle w:val="Hyperlink"/>
            <w:rFonts w:ascii="Times New Roman" w:hAnsi="Times New Roman"/>
            <w:noProof/>
          </w:rPr>
          <w:t>3. Výsledky hospodárenia štátneho rozpočtu na hotovostnej báze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_Toc322614751 \h </w:instrText>
        </w:r>
        <w:r>
          <w:rPr>
            <w:rFonts w:ascii="Times New Roman" w:hAnsi="Times New Roman"/>
            <w:noProof/>
            <w:webHidden/>
          </w:rPr>
          <w:fldChar w:fldCharType="separate"/>
        </w:r>
        <w:r w:rsidR="004E4555">
          <w:rPr>
            <w:rFonts w:ascii="Times New Roman" w:hAnsi="Times New Roman"/>
            <w:noProof/>
            <w:webHidden/>
          </w:rPr>
          <w:t>20</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52" w:history="1">
        <w:r w:rsidRPr="00356D45">
          <w:rPr>
            <w:rStyle w:val="Hyperlink"/>
            <w:rFonts w:ascii="Times New Roman" w:hAnsi="Times New Roman"/>
            <w:noProof/>
          </w:rPr>
          <w:t>3.1. Zámery, ciele a opatrenia rozpočtovej politiky v roku 2011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_Toc322614752 \h </w:instrText>
        </w:r>
        <w:r>
          <w:rPr>
            <w:rFonts w:ascii="Times New Roman" w:hAnsi="Times New Roman"/>
            <w:noProof/>
            <w:webHidden/>
          </w:rPr>
          <w:fldChar w:fldCharType="separate"/>
        </w:r>
        <w:r w:rsidR="004E4555">
          <w:rPr>
            <w:rFonts w:ascii="Times New Roman" w:hAnsi="Times New Roman"/>
            <w:noProof/>
            <w:webHidden/>
          </w:rPr>
          <w:t>20</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53" w:history="1">
        <w:r w:rsidRPr="00356D45">
          <w:rPr>
            <w:rStyle w:val="Hyperlink"/>
            <w:rFonts w:ascii="Times New Roman" w:hAnsi="Times New Roman"/>
            <w:noProof/>
          </w:rPr>
          <w:t>3.2. Základné rozpočtové ukazovatele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_Toc322614753 \h </w:instrText>
        </w:r>
        <w:r>
          <w:rPr>
            <w:rFonts w:ascii="Times New Roman" w:hAnsi="Times New Roman"/>
            <w:noProof/>
            <w:webHidden/>
          </w:rPr>
          <w:fldChar w:fldCharType="separate"/>
        </w:r>
        <w:r w:rsidR="004E4555">
          <w:rPr>
            <w:rFonts w:ascii="Times New Roman" w:hAnsi="Times New Roman"/>
            <w:noProof/>
            <w:webHidden/>
          </w:rPr>
          <w:t>22</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54" w:history="1">
        <w:r w:rsidRPr="00356D45">
          <w:rPr>
            <w:rStyle w:val="Hyperlink"/>
            <w:rFonts w:ascii="Times New Roman" w:hAnsi="Times New Roman"/>
            <w:noProof/>
          </w:rPr>
          <w:t>3.3. Príjmy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_Toc322614754 \h </w:instrText>
        </w:r>
        <w:r>
          <w:rPr>
            <w:rFonts w:ascii="Times New Roman" w:hAnsi="Times New Roman"/>
            <w:noProof/>
            <w:webHidden/>
          </w:rPr>
          <w:fldChar w:fldCharType="separate"/>
        </w:r>
        <w:r w:rsidR="004E4555">
          <w:rPr>
            <w:rFonts w:ascii="Times New Roman" w:hAnsi="Times New Roman"/>
            <w:noProof/>
            <w:webHidden/>
          </w:rPr>
          <w:t>23</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55" w:history="1">
        <w:r w:rsidRPr="00356D45">
          <w:rPr>
            <w:rStyle w:val="Hyperlink"/>
            <w:rFonts w:ascii="Times New Roman" w:hAnsi="Times New Roman"/>
            <w:noProof/>
          </w:rPr>
          <w:t>3.3.1. Daňové príjmy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_Toc322614755 \h </w:instrText>
        </w:r>
        <w:r>
          <w:rPr>
            <w:rFonts w:ascii="Times New Roman" w:hAnsi="Times New Roman"/>
            <w:noProof/>
            <w:webHidden/>
          </w:rPr>
          <w:fldChar w:fldCharType="separate"/>
        </w:r>
        <w:r w:rsidR="004E4555">
          <w:rPr>
            <w:rFonts w:ascii="Times New Roman" w:hAnsi="Times New Roman"/>
            <w:noProof/>
            <w:webHidden/>
          </w:rPr>
          <w:t>23</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56" w:history="1">
        <w:r w:rsidRPr="00356D45">
          <w:rPr>
            <w:rStyle w:val="Hyperlink"/>
            <w:rFonts w:ascii="Times New Roman" w:hAnsi="Times New Roman"/>
            <w:noProof/>
          </w:rPr>
          <w:t>3.3.2. Nedaňové príjmy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_Toc322614756 \h </w:instrText>
        </w:r>
        <w:r>
          <w:rPr>
            <w:rFonts w:ascii="Times New Roman" w:hAnsi="Times New Roman"/>
            <w:noProof/>
            <w:webHidden/>
          </w:rPr>
          <w:fldChar w:fldCharType="separate"/>
        </w:r>
        <w:r w:rsidR="004E4555">
          <w:rPr>
            <w:rFonts w:ascii="Times New Roman" w:hAnsi="Times New Roman"/>
            <w:noProof/>
            <w:webHidden/>
          </w:rPr>
          <w:t>25</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57" w:history="1">
        <w:r w:rsidRPr="00356D45">
          <w:rPr>
            <w:rStyle w:val="Hyperlink"/>
            <w:rFonts w:ascii="Times New Roman" w:hAnsi="Times New Roman"/>
            <w:noProof/>
          </w:rPr>
          <w:t>3.3.3. Granty a transfery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_Toc322614757 \h </w:instrText>
        </w:r>
        <w:r>
          <w:rPr>
            <w:rFonts w:ascii="Times New Roman" w:hAnsi="Times New Roman"/>
            <w:noProof/>
            <w:webHidden/>
          </w:rPr>
          <w:fldChar w:fldCharType="separate"/>
        </w:r>
        <w:r w:rsidR="004E4555">
          <w:rPr>
            <w:rFonts w:ascii="Times New Roman" w:hAnsi="Times New Roman"/>
            <w:noProof/>
            <w:webHidden/>
          </w:rPr>
          <w:t>26</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58" w:history="1">
        <w:r w:rsidRPr="00356D45">
          <w:rPr>
            <w:rStyle w:val="Hyperlink"/>
            <w:rFonts w:ascii="Times New Roman" w:hAnsi="Times New Roman"/>
            <w:noProof/>
          </w:rPr>
          <w:t>3.4. Výdavky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_Toc322614758 \h </w:instrText>
        </w:r>
        <w:r>
          <w:rPr>
            <w:rFonts w:ascii="Times New Roman" w:hAnsi="Times New Roman"/>
            <w:noProof/>
            <w:webHidden/>
          </w:rPr>
          <w:fldChar w:fldCharType="separate"/>
        </w:r>
        <w:r w:rsidR="004E4555">
          <w:rPr>
            <w:rFonts w:ascii="Times New Roman" w:hAnsi="Times New Roman"/>
            <w:noProof/>
            <w:webHidden/>
          </w:rPr>
          <w:t>28</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59" w:history="1">
        <w:r w:rsidRPr="00356D45">
          <w:rPr>
            <w:rStyle w:val="Hyperlink"/>
            <w:rFonts w:ascii="Times New Roman" w:hAnsi="Times New Roman"/>
            <w:noProof/>
          </w:rPr>
          <w:t>3.4.1. Výdavky štátneho rozpočtu podľa ekonomickej klasifikácie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_Toc322614759 \h </w:instrText>
        </w:r>
        <w:r>
          <w:rPr>
            <w:rFonts w:ascii="Times New Roman" w:hAnsi="Times New Roman"/>
            <w:noProof/>
            <w:webHidden/>
          </w:rPr>
          <w:fldChar w:fldCharType="separate"/>
        </w:r>
        <w:r w:rsidR="004E4555">
          <w:rPr>
            <w:rFonts w:ascii="Times New Roman" w:hAnsi="Times New Roman"/>
            <w:noProof/>
            <w:webHidden/>
          </w:rPr>
          <w:t>28</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0" w:history="1">
        <w:r w:rsidRPr="00356D45">
          <w:rPr>
            <w:rStyle w:val="Hyperlink"/>
            <w:rFonts w:ascii="Times New Roman" w:hAnsi="Times New Roman"/>
            <w:noProof/>
          </w:rPr>
          <w:t>3.4.2. Výdavky štátneho rozpočtu podľa funkčnej klasifikácie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_Toc322614760 \h </w:instrText>
        </w:r>
        <w:r>
          <w:rPr>
            <w:rFonts w:ascii="Times New Roman" w:hAnsi="Times New Roman"/>
            <w:noProof/>
            <w:webHidden/>
          </w:rPr>
          <w:fldChar w:fldCharType="separate"/>
        </w:r>
        <w:r w:rsidR="004E4555">
          <w:rPr>
            <w:rFonts w:ascii="Times New Roman" w:hAnsi="Times New Roman"/>
            <w:noProof/>
            <w:webHidden/>
          </w:rPr>
          <w:t>37</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1" w:history="1">
        <w:r w:rsidRPr="00356D45">
          <w:rPr>
            <w:rStyle w:val="Hyperlink"/>
            <w:rFonts w:ascii="Times New Roman" w:hAnsi="Times New Roman"/>
            <w:noProof/>
          </w:rPr>
          <w:t>3.4.3. Výdavky štátneho rozpočtu podľa programov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_Toc322614761 \h </w:instrText>
        </w:r>
        <w:r>
          <w:rPr>
            <w:rFonts w:ascii="Times New Roman" w:hAnsi="Times New Roman"/>
            <w:noProof/>
            <w:webHidden/>
          </w:rPr>
          <w:fldChar w:fldCharType="separate"/>
        </w:r>
        <w:r w:rsidR="004E4555">
          <w:rPr>
            <w:rFonts w:ascii="Times New Roman" w:hAnsi="Times New Roman"/>
            <w:noProof/>
            <w:webHidden/>
          </w:rPr>
          <w:t>39</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62" w:history="1">
        <w:r w:rsidRPr="00356D45">
          <w:rPr>
            <w:rStyle w:val="Hyperlink"/>
            <w:rFonts w:ascii="Times New Roman" w:hAnsi="Times New Roman"/>
            <w:noProof/>
          </w:rPr>
          <w:t>3.5. Vzťahy štátneho rozpočtu k Európskej únii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_Toc322614762 \h </w:instrText>
        </w:r>
        <w:r>
          <w:rPr>
            <w:rFonts w:ascii="Times New Roman" w:hAnsi="Times New Roman"/>
            <w:noProof/>
            <w:webHidden/>
          </w:rPr>
          <w:fldChar w:fldCharType="separate"/>
        </w:r>
        <w:r w:rsidR="004E4555">
          <w:rPr>
            <w:rFonts w:ascii="Times New Roman" w:hAnsi="Times New Roman"/>
            <w:noProof/>
            <w:webHidden/>
          </w:rPr>
          <w:t>40</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3" w:history="1">
        <w:r w:rsidRPr="00356D45">
          <w:rPr>
            <w:rStyle w:val="Hyperlink"/>
            <w:rFonts w:ascii="Times New Roman" w:hAnsi="Times New Roman"/>
            <w:noProof/>
          </w:rPr>
          <w:t>3.5.1. Príjmy z rozpočtu EÚ</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_Toc322614763 \h </w:instrText>
        </w:r>
        <w:r>
          <w:rPr>
            <w:rFonts w:ascii="Times New Roman" w:hAnsi="Times New Roman"/>
            <w:noProof/>
            <w:webHidden/>
          </w:rPr>
          <w:fldChar w:fldCharType="separate"/>
        </w:r>
        <w:r w:rsidR="004E4555">
          <w:rPr>
            <w:rFonts w:ascii="Times New Roman" w:hAnsi="Times New Roman"/>
            <w:noProof/>
            <w:webHidden/>
          </w:rPr>
          <w:t>42</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4" w:history="1">
        <w:r w:rsidRPr="00356D45">
          <w:rPr>
            <w:rStyle w:val="Hyperlink"/>
            <w:rFonts w:ascii="Times New Roman" w:hAnsi="Times New Roman"/>
            <w:noProof/>
          </w:rPr>
          <w:t>3.5.2. Výdavky štátneho rozpočtu rozpočtované vo väzbe na príjmy z EÚ</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_Toc322614764 \h </w:instrText>
        </w:r>
        <w:r>
          <w:rPr>
            <w:rFonts w:ascii="Times New Roman" w:hAnsi="Times New Roman"/>
            <w:noProof/>
            <w:webHidden/>
          </w:rPr>
          <w:fldChar w:fldCharType="separate"/>
        </w:r>
        <w:r w:rsidR="004E4555">
          <w:rPr>
            <w:rFonts w:ascii="Times New Roman" w:hAnsi="Times New Roman"/>
            <w:noProof/>
            <w:webHidden/>
          </w:rPr>
          <w:t>44</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65" w:history="1">
        <w:r w:rsidRPr="00356D45">
          <w:rPr>
            <w:rStyle w:val="Hyperlink"/>
            <w:rFonts w:ascii="Times New Roman" w:hAnsi="Times New Roman"/>
            <w:noProof/>
          </w:rPr>
          <w:t>3.6. Vzťahy štátneho rozpočtu k územnej samospráve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_Toc322614765 \h </w:instrText>
        </w:r>
        <w:r>
          <w:rPr>
            <w:rFonts w:ascii="Times New Roman" w:hAnsi="Times New Roman"/>
            <w:noProof/>
            <w:webHidden/>
          </w:rPr>
          <w:fldChar w:fldCharType="separate"/>
        </w:r>
        <w:r w:rsidR="004E4555">
          <w:rPr>
            <w:rFonts w:ascii="Times New Roman" w:hAnsi="Times New Roman"/>
            <w:noProof/>
            <w:webHidden/>
          </w:rPr>
          <w:t>47</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6" w:history="1">
        <w:r w:rsidRPr="00356D45">
          <w:rPr>
            <w:rStyle w:val="Hyperlink"/>
            <w:rFonts w:ascii="Times New Roman" w:hAnsi="Times New Roman"/>
            <w:noProof/>
          </w:rPr>
          <w:t>3.6.1. Vzťahy štátneho rozpočtu a rozpočtov obcí</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_Toc322614766 \h </w:instrText>
        </w:r>
        <w:r>
          <w:rPr>
            <w:rFonts w:ascii="Times New Roman" w:hAnsi="Times New Roman"/>
            <w:noProof/>
            <w:webHidden/>
          </w:rPr>
          <w:fldChar w:fldCharType="separate"/>
        </w:r>
        <w:r w:rsidR="004E4555">
          <w:rPr>
            <w:rFonts w:ascii="Times New Roman" w:hAnsi="Times New Roman"/>
            <w:noProof/>
            <w:webHidden/>
          </w:rPr>
          <w:t>47</w:t>
        </w:r>
        <w:r>
          <w:rPr>
            <w:rFonts w:ascii="Times New Roman" w:hAnsi="Times New Roman"/>
            <w:noProof/>
            <w:webHidden/>
          </w:rPr>
          <w:fldChar w:fldCharType="end"/>
        </w:r>
      </w:hyperlink>
    </w:p>
    <w:p w:rsidR="001E0A5D">
      <w:pPr>
        <w:pStyle w:val="TOC3"/>
        <w:tabs>
          <w:tab w:val="right" w:leader="dot" w:pos="9487"/>
        </w:tabs>
        <w:bidi w:val="0"/>
        <w:rPr>
          <w:rFonts w:ascii="Calibri" w:hAnsi="Calibri"/>
          <w:noProof/>
          <w:sz w:val="22"/>
          <w:szCs w:val="22"/>
        </w:rPr>
      </w:pPr>
      <w:hyperlink w:anchor="_Toc322614767" w:history="1">
        <w:r w:rsidRPr="00356D45">
          <w:rPr>
            <w:rStyle w:val="Hyperlink"/>
            <w:rFonts w:ascii="Times New Roman" w:hAnsi="Times New Roman"/>
            <w:noProof/>
          </w:rPr>
          <w:t>3.6.2. Vzťahy štátneho rozpočtu a rozpočtov VÚC</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_Toc322614767 \h </w:instrText>
        </w:r>
        <w:r>
          <w:rPr>
            <w:rFonts w:ascii="Times New Roman" w:hAnsi="Times New Roman"/>
            <w:noProof/>
            <w:webHidden/>
          </w:rPr>
          <w:fldChar w:fldCharType="separate"/>
        </w:r>
        <w:r w:rsidR="004E4555">
          <w:rPr>
            <w:rFonts w:ascii="Times New Roman" w:hAnsi="Times New Roman"/>
            <w:noProof/>
            <w:webHidden/>
          </w:rPr>
          <w:t>50</w:t>
        </w:r>
        <w:r>
          <w:rPr>
            <w:rFonts w:ascii="Times New Roman" w:hAnsi="Times New Roman"/>
            <w:noProof/>
            <w:webHidden/>
          </w:rPr>
          <w:fldChar w:fldCharType="end"/>
        </w:r>
      </w:hyperlink>
    </w:p>
    <w:p w:rsidR="001E0A5D">
      <w:pPr>
        <w:pStyle w:val="TOC2"/>
        <w:tabs>
          <w:tab w:val="right" w:leader="dot" w:pos="9487"/>
        </w:tabs>
        <w:bidi w:val="0"/>
        <w:rPr>
          <w:rFonts w:ascii="Calibri" w:hAnsi="Calibri"/>
          <w:noProof/>
          <w:sz w:val="22"/>
          <w:szCs w:val="22"/>
        </w:rPr>
      </w:pPr>
      <w:hyperlink w:anchor="_Toc322614768" w:history="1">
        <w:r w:rsidRPr="00356D45">
          <w:rPr>
            <w:rStyle w:val="Hyperlink"/>
            <w:rFonts w:ascii="Times New Roman" w:hAnsi="Times New Roman"/>
            <w:noProof/>
          </w:rPr>
          <w:t>3.7. Čerpanie rezerv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_Toc322614768 \h </w:instrText>
        </w:r>
        <w:r>
          <w:rPr>
            <w:rFonts w:ascii="Times New Roman" w:hAnsi="Times New Roman"/>
            <w:noProof/>
            <w:webHidden/>
          </w:rPr>
          <w:fldChar w:fldCharType="separate"/>
        </w:r>
        <w:r w:rsidR="004E4555">
          <w:rPr>
            <w:rFonts w:ascii="Times New Roman" w:hAnsi="Times New Roman"/>
            <w:noProof/>
            <w:webHidden/>
          </w:rPr>
          <w:t>54</w:t>
        </w:r>
        <w:r>
          <w:rPr>
            <w:rFonts w:ascii="Times New Roman" w:hAnsi="Times New Roman"/>
            <w:noProof/>
            <w:webHidden/>
          </w:rPr>
          <w:fldChar w:fldCharType="end"/>
        </w:r>
      </w:hyperlink>
    </w:p>
    <w:p w:rsidR="001E0A5D">
      <w:pPr>
        <w:pStyle w:val="TOC1"/>
        <w:bidi w:val="0"/>
        <w:rPr>
          <w:rFonts w:ascii="Calibri" w:hAnsi="Calibri"/>
          <w:noProof/>
          <w:sz w:val="22"/>
          <w:szCs w:val="22"/>
        </w:rPr>
      </w:pPr>
      <w:hyperlink w:anchor="_Toc322614769" w:history="1">
        <w:r w:rsidRPr="00356D45">
          <w:rPr>
            <w:rStyle w:val="Hyperlink"/>
            <w:rFonts w:ascii="Times New Roman" w:hAnsi="Times New Roman"/>
            <w:noProof/>
          </w:rPr>
          <w:t>Tabuľková príloha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_Toc322614769 \h </w:instrText>
        </w:r>
        <w:r>
          <w:rPr>
            <w:rFonts w:ascii="Times New Roman" w:hAnsi="Times New Roman"/>
            <w:noProof/>
            <w:webHidden/>
          </w:rPr>
          <w:fldChar w:fldCharType="separate"/>
        </w:r>
        <w:r w:rsidR="004E4555">
          <w:rPr>
            <w:rFonts w:ascii="Times New Roman" w:hAnsi="Times New Roman"/>
            <w:noProof/>
            <w:webHidden/>
          </w:rPr>
          <w:t>56</w:t>
        </w:r>
        <w:r>
          <w:rPr>
            <w:rFonts w:ascii="Times New Roman" w:hAnsi="Times New Roman"/>
            <w:noProof/>
            <w:webHidden/>
          </w:rPr>
          <w:fldChar w:fldCharType="end"/>
        </w:r>
      </w:hyperlink>
    </w:p>
    <w:p w:rsidR="0011768B" w:rsidP="0011768B">
      <w:pPr>
        <w:bidi w:val="0"/>
        <w:ind w:left="1416" w:firstLine="708"/>
        <w:rPr>
          <w:rFonts w:ascii="Arial Narrow" w:hAnsi="Arial Narrow"/>
          <w:b/>
          <w:sz w:val="20"/>
          <w:szCs w:val="20"/>
        </w:rPr>
      </w:pPr>
      <w:r>
        <w:rPr>
          <w:rFonts w:ascii="Arial Narrow" w:hAnsi="Arial Narrow"/>
          <w:b/>
          <w:sz w:val="20"/>
          <w:szCs w:val="20"/>
        </w:rPr>
        <w:fldChar w:fldCharType="end"/>
      </w:r>
    </w:p>
    <w:p w:rsidR="0011768B" w:rsidP="0011768B">
      <w:pPr>
        <w:bidi w:val="0"/>
        <w:ind w:left="1416" w:firstLine="708"/>
        <w:rPr>
          <w:rFonts w:ascii="Arial Narrow" w:hAnsi="Arial Narrow"/>
          <w:b/>
          <w:sz w:val="20"/>
          <w:szCs w:val="20"/>
        </w:rPr>
      </w:pPr>
    </w:p>
    <w:p w:rsidR="0011768B" w:rsidP="0011768B">
      <w:pPr>
        <w:bidi w:val="0"/>
        <w:ind w:left="1416" w:firstLine="708"/>
        <w:rPr>
          <w:rFonts w:ascii="Arial Narrow" w:hAnsi="Arial Narrow"/>
          <w:b/>
          <w:sz w:val="20"/>
          <w:szCs w:val="20"/>
        </w:rPr>
      </w:pPr>
    </w:p>
    <w:p w:rsidR="00D07062" w:rsidRPr="00D07062" w:rsidP="007E6441">
      <w:pPr>
        <w:pStyle w:val="Heading1"/>
        <w:bidi w:val="0"/>
        <w:spacing w:before="100" w:beforeAutospacing="1" w:after="100" w:afterAutospacing="1" w:line="360" w:lineRule="auto"/>
        <w:jc w:val="center"/>
        <w:rPr>
          <w:rFonts w:ascii="Times New Roman" w:hAnsi="Times New Roman"/>
          <w:color w:val="auto"/>
          <w:sz w:val="24"/>
          <w:szCs w:val="24"/>
        </w:rPr>
      </w:pPr>
      <w:r w:rsidR="009205C9">
        <w:br w:type="page"/>
      </w:r>
      <w:bookmarkStart w:id="0" w:name="_Toc322614739"/>
      <w:r w:rsidRPr="00D07062">
        <w:rPr>
          <w:rFonts w:ascii="Times New Roman" w:hAnsi="Times New Roman"/>
          <w:color w:val="auto"/>
          <w:sz w:val="24"/>
          <w:szCs w:val="24"/>
        </w:rPr>
        <w:t>1.</w:t>
      </w:r>
      <w:r w:rsidR="001145B7">
        <w:rPr>
          <w:rFonts w:ascii="Times New Roman" w:hAnsi="Times New Roman"/>
          <w:color w:val="auto"/>
          <w:sz w:val="24"/>
          <w:szCs w:val="24"/>
        </w:rPr>
        <w:t xml:space="preserve"> </w:t>
      </w:r>
      <w:r w:rsidRPr="00D07062">
        <w:rPr>
          <w:rFonts w:ascii="Times New Roman" w:hAnsi="Times New Roman"/>
          <w:color w:val="auto"/>
          <w:sz w:val="24"/>
          <w:szCs w:val="24"/>
        </w:rPr>
        <w:t>Ekonomický rámec rozpočtového hospodárenia Slovenskej republiky</w:t>
      </w:r>
      <w:bookmarkEnd w:id="0"/>
    </w:p>
    <w:p w:rsidR="00053BDF" w:rsidRPr="00053BDF" w:rsidP="00247FDD">
      <w:pPr>
        <w:pStyle w:val="Heading2"/>
        <w:bidi w:val="0"/>
        <w:spacing w:before="100" w:beforeAutospacing="1" w:after="100" w:afterAutospacing="1" w:line="360" w:lineRule="auto"/>
        <w:jc w:val="center"/>
        <w:rPr>
          <w:rFonts w:ascii="Times New Roman" w:hAnsi="Times New Roman"/>
          <w:color w:val="auto"/>
          <w:sz w:val="24"/>
          <w:szCs w:val="24"/>
        </w:rPr>
      </w:pPr>
      <w:bookmarkStart w:id="1" w:name="_Toc322614740"/>
      <w:r>
        <w:rPr>
          <w:rFonts w:ascii="Times New Roman" w:hAnsi="Times New Roman"/>
          <w:color w:val="auto"/>
          <w:sz w:val="24"/>
          <w:szCs w:val="24"/>
        </w:rPr>
        <w:t xml:space="preserve">1.1. </w:t>
      </w:r>
      <w:r w:rsidRPr="00053BDF">
        <w:rPr>
          <w:rFonts w:ascii="Times New Roman" w:hAnsi="Times New Roman"/>
          <w:color w:val="auto"/>
          <w:sz w:val="24"/>
          <w:szCs w:val="24"/>
        </w:rPr>
        <w:t>Ekonomický vývoj SR v kontexte vývoja globálnej ekonomiky</w:t>
      </w:r>
      <w:bookmarkEnd w:id="1"/>
    </w:p>
    <w:p w:rsidR="00053BDF" w:rsidRPr="00E92D1B" w:rsidP="00762545">
      <w:pPr>
        <w:pStyle w:val="Footer"/>
        <w:tabs>
          <w:tab w:val="clear" w:pos="4536"/>
          <w:tab w:val="clear" w:pos="9072"/>
        </w:tabs>
        <w:bidi w:val="0"/>
        <w:spacing w:before="120" w:after="120" w:line="360" w:lineRule="auto"/>
        <w:ind w:firstLine="709"/>
        <w:jc w:val="both"/>
        <w:rPr>
          <w:rFonts w:ascii="Times New Roman" w:hAnsi="Times New Roman"/>
        </w:rPr>
      </w:pPr>
      <w:r w:rsidRPr="00E92D1B">
        <w:rPr>
          <w:rFonts w:ascii="Times New Roman" w:hAnsi="Times New Roman"/>
        </w:rPr>
        <w:t xml:space="preserve">Oživenie svetovej ekonomiky v roku 2011 sa spomalilo a </w:t>
      </w:r>
      <w:r w:rsidRPr="00E92D1B">
        <w:rPr>
          <w:rFonts w:ascii="Times New Roman" w:hAnsi="Times New Roman"/>
          <w:b/>
        </w:rPr>
        <w:t>neprebiehalo rovnomerne</w:t>
      </w:r>
      <w:r>
        <w:rPr>
          <w:rFonts w:ascii="Times New Roman" w:hAnsi="Times New Roman"/>
          <w:b/>
        </w:rPr>
        <w:t>.</w:t>
      </w:r>
      <w:r w:rsidRPr="00E92D1B">
        <w:rPr>
          <w:rFonts w:ascii="Times New Roman" w:hAnsi="Times New Roman"/>
        </w:rPr>
        <w:t xml:space="preserve"> </w:t>
      </w:r>
      <w:r>
        <w:rPr>
          <w:rFonts w:ascii="Times New Roman" w:hAnsi="Times New Roman"/>
        </w:rPr>
        <w:t>R</w:t>
      </w:r>
      <w:r w:rsidRPr="00E92D1B">
        <w:rPr>
          <w:rFonts w:ascii="Times New Roman" w:hAnsi="Times New Roman"/>
        </w:rPr>
        <w:t xml:space="preserve">ýchly rast v roku 2011 zaznamenali predovšetkým rozvíjajúce sa ekonomiky na čele </w:t>
      </w:r>
      <w:r w:rsidR="00920733">
        <w:rPr>
          <w:rFonts w:ascii="Times New Roman" w:hAnsi="Times New Roman"/>
        </w:rPr>
        <w:br/>
      </w:r>
      <w:r w:rsidRPr="00E92D1B">
        <w:rPr>
          <w:rFonts w:ascii="Times New Roman" w:hAnsi="Times New Roman"/>
        </w:rPr>
        <w:t>s krajinami Ázie. Svetov</w:t>
      </w:r>
      <w:r>
        <w:rPr>
          <w:rFonts w:ascii="Times New Roman" w:hAnsi="Times New Roman"/>
        </w:rPr>
        <w:t>ý</w:t>
      </w:r>
      <w:r w:rsidRPr="00E92D1B">
        <w:rPr>
          <w:rFonts w:ascii="Times New Roman" w:hAnsi="Times New Roman"/>
        </w:rPr>
        <w:t xml:space="preserve"> </w:t>
      </w:r>
      <w:r w:rsidR="00920733">
        <w:rPr>
          <w:rFonts w:ascii="Times New Roman" w:hAnsi="Times New Roman"/>
        </w:rPr>
        <w:t>hrubý domáci produkt (</w:t>
      </w:r>
      <w:r w:rsidRPr="00E92D1B">
        <w:rPr>
          <w:rFonts w:ascii="Times New Roman" w:hAnsi="Times New Roman"/>
        </w:rPr>
        <w:t>HDP</w:t>
      </w:r>
      <w:r w:rsidR="00920733">
        <w:rPr>
          <w:rFonts w:ascii="Times New Roman" w:hAnsi="Times New Roman"/>
        </w:rPr>
        <w:t>)</w:t>
      </w:r>
      <w:r w:rsidRPr="00E92D1B">
        <w:rPr>
          <w:rFonts w:ascii="Times New Roman" w:hAnsi="Times New Roman"/>
        </w:rPr>
        <w:t>, po tom, čo v roku 2010 zaznamenal rast o 5,</w:t>
      </w:r>
      <w:r>
        <w:rPr>
          <w:rFonts w:ascii="Times New Roman" w:hAnsi="Times New Roman"/>
        </w:rPr>
        <w:t>3</w:t>
      </w:r>
      <w:r w:rsidR="00F01552">
        <w:rPr>
          <w:rFonts w:ascii="Times New Roman" w:hAnsi="Times New Roman"/>
        </w:rPr>
        <w:t xml:space="preserve"> </w:t>
      </w:r>
      <w:r w:rsidRPr="00E92D1B">
        <w:rPr>
          <w:rFonts w:ascii="Times New Roman" w:hAnsi="Times New Roman"/>
        </w:rPr>
        <w:t>%, v roku 2011 dosiahol rast len o 3,</w:t>
      </w:r>
      <w:r>
        <w:rPr>
          <w:rFonts w:ascii="Times New Roman" w:hAnsi="Times New Roman"/>
        </w:rPr>
        <w:t>9</w:t>
      </w:r>
      <w:r w:rsidR="00F01552">
        <w:rPr>
          <w:rFonts w:ascii="Times New Roman" w:hAnsi="Times New Roman"/>
        </w:rPr>
        <w:t xml:space="preserve"> </w:t>
      </w:r>
      <w:r w:rsidRPr="00E92D1B">
        <w:rPr>
          <w:rFonts w:ascii="Times New Roman" w:hAnsi="Times New Roman"/>
        </w:rPr>
        <w:t>%.</w:t>
      </w:r>
      <w:r>
        <w:rPr>
          <w:rFonts w:ascii="Times New Roman" w:hAnsi="Times New Roman"/>
        </w:rPr>
        <w:t xml:space="preserve"> Za spomalením st</w:t>
      </w:r>
      <w:r w:rsidR="00920733">
        <w:rPr>
          <w:rFonts w:ascii="Times New Roman" w:hAnsi="Times New Roman"/>
        </w:rPr>
        <w:t>ál</w:t>
      </w:r>
      <w:r>
        <w:rPr>
          <w:rFonts w:ascii="Times New Roman" w:hAnsi="Times New Roman"/>
        </w:rPr>
        <w:t xml:space="preserve"> nízky rast </w:t>
      </w:r>
      <w:r w:rsidR="00920733">
        <w:rPr>
          <w:rFonts w:ascii="Times New Roman" w:hAnsi="Times New Roman"/>
        </w:rPr>
        <w:t xml:space="preserve">HDP </w:t>
      </w:r>
      <w:r>
        <w:rPr>
          <w:rFonts w:ascii="Times New Roman" w:hAnsi="Times New Roman"/>
        </w:rPr>
        <w:t>rozvinutých krajín, ktorý poklesol z 3,2</w:t>
      </w:r>
      <w:r w:rsidR="00F01552">
        <w:rPr>
          <w:rFonts w:ascii="Times New Roman" w:hAnsi="Times New Roman"/>
        </w:rPr>
        <w:t xml:space="preserve"> </w:t>
      </w:r>
      <w:r>
        <w:rPr>
          <w:rFonts w:ascii="Times New Roman" w:hAnsi="Times New Roman"/>
        </w:rPr>
        <w:t>% v roku 2010 na 1,6</w:t>
      </w:r>
      <w:r w:rsidR="00F01552">
        <w:rPr>
          <w:rFonts w:ascii="Times New Roman" w:hAnsi="Times New Roman"/>
        </w:rPr>
        <w:t xml:space="preserve"> </w:t>
      </w:r>
      <w:r>
        <w:rPr>
          <w:rFonts w:ascii="Times New Roman" w:hAnsi="Times New Roman"/>
        </w:rPr>
        <w:t>% v roku 2011, pričom k oslabeniu rastu došlo ako v USA tak aj v krajinách EÚ.</w:t>
      </w:r>
    </w:p>
    <w:p w:rsidR="00053BDF" w:rsidRPr="00E92D1B" w:rsidP="00762545">
      <w:pPr>
        <w:pStyle w:val="Footer"/>
        <w:tabs>
          <w:tab w:val="clear" w:pos="4536"/>
          <w:tab w:val="clear" w:pos="9072"/>
        </w:tabs>
        <w:bidi w:val="0"/>
        <w:spacing w:before="120" w:after="120" w:line="360" w:lineRule="auto"/>
        <w:jc w:val="both"/>
        <w:rPr>
          <w:rFonts w:ascii="Times New Roman" w:hAnsi="Times New Roman"/>
        </w:rPr>
      </w:pPr>
      <w:r w:rsidRPr="00920733">
        <w:rPr>
          <w:rFonts w:ascii="Times New Roman" w:hAnsi="Times New Roman"/>
          <w:b/>
        </w:rPr>
        <w:t xml:space="preserve">Ekonomika USA v roku 2011 </w:t>
      </w:r>
      <w:r w:rsidRPr="00E92D1B">
        <w:rPr>
          <w:rFonts w:ascii="Times New Roman" w:hAnsi="Times New Roman"/>
        </w:rPr>
        <w:t>zaznamenala rast o 1,7 % (oproti rastu o 3,0 % v roku 2010), po negatívnych vplyvoch zemetrasení v Japonsku v úvode roka sa ekonomická aktivita výraznejšie zrýchlila k záveru roka. I napriek nižšiemu ekonomickému rastu ako v roku 2010 nezamestnanosť sa v závere roka 2011 výrazne znížila, čo pozitívne podporilo konečnú spotrebu domácností vo štvrtom kvartáli. Rast HDP</w:t>
      </w:r>
      <w:r>
        <w:rPr>
          <w:rFonts w:ascii="Times New Roman" w:hAnsi="Times New Roman"/>
        </w:rPr>
        <w:t xml:space="preserve"> USA</w:t>
      </w:r>
      <w:r w:rsidRPr="00E92D1B">
        <w:rPr>
          <w:rFonts w:ascii="Times New Roman" w:hAnsi="Times New Roman"/>
        </w:rPr>
        <w:t xml:space="preserve"> v poslednom kvartáli 2011 (0,7 %) dokonca pre</w:t>
      </w:r>
      <w:r>
        <w:rPr>
          <w:rFonts w:ascii="Times New Roman" w:hAnsi="Times New Roman"/>
        </w:rPr>
        <w:t>d</w:t>
      </w:r>
      <w:r w:rsidRPr="00E92D1B">
        <w:rPr>
          <w:rFonts w:ascii="Times New Roman" w:hAnsi="Times New Roman"/>
        </w:rPr>
        <w:t>behol očakávania E</w:t>
      </w:r>
      <w:r>
        <w:rPr>
          <w:rFonts w:ascii="Times New Roman" w:hAnsi="Times New Roman"/>
        </w:rPr>
        <w:t xml:space="preserve">urópskej </w:t>
      </w:r>
      <w:r w:rsidR="00920733">
        <w:rPr>
          <w:rFonts w:ascii="Times New Roman" w:hAnsi="Times New Roman"/>
        </w:rPr>
        <w:t>k</w:t>
      </w:r>
      <w:r>
        <w:rPr>
          <w:rFonts w:ascii="Times New Roman" w:hAnsi="Times New Roman"/>
        </w:rPr>
        <w:t xml:space="preserve">omisie </w:t>
      </w:r>
      <w:r w:rsidRPr="00E92D1B">
        <w:rPr>
          <w:rFonts w:ascii="Times New Roman" w:hAnsi="Times New Roman"/>
        </w:rPr>
        <w:t>z jesene 2011.</w:t>
      </w:r>
    </w:p>
    <w:p w:rsidR="00053BDF" w:rsidP="00C36624">
      <w:pPr>
        <w:pStyle w:val="Footer"/>
        <w:tabs>
          <w:tab w:val="clear" w:pos="4536"/>
          <w:tab w:val="clear" w:pos="9072"/>
        </w:tabs>
        <w:bidi w:val="0"/>
        <w:spacing w:before="120" w:after="120" w:line="360" w:lineRule="auto"/>
        <w:jc w:val="both"/>
        <w:rPr>
          <w:rFonts w:ascii="Times New Roman" w:hAnsi="Times New Roman"/>
          <w:bCs/>
        </w:rPr>
      </w:pPr>
      <w:r w:rsidRPr="00920733">
        <w:rPr>
          <w:rFonts w:ascii="Times New Roman" w:hAnsi="Times New Roman"/>
          <w:b/>
          <w:bCs/>
        </w:rPr>
        <w:t>Ekonomika eurozóny v roku 2011</w:t>
      </w:r>
      <w:r w:rsidRPr="00E92D1B">
        <w:rPr>
          <w:rFonts w:ascii="Times New Roman" w:hAnsi="Times New Roman"/>
          <w:bCs/>
        </w:rPr>
        <w:t xml:space="preserve"> spomalila svoje tempo rastu HDP z minuloročných 1,9</w:t>
      </w:r>
      <w:r w:rsidR="00F01552">
        <w:rPr>
          <w:rFonts w:ascii="Times New Roman" w:hAnsi="Times New Roman"/>
          <w:bCs/>
        </w:rPr>
        <w:t xml:space="preserve"> </w:t>
      </w:r>
      <w:r w:rsidRPr="00E92D1B">
        <w:rPr>
          <w:rFonts w:ascii="Times New Roman" w:hAnsi="Times New Roman"/>
          <w:bCs/>
        </w:rPr>
        <w:t xml:space="preserve">% </w:t>
      </w:r>
      <w:r w:rsidR="00F01552">
        <w:rPr>
          <w:rFonts w:ascii="Times New Roman" w:hAnsi="Times New Roman"/>
          <w:bCs/>
        </w:rPr>
        <w:br/>
      </w:r>
      <w:r w:rsidRPr="00E92D1B">
        <w:rPr>
          <w:rFonts w:ascii="Times New Roman" w:hAnsi="Times New Roman"/>
          <w:bCs/>
        </w:rPr>
        <w:t>na 1,4</w:t>
      </w:r>
      <w:r w:rsidR="00F01552">
        <w:rPr>
          <w:rFonts w:ascii="Times New Roman" w:hAnsi="Times New Roman"/>
          <w:bCs/>
        </w:rPr>
        <w:t xml:space="preserve"> </w:t>
      </w:r>
      <w:r w:rsidRPr="00E92D1B">
        <w:rPr>
          <w:rFonts w:ascii="Times New Roman" w:hAnsi="Times New Roman"/>
          <w:bCs/>
        </w:rPr>
        <w:t xml:space="preserve">%. V poslednom štvrťroku dokonca došlo k medzikvartálnemu poklesu HDP </w:t>
      </w:r>
      <w:r>
        <w:rPr>
          <w:rFonts w:ascii="Times New Roman" w:hAnsi="Times New Roman"/>
          <w:bCs/>
        </w:rPr>
        <w:br/>
      </w:r>
      <w:r w:rsidR="0066580D">
        <w:rPr>
          <w:rFonts w:ascii="Times New Roman" w:hAnsi="Times New Roman"/>
          <w:bCs/>
        </w:rPr>
        <w:t xml:space="preserve">o </w:t>
      </w:r>
      <w:r w:rsidRPr="00E92D1B">
        <w:rPr>
          <w:rFonts w:ascii="Times New Roman" w:hAnsi="Times New Roman"/>
          <w:bCs/>
        </w:rPr>
        <w:t>0,3</w:t>
      </w:r>
      <w:r w:rsidR="00F01552">
        <w:rPr>
          <w:rFonts w:ascii="Times New Roman" w:hAnsi="Times New Roman"/>
          <w:bCs/>
        </w:rPr>
        <w:t xml:space="preserve"> </w:t>
      </w:r>
      <w:r w:rsidRPr="00E92D1B">
        <w:rPr>
          <w:rFonts w:ascii="Times New Roman" w:hAnsi="Times New Roman"/>
          <w:bCs/>
        </w:rPr>
        <w:t xml:space="preserve">%. </w:t>
      </w:r>
      <w:r w:rsidRPr="00E92D1B">
        <w:rPr>
          <w:rFonts w:ascii="Times New Roman" w:hAnsi="Times New Roman"/>
          <w:b/>
          <w:bCs/>
        </w:rPr>
        <w:t xml:space="preserve">Európske krajiny sa </w:t>
      </w:r>
      <w:r w:rsidRPr="00E92D1B">
        <w:rPr>
          <w:rFonts w:ascii="Times New Roman" w:hAnsi="Times New Roman"/>
          <w:bCs/>
        </w:rPr>
        <w:t>pritom</w:t>
      </w:r>
      <w:r w:rsidRPr="00E92D1B">
        <w:rPr>
          <w:rFonts w:ascii="Times New Roman" w:hAnsi="Times New Roman"/>
          <w:b/>
          <w:bCs/>
        </w:rPr>
        <w:t xml:space="preserve"> nevyvíjali rovnomerne.</w:t>
      </w:r>
      <w:r w:rsidRPr="00E92D1B">
        <w:rPr>
          <w:rFonts w:ascii="Times New Roman" w:hAnsi="Times New Roman"/>
          <w:bCs/>
        </w:rPr>
        <w:t xml:space="preserve"> Vo všeobecnosti sa dá povedať, že rástla najmä severná a stredná Európa. Naopak, krajiny južnej Európy postihlo spomalenie rastu, niektoré dokonca zaznamenali pokles HDP. Nemecká proexportne orientovaná ekonomika vďaka oživenej priemyselnej výrobe a poklesu nezamestnanosti zaznamenala vysoký rast HDP dosahujúci 3,0</w:t>
      </w:r>
      <w:r w:rsidR="00F01552">
        <w:rPr>
          <w:rFonts w:ascii="Times New Roman" w:hAnsi="Times New Roman"/>
          <w:bCs/>
        </w:rPr>
        <w:t xml:space="preserve"> </w:t>
      </w:r>
      <w:r w:rsidRPr="00E92D1B">
        <w:rPr>
          <w:rFonts w:ascii="Times New Roman" w:hAnsi="Times New Roman"/>
          <w:bCs/>
        </w:rPr>
        <w:t>%, zatiaľ čo spomalenie doľahlo hlavne na periférne krajiny eurozóny ako Portugalsko (-1,6</w:t>
      </w:r>
      <w:r w:rsidR="00F01552">
        <w:rPr>
          <w:rFonts w:ascii="Times New Roman" w:hAnsi="Times New Roman"/>
          <w:bCs/>
        </w:rPr>
        <w:t xml:space="preserve"> </w:t>
      </w:r>
      <w:r w:rsidRPr="00E92D1B">
        <w:rPr>
          <w:rFonts w:ascii="Times New Roman" w:hAnsi="Times New Roman"/>
          <w:bCs/>
        </w:rPr>
        <w:t>%), Grécko (-6,9</w:t>
      </w:r>
      <w:r w:rsidR="00F01552">
        <w:rPr>
          <w:rFonts w:ascii="Times New Roman" w:hAnsi="Times New Roman"/>
          <w:bCs/>
        </w:rPr>
        <w:t xml:space="preserve"> </w:t>
      </w:r>
      <w:r w:rsidRPr="00E92D1B">
        <w:rPr>
          <w:rFonts w:ascii="Times New Roman" w:hAnsi="Times New Roman"/>
          <w:bCs/>
        </w:rPr>
        <w:t>%), Taliansko (0,4</w:t>
      </w:r>
      <w:r w:rsidR="00F01552">
        <w:rPr>
          <w:rFonts w:ascii="Times New Roman" w:hAnsi="Times New Roman"/>
          <w:bCs/>
        </w:rPr>
        <w:t xml:space="preserve"> </w:t>
      </w:r>
      <w:r w:rsidRPr="00E92D1B">
        <w:rPr>
          <w:rFonts w:ascii="Times New Roman" w:hAnsi="Times New Roman"/>
          <w:bCs/>
        </w:rPr>
        <w:t>%) a Španielsko (0,7</w:t>
      </w:r>
      <w:r w:rsidR="00F01552">
        <w:rPr>
          <w:rFonts w:ascii="Times New Roman" w:hAnsi="Times New Roman"/>
          <w:bCs/>
        </w:rPr>
        <w:t xml:space="preserve"> </w:t>
      </w:r>
      <w:r w:rsidRPr="00E92D1B">
        <w:rPr>
          <w:rFonts w:ascii="Times New Roman" w:hAnsi="Times New Roman"/>
          <w:bCs/>
        </w:rPr>
        <w:t>%). Nemecko tak dosiahlo v roku 2011 vyšší rast HDP ako bol priemer eurozóny (1,4</w:t>
      </w:r>
      <w:r w:rsidR="00F01552">
        <w:rPr>
          <w:rFonts w:ascii="Times New Roman" w:hAnsi="Times New Roman"/>
          <w:bCs/>
        </w:rPr>
        <w:t xml:space="preserve"> </w:t>
      </w:r>
      <w:r w:rsidRPr="00E92D1B">
        <w:rPr>
          <w:rFonts w:ascii="Times New Roman" w:hAnsi="Times New Roman"/>
          <w:bCs/>
        </w:rPr>
        <w:t xml:space="preserve">%) a to predovšetkým vďaka exportne orientovanej priemyselnej výrobe, ale aj rýchlejším rastom konečnej spotreby domácností. </w:t>
      </w:r>
      <w:r w:rsidRPr="00E92D1B" w:rsidR="001145B7">
        <w:rPr>
          <w:rFonts w:ascii="Times New Roman" w:hAnsi="Times New Roman"/>
          <w:bCs/>
        </w:rPr>
        <w:t xml:space="preserve">V najväčšej ekonomike EÚ, v Nemecku, došlo k výraznému rastu investícií až </w:t>
      </w:r>
      <w:r w:rsidR="005A4E8D">
        <w:rPr>
          <w:rFonts w:ascii="Times New Roman" w:hAnsi="Times New Roman"/>
          <w:bCs/>
        </w:rPr>
        <w:br/>
      </w:r>
      <w:r w:rsidRPr="00E92D1B" w:rsidR="001145B7">
        <w:rPr>
          <w:rFonts w:ascii="Times New Roman" w:hAnsi="Times New Roman"/>
          <w:bCs/>
        </w:rPr>
        <w:t>o 6,4</w:t>
      </w:r>
      <w:r w:rsidR="001145B7">
        <w:rPr>
          <w:rFonts w:ascii="Times New Roman" w:hAnsi="Times New Roman"/>
          <w:bCs/>
        </w:rPr>
        <w:t xml:space="preserve"> </w:t>
      </w:r>
      <w:r w:rsidRPr="00E92D1B" w:rsidR="001145B7">
        <w:rPr>
          <w:rFonts w:ascii="Times New Roman" w:hAnsi="Times New Roman"/>
          <w:bCs/>
        </w:rPr>
        <w:t>% a </w:t>
      </w:r>
      <w:r w:rsidR="001145B7">
        <w:rPr>
          <w:rFonts w:ascii="Times New Roman" w:hAnsi="Times New Roman"/>
          <w:bCs/>
        </w:rPr>
        <w:t xml:space="preserve">k </w:t>
      </w:r>
      <w:r w:rsidRPr="00E92D1B" w:rsidR="001145B7">
        <w:rPr>
          <w:rFonts w:ascii="Times New Roman" w:hAnsi="Times New Roman"/>
          <w:bCs/>
        </w:rPr>
        <w:t>lepšiemu výsledku rastu súkromnej aj verejnej spotreby ako vo väčšine krajín eurozóny.</w:t>
      </w:r>
      <w:r w:rsidR="001145B7">
        <w:rPr>
          <w:rFonts w:ascii="Times New Roman" w:hAnsi="Times New Roman"/>
          <w:bCs/>
        </w:rPr>
        <w:t xml:space="preserve"> </w:t>
      </w:r>
      <w:r w:rsidRPr="00E92D1B">
        <w:rPr>
          <w:rFonts w:ascii="Times New Roman" w:hAnsi="Times New Roman"/>
          <w:bCs/>
        </w:rPr>
        <w:t xml:space="preserve">Nižší rast ekonomickej aktivity sa na vývoji nezamestnanosti prejavil skôr negatívne, iba v niektorých krajinách začala výraznejšie klesať ako napríklad v Nemecku. Miera </w:t>
      </w:r>
      <w:r w:rsidRPr="001267E6">
        <w:rPr>
          <w:rFonts w:ascii="Times New Roman" w:hAnsi="Times New Roman"/>
        </w:rPr>
        <w:t>nezamestnanosti</w:t>
      </w:r>
      <w:r w:rsidRPr="00E92D1B">
        <w:rPr>
          <w:rFonts w:ascii="Times New Roman" w:hAnsi="Times New Roman"/>
          <w:bCs/>
        </w:rPr>
        <w:t xml:space="preserve"> v eurozóne sa tak za rok 2011 zvýšila na 10,1</w:t>
      </w:r>
      <w:r w:rsidR="00F01552">
        <w:rPr>
          <w:rFonts w:ascii="Times New Roman" w:hAnsi="Times New Roman"/>
          <w:bCs/>
        </w:rPr>
        <w:t xml:space="preserve"> </w:t>
      </w:r>
      <w:r w:rsidR="00C36624">
        <w:rPr>
          <w:rFonts w:ascii="Times New Roman" w:hAnsi="Times New Roman"/>
          <w:bCs/>
        </w:rPr>
        <w:t>%.</w:t>
      </w:r>
    </w:p>
    <w:p w:rsidR="00C36624" w:rsidP="00C36624">
      <w:pPr>
        <w:pStyle w:val="Footer"/>
        <w:tabs>
          <w:tab w:val="clear" w:pos="4536"/>
          <w:tab w:val="clear" w:pos="9072"/>
        </w:tabs>
        <w:bidi w:val="0"/>
        <w:spacing w:before="120" w:after="120" w:line="360" w:lineRule="auto"/>
        <w:jc w:val="both"/>
        <w:rPr>
          <w:rFonts w:ascii="Times New Roman" w:hAnsi="Times New Roman"/>
          <w:bCs/>
          <w:lang w:val="sk-SK"/>
        </w:rPr>
      </w:pPr>
    </w:p>
    <w:p w:rsidR="007E6441" w:rsidRPr="007E6441" w:rsidP="00C36624">
      <w:pPr>
        <w:pStyle w:val="Footer"/>
        <w:tabs>
          <w:tab w:val="clear" w:pos="4536"/>
          <w:tab w:val="clear" w:pos="9072"/>
        </w:tabs>
        <w:bidi w:val="0"/>
        <w:spacing w:before="120" w:after="120" w:line="360" w:lineRule="auto"/>
        <w:jc w:val="both"/>
        <w:rPr>
          <w:rFonts w:ascii="Times New Roman" w:hAnsi="Times New Roman"/>
          <w:bCs/>
          <w:lang w:val="sk-SK"/>
        </w:rPr>
      </w:pPr>
    </w:p>
    <w:tbl>
      <w:tblPr>
        <w:tblStyle w:val="TableNormal"/>
        <w:tblW w:w="8063" w:type="dxa"/>
        <w:jc w:val="center"/>
        <w:tblInd w:w="40" w:type="dxa"/>
        <w:tblCellMar>
          <w:left w:w="70" w:type="dxa"/>
          <w:right w:w="70" w:type="dxa"/>
        </w:tblCellMar>
      </w:tblPr>
      <w:tblGrid>
        <w:gridCol w:w="3293"/>
        <w:gridCol w:w="1761"/>
        <w:gridCol w:w="1041"/>
        <w:gridCol w:w="993"/>
        <w:gridCol w:w="975"/>
      </w:tblGrid>
      <w:tr>
        <w:tblPrEx>
          <w:tblW w:w="8063" w:type="dxa"/>
          <w:jc w:val="center"/>
          <w:tblInd w:w="40" w:type="dxa"/>
          <w:tblCellMar>
            <w:left w:w="70" w:type="dxa"/>
            <w:right w:w="70" w:type="dxa"/>
          </w:tblCellMar>
        </w:tblPrEx>
        <w:trPr>
          <w:trHeight w:val="576"/>
          <w:jc w:val="center"/>
        </w:trPr>
        <w:tc>
          <w:tcPr>
            <w:tcW w:w="5054" w:type="dxa"/>
            <w:gridSpan w:val="2"/>
            <w:tcBorders>
              <w:top w:val="single" w:sz="4" w:space="0" w:color="FFFFFF"/>
              <w:left w:val="single" w:sz="4" w:space="0" w:color="FFFFFF"/>
              <w:bottom w:val="single" w:sz="4" w:space="0" w:color="FFFFFF"/>
              <w:right w:val="single" w:sz="4" w:space="0" w:color="FFFFFF"/>
            </w:tcBorders>
            <w:shd w:val="clear" w:color="auto" w:fill="000000"/>
            <w:noWrap/>
            <w:textDirection w:val="lrTb"/>
            <w:vAlign w:val="bottom"/>
          </w:tcPr>
          <w:p w:rsidR="006E3825" w:rsidP="006E3825">
            <w:pPr>
              <w:bidi w:val="0"/>
              <w:jc w:val="center"/>
              <w:rPr>
                <w:rFonts w:ascii="Times New Roman" w:hAnsi="Times New Roman"/>
                <w:b/>
                <w:bCs/>
                <w:color w:val="FFFFFF"/>
                <w:sz w:val="20"/>
              </w:rPr>
            </w:pPr>
            <w:r w:rsidR="00762545">
              <w:rPr>
                <w:rFonts w:ascii="Times New Roman" w:hAnsi="Times New Roman"/>
                <w:bCs/>
              </w:rPr>
              <w:br w:type="page"/>
            </w:r>
          </w:p>
          <w:p w:rsidR="006E3825" w:rsidRPr="005B0F88" w:rsidP="006E3825">
            <w:pPr>
              <w:bidi w:val="0"/>
              <w:jc w:val="center"/>
              <w:rPr>
                <w:rFonts w:ascii="Times New Roman" w:hAnsi="Times New Roman"/>
                <w:color w:val="FFFFFF"/>
                <w:sz w:val="20"/>
              </w:rPr>
            </w:pPr>
            <w:r w:rsidRPr="00E92D1B">
              <w:rPr>
                <w:rFonts w:ascii="Times New Roman" w:hAnsi="Times New Roman"/>
                <w:b/>
                <w:bCs/>
                <w:color w:val="FFFFFF"/>
                <w:sz w:val="20"/>
              </w:rPr>
              <w:t>Vývoj vybraných ukazovateľov za eurozónu</w:t>
            </w:r>
          </w:p>
          <w:p w:rsidR="006E3825" w:rsidRPr="005B0F88" w:rsidP="006E3825">
            <w:pPr>
              <w:bidi w:val="0"/>
              <w:jc w:val="center"/>
              <w:rPr>
                <w:rFonts w:ascii="Times New Roman" w:hAnsi="Times New Roman"/>
                <w:color w:val="FFFFFF"/>
                <w:sz w:val="20"/>
              </w:rPr>
            </w:pPr>
          </w:p>
        </w:tc>
        <w:tc>
          <w:tcPr>
            <w:tcW w:w="1041"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6E3825" w:rsidRPr="005B0F88" w:rsidP="006E3825">
            <w:pPr>
              <w:bidi w:val="0"/>
              <w:jc w:val="center"/>
              <w:rPr>
                <w:rFonts w:ascii="Times New Roman" w:hAnsi="Times New Roman"/>
                <w:b/>
                <w:bCs/>
                <w:color w:val="FFFFFF"/>
                <w:sz w:val="20"/>
              </w:rPr>
            </w:pPr>
            <w:r w:rsidRPr="005B0F88">
              <w:rPr>
                <w:rFonts w:ascii="Times New Roman" w:hAnsi="Times New Roman"/>
                <w:b/>
                <w:bCs/>
                <w:color w:val="FFFFFF"/>
                <w:sz w:val="20"/>
              </w:rPr>
              <w:t>2009</w:t>
            </w:r>
          </w:p>
        </w:tc>
        <w:tc>
          <w:tcPr>
            <w:tcW w:w="993"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6E3825" w:rsidRPr="005B0F88" w:rsidP="006E3825">
            <w:pPr>
              <w:bidi w:val="0"/>
              <w:jc w:val="center"/>
              <w:rPr>
                <w:rFonts w:ascii="Times New Roman" w:hAnsi="Times New Roman"/>
                <w:b/>
                <w:bCs/>
                <w:color w:val="FFFFFF"/>
                <w:sz w:val="20"/>
              </w:rPr>
            </w:pPr>
            <w:r w:rsidRPr="005B0F88">
              <w:rPr>
                <w:rFonts w:ascii="Times New Roman" w:hAnsi="Times New Roman"/>
                <w:b/>
                <w:bCs/>
                <w:color w:val="FFFFFF"/>
                <w:sz w:val="20"/>
              </w:rPr>
              <w:t>2010</w:t>
            </w:r>
          </w:p>
        </w:tc>
        <w:tc>
          <w:tcPr>
            <w:tcW w:w="975"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6E3825" w:rsidRPr="005B0F88" w:rsidP="006E3825">
            <w:pPr>
              <w:bidi w:val="0"/>
              <w:jc w:val="center"/>
              <w:rPr>
                <w:rFonts w:ascii="Times New Roman" w:hAnsi="Times New Roman"/>
                <w:b/>
                <w:bCs/>
                <w:color w:val="FFFFFF"/>
                <w:sz w:val="20"/>
              </w:rPr>
            </w:pPr>
            <w:r w:rsidRPr="005B0F88">
              <w:rPr>
                <w:rFonts w:ascii="Times New Roman" w:hAnsi="Times New Roman"/>
                <w:b/>
                <w:bCs/>
                <w:color w:val="FFFFFF"/>
                <w:sz w:val="20"/>
              </w:rPr>
              <w:t>2011</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FFFFFF"/>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HDP</w:t>
            </w:r>
          </w:p>
        </w:tc>
        <w:tc>
          <w:tcPr>
            <w:tcW w:w="1761" w:type="dxa"/>
            <w:tcBorders>
              <w:top w:val="single" w:sz="4" w:space="0" w:color="FFFFFF"/>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rast</w:t>
            </w:r>
          </w:p>
        </w:tc>
        <w:tc>
          <w:tcPr>
            <w:tcW w:w="1041" w:type="dxa"/>
            <w:tcBorders>
              <w:top w:val="single" w:sz="4" w:space="0" w:color="FFFFFF"/>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-4,3</w:t>
            </w:r>
          </w:p>
        </w:tc>
        <w:tc>
          <w:tcPr>
            <w:tcW w:w="993" w:type="dxa"/>
            <w:tcBorders>
              <w:top w:val="single" w:sz="4" w:space="0" w:color="FFFFFF"/>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1,9</w:t>
            </w:r>
          </w:p>
        </w:tc>
        <w:tc>
          <w:tcPr>
            <w:tcW w:w="975" w:type="dxa"/>
            <w:tcBorders>
              <w:top w:val="single" w:sz="4" w:space="0" w:color="FFFFFF"/>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highlight w:val="yellow"/>
              </w:rPr>
            </w:pPr>
            <w:r w:rsidRPr="00E92D1B">
              <w:rPr>
                <w:rFonts w:ascii="Times New Roman" w:hAnsi="Times New Roman"/>
                <w:sz w:val="20"/>
              </w:rPr>
              <w:t>1,4</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Zamestnanosť</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rast</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-1,8</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-0,5</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highlight w:val="yellow"/>
              </w:rPr>
            </w:pPr>
            <w:r w:rsidRPr="00E92D1B">
              <w:rPr>
                <w:rFonts w:ascii="Times New Roman" w:hAnsi="Times New Roman"/>
                <w:sz w:val="20"/>
              </w:rPr>
              <w:t>0,3</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Miera nezamestnanosti</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xml:space="preserve">% </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9,6</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10,1</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10,2</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Kompenzácie na zamestnanca*</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rast</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1,8</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1,6</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2,3</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Jednotkové pracovné náklady*</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rast</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4,1</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-0,8</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1,0</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Miera inflácie (HICP)</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xml:space="preserve">% </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0,3</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1,6</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highlight w:val="yellow"/>
              </w:rPr>
            </w:pPr>
            <w:r w:rsidRPr="00E92D1B">
              <w:rPr>
                <w:rFonts w:ascii="Times New Roman" w:hAnsi="Times New Roman"/>
                <w:sz w:val="20"/>
              </w:rPr>
              <w:t>2,7</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Bežný účet*</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HDP</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-0,1</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0,1</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-0,1</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Deficit verejných financií*</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HDP</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-6,4</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-6,2</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-4,1</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Verejný dlh*</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HDP</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79,8</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85,3</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88,0</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10Y Nemecký dlhopis</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 výnos do splatnosti</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3,2</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2,8</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2,6</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USD/EUR</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1,39</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1,33</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1,39</w:t>
            </w:r>
          </w:p>
        </w:tc>
      </w:tr>
      <w:tr>
        <w:tblPrEx>
          <w:tblW w:w="8063" w:type="dxa"/>
          <w:jc w:val="center"/>
          <w:tblInd w:w="40" w:type="dxa"/>
          <w:tblCellMar>
            <w:left w:w="70" w:type="dxa"/>
            <w:right w:w="70" w:type="dxa"/>
          </w:tblCellMar>
        </w:tblPrEx>
        <w:trPr>
          <w:trHeight w:val="255"/>
          <w:jc w:val="center"/>
        </w:trPr>
        <w:tc>
          <w:tcPr>
            <w:tcW w:w="32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rPr>
                <w:rFonts w:ascii="Times New Roman" w:hAnsi="Times New Roman"/>
                <w:sz w:val="20"/>
              </w:rPr>
            </w:pPr>
            <w:r w:rsidRPr="00E92D1B">
              <w:rPr>
                <w:rFonts w:ascii="Times New Roman" w:hAnsi="Times New Roman"/>
                <w:sz w:val="20"/>
              </w:rPr>
              <w:t>Ropa, Brent</w:t>
            </w:r>
          </w:p>
        </w:tc>
        <w:tc>
          <w:tcPr>
            <w:tcW w:w="176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USD/bl</w:t>
            </w:r>
            <w:r w:rsidR="0087088E">
              <w:rPr>
                <w:rFonts w:ascii="Times New Roman" w:hAnsi="Times New Roman"/>
                <w:sz w:val="20"/>
              </w:rPr>
              <w:t>.</w:t>
            </w:r>
          </w:p>
        </w:tc>
        <w:tc>
          <w:tcPr>
            <w:tcW w:w="1041"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61,6</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79,9</w:t>
            </w:r>
          </w:p>
        </w:tc>
        <w:tc>
          <w:tcPr>
            <w:tcW w:w="9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053BDF" w:rsidRPr="00E92D1B" w:rsidP="003239E7">
            <w:pPr>
              <w:bidi w:val="0"/>
              <w:jc w:val="center"/>
              <w:rPr>
                <w:rFonts w:ascii="Times New Roman" w:hAnsi="Times New Roman"/>
                <w:sz w:val="20"/>
              </w:rPr>
            </w:pPr>
            <w:r w:rsidRPr="00E92D1B">
              <w:rPr>
                <w:rFonts w:ascii="Times New Roman" w:hAnsi="Times New Roman"/>
                <w:sz w:val="20"/>
              </w:rPr>
              <w:t>112,1</w:t>
            </w:r>
          </w:p>
        </w:tc>
      </w:tr>
      <w:tr>
        <w:tblPrEx>
          <w:tblW w:w="8063" w:type="dxa"/>
          <w:jc w:val="center"/>
          <w:tblInd w:w="40" w:type="dxa"/>
          <w:tblCellMar>
            <w:left w:w="70" w:type="dxa"/>
            <w:right w:w="70" w:type="dxa"/>
          </w:tblCellMar>
        </w:tblPrEx>
        <w:trPr>
          <w:trHeight w:val="255"/>
          <w:jc w:val="center"/>
        </w:trPr>
        <w:tc>
          <w:tcPr>
            <w:tcW w:w="8063" w:type="dxa"/>
            <w:gridSpan w:val="5"/>
            <w:tcBorders>
              <w:top w:val="single" w:sz="4" w:space="0" w:color="auto"/>
              <w:left w:val="nil"/>
              <w:bottom w:val="nil"/>
              <w:right w:val="none" w:sz="0" w:space="0" w:color="auto"/>
            </w:tcBorders>
            <w:noWrap/>
            <w:textDirection w:val="lrTb"/>
            <w:vAlign w:val="bottom"/>
          </w:tcPr>
          <w:p w:rsidR="00053BDF" w:rsidRPr="00FB5C08" w:rsidP="006D0083">
            <w:pPr>
              <w:bidi w:val="0"/>
              <w:spacing w:before="120" w:after="120"/>
              <w:rPr>
                <w:rFonts w:ascii="Times New Roman" w:hAnsi="Times New Roman"/>
                <w:iCs/>
                <w:sz w:val="20"/>
              </w:rPr>
            </w:pPr>
            <w:r w:rsidRPr="00FB5C08">
              <w:rPr>
                <w:rFonts w:ascii="Times New Roman" w:hAnsi="Times New Roman"/>
                <w:iCs/>
                <w:sz w:val="20"/>
              </w:rPr>
              <w:t>* pri ukazovateľoch sú za rok 201</w:t>
            </w:r>
            <w:r w:rsidR="006D0083">
              <w:rPr>
                <w:rFonts w:ascii="Times New Roman" w:hAnsi="Times New Roman"/>
                <w:iCs/>
                <w:sz w:val="20"/>
              </w:rPr>
              <w:t>1</w:t>
            </w:r>
            <w:r w:rsidRPr="00FB5C08">
              <w:rPr>
                <w:rFonts w:ascii="Times New Roman" w:hAnsi="Times New Roman"/>
                <w:iCs/>
                <w:sz w:val="20"/>
              </w:rPr>
              <w:t xml:space="preserve"> odhady podľa OECD a EK                                                     Zdroj: OECD, EK, Reuters</w:t>
            </w:r>
          </w:p>
        </w:tc>
      </w:tr>
    </w:tbl>
    <w:p w:rsidR="00053BDF" w:rsidRPr="00E92D1B" w:rsidP="006D0083">
      <w:pPr>
        <w:pStyle w:val="Footer"/>
        <w:tabs>
          <w:tab w:val="clear" w:pos="4536"/>
          <w:tab w:val="clear" w:pos="9072"/>
        </w:tabs>
        <w:bidi w:val="0"/>
        <w:spacing w:before="120" w:after="120" w:line="360" w:lineRule="auto"/>
        <w:ind w:firstLine="708"/>
        <w:jc w:val="both"/>
        <w:rPr>
          <w:rFonts w:ascii="Times New Roman" w:hAnsi="Times New Roman"/>
        </w:rPr>
      </w:pPr>
      <w:r w:rsidRPr="00E92D1B">
        <w:rPr>
          <w:rFonts w:ascii="Times New Roman" w:hAnsi="Times New Roman"/>
        </w:rPr>
        <w:t xml:space="preserve">V roku 2011 pokračoval pod tlakom viacerých faktorov </w:t>
      </w:r>
      <w:r w:rsidRPr="00E92D1B">
        <w:rPr>
          <w:rFonts w:ascii="Times New Roman" w:hAnsi="Times New Roman"/>
          <w:b/>
        </w:rPr>
        <w:t>rast cien ropy</w:t>
      </w:r>
      <w:r w:rsidRPr="00E92D1B">
        <w:rPr>
          <w:rFonts w:ascii="Times New Roman" w:hAnsi="Times New Roman"/>
        </w:rPr>
        <w:t xml:space="preserve"> ako aj viacerých ďalších celosvetových komodít. Cena ropy (Brent) vzrástla v roku 2011 o viac ako 20</w:t>
      </w:r>
      <w:r w:rsidR="008D6EB9">
        <w:rPr>
          <w:rFonts w:ascii="Times New Roman" w:hAnsi="Times New Roman"/>
        </w:rPr>
        <w:t xml:space="preserve"> </w:t>
      </w:r>
      <w:r w:rsidRPr="00E92D1B">
        <w:rPr>
          <w:rFonts w:ascii="Times New Roman" w:hAnsi="Times New Roman"/>
        </w:rPr>
        <w:t xml:space="preserve">% a po prudkom raste zo začiatku </w:t>
      </w:r>
      <w:r>
        <w:rPr>
          <w:rFonts w:ascii="Times New Roman" w:hAnsi="Times New Roman"/>
        </w:rPr>
        <w:t>roka sa väčšinu zvyšn</w:t>
      </w:r>
      <w:r w:rsidRPr="00E92D1B">
        <w:rPr>
          <w:rFonts w:ascii="Times New Roman" w:hAnsi="Times New Roman"/>
        </w:rPr>
        <w:t>ej časti roka pohybovala v pásme 110 – 115 USD/bl</w:t>
      </w:r>
      <w:r>
        <w:rPr>
          <w:rFonts w:ascii="Times New Roman" w:hAnsi="Times New Roman"/>
        </w:rPr>
        <w:t>.</w:t>
      </w:r>
      <w:r w:rsidRPr="00E92D1B">
        <w:rPr>
          <w:rFonts w:ascii="Times New Roman" w:hAnsi="Times New Roman"/>
        </w:rPr>
        <w:t xml:space="preserve"> s relatívne vysokou volatilitou ale bez jasného trendu. Začiatkom roka 2012 začali ceny opäť prudšie </w:t>
      </w:r>
      <w:r w:rsidRPr="001267E6">
        <w:rPr>
          <w:rFonts w:ascii="Times New Roman" w:hAnsi="Times New Roman"/>
        </w:rPr>
        <w:t>rásť</w:t>
      </w:r>
      <w:r w:rsidRPr="00E92D1B">
        <w:rPr>
          <w:rFonts w:ascii="Times New Roman" w:hAnsi="Times New Roman"/>
        </w:rPr>
        <w:t xml:space="preserve"> a atakovať úroveň 130 USD/bl. Na krajiny eurozóny má však okrem rastu cien ropy v dolároch nepriaznivý vplyv aj pohyb kurzu EUR</w:t>
      </w:r>
      <w:r>
        <w:rPr>
          <w:rFonts w:ascii="Times New Roman" w:hAnsi="Times New Roman"/>
        </w:rPr>
        <w:t>/</w:t>
      </w:r>
      <w:r w:rsidRPr="00E92D1B">
        <w:rPr>
          <w:rFonts w:ascii="Times New Roman" w:hAnsi="Times New Roman"/>
        </w:rPr>
        <w:t xml:space="preserve">USD, kde </w:t>
      </w:r>
      <w:r>
        <w:rPr>
          <w:rFonts w:ascii="Times New Roman" w:hAnsi="Times New Roman"/>
        </w:rPr>
        <w:t xml:space="preserve">bolo zaznamenané </w:t>
      </w:r>
      <w:r w:rsidRPr="00E92D1B">
        <w:rPr>
          <w:rFonts w:ascii="Times New Roman" w:hAnsi="Times New Roman"/>
        </w:rPr>
        <w:t>výraznejš</w:t>
      </w:r>
      <w:r>
        <w:rPr>
          <w:rFonts w:ascii="Times New Roman" w:hAnsi="Times New Roman"/>
        </w:rPr>
        <w:t>ie</w:t>
      </w:r>
      <w:r w:rsidRPr="00E92D1B">
        <w:rPr>
          <w:rFonts w:ascii="Times New Roman" w:hAnsi="Times New Roman"/>
        </w:rPr>
        <w:t xml:space="preserve"> oslabenia eura v priebehu roka 2011, až pod hranicu 1,3. Ropa v eurách tak </w:t>
      </w:r>
      <w:r w:rsidR="00231405">
        <w:rPr>
          <w:rFonts w:ascii="Times New Roman" w:hAnsi="Times New Roman"/>
        </w:rPr>
        <w:t xml:space="preserve">bola </w:t>
      </w:r>
      <w:r w:rsidRPr="00E92D1B">
        <w:rPr>
          <w:rFonts w:ascii="Times New Roman" w:hAnsi="Times New Roman"/>
        </w:rPr>
        <w:t>na svojich historických maximách a </w:t>
      </w:r>
      <w:r w:rsidR="00231405">
        <w:rPr>
          <w:rFonts w:ascii="Times New Roman" w:hAnsi="Times New Roman"/>
        </w:rPr>
        <w:t>bola</w:t>
      </w:r>
      <w:r w:rsidRPr="00E92D1B">
        <w:rPr>
          <w:rFonts w:ascii="Times New Roman" w:hAnsi="Times New Roman"/>
        </w:rPr>
        <w:t xml:space="preserve"> len veľmi tesne pod hranicou 100 €/bl. Okrem globá</w:t>
      </w:r>
      <w:r w:rsidR="00231405">
        <w:rPr>
          <w:rFonts w:ascii="Times New Roman" w:hAnsi="Times New Roman"/>
        </w:rPr>
        <w:t>lneho oživenia</w:t>
      </w:r>
      <w:r w:rsidRPr="00E92D1B">
        <w:rPr>
          <w:rFonts w:ascii="Times New Roman" w:hAnsi="Times New Roman"/>
        </w:rPr>
        <w:t xml:space="preserve"> k rastu cien ropy zrejme prispelo aj kvantitatívne uvoľňovanie menovej politiky v USA a politické nepokoje v severnej Afrike, či obavy o dodávky z Iránu.</w:t>
      </w:r>
    </w:p>
    <w:p w:rsidR="00053BDF" w:rsidRPr="00E92D1B" w:rsidP="00247FDD">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b/>
        </w:rPr>
        <w:t>Finančné trhy</w:t>
      </w:r>
      <w:r w:rsidRPr="00E92D1B">
        <w:rPr>
          <w:rFonts w:ascii="Times New Roman" w:hAnsi="Times New Roman"/>
        </w:rPr>
        <w:t xml:space="preserve"> v eurozóne sa nachádzali v roku 2011 naďalej vo vážnom stave, aj keď vývoj </w:t>
      </w:r>
      <w:r w:rsidR="006D0083">
        <w:rPr>
          <w:rFonts w:ascii="Times New Roman" w:hAnsi="Times New Roman"/>
        </w:rPr>
        <w:br/>
      </w:r>
      <w:r w:rsidRPr="00E92D1B">
        <w:rPr>
          <w:rFonts w:ascii="Times New Roman" w:hAnsi="Times New Roman"/>
        </w:rPr>
        <w:t>ku koncu roka možno označiť za pozitívny a prichádza</w:t>
      </w:r>
      <w:r>
        <w:rPr>
          <w:rFonts w:ascii="Times New Roman" w:hAnsi="Times New Roman"/>
        </w:rPr>
        <w:t>lo</w:t>
      </w:r>
      <w:r w:rsidRPr="00E92D1B">
        <w:rPr>
          <w:rFonts w:ascii="Times New Roman" w:hAnsi="Times New Roman"/>
        </w:rPr>
        <w:t xml:space="preserve"> k miernemu ukľudneniu celkovej situácie. Viacerým krajinám eurozóny (predovšetkým Taliansko a Španielsko) sa podarilo úspešne emitovať </w:t>
      </w:r>
      <w:r w:rsidRPr="001267E6">
        <w:rPr>
          <w:rFonts w:ascii="Times New Roman" w:hAnsi="Times New Roman"/>
        </w:rPr>
        <w:t>dlhopisy</w:t>
      </w:r>
      <w:r w:rsidRPr="00E92D1B">
        <w:rPr>
          <w:rFonts w:ascii="Times New Roman" w:hAnsi="Times New Roman"/>
        </w:rPr>
        <w:t>, čo sa týka</w:t>
      </w:r>
      <w:r w:rsidR="00231405">
        <w:rPr>
          <w:rFonts w:ascii="Times New Roman" w:hAnsi="Times New Roman"/>
        </w:rPr>
        <w:t>lo</w:t>
      </w:r>
      <w:r w:rsidRPr="00E92D1B">
        <w:rPr>
          <w:rFonts w:ascii="Times New Roman" w:hAnsi="Times New Roman"/>
        </w:rPr>
        <w:t xml:space="preserve"> objemu ako aj výnosov (v porovnaní s prvou pol</w:t>
      </w:r>
      <w:r w:rsidR="0066580D">
        <w:rPr>
          <w:rFonts w:ascii="Times New Roman" w:hAnsi="Times New Roman"/>
        </w:rPr>
        <w:t>ovicou</w:t>
      </w:r>
      <w:r w:rsidRPr="00E92D1B">
        <w:rPr>
          <w:rFonts w:ascii="Times New Roman" w:hAnsi="Times New Roman"/>
        </w:rPr>
        <w:t xml:space="preserve"> roka 2011), Grécko splnilo podmienky pre druhý záchranný balík</w:t>
      </w:r>
      <w:r w:rsidR="00231405">
        <w:rPr>
          <w:rFonts w:ascii="Times New Roman" w:hAnsi="Times New Roman"/>
        </w:rPr>
        <w:t>, ktorý bol schválený v marci 2012</w:t>
      </w:r>
      <w:r w:rsidRPr="00E92D1B">
        <w:rPr>
          <w:rFonts w:ascii="Times New Roman" w:hAnsi="Times New Roman"/>
        </w:rPr>
        <w:t xml:space="preserve"> a úspešne reštrukturalizovalo dlh súkromných veriteľov a euro sa vrátilo nad hranicu 1,30 voči USD aj napriek ratingovému downgradu viacerých krajín od </w:t>
      </w:r>
      <w:r w:rsidR="00231405">
        <w:rPr>
          <w:rFonts w:ascii="Times New Roman" w:hAnsi="Times New Roman"/>
        </w:rPr>
        <w:t xml:space="preserve">ratingovej agentúry </w:t>
      </w:r>
      <w:r w:rsidRPr="00E92D1B">
        <w:rPr>
          <w:rFonts w:ascii="Times New Roman" w:hAnsi="Times New Roman"/>
        </w:rPr>
        <w:t>Standard and Poors. Aj napriek týmto pozitívnym znakom je však situácia naďalej vážna, ekonomiky problémových krajín stále zápasia so štrukturálnymi problémami, a preto pozitívny trhový sentiment môže byť len krátkodobý. Nasvedčuje tomu neštandardne fungujúci medzibankový trh, či nutnosť realizovať mimoriadne opatrenia ECB na dodanie likvidity.</w:t>
      </w:r>
    </w:p>
    <w:p w:rsidR="00053BDF" w:rsidRPr="00E92D1B" w:rsidP="00247FDD">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b/>
        </w:rPr>
        <w:t>Menová politika</w:t>
      </w:r>
      <w:r w:rsidRPr="00E92D1B">
        <w:rPr>
          <w:rFonts w:ascii="Times New Roman" w:hAnsi="Times New Roman"/>
        </w:rPr>
        <w:t xml:space="preserve"> </w:t>
      </w:r>
      <w:r w:rsidRPr="001267E6">
        <w:rPr>
          <w:rFonts w:ascii="Times New Roman" w:hAnsi="Times New Roman"/>
        </w:rPr>
        <w:t>väčšiny</w:t>
      </w:r>
      <w:r w:rsidRPr="00E92D1B">
        <w:rPr>
          <w:rFonts w:ascii="Times New Roman" w:hAnsi="Times New Roman"/>
        </w:rPr>
        <w:t xml:space="preserve"> hlavných centrálnych bánk bola v roku 2011 </w:t>
      </w:r>
      <w:r w:rsidRPr="00E92D1B">
        <w:rPr>
          <w:rFonts w:ascii="Times New Roman" w:hAnsi="Times New Roman"/>
          <w:b/>
        </w:rPr>
        <w:t>naďalej silno expanzívna s krátkodobou výnimkou na strane ECB</w:t>
      </w:r>
      <w:r w:rsidRPr="00E92D1B">
        <w:rPr>
          <w:rFonts w:ascii="Times New Roman" w:hAnsi="Times New Roman"/>
        </w:rPr>
        <w:t>. Kľúčová centrálna banka, americký FED</w:t>
      </w:r>
      <w:r w:rsidR="00231405">
        <w:rPr>
          <w:rFonts w:ascii="Times New Roman" w:hAnsi="Times New Roman"/>
        </w:rPr>
        <w:t>,</w:t>
      </w:r>
      <w:r w:rsidRPr="00E92D1B">
        <w:rPr>
          <w:rFonts w:ascii="Times New Roman" w:hAnsi="Times New Roman"/>
        </w:rPr>
        <w:t xml:space="preserve"> po niekoľkonásobnom znižovaní držal svoje úrokové sadzby na rekordne nízkych úrovniach počas celého </w:t>
      </w:r>
      <w:r w:rsidRPr="001267E6">
        <w:rPr>
          <w:rFonts w:ascii="Times New Roman" w:hAnsi="Times New Roman"/>
        </w:rPr>
        <w:t>roku</w:t>
      </w:r>
      <w:r w:rsidRPr="00E92D1B">
        <w:rPr>
          <w:rFonts w:ascii="Times New Roman" w:hAnsi="Times New Roman"/>
        </w:rPr>
        <w:t xml:space="preserve"> 2011. Kľúčová úroková sadzba FED-u sa tak nezmenila od decembra 2008 a zotrvala na úrovni 0,25</w:t>
      </w:r>
      <w:r w:rsidR="006D0083">
        <w:rPr>
          <w:rFonts w:ascii="Times New Roman" w:hAnsi="Times New Roman"/>
        </w:rPr>
        <w:t xml:space="preserve"> </w:t>
      </w:r>
      <w:r w:rsidRPr="00E92D1B">
        <w:rPr>
          <w:rFonts w:ascii="Times New Roman" w:hAnsi="Times New Roman"/>
        </w:rPr>
        <w:t>%. Po dvoch kolách kvantitatívneho uvoľňovania realizovaného najmä nákupom dlhopisov n</w:t>
      </w:r>
      <w:r w:rsidR="00231405">
        <w:rPr>
          <w:rFonts w:ascii="Times New Roman" w:hAnsi="Times New Roman"/>
        </w:rPr>
        <w:t>a sekundárnom trhu</w:t>
      </w:r>
      <w:r w:rsidRPr="00E92D1B">
        <w:rPr>
          <w:rFonts w:ascii="Times New Roman" w:hAnsi="Times New Roman"/>
        </w:rPr>
        <w:t xml:space="preserve"> začal FED v priebehu roka 2011 s operáciou „twist“ (často označovanou aj ako tretie kolo kvantitatívneho uvoľňovania), ktorej cieľom bolo zamedziť rastu dlhodobých úrokov napriek nárastu deficitu, čiastočne oslabiť dolár a mierne zvýšiť infláciu. Na rozdiel od FED</w:t>
      </w:r>
      <w:r>
        <w:rPr>
          <w:rFonts w:ascii="Times New Roman" w:hAnsi="Times New Roman"/>
        </w:rPr>
        <w:t>-</w:t>
      </w:r>
      <w:r w:rsidRPr="00E92D1B">
        <w:rPr>
          <w:rFonts w:ascii="Times New Roman" w:hAnsi="Times New Roman"/>
        </w:rPr>
        <w:t xml:space="preserve">u, ECB v priebehu roka 2011 svoju základnú refinančnú sadzbu zvýšila </w:t>
      </w:r>
      <w:r>
        <w:rPr>
          <w:rFonts w:ascii="Times New Roman" w:hAnsi="Times New Roman"/>
        </w:rPr>
        <w:t>spolu</w:t>
      </w:r>
      <w:r w:rsidRPr="00E92D1B">
        <w:rPr>
          <w:rFonts w:ascii="Times New Roman" w:hAnsi="Times New Roman"/>
        </w:rPr>
        <w:t xml:space="preserve"> o 0,5 p.b. pod tlakom obáv z inflácie. Základná úroková sadzba tak stúpla na 1,5 %. V druhej polovici roka, po výmene na pozícii guvernéra, pristúpila ECB k opätovným zníženiam sadzby, ktorú navrátila na 1</w:t>
      </w:r>
      <w:r w:rsidR="006D0083">
        <w:rPr>
          <w:rFonts w:ascii="Times New Roman" w:hAnsi="Times New Roman"/>
        </w:rPr>
        <w:t xml:space="preserve"> </w:t>
      </w:r>
      <w:r w:rsidRPr="00E92D1B">
        <w:rPr>
          <w:rFonts w:ascii="Times New Roman" w:hAnsi="Times New Roman"/>
        </w:rPr>
        <w:t>%, kde sa nachádzala na začiatku roka.</w:t>
      </w:r>
    </w:p>
    <w:p w:rsidR="00053BDF" w:rsidRPr="00E92D1B" w:rsidP="00247FDD">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b/>
        </w:rPr>
        <w:t>Priemerný nominálny výmenný kurz</w:t>
      </w:r>
      <w:r w:rsidRPr="00E92D1B">
        <w:rPr>
          <w:rFonts w:ascii="Times New Roman" w:hAnsi="Times New Roman"/>
        </w:rPr>
        <w:t xml:space="preserve"> eura voči americkému doláru medziročne mierne zhodnotil z úrovne 1,35 EUR/USD na 1,29 EUR/USD. Vývoj počas roka 2011 bol však relatívne volatilný a euro sa väčšinu roka nachádzalo na silnejších úrovniach až okolo úrovne 1,4. Ku koncu roka euro oslabilo až pod hranicu 1,3 najmä pod vplyvom </w:t>
      </w:r>
      <w:r>
        <w:rPr>
          <w:rFonts w:ascii="Times New Roman" w:hAnsi="Times New Roman"/>
        </w:rPr>
        <w:t xml:space="preserve">hroziaceho </w:t>
      </w:r>
      <w:r w:rsidRPr="00E92D1B">
        <w:rPr>
          <w:rFonts w:ascii="Times New Roman" w:hAnsi="Times New Roman"/>
        </w:rPr>
        <w:t>bankrotu Grécka, klesajúcim</w:t>
      </w:r>
      <w:r>
        <w:rPr>
          <w:rFonts w:ascii="Times New Roman" w:hAnsi="Times New Roman"/>
        </w:rPr>
        <w:t xml:space="preserve"> úrokovým</w:t>
      </w:r>
      <w:r w:rsidRPr="00E92D1B">
        <w:rPr>
          <w:rFonts w:ascii="Times New Roman" w:hAnsi="Times New Roman"/>
        </w:rPr>
        <w:t xml:space="preserve"> sadzbám a použitiu neštandardných nástrojov menovej politiky.</w:t>
      </w:r>
    </w:p>
    <w:p w:rsidR="00053BDF" w:rsidRPr="00053BDF" w:rsidP="00247FDD">
      <w:pPr>
        <w:pStyle w:val="Heading2"/>
        <w:bidi w:val="0"/>
        <w:spacing w:before="100" w:beforeAutospacing="1" w:after="100" w:afterAutospacing="1" w:line="360" w:lineRule="auto"/>
        <w:jc w:val="center"/>
        <w:rPr>
          <w:rFonts w:ascii="Times New Roman" w:hAnsi="Times New Roman"/>
          <w:color w:val="auto"/>
          <w:sz w:val="24"/>
          <w:szCs w:val="24"/>
        </w:rPr>
      </w:pPr>
      <w:bookmarkStart w:id="2" w:name="_Toc322614741"/>
      <w:r w:rsidRPr="00053BDF">
        <w:rPr>
          <w:rFonts w:ascii="Times New Roman" w:hAnsi="Times New Roman"/>
          <w:color w:val="auto"/>
          <w:sz w:val="24"/>
          <w:szCs w:val="24"/>
        </w:rPr>
        <w:t>1.2. Základné ekonomické ukazovatele SR</w:t>
      </w:r>
      <w:bookmarkEnd w:id="2"/>
    </w:p>
    <w:p w:rsidR="00053BDF" w:rsidP="00247FDD">
      <w:pPr>
        <w:pStyle w:val="Footer"/>
        <w:tabs>
          <w:tab w:val="clear" w:pos="4536"/>
          <w:tab w:val="clear" w:pos="9072"/>
        </w:tabs>
        <w:bidi w:val="0"/>
        <w:spacing w:before="100" w:beforeAutospacing="1" w:after="100" w:afterAutospacing="1" w:line="360" w:lineRule="auto"/>
        <w:ind w:firstLine="709"/>
        <w:jc w:val="both"/>
        <w:rPr>
          <w:rFonts w:ascii="Times New Roman" w:hAnsi="Times New Roman"/>
        </w:rPr>
      </w:pPr>
      <w:r w:rsidRPr="00E92D1B">
        <w:rPr>
          <w:rFonts w:ascii="Times New Roman" w:hAnsi="Times New Roman"/>
        </w:rPr>
        <w:t xml:space="preserve">Rok 2011 znamenal pre slovenskú ekonomiku pokračovanie ekonomického rastu. V dôsledku fiškálnej konsolidácie však rast oproti </w:t>
      </w:r>
      <w:r w:rsidR="00F01552">
        <w:rPr>
          <w:rFonts w:ascii="Times New Roman" w:hAnsi="Times New Roman"/>
        </w:rPr>
        <w:t xml:space="preserve">predchádzajúcemu </w:t>
      </w:r>
      <w:r w:rsidRPr="00E92D1B">
        <w:rPr>
          <w:rFonts w:ascii="Times New Roman" w:hAnsi="Times New Roman"/>
        </w:rPr>
        <w:t>roku mierne spomalil. Rastu HDP Slovenska pomohol zahraničný dopyt a investície, domáca spotreba však stagnovala a verejná spotreba ťahala rast HDP nadol v súlade s úspornými opatreniami. Oživenie rastu sa zároveň len veľmi pomaly premieta</w:t>
      </w:r>
      <w:r>
        <w:rPr>
          <w:rFonts w:ascii="Times New Roman" w:hAnsi="Times New Roman"/>
        </w:rPr>
        <w:t>lo</w:t>
      </w:r>
      <w:r w:rsidRPr="00E92D1B">
        <w:rPr>
          <w:rFonts w:ascii="Times New Roman" w:hAnsi="Times New Roman"/>
        </w:rPr>
        <w:t xml:space="preserve"> do tvorby nových pracovných miest, čo spolu s vysokou mierou nezamestnanosti prispieva</w:t>
      </w:r>
      <w:r>
        <w:rPr>
          <w:rFonts w:ascii="Times New Roman" w:hAnsi="Times New Roman"/>
        </w:rPr>
        <w:t>lo</w:t>
      </w:r>
      <w:r w:rsidRPr="00E92D1B">
        <w:rPr>
          <w:rFonts w:ascii="Times New Roman" w:hAnsi="Times New Roman"/>
        </w:rPr>
        <w:t xml:space="preserve"> k slabému rastu spotreby domácností.</w:t>
      </w:r>
    </w:p>
    <w:p w:rsidR="00053BDF" w:rsidRPr="00053BDF" w:rsidP="00247FDD">
      <w:pPr>
        <w:pStyle w:val="Heading3"/>
        <w:bidi w:val="0"/>
        <w:spacing w:before="100" w:beforeAutospacing="1" w:after="100" w:afterAutospacing="1" w:line="360" w:lineRule="auto"/>
        <w:jc w:val="center"/>
        <w:rPr>
          <w:rFonts w:ascii="Times New Roman" w:hAnsi="Times New Roman"/>
          <w:color w:val="auto"/>
        </w:rPr>
      </w:pPr>
      <w:bookmarkStart w:id="3" w:name="_Toc322614742"/>
      <w:r w:rsidRPr="00053BDF">
        <w:rPr>
          <w:rFonts w:ascii="Times New Roman" w:hAnsi="Times New Roman"/>
          <w:color w:val="auto"/>
        </w:rPr>
        <w:t>1.2.1.Vývoj HDP a jeho štruktúra</w:t>
      </w:r>
      <w:bookmarkEnd w:id="3"/>
    </w:p>
    <w:p w:rsidR="00053BDF" w:rsidRPr="00E92D1B" w:rsidP="00762545">
      <w:pPr>
        <w:pStyle w:val="Footer"/>
        <w:tabs>
          <w:tab w:val="clear" w:pos="4536"/>
          <w:tab w:val="clear" w:pos="9072"/>
        </w:tabs>
        <w:bidi w:val="0"/>
        <w:spacing w:before="120" w:after="120" w:line="360" w:lineRule="auto"/>
        <w:ind w:firstLine="709"/>
        <w:jc w:val="both"/>
        <w:rPr>
          <w:rFonts w:ascii="Times New Roman" w:hAnsi="Times New Roman"/>
        </w:rPr>
      </w:pPr>
      <w:r w:rsidRPr="00E92D1B">
        <w:rPr>
          <w:rFonts w:ascii="Times New Roman" w:hAnsi="Times New Roman"/>
        </w:rPr>
        <w:t>Po 4,2</w:t>
      </w:r>
      <w:r w:rsidR="006D0083">
        <w:rPr>
          <w:rFonts w:ascii="Times New Roman" w:hAnsi="Times New Roman"/>
        </w:rPr>
        <w:t xml:space="preserve"> </w:t>
      </w:r>
      <w:r w:rsidRPr="00E92D1B">
        <w:rPr>
          <w:rFonts w:ascii="Times New Roman" w:hAnsi="Times New Roman"/>
        </w:rPr>
        <w:t>%</w:t>
      </w:r>
      <w:r w:rsidR="008D6EB9">
        <w:rPr>
          <w:rFonts w:ascii="Times New Roman" w:hAnsi="Times New Roman"/>
        </w:rPr>
        <w:t xml:space="preserve"> </w:t>
      </w:r>
      <w:r w:rsidRPr="00E92D1B">
        <w:rPr>
          <w:rFonts w:ascii="Times New Roman" w:hAnsi="Times New Roman"/>
        </w:rPr>
        <w:t>-</w:t>
      </w:r>
      <w:r w:rsidR="008D6EB9">
        <w:rPr>
          <w:rFonts w:ascii="Times New Roman" w:hAnsi="Times New Roman"/>
        </w:rPr>
        <w:t xml:space="preserve"> </w:t>
      </w:r>
      <w:r w:rsidRPr="00E92D1B">
        <w:rPr>
          <w:rFonts w:ascii="Times New Roman" w:hAnsi="Times New Roman"/>
        </w:rPr>
        <w:t xml:space="preserve">nom raste HDP v roku 2010 priniesol rok 2011 mierne spomalenie. </w:t>
      </w:r>
      <w:r w:rsidRPr="00E92D1B">
        <w:rPr>
          <w:rFonts w:ascii="Times New Roman" w:hAnsi="Times New Roman"/>
          <w:b/>
        </w:rPr>
        <w:t>Ekonomika SR vzrástla o 3,3</w:t>
      </w:r>
      <w:r w:rsidR="008D6EB9">
        <w:rPr>
          <w:rFonts w:ascii="Times New Roman" w:hAnsi="Times New Roman"/>
          <w:b/>
        </w:rPr>
        <w:t xml:space="preserve"> </w:t>
      </w:r>
      <w:r w:rsidRPr="00E92D1B">
        <w:rPr>
          <w:rFonts w:ascii="Times New Roman" w:hAnsi="Times New Roman"/>
          <w:b/>
        </w:rPr>
        <w:t>%</w:t>
      </w:r>
      <w:r w:rsidRPr="00E92D1B">
        <w:rPr>
          <w:rFonts w:ascii="Times New Roman" w:hAnsi="Times New Roman"/>
        </w:rPr>
        <w:t xml:space="preserve">, čo ju zaradilo na druhé miesto najrýchlejšie rastúcich ekonomík v eurozóne (po Estónsku). Spomalenie bolo do značnej miery spôsobené konsolidáciou verejných financií, ktorá negatívne zasiahla cenovú hladinu, trh práce a všetky zložky domáceho dopytu. </w:t>
      </w:r>
    </w:p>
    <w:p w:rsidR="00053BDF" w:rsidRPr="00E92D1B" w:rsidP="00762545">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rPr>
        <w:t xml:space="preserve">Z hľadiska štruktúry dopytu sa na raste ekonomiky Slovenska okrem čistého exportu (príspevok 5,5 p.b.) </w:t>
      </w:r>
      <w:r w:rsidRPr="001267E6">
        <w:rPr>
          <w:rFonts w:ascii="Times New Roman" w:hAnsi="Times New Roman"/>
        </w:rPr>
        <w:t>pozitívne</w:t>
      </w:r>
      <w:r w:rsidRPr="00E92D1B">
        <w:rPr>
          <w:rFonts w:ascii="Times New Roman" w:hAnsi="Times New Roman"/>
        </w:rPr>
        <w:t xml:space="preserve"> podieľali aj nové investície (príspevok 1,3 p.b.), ktoré si vyžiadala príprava na spustenie výroby nových kapacít v automobilovom priemysle a v menšej miere aj výstavba diaľnic. Najvyšší záporný príspevok predstavovala zmena stavu zásob (-2 p.b.). Opatrenia fiškálnej konsolidácie sa prejavili v nižšej spotrebe domácností a verejnej správy. Domácnosti minuli na svoju spotrebu o 0,4</w:t>
      </w:r>
      <w:r w:rsidR="008D6EB9">
        <w:rPr>
          <w:rFonts w:ascii="Times New Roman" w:hAnsi="Times New Roman"/>
        </w:rPr>
        <w:t xml:space="preserve"> </w:t>
      </w:r>
      <w:r w:rsidRPr="00E92D1B">
        <w:rPr>
          <w:rFonts w:ascii="Times New Roman" w:hAnsi="Times New Roman"/>
        </w:rPr>
        <w:t xml:space="preserve">% menej ako v predchádzajúcom </w:t>
      </w:r>
      <w:r w:rsidRPr="001267E6">
        <w:rPr>
          <w:rFonts w:ascii="Times New Roman" w:hAnsi="Times New Roman"/>
        </w:rPr>
        <w:t>krízovom</w:t>
      </w:r>
      <w:r w:rsidRPr="00E92D1B">
        <w:rPr>
          <w:rFonts w:ascii="Times New Roman" w:hAnsi="Times New Roman"/>
        </w:rPr>
        <w:t xml:space="preserve"> roku, pričom najviac klesli výdavky za potraviny a nealkoholické nápoje. Pod prepad spotreby sa spolu s pomalým oživovaním trhu práce podpísala aj nízka spotrebiteľská dôvera, ktorá aj napriek prepadu disponibilného dôchodku držala mieru úspor na relatívne vysokej úrovni. Najviac zo všetkých zložiek poklesla spotreba verejnej správy (reálne o 3,5</w:t>
      </w:r>
      <w:r w:rsidR="008D6EB9">
        <w:rPr>
          <w:rFonts w:ascii="Times New Roman" w:hAnsi="Times New Roman"/>
        </w:rPr>
        <w:t xml:space="preserve"> </w:t>
      </w:r>
      <w:r w:rsidRPr="00E92D1B">
        <w:rPr>
          <w:rFonts w:ascii="Times New Roman" w:hAnsi="Times New Roman"/>
        </w:rPr>
        <w:t xml:space="preserve">%), ktorá bola negatívne zasiahnutá konsolidačnými opatreniami najmä v prípade nákupov tovarov a služieb. </w:t>
      </w:r>
    </w:p>
    <w:tbl>
      <w:tblPr>
        <w:tblStyle w:val="TableNormal"/>
        <w:tblW w:w="9998" w:type="dxa"/>
        <w:jc w:val="center"/>
        <w:tblInd w:w="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925"/>
        <w:gridCol w:w="832"/>
        <w:gridCol w:w="851"/>
        <w:gridCol w:w="860"/>
        <w:gridCol w:w="284"/>
        <w:gridCol w:w="454"/>
        <w:gridCol w:w="1533"/>
        <w:gridCol w:w="2259"/>
      </w:tblGrid>
      <w:tr>
        <w:tblPrEx>
          <w:tblW w:w="9998" w:type="dxa"/>
          <w:jc w:val="center"/>
          <w:tblInd w:w="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gridAfter w:val="5"/>
          <w:wAfter w:w="5390" w:type="dxa"/>
          <w:trHeight w:val="167"/>
          <w:jc w:val="center"/>
        </w:trPr>
        <w:tc>
          <w:tcPr>
            <w:tcW w:w="4608" w:type="dxa"/>
            <w:gridSpan w:val="3"/>
            <w:tcBorders>
              <w:top w:val="nil"/>
              <w:left w:val="nil"/>
              <w:bottom w:val="single" w:sz="8" w:space="0" w:color="auto"/>
              <w:right w:val="nil"/>
            </w:tcBorders>
            <w:textDirection w:val="lrTb"/>
            <w:vAlign w:val="top"/>
          </w:tcPr>
          <w:p w:rsidR="0053060C" w:rsidRPr="00E92D1B" w:rsidP="003239E7">
            <w:pPr>
              <w:keepNext/>
              <w:keepLines/>
              <w:bidi w:val="0"/>
              <w:spacing w:before="40" w:after="40" w:line="276" w:lineRule="auto"/>
              <w:rPr>
                <w:rFonts w:ascii="Times New Roman" w:hAnsi="Times New Roman"/>
                <w:b/>
                <w:sz w:val="20"/>
              </w:rPr>
            </w:pPr>
            <w:r>
              <w:rPr>
                <w:rFonts w:ascii="Times New Roman" w:hAnsi="Times New Roman"/>
                <w:b/>
                <w:sz w:val="20"/>
              </w:rPr>
              <w:t xml:space="preserve">Vývoj HDP a jeho hlavných </w:t>
            </w:r>
            <w:r w:rsidRPr="00E92D1B">
              <w:rPr>
                <w:rFonts w:ascii="Times New Roman" w:hAnsi="Times New Roman"/>
                <w:b/>
                <w:sz w:val="20"/>
              </w:rPr>
              <w:t xml:space="preserve">zložiek </w:t>
            </w:r>
          </w:p>
        </w:tc>
      </w:tr>
      <w:tr>
        <w:tblPrEx>
          <w:tblW w:w="9998" w:type="dxa"/>
          <w:jc w:val="center"/>
          <w:tblInd w:w="76" w:type="dxa"/>
          <w:tblLayout w:type="fixed"/>
          <w:tblCellMar>
            <w:left w:w="70" w:type="dxa"/>
            <w:right w:w="70" w:type="dxa"/>
          </w:tblCellMar>
          <w:tblLook w:val="01E0"/>
        </w:tblPrEx>
        <w:trPr>
          <w:cantSplit/>
          <w:trHeight w:val="138"/>
          <w:jc w:val="center"/>
        </w:trPr>
        <w:tc>
          <w:tcPr>
            <w:tcW w:w="2925" w:type="dxa"/>
            <w:tcBorders>
              <w:top w:val="single" w:sz="8" w:space="0" w:color="FFFFFF"/>
              <w:left w:val="single" w:sz="8" w:space="0" w:color="FFFFFF"/>
              <w:bottom w:val="single" w:sz="8" w:space="0" w:color="FFFFFF"/>
              <w:right w:val="single" w:sz="8" w:space="0" w:color="FFFFFF"/>
            </w:tcBorders>
            <w:shd w:val="clear" w:color="auto" w:fill="000000"/>
            <w:textDirection w:val="lrTb"/>
            <w:vAlign w:val="bottom"/>
          </w:tcPr>
          <w:p w:rsidR="00053BDF" w:rsidRPr="00E92D1B" w:rsidP="003239E7">
            <w:pPr>
              <w:keepNext/>
              <w:keepLines/>
              <w:bidi w:val="0"/>
              <w:spacing w:before="40" w:after="40" w:line="288" w:lineRule="auto"/>
              <w:jc w:val="center"/>
              <w:rPr>
                <w:rFonts w:ascii="Times New Roman" w:hAnsi="Times New Roman"/>
                <w:b/>
                <w:sz w:val="20"/>
              </w:rPr>
            </w:pPr>
            <w:r w:rsidRPr="00E92D1B">
              <w:rPr>
                <w:rFonts w:ascii="Times New Roman" w:hAnsi="Times New Roman"/>
                <w:b/>
                <w:sz w:val="20"/>
              </w:rPr>
              <w:t>reálny rast v %</w:t>
            </w:r>
          </w:p>
        </w:tc>
        <w:tc>
          <w:tcPr>
            <w:tcW w:w="832" w:type="dxa"/>
            <w:tcBorders>
              <w:top w:val="single" w:sz="8" w:space="0" w:color="FFFFFF"/>
              <w:left w:val="single" w:sz="8" w:space="0" w:color="FFFFFF"/>
              <w:bottom w:val="single" w:sz="8" w:space="0" w:color="FFFFFF"/>
              <w:right w:val="single" w:sz="8" w:space="0" w:color="FFFFFF"/>
            </w:tcBorders>
            <w:shd w:val="clear" w:color="auto" w:fill="000000"/>
            <w:textDirection w:val="lrTb"/>
            <w:vAlign w:val="bottom"/>
          </w:tcPr>
          <w:p w:rsidR="00053BDF" w:rsidRPr="00E92D1B" w:rsidP="003239E7">
            <w:pPr>
              <w:keepNext/>
              <w:keepLines/>
              <w:bidi w:val="0"/>
              <w:spacing w:before="40" w:after="40"/>
              <w:jc w:val="center"/>
              <w:rPr>
                <w:rFonts w:ascii="Times New Roman" w:hAnsi="Times New Roman"/>
                <w:b/>
                <w:sz w:val="20"/>
              </w:rPr>
            </w:pPr>
            <w:r w:rsidRPr="00E92D1B">
              <w:rPr>
                <w:rFonts w:ascii="Times New Roman" w:hAnsi="Times New Roman"/>
                <w:b/>
                <w:sz w:val="20"/>
              </w:rPr>
              <w:t>2009</w:t>
            </w:r>
          </w:p>
        </w:tc>
        <w:tc>
          <w:tcPr>
            <w:tcW w:w="851" w:type="dxa"/>
            <w:tcBorders>
              <w:top w:val="single" w:sz="8" w:space="0" w:color="FFFFFF"/>
              <w:left w:val="single" w:sz="8" w:space="0" w:color="FFFFFF"/>
              <w:bottom w:val="single" w:sz="8" w:space="0" w:color="FFFFFF"/>
              <w:right w:val="single" w:sz="8" w:space="0" w:color="FFFFFF"/>
            </w:tcBorders>
            <w:shd w:val="clear" w:color="auto" w:fill="000000"/>
            <w:textDirection w:val="lrTb"/>
            <w:vAlign w:val="bottom"/>
          </w:tcPr>
          <w:p w:rsidR="00053BDF" w:rsidRPr="00E92D1B" w:rsidP="003239E7">
            <w:pPr>
              <w:keepNext/>
              <w:keepLines/>
              <w:bidi w:val="0"/>
              <w:spacing w:before="40" w:after="40"/>
              <w:jc w:val="center"/>
              <w:rPr>
                <w:rFonts w:ascii="Times New Roman" w:hAnsi="Times New Roman"/>
                <w:b/>
                <w:sz w:val="20"/>
              </w:rPr>
            </w:pPr>
            <w:r w:rsidRPr="00E92D1B">
              <w:rPr>
                <w:rFonts w:ascii="Times New Roman" w:hAnsi="Times New Roman"/>
                <w:b/>
                <w:sz w:val="20"/>
              </w:rPr>
              <w:t>2010</w:t>
            </w:r>
          </w:p>
        </w:tc>
        <w:tc>
          <w:tcPr>
            <w:tcW w:w="860" w:type="dxa"/>
            <w:tcBorders>
              <w:top w:val="single" w:sz="8" w:space="0" w:color="FFFFFF"/>
              <w:left w:val="single" w:sz="8" w:space="0" w:color="FFFFFF"/>
              <w:bottom w:val="single" w:sz="8" w:space="0" w:color="FFFFFF"/>
              <w:right w:val="single" w:sz="8" w:space="0" w:color="FFFFFF"/>
            </w:tcBorders>
            <w:shd w:val="clear" w:color="auto" w:fill="000000"/>
            <w:textDirection w:val="lrTb"/>
            <w:vAlign w:val="bottom"/>
          </w:tcPr>
          <w:p w:rsidR="00053BDF" w:rsidRPr="00E92D1B" w:rsidP="003239E7">
            <w:pPr>
              <w:keepNext/>
              <w:keepLines/>
              <w:bidi w:val="0"/>
              <w:spacing w:before="40" w:after="40"/>
              <w:jc w:val="center"/>
              <w:rPr>
                <w:rFonts w:ascii="Times New Roman" w:hAnsi="Times New Roman"/>
                <w:b/>
                <w:sz w:val="20"/>
              </w:rPr>
            </w:pPr>
            <w:r w:rsidRPr="00E92D1B">
              <w:rPr>
                <w:rFonts w:ascii="Times New Roman" w:hAnsi="Times New Roman"/>
                <w:b/>
                <w:sz w:val="20"/>
              </w:rPr>
              <w:t>2011</w:t>
            </w:r>
          </w:p>
        </w:tc>
        <w:tc>
          <w:tcPr>
            <w:tcW w:w="284" w:type="dxa"/>
            <w:vMerge w:val="restart"/>
            <w:tcBorders>
              <w:top w:val="nil"/>
              <w:left w:val="single" w:sz="8" w:space="0" w:color="FFFFFF"/>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val="restart"/>
            <w:tcBorders>
              <w:top w:val="single" w:sz="8" w:space="0" w:color="auto"/>
              <w:left w:val="single" w:sz="8" w:space="0" w:color="auto"/>
              <w:bottom w:val="single" w:sz="8" w:space="0" w:color="auto"/>
              <w:right w:val="single" w:sz="8" w:space="0" w:color="auto"/>
            </w:tcBorders>
            <w:textDirection w:val="lrTb"/>
            <w:vAlign w:val="center"/>
          </w:tcPr>
          <w:p w:rsidR="00053BDF" w:rsidRPr="007B6BFA" w:rsidP="003239E7">
            <w:pPr>
              <w:pStyle w:val="Footer"/>
              <w:keepNext/>
              <w:keepLines/>
              <w:tabs>
                <w:tab w:val="clear" w:pos="4536"/>
                <w:tab w:val="clear" w:pos="9072"/>
              </w:tabs>
              <w:bidi w:val="0"/>
              <w:spacing w:before="40" w:after="40" w:line="288" w:lineRule="auto"/>
              <w:jc w:val="center"/>
              <w:rPr>
                <w:rFonts w:ascii="Times New Roman" w:hAnsi="Times New Roman"/>
                <w:sz w:val="20"/>
                <w:lang w:val="sk-SK"/>
              </w:rPr>
            </w:pPr>
            <w:r>
              <w:rPr>
                <w:rFonts w:ascii="Times New Roman" w:hAnsi="Times New Roman"/>
                <w:noProof/>
                <w:sz w:val="20"/>
                <w:rtl w:val="0"/>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i1025" type="#_x0000_t75" style="width:208.98pt;height:170.25pt;visibility:visible" filled="f" stroked="f">
                  <v:imagedata r:id="rId6" o:title=""/>
                </v:shape>
              </w:pict>
            </w:r>
          </w:p>
        </w:tc>
      </w:tr>
      <w:tr>
        <w:tblPrEx>
          <w:tblW w:w="9998" w:type="dxa"/>
          <w:jc w:val="center"/>
          <w:tblInd w:w="76" w:type="dxa"/>
          <w:tblLayout w:type="fixed"/>
          <w:tblLook w:val="01E0"/>
        </w:tblPrEx>
        <w:trPr>
          <w:cantSplit/>
          <w:trHeight w:val="361"/>
          <w:jc w:val="center"/>
        </w:trPr>
        <w:tc>
          <w:tcPr>
            <w:tcW w:w="2925" w:type="dxa"/>
            <w:tcBorders>
              <w:top w:val="single" w:sz="8" w:space="0" w:color="FFFFFF"/>
              <w:left w:val="single" w:sz="4" w:space="0" w:color="auto"/>
              <w:bottom w:val="single" w:sz="4" w:space="0" w:color="auto"/>
              <w:right w:val="single" w:sz="4" w:space="0" w:color="auto"/>
            </w:tcBorders>
            <w:textDirection w:val="lrTb"/>
            <w:vAlign w:val="center"/>
          </w:tcPr>
          <w:p w:rsidR="00053BDF" w:rsidRPr="00A455E6" w:rsidP="00A455E6">
            <w:pPr>
              <w:bidi w:val="0"/>
              <w:rPr>
                <w:rFonts w:ascii="Times New Roman" w:hAnsi="Times New Roman"/>
                <w:sz w:val="20"/>
                <w:szCs w:val="20"/>
              </w:rPr>
            </w:pPr>
            <w:bookmarkStart w:id="4" w:name="_Toc320868569"/>
            <w:bookmarkStart w:id="5" w:name="_Toc320869279"/>
            <w:bookmarkStart w:id="6" w:name="_Toc320870285"/>
            <w:bookmarkStart w:id="7" w:name="_Toc320879581"/>
            <w:bookmarkStart w:id="8" w:name="_Toc321136665"/>
            <w:r w:rsidRPr="00A455E6">
              <w:rPr>
                <w:rFonts w:ascii="Times New Roman" w:hAnsi="Times New Roman"/>
                <w:sz w:val="20"/>
                <w:szCs w:val="20"/>
              </w:rPr>
              <w:t>HDP</w:t>
            </w:r>
            <w:bookmarkEnd w:id="4"/>
            <w:bookmarkEnd w:id="5"/>
            <w:bookmarkEnd w:id="6"/>
            <w:bookmarkEnd w:id="7"/>
            <w:bookmarkEnd w:id="8"/>
            <w:r w:rsidRPr="00A455E6">
              <w:rPr>
                <w:rFonts w:ascii="Times New Roman" w:hAnsi="Times New Roman"/>
                <w:sz w:val="20"/>
                <w:szCs w:val="20"/>
              </w:rPr>
              <w:t xml:space="preserve"> </w:t>
            </w:r>
          </w:p>
        </w:tc>
        <w:tc>
          <w:tcPr>
            <w:tcW w:w="832" w:type="dxa"/>
            <w:tcBorders>
              <w:top w:val="single" w:sz="8" w:space="0" w:color="FFFFFF"/>
              <w:left w:val="single" w:sz="4" w:space="0" w:color="auto"/>
              <w:bottom w:val="single" w:sz="4" w:space="0" w:color="auto"/>
              <w:right w:val="single" w:sz="4" w:space="0" w:color="auto"/>
            </w:tcBorders>
            <w:textDirection w:val="lrTb"/>
            <w:vAlign w:val="center"/>
          </w:tcPr>
          <w:p w:rsidR="00053BDF" w:rsidRPr="00A455E6" w:rsidP="003239E7">
            <w:pPr>
              <w:keepNext/>
              <w:keepLines/>
              <w:bidi w:val="0"/>
              <w:jc w:val="center"/>
              <w:rPr>
                <w:rFonts w:ascii="Times New Roman" w:hAnsi="Times New Roman"/>
                <w:b/>
                <w:sz w:val="20"/>
                <w:szCs w:val="20"/>
              </w:rPr>
            </w:pPr>
            <w:r w:rsidRPr="00A455E6">
              <w:rPr>
                <w:rFonts w:ascii="Times New Roman" w:hAnsi="Times New Roman"/>
                <w:b/>
                <w:sz w:val="20"/>
                <w:szCs w:val="20"/>
              </w:rPr>
              <w:t>-4,9</w:t>
            </w:r>
          </w:p>
        </w:tc>
        <w:tc>
          <w:tcPr>
            <w:tcW w:w="851" w:type="dxa"/>
            <w:tcBorders>
              <w:top w:val="single" w:sz="8" w:space="0" w:color="FFFFFF"/>
              <w:left w:val="single" w:sz="4" w:space="0" w:color="auto"/>
              <w:bottom w:val="single" w:sz="4" w:space="0" w:color="auto"/>
              <w:right w:val="single" w:sz="4" w:space="0" w:color="auto"/>
            </w:tcBorders>
            <w:textDirection w:val="lrTb"/>
            <w:vAlign w:val="center"/>
          </w:tcPr>
          <w:p w:rsidR="00053BDF" w:rsidRPr="00A455E6" w:rsidP="003239E7">
            <w:pPr>
              <w:keepNext/>
              <w:keepLines/>
              <w:bidi w:val="0"/>
              <w:jc w:val="center"/>
              <w:rPr>
                <w:rFonts w:ascii="Times New Roman" w:hAnsi="Times New Roman"/>
                <w:b/>
                <w:sz w:val="20"/>
                <w:szCs w:val="20"/>
              </w:rPr>
            </w:pPr>
            <w:r w:rsidRPr="00A455E6">
              <w:rPr>
                <w:rFonts w:ascii="Times New Roman" w:hAnsi="Times New Roman"/>
                <w:b/>
                <w:sz w:val="20"/>
                <w:szCs w:val="20"/>
              </w:rPr>
              <w:t>4,2</w:t>
            </w:r>
          </w:p>
        </w:tc>
        <w:tc>
          <w:tcPr>
            <w:tcW w:w="860" w:type="dxa"/>
            <w:tcBorders>
              <w:top w:val="single" w:sz="8" w:space="0" w:color="FFFFFF"/>
              <w:left w:val="single" w:sz="4" w:space="0" w:color="auto"/>
              <w:bottom w:val="single" w:sz="4" w:space="0" w:color="auto"/>
              <w:right w:val="single" w:sz="4" w:space="0" w:color="auto"/>
            </w:tcBorders>
            <w:shd w:val="clear" w:color="auto" w:fill="D9D9D9"/>
            <w:textDirection w:val="lrTb"/>
            <w:vAlign w:val="center"/>
          </w:tcPr>
          <w:p w:rsidR="00053BDF" w:rsidRPr="00A455E6" w:rsidP="003239E7">
            <w:pPr>
              <w:keepNext/>
              <w:keepLines/>
              <w:bidi w:val="0"/>
              <w:jc w:val="center"/>
              <w:rPr>
                <w:rFonts w:ascii="Times New Roman" w:hAnsi="Times New Roman"/>
                <w:b/>
                <w:sz w:val="20"/>
                <w:szCs w:val="20"/>
              </w:rPr>
            </w:pPr>
            <w:r w:rsidRPr="00A455E6">
              <w:rPr>
                <w:rFonts w:ascii="Times New Roman" w:hAnsi="Times New Roman"/>
                <w:b/>
                <w:sz w:val="20"/>
                <w:szCs w:val="20"/>
              </w:rPr>
              <w:t>3,3</w:t>
            </w:r>
          </w:p>
        </w:tc>
        <w:tc>
          <w:tcPr>
            <w:tcW w:w="284" w:type="dxa"/>
            <w:vMerge/>
            <w:tcBorders>
              <w:top w:val="nil"/>
              <w:left w:val="single" w:sz="4" w:space="0" w:color="auto"/>
              <w:bottom w:val="nil"/>
              <w:right w:val="single" w:sz="8" w:space="0" w:color="auto"/>
            </w:tcBorders>
            <w:textDirection w:val="lrTb"/>
            <w:vAlign w:val="top"/>
          </w:tcPr>
          <w:p w:rsidR="00053BDF" w:rsidRPr="00A455E6" w:rsidP="003239E7">
            <w:pPr>
              <w:keepNext/>
              <w:keepLines/>
              <w:bidi w:val="0"/>
              <w:spacing w:before="40" w:after="40" w:line="288" w:lineRule="auto"/>
              <w:rPr>
                <w:rFonts w:ascii="Times New Roman" w:hAnsi="Times New Roman"/>
                <w:b/>
                <w:sz w:val="20"/>
                <w:szCs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A455E6" w:rsidP="003239E7">
            <w:pPr>
              <w:keepNext/>
              <w:keepLines/>
              <w:bidi w:val="0"/>
              <w:spacing w:before="40" w:after="40" w:line="288" w:lineRule="auto"/>
              <w:rPr>
                <w:rFonts w:ascii="Times New Roman" w:hAnsi="Times New Roman"/>
                <w:sz w:val="20"/>
                <w:szCs w:val="20"/>
              </w:rPr>
            </w:pPr>
          </w:p>
        </w:tc>
      </w:tr>
      <w:tr>
        <w:tblPrEx>
          <w:tblW w:w="9998" w:type="dxa"/>
          <w:jc w:val="center"/>
          <w:tblInd w:w="76" w:type="dxa"/>
          <w:tblLayout w:type="fixed"/>
          <w:tblLook w:val="01E0"/>
        </w:tblPrEx>
        <w:trPr>
          <w:cantSplit/>
          <w:trHeight w:val="361"/>
          <w:jc w:val="center"/>
        </w:trPr>
        <w:tc>
          <w:tcPr>
            <w:tcW w:w="5468" w:type="dxa"/>
            <w:gridSpan w:val="4"/>
            <w:tcBorders>
              <w:top w:val="single" w:sz="4" w:space="0" w:color="auto"/>
              <w:left w:val="single" w:sz="4" w:space="0" w:color="auto"/>
              <w:bottom w:val="single" w:sz="4" w:space="0" w:color="auto"/>
              <w:right w:val="single" w:sz="4" w:space="0" w:color="auto"/>
            </w:tcBorders>
            <w:textDirection w:val="lrTb"/>
            <w:vAlign w:val="top"/>
          </w:tcPr>
          <w:p w:rsidR="00D15C85" w:rsidRPr="00E92D1B" w:rsidP="00F85E1D">
            <w:pPr>
              <w:keepNext/>
              <w:keepLines/>
              <w:bidi w:val="0"/>
              <w:rPr>
                <w:rFonts w:ascii="Times New Roman" w:hAnsi="Times New Roman"/>
                <w:bCs/>
                <w:sz w:val="20"/>
              </w:rPr>
            </w:pPr>
            <w:r w:rsidRPr="00E92D1B">
              <w:rPr>
                <w:rFonts w:ascii="Times New Roman" w:hAnsi="Times New Roman"/>
                <w:bCs/>
                <w:sz w:val="20"/>
                <w:szCs w:val="20"/>
              </w:rPr>
              <w:t>z toho:</w:t>
            </w:r>
          </w:p>
        </w:tc>
        <w:tc>
          <w:tcPr>
            <w:tcW w:w="284" w:type="dxa"/>
            <w:vMerge/>
            <w:tcBorders>
              <w:top w:val="nil"/>
              <w:left w:val="single" w:sz="4" w:space="0" w:color="auto"/>
              <w:bottom w:val="nil"/>
              <w:right w:val="single" w:sz="8" w:space="0" w:color="auto"/>
            </w:tcBorders>
            <w:textDirection w:val="lrTb"/>
            <w:vAlign w:val="top"/>
          </w:tcPr>
          <w:p w:rsidR="00D15C85" w:rsidRPr="00E92D1B" w:rsidP="00F85E1D">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D15C85" w:rsidRPr="00E92D1B" w:rsidP="00F85E1D">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cantSplit/>
          <w:trHeight w:val="361"/>
          <w:jc w:val="center"/>
        </w:trPr>
        <w:tc>
          <w:tcPr>
            <w:tcW w:w="2925"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spacing w:line="288" w:lineRule="auto"/>
              <w:rPr>
                <w:rFonts w:ascii="Times New Roman" w:hAnsi="Times New Roman"/>
                <w:bCs/>
                <w:i/>
                <w:sz w:val="20"/>
              </w:rPr>
            </w:pPr>
            <w:r w:rsidR="00C36624">
              <w:rPr>
                <w:rFonts w:ascii="Times New Roman" w:hAnsi="Times New Roman"/>
                <w:bCs/>
                <w:i/>
                <w:sz w:val="20"/>
              </w:rPr>
              <w:t xml:space="preserve"> </w:t>
            </w:r>
            <w:r w:rsidRPr="00F85E1D">
              <w:rPr>
                <w:rFonts w:ascii="Times New Roman" w:hAnsi="Times New Roman"/>
                <w:bCs/>
                <w:i/>
                <w:sz w:val="20"/>
              </w:rPr>
              <w:t>Konečná spotreba domácností</w:t>
            </w:r>
          </w:p>
        </w:tc>
        <w:tc>
          <w:tcPr>
            <w:tcW w:w="832"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0,2</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-1,1</w:t>
            </w:r>
          </w:p>
        </w:tc>
        <w:tc>
          <w:tcPr>
            <w:tcW w:w="86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-0,4</w:t>
            </w:r>
          </w:p>
        </w:tc>
        <w:tc>
          <w:tcPr>
            <w:tcW w:w="284" w:type="dxa"/>
            <w:vMerge/>
            <w:tcBorders>
              <w:top w:val="nil"/>
              <w:left w:val="single" w:sz="4" w:space="0" w:color="auto"/>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cantSplit/>
          <w:trHeight w:val="361"/>
          <w:jc w:val="center"/>
        </w:trPr>
        <w:tc>
          <w:tcPr>
            <w:tcW w:w="2925"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spacing w:line="288" w:lineRule="auto"/>
              <w:rPr>
                <w:rFonts w:ascii="Times New Roman" w:hAnsi="Times New Roman"/>
                <w:bCs/>
                <w:i/>
                <w:sz w:val="20"/>
              </w:rPr>
            </w:pPr>
            <w:r w:rsidRPr="00F85E1D">
              <w:rPr>
                <w:rFonts w:ascii="Times New Roman" w:hAnsi="Times New Roman"/>
                <w:bCs/>
                <w:i/>
                <w:sz w:val="20"/>
              </w:rPr>
              <w:t xml:space="preserve"> Konečná spotreba ver. správy</w:t>
            </w:r>
          </w:p>
        </w:tc>
        <w:tc>
          <w:tcPr>
            <w:tcW w:w="832"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6,1</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1,1</w:t>
            </w:r>
          </w:p>
        </w:tc>
        <w:tc>
          <w:tcPr>
            <w:tcW w:w="86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-3,5</w:t>
            </w:r>
          </w:p>
        </w:tc>
        <w:tc>
          <w:tcPr>
            <w:tcW w:w="284" w:type="dxa"/>
            <w:vMerge/>
            <w:tcBorders>
              <w:top w:val="nil"/>
              <w:left w:val="single" w:sz="4" w:space="0" w:color="auto"/>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cantSplit/>
          <w:trHeight w:val="361"/>
          <w:jc w:val="center"/>
        </w:trPr>
        <w:tc>
          <w:tcPr>
            <w:tcW w:w="2925" w:type="dxa"/>
            <w:tcBorders>
              <w:top w:val="single" w:sz="4" w:space="0" w:color="auto"/>
              <w:left w:val="single" w:sz="4" w:space="0" w:color="auto"/>
              <w:bottom w:val="single" w:sz="4" w:space="0" w:color="auto"/>
              <w:right w:val="single" w:sz="4" w:space="0" w:color="auto"/>
            </w:tcBorders>
            <w:textDirection w:val="lrTb"/>
            <w:vAlign w:val="center"/>
          </w:tcPr>
          <w:p w:rsidR="00053BDF" w:rsidRPr="007B6BFA" w:rsidP="003239E7">
            <w:pPr>
              <w:pStyle w:val="BalloonText"/>
              <w:keepNext/>
              <w:keepLines/>
              <w:bidi w:val="0"/>
              <w:spacing w:line="288" w:lineRule="auto"/>
              <w:rPr>
                <w:rFonts w:ascii="Times New Roman" w:hAnsi="Times New Roman"/>
                <w:bCs/>
                <w:i/>
                <w:sz w:val="20"/>
                <w:szCs w:val="20"/>
                <w:lang w:val="sk-SK"/>
              </w:rPr>
            </w:pPr>
            <w:r w:rsidRPr="007B6BFA" w:rsidR="00C36624">
              <w:rPr>
                <w:rFonts w:ascii="Times New Roman" w:hAnsi="Times New Roman"/>
                <w:bCs/>
                <w:i/>
                <w:sz w:val="20"/>
                <w:szCs w:val="20"/>
                <w:lang w:val="sk-SK"/>
              </w:rPr>
              <w:t xml:space="preserve"> </w:t>
            </w:r>
            <w:r w:rsidRPr="007B6BFA">
              <w:rPr>
                <w:rFonts w:ascii="Times New Roman" w:hAnsi="Times New Roman"/>
                <w:bCs/>
                <w:i/>
                <w:sz w:val="20"/>
                <w:szCs w:val="20"/>
                <w:lang w:val="sk-SK"/>
              </w:rPr>
              <w:t>Tvorba hrubého fixného kapitálu</w:t>
            </w:r>
          </w:p>
        </w:tc>
        <w:tc>
          <w:tcPr>
            <w:tcW w:w="832"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-19,7</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12,4</w:t>
            </w:r>
          </w:p>
        </w:tc>
        <w:tc>
          <w:tcPr>
            <w:tcW w:w="86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5,7</w:t>
            </w:r>
          </w:p>
        </w:tc>
        <w:tc>
          <w:tcPr>
            <w:tcW w:w="284" w:type="dxa"/>
            <w:vMerge/>
            <w:tcBorders>
              <w:top w:val="nil"/>
              <w:left w:val="single" w:sz="4" w:space="0" w:color="auto"/>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cantSplit/>
          <w:trHeight w:val="361"/>
          <w:jc w:val="center"/>
        </w:trPr>
        <w:tc>
          <w:tcPr>
            <w:tcW w:w="2925"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spacing w:line="288" w:lineRule="auto"/>
              <w:rPr>
                <w:rFonts w:ascii="Times New Roman" w:hAnsi="Times New Roman"/>
                <w:bCs/>
                <w:i/>
                <w:sz w:val="20"/>
              </w:rPr>
            </w:pPr>
            <w:r w:rsidR="00C36624">
              <w:rPr>
                <w:rFonts w:ascii="Times New Roman" w:hAnsi="Times New Roman"/>
                <w:bCs/>
                <w:i/>
                <w:sz w:val="20"/>
              </w:rPr>
              <w:t xml:space="preserve"> </w:t>
            </w:r>
            <w:r w:rsidRPr="00F85E1D">
              <w:rPr>
                <w:rFonts w:ascii="Times New Roman" w:hAnsi="Times New Roman"/>
                <w:bCs/>
                <w:i/>
                <w:sz w:val="20"/>
              </w:rPr>
              <w:t>Vývoz výrobkov a služieb</w:t>
            </w:r>
          </w:p>
        </w:tc>
        <w:tc>
          <w:tcPr>
            <w:tcW w:w="832"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-15,9</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16,5</w:t>
            </w:r>
          </w:p>
        </w:tc>
        <w:tc>
          <w:tcPr>
            <w:tcW w:w="86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10,8</w:t>
            </w:r>
          </w:p>
        </w:tc>
        <w:tc>
          <w:tcPr>
            <w:tcW w:w="284" w:type="dxa"/>
            <w:vMerge/>
            <w:tcBorders>
              <w:top w:val="nil"/>
              <w:left w:val="single" w:sz="4" w:space="0" w:color="auto"/>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cantSplit/>
          <w:trHeight w:val="70"/>
          <w:jc w:val="center"/>
        </w:trPr>
        <w:tc>
          <w:tcPr>
            <w:tcW w:w="2925"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spacing w:line="288" w:lineRule="auto"/>
              <w:rPr>
                <w:rFonts w:ascii="Times New Roman" w:hAnsi="Times New Roman"/>
                <w:bCs/>
                <w:i/>
                <w:sz w:val="20"/>
              </w:rPr>
            </w:pPr>
            <w:r w:rsidR="00C36624">
              <w:rPr>
                <w:rFonts w:ascii="Times New Roman" w:hAnsi="Times New Roman"/>
                <w:bCs/>
                <w:i/>
                <w:sz w:val="20"/>
              </w:rPr>
              <w:t xml:space="preserve"> </w:t>
            </w:r>
            <w:r w:rsidRPr="00F85E1D">
              <w:rPr>
                <w:rFonts w:ascii="Times New Roman" w:hAnsi="Times New Roman"/>
                <w:bCs/>
                <w:i/>
                <w:sz w:val="20"/>
              </w:rPr>
              <w:t>Dovoz výrobkov a služieb</w:t>
            </w:r>
          </w:p>
        </w:tc>
        <w:tc>
          <w:tcPr>
            <w:tcW w:w="832"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-18,1</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16,3</w:t>
            </w:r>
          </w:p>
        </w:tc>
        <w:tc>
          <w:tcPr>
            <w:tcW w:w="86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53BDF" w:rsidRPr="00F85E1D" w:rsidP="003239E7">
            <w:pPr>
              <w:keepNext/>
              <w:keepLines/>
              <w:bidi w:val="0"/>
              <w:jc w:val="center"/>
              <w:rPr>
                <w:rFonts w:ascii="Times New Roman" w:hAnsi="Times New Roman"/>
                <w:bCs/>
                <w:i/>
                <w:sz w:val="20"/>
              </w:rPr>
            </w:pPr>
            <w:r w:rsidRPr="00F85E1D">
              <w:rPr>
                <w:rFonts w:ascii="Times New Roman" w:hAnsi="Times New Roman"/>
                <w:bCs/>
                <w:i/>
                <w:sz w:val="20"/>
              </w:rPr>
              <w:t>4,5</w:t>
            </w:r>
          </w:p>
        </w:tc>
        <w:tc>
          <w:tcPr>
            <w:tcW w:w="284" w:type="dxa"/>
            <w:vMerge/>
            <w:tcBorders>
              <w:top w:val="nil"/>
              <w:left w:val="single" w:sz="4" w:space="0" w:color="auto"/>
              <w:bottom w:val="nil"/>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b/>
                <w:sz w:val="20"/>
              </w:rPr>
            </w:pPr>
          </w:p>
        </w:tc>
        <w:tc>
          <w:tcPr>
            <w:tcW w:w="4246" w:type="dxa"/>
            <w:gridSpan w:val="3"/>
            <w:vMerge/>
            <w:tcBorders>
              <w:top w:val="nil"/>
              <w:left w:val="single" w:sz="8" w:space="0" w:color="auto"/>
              <w:bottom w:val="single" w:sz="8" w:space="0" w:color="auto"/>
              <w:right w:val="single" w:sz="8" w:space="0" w:color="auto"/>
            </w:tcBorders>
            <w:textDirection w:val="lrTb"/>
            <w:vAlign w:val="top"/>
          </w:tcPr>
          <w:p w:rsidR="00053BDF" w:rsidRPr="00E92D1B" w:rsidP="003239E7">
            <w:pPr>
              <w:keepNext/>
              <w:keepLines/>
              <w:bidi w:val="0"/>
              <w:spacing w:before="40" w:after="40" w:line="288" w:lineRule="auto"/>
              <w:rPr>
                <w:rFonts w:ascii="Times New Roman" w:hAnsi="Times New Roman"/>
                <w:sz w:val="20"/>
              </w:rPr>
            </w:pPr>
          </w:p>
        </w:tc>
      </w:tr>
      <w:tr>
        <w:tblPrEx>
          <w:tblW w:w="9998" w:type="dxa"/>
          <w:jc w:val="center"/>
          <w:tblInd w:w="76" w:type="dxa"/>
          <w:tblLayout w:type="fixed"/>
          <w:tblLook w:val="01E0"/>
        </w:tblPrEx>
        <w:trPr>
          <w:gridAfter w:val="1"/>
          <w:wAfter w:w="2259" w:type="dxa"/>
          <w:trHeight w:val="429"/>
          <w:jc w:val="center"/>
        </w:trPr>
        <w:tc>
          <w:tcPr>
            <w:tcW w:w="2925" w:type="dxa"/>
            <w:tcBorders>
              <w:top w:val="single" w:sz="4" w:space="0" w:color="auto"/>
              <w:left w:val="nil"/>
              <w:bottom w:val="nil"/>
              <w:right w:val="nil"/>
            </w:tcBorders>
            <w:textDirection w:val="lrTb"/>
            <w:vAlign w:val="top"/>
          </w:tcPr>
          <w:p w:rsidR="00247FDD" w:rsidRPr="007B6BFA" w:rsidP="00247FDD">
            <w:pPr>
              <w:pStyle w:val="BalloonText"/>
              <w:keepNext/>
              <w:keepLines/>
              <w:bidi w:val="0"/>
              <w:spacing w:before="120" w:after="120" w:line="288" w:lineRule="auto"/>
              <w:rPr>
                <w:rFonts w:ascii="Times New Roman" w:hAnsi="Times New Roman"/>
                <w:iCs/>
                <w:sz w:val="20"/>
                <w:szCs w:val="20"/>
                <w:lang w:val="sk-SK"/>
              </w:rPr>
            </w:pPr>
            <w:r w:rsidRPr="007B6BFA">
              <w:rPr>
                <w:rFonts w:ascii="Times New Roman" w:hAnsi="Times New Roman"/>
                <w:iCs/>
                <w:sz w:val="20"/>
                <w:szCs w:val="20"/>
                <w:lang w:val="sk-SK"/>
              </w:rPr>
              <w:t>Zdroj: ŠÚ SR</w:t>
            </w:r>
          </w:p>
        </w:tc>
        <w:tc>
          <w:tcPr>
            <w:tcW w:w="832" w:type="dxa"/>
            <w:tcBorders>
              <w:top w:val="nil"/>
              <w:left w:val="nil"/>
              <w:bottom w:val="nil"/>
              <w:right w:val="nil"/>
            </w:tcBorders>
            <w:textDirection w:val="lrTb"/>
            <w:vAlign w:val="top"/>
          </w:tcPr>
          <w:p w:rsidR="00247FDD" w:rsidRPr="00E92D1B" w:rsidP="00247FDD">
            <w:pPr>
              <w:keepNext/>
              <w:keepLines/>
              <w:bidi w:val="0"/>
              <w:spacing w:before="120" w:after="120" w:line="288" w:lineRule="auto"/>
              <w:jc w:val="right"/>
              <w:rPr>
                <w:rFonts w:ascii="Times New Roman" w:hAnsi="Times New Roman"/>
                <w:iCs/>
                <w:sz w:val="20"/>
              </w:rPr>
            </w:pPr>
          </w:p>
        </w:tc>
        <w:tc>
          <w:tcPr>
            <w:tcW w:w="851" w:type="dxa"/>
            <w:tcBorders>
              <w:top w:val="single" w:sz="8" w:space="0" w:color="auto"/>
              <w:left w:val="nil"/>
              <w:bottom w:val="nil"/>
              <w:right w:val="nil"/>
            </w:tcBorders>
            <w:textDirection w:val="lrTb"/>
            <w:vAlign w:val="top"/>
          </w:tcPr>
          <w:p w:rsidR="00247FDD" w:rsidRPr="007B6BFA" w:rsidP="00247FDD">
            <w:pPr>
              <w:pStyle w:val="BalloonText"/>
              <w:keepNext/>
              <w:keepLines/>
              <w:bidi w:val="0"/>
              <w:spacing w:before="120" w:after="120" w:line="288" w:lineRule="auto"/>
              <w:rPr>
                <w:rFonts w:ascii="Times New Roman" w:hAnsi="Times New Roman"/>
                <w:iCs/>
                <w:sz w:val="20"/>
                <w:szCs w:val="20"/>
                <w:lang w:val="sk-SK"/>
              </w:rPr>
            </w:pPr>
          </w:p>
        </w:tc>
        <w:tc>
          <w:tcPr>
            <w:tcW w:w="1598" w:type="dxa"/>
            <w:gridSpan w:val="3"/>
            <w:tcBorders>
              <w:top w:val="nil"/>
              <w:left w:val="nil"/>
              <w:bottom w:val="nil"/>
              <w:right w:val="nil"/>
            </w:tcBorders>
            <w:textDirection w:val="lrTb"/>
            <w:vAlign w:val="top"/>
          </w:tcPr>
          <w:p w:rsidR="00247FDD" w:rsidRPr="007B6BFA" w:rsidP="0053060C">
            <w:pPr>
              <w:pStyle w:val="BalloonText"/>
              <w:keepNext/>
              <w:keepLines/>
              <w:bidi w:val="0"/>
              <w:spacing w:before="120" w:after="120" w:line="288" w:lineRule="auto"/>
              <w:rPr>
                <w:rFonts w:ascii="Times New Roman" w:hAnsi="Times New Roman"/>
                <w:iCs/>
                <w:sz w:val="20"/>
                <w:szCs w:val="20"/>
                <w:lang w:val="sk-SK"/>
              </w:rPr>
            </w:pPr>
          </w:p>
        </w:tc>
        <w:tc>
          <w:tcPr>
            <w:tcW w:w="1533" w:type="dxa"/>
            <w:tcBorders>
              <w:top w:val="nil"/>
              <w:left w:val="nil"/>
              <w:bottom w:val="nil"/>
              <w:right w:val="nil"/>
            </w:tcBorders>
            <w:textDirection w:val="lrTb"/>
            <w:vAlign w:val="top"/>
          </w:tcPr>
          <w:p w:rsidR="00247FDD" w:rsidRPr="007B6BFA" w:rsidP="0053060C">
            <w:pPr>
              <w:pStyle w:val="BalloonText"/>
              <w:keepNext/>
              <w:keepLines/>
              <w:bidi w:val="0"/>
              <w:spacing w:before="120" w:after="120" w:line="288" w:lineRule="auto"/>
              <w:rPr>
                <w:rFonts w:ascii="Times New Roman" w:hAnsi="Times New Roman"/>
                <w:iCs/>
                <w:sz w:val="20"/>
                <w:szCs w:val="20"/>
                <w:lang w:val="sk-SK"/>
              </w:rPr>
            </w:pPr>
            <w:r w:rsidRPr="007B6BFA">
              <w:rPr>
                <w:rFonts w:ascii="Times New Roman" w:hAnsi="Times New Roman"/>
                <w:iCs/>
                <w:sz w:val="20"/>
                <w:szCs w:val="20"/>
                <w:lang w:val="sk-SK"/>
              </w:rPr>
              <w:t>Zdroj: ŠÚ SR</w:t>
            </w:r>
          </w:p>
        </w:tc>
      </w:tr>
    </w:tbl>
    <w:p w:rsidR="00053BDF" w:rsidRPr="00231405" w:rsidP="0053060C">
      <w:pPr>
        <w:pStyle w:val="Footer"/>
        <w:tabs>
          <w:tab w:val="clear" w:pos="4536"/>
          <w:tab w:val="clear" w:pos="9072"/>
        </w:tabs>
        <w:bidi w:val="0"/>
        <w:spacing w:after="120" w:line="360" w:lineRule="auto"/>
        <w:ind w:firstLine="709"/>
        <w:jc w:val="both"/>
        <w:rPr>
          <w:rFonts w:ascii="Times New Roman" w:hAnsi="Times New Roman"/>
          <w:bCs/>
        </w:rPr>
      </w:pPr>
      <w:r w:rsidRPr="00E92D1B">
        <w:rPr>
          <w:rFonts w:ascii="Times New Roman" w:hAnsi="Times New Roman"/>
          <w:bCs/>
        </w:rPr>
        <w:t xml:space="preserve">Rast ekonomiky v </w:t>
      </w:r>
      <w:r w:rsidRPr="00E92D1B">
        <w:rPr>
          <w:rFonts w:ascii="Times New Roman" w:hAnsi="Times New Roman"/>
        </w:rPr>
        <w:t>roku</w:t>
      </w:r>
      <w:r w:rsidRPr="00E92D1B">
        <w:rPr>
          <w:rFonts w:ascii="Times New Roman" w:hAnsi="Times New Roman"/>
          <w:bCs/>
        </w:rPr>
        <w:t xml:space="preserve"> 2011 bol taký ako sa pôvodne</w:t>
      </w:r>
      <w:r w:rsidR="00C36624">
        <w:rPr>
          <w:rFonts w:ascii="Times New Roman" w:hAnsi="Times New Roman"/>
          <w:bCs/>
        </w:rPr>
        <w:t xml:space="preserve"> predpokladalo pri zostavovaní </w:t>
      </w:r>
      <w:r w:rsidRPr="00E92D1B">
        <w:rPr>
          <w:rFonts w:ascii="Times New Roman" w:hAnsi="Times New Roman"/>
          <w:bCs/>
        </w:rPr>
        <w:t xml:space="preserve">rozpočtu verejnej správy na rok 2011, avšak </w:t>
      </w:r>
      <w:r w:rsidRPr="00E92D1B">
        <w:rPr>
          <w:rFonts w:ascii="Times New Roman" w:hAnsi="Times New Roman"/>
          <w:b/>
          <w:bCs/>
        </w:rPr>
        <w:t>štruktúra rastu</w:t>
      </w:r>
      <w:r w:rsidRPr="00E92D1B">
        <w:rPr>
          <w:rFonts w:ascii="Times New Roman" w:hAnsi="Times New Roman"/>
          <w:bCs/>
        </w:rPr>
        <w:t xml:space="preserve"> ťahaná najmä zahraničným dopytom a investíciami </w:t>
      </w:r>
      <w:r w:rsidRPr="00E92D1B">
        <w:rPr>
          <w:rFonts w:ascii="Times New Roman" w:hAnsi="Times New Roman"/>
          <w:b/>
          <w:bCs/>
        </w:rPr>
        <w:t>bola pre plnenie daňových príjmov nepriaznivá</w:t>
      </w:r>
      <w:r w:rsidRPr="00E92D1B">
        <w:rPr>
          <w:rFonts w:ascii="Times New Roman" w:hAnsi="Times New Roman"/>
          <w:bCs/>
        </w:rPr>
        <w:t xml:space="preserve">. Oproti predpokladom rozpočtu sa vyvíjali horšie všetky makroekonomické základne daní. </w:t>
      </w:r>
      <w:r w:rsidRPr="00231405">
        <w:rPr>
          <w:rFonts w:ascii="Times New Roman" w:hAnsi="Times New Roman"/>
          <w:bCs/>
        </w:rPr>
        <w:t>Z hľadiska vývoja verejných financií celkový vývoj ekonomiky vytváral pre plnenie daňových príjmov v roku 2011 negatívne riziká.</w:t>
      </w:r>
    </w:p>
    <w:tbl>
      <w:tblPr>
        <w:tblStyle w:val="TableNormal"/>
        <w:tblW w:w="8175" w:type="dxa"/>
        <w:jc w:val="center"/>
        <w:tblInd w:w="-1737" w:type="dxa"/>
        <w:tblCellMar>
          <w:left w:w="70" w:type="dxa"/>
          <w:right w:w="70" w:type="dxa"/>
        </w:tblCellMar>
        <w:tblLook w:val="04A0"/>
      </w:tblPr>
      <w:tblGrid>
        <w:gridCol w:w="4253"/>
        <w:gridCol w:w="1447"/>
        <w:gridCol w:w="1123"/>
        <w:gridCol w:w="1352"/>
      </w:tblGrid>
      <w:tr>
        <w:tblPrEx>
          <w:tblW w:w="8175" w:type="dxa"/>
          <w:jc w:val="center"/>
          <w:tblInd w:w="-1737" w:type="dxa"/>
          <w:tblCellMar>
            <w:left w:w="70" w:type="dxa"/>
            <w:right w:w="70" w:type="dxa"/>
          </w:tblCellMar>
          <w:tblLook w:val="04A0"/>
        </w:tblPrEx>
        <w:trPr>
          <w:trHeight w:val="535"/>
          <w:jc w:val="center"/>
        </w:trPr>
        <w:tc>
          <w:tcPr>
            <w:tcW w:w="8175" w:type="dxa"/>
            <w:gridSpan w:val="4"/>
            <w:tcBorders>
              <w:top w:val="single" w:sz="4" w:space="0" w:color="auto"/>
              <w:left w:val="single" w:sz="4" w:space="0" w:color="auto"/>
              <w:bottom w:val="single" w:sz="4" w:space="0" w:color="FFFFFF"/>
              <w:right w:val="single" w:sz="4" w:space="0" w:color="auto"/>
            </w:tcBorders>
            <w:shd w:val="clear" w:color="000000" w:fill="000000"/>
            <w:textDirection w:val="lrTb"/>
            <w:vAlign w:val="bottom"/>
            <w:hideMark/>
          </w:tcPr>
          <w:p w:rsidR="00053BDF" w:rsidRPr="00E92D1B" w:rsidP="0053060C">
            <w:pPr>
              <w:bidi w:val="0"/>
              <w:spacing w:after="120"/>
              <w:jc w:val="both"/>
              <w:rPr>
                <w:rFonts w:ascii="Times New Roman" w:hAnsi="Times New Roman"/>
                <w:b/>
                <w:bCs/>
                <w:color w:val="FFFFFF"/>
                <w:sz w:val="20"/>
              </w:rPr>
            </w:pPr>
            <w:r w:rsidRPr="00E92D1B">
              <w:rPr>
                <w:rFonts w:ascii="Times New Roman" w:hAnsi="Times New Roman"/>
                <w:b/>
                <w:bCs/>
                <w:color w:val="FFFFFF"/>
                <w:sz w:val="20"/>
              </w:rPr>
              <w:t>Porovn</w:t>
            </w:r>
            <w:r w:rsidR="006D0083">
              <w:rPr>
                <w:rFonts w:ascii="Times New Roman" w:hAnsi="Times New Roman"/>
                <w:b/>
                <w:bCs/>
                <w:color w:val="FFFFFF"/>
                <w:sz w:val="20"/>
              </w:rPr>
              <w:t>anie skutočnosti za rok 2011</w:t>
            </w:r>
            <w:r w:rsidRPr="00E92D1B">
              <w:rPr>
                <w:rFonts w:ascii="Times New Roman" w:hAnsi="Times New Roman"/>
                <w:b/>
                <w:bCs/>
                <w:color w:val="FFFFFF"/>
                <w:sz w:val="20"/>
              </w:rPr>
              <w:t xml:space="preserve"> s predpokladmi pre tvorbu rozpočtu na roky 2011-2013</w:t>
            </w:r>
          </w:p>
        </w:tc>
      </w:tr>
      <w:tr>
        <w:tblPrEx>
          <w:tblW w:w="8175" w:type="dxa"/>
          <w:jc w:val="center"/>
          <w:tblInd w:w="-1737" w:type="dxa"/>
          <w:tblCellMar>
            <w:left w:w="70" w:type="dxa"/>
            <w:right w:w="70" w:type="dxa"/>
          </w:tblCellMar>
          <w:tblLook w:val="04A0"/>
        </w:tblPrEx>
        <w:trPr>
          <w:trHeight w:val="387"/>
          <w:jc w:val="center"/>
        </w:trPr>
        <w:tc>
          <w:tcPr>
            <w:tcW w:w="4253" w:type="dxa"/>
            <w:tcBorders>
              <w:top w:val="single" w:sz="4" w:space="0" w:color="FFFFFF"/>
              <w:left w:val="single" w:sz="4" w:space="0" w:color="auto"/>
              <w:bottom w:val="single" w:sz="4" w:space="0" w:color="auto"/>
              <w:right w:val="single" w:sz="4" w:space="0" w:color="FFFFFF"/>
            </w:tcBorders>
            <w:shd w:val="clear" w:color="auto" w:fill="000000"/>
            <w:textDirection w:val="lrTb"/>
            <w:vAlign w:val="bottom"/>
            <w:hideMark/>
          </w:tcPr>
          <w:p w:rsidR="00053BDF" w:rsidRPr="005B0F88" w:rsidP="00091C06">
            <w:pPr>
              <w:bidi w:val="0"/>
              <w:rPr>
                <w:rFonts w:ascii="Times New Roman" w:hAnsi="Times New Roman"/>
                <w:b/>
                <w:color w:val="FFFFFF"/>
                <w:sz w:val="20"/>
              </w:rPr>
            </w:pPr>
            <w:r w:rsidRPr="005B0F88">
              <w:rPr>
                <w:rFonts w:ascii="Times New Roman" w:hAnsi="Times New Roman"/>
                <w:b/>
                <w:color w:val="FFFFFF"/>
                <w:sz w:val="20"/>
              </w:rPr>
              <w:t>v %, ak nie je uvedené inak</w:t>
            </w:r>
          </w:p>
        </w:tc>
        <w:tc>
          <w:tcPr>
            <w:tcW w:w="144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hideMark/>
          </w:tcPr>
          <w:p w:rsidR="00053BDF" w:rsidRPr="005B0F88" w:rsidP="00091C06">
            <w:pPr>
              <w:bidi w:val="0"/>
              <w:rPr>
                <w:rFonts w:ascii="Times New Roman" w:hAnsi="Times New Roman"/>
                <w:b/>
                <w:color w:val="FFFFFF"/>
                <w:sz w:val="20"/>
              </w:rPr>
            </w:pPr>
            <w:r w:rsidRPr="005B0F88">
              <w:rPr>
                <w:rFonts w:ascii="Times New Roman" w:hAnsi="Times New Roman"/>
                <w:b/>
                <w:color w:val="FFFFFF"/>
                <w:sz w:val="20"/>
              </w:rPr>
              <w:t>Rozpočet 2011</w:t>
            </w:r>
          </w:p>
        </w:tc>
        <w:tc>
          <w:tcPr>
            <w:tcW w:w="1123"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hideMark/>
          </w:tcPr>
          <w:p w:rsidR="00053BDF" w:rsidRPr="005B0F88" w:rsidP="00091C06">
            <w:pPr>
              <w:bidi w:val="0"/>
              <w:rPr>
                <w:rFonts w:ascii="Times New Roman" w:hAnsi="Times New Roman"/>
                <w:b/>
                <w:color w:val="FFFFFF"/>
                <w:sz w:val="20"/>
              </w:rPr>
            </w:pPr>
            <w:r w:rsidRPr="005B0F88">
              <w:rPr>
                <w:rFonts w:ascii="Times New Roman" w:hAnsi="Times New Roman"/>
                <w:b/>
                <w:color w:val="FFFFFF"/>
                <w:sz w:val="20"/>
              </w:rPr>
              <w:t>Skutočnosť</w:t>
            </w:r>
          </w:p>
        </w:tc>
        <w:tc>
          <w:tcPr>
            <w:tcW w:w="1352" w:type="dxa"/>
            <w:tcBorders>
              <w:top w:val="single" w:sz="4" w:space="0" w:color="FFFFFF"/>
              <w:left w:val="single" w:sz="4" w:space="0" w:color="FFFFFF"/>
              <w:bottom w:val="single" w:sz="4" w:space="0" w:color="auto"/>
              <w:right w:val="single" w:sz="4" w:space="0" w:color="auto"/>
            </w:tcBorders>
            <w:shd w:val="clear" w:color="auto" w:fill="000000"/>
            <w:textDirection w:val="lrTb"/>
            <w:vAlign w:val="center"/>
            <w:hideMark/>
          </w:tcPr>
          <w:p w:rsidR="00053BDF" w:rsidRPr="005B0F88" w:rsidP="00091C06">
            <w:pPr>
              <w:bidi w:val="0"/>
              <w:rPr>
                <w:rFonts w:ascii="Times New Roman" w:hAnsi="Times New Roman"/>
                <w:b/>
                <w:color w:val="FFFFFF"/>
                <w:sz w:val="20"/>
              </w:rPr>
            </w:pPr>
            <w:r w:rsidRPr="005B0F88">
              <w:rPr>
                <w:rFonts w:ascii="Times New Roman" w:hAnsi="Times New Roman"/>
                <w:b/>
                <w:color w:val="FFFFFF"/>
                <w:sz w:val="20"/>
              </w:rPr>
              <w:t>Rozdiel v p.b.</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00C36624">
              <w:rPr>
                <w:rFonts w:ascii="Times New Roman" w:hAnsi="Times New Roman"/>
                <w:color w:val="000000"/>
                <w:sz w:val="20"/>
              </w:rPr>
              <w:t xml:space="preserve">Hrubý domáci produkt, </w:t>
            </w:r>
            <w:r w:rsidRPr="00E92D1B">
              <w:rPr>
                <w:rFonts w:ascii="Times New Roman" w:hAnsi="Times New Roman"/>
                <w:color w:val="000000"/>
                <w:sz w:val="20"/>
              </w:rPr>
              <w:t>reálny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3,3</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3,3</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0,0</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Pr="00E92D1B">
              <w:rPr>
                <w:rFonts w:ascii="Times New Roman" w:hAnsi="Times New Roman"/>
                <w:color w:val="000000"/>
                <w:sz w:val="20"/>
              </w:rPr>
              <w:t>Hrubý domáci</w:t>
            </w:r>
            <w:r w:rsidR="008912C3">
              <w:rPr>
                <w:rFonts w:ascii="Times New Roman" w:hAnsi="Times New Roman"/>
                <w:color w:val="000000"/>
                <w:sz w:val="20"/>
              </w:rPr>
              <w:t xml:space="preserve"> produkt v bežných cenách mld. e</w:t>
            </w:r>
            <w:r w:rsidRPr="00E92D1B">
              <w:rPr>
                <w:rFonts w:ascii="Times New Roman" w:hAnsi="Times New Roman"/>
                <w:color w:val="000000"/>
                <w:sz w:val="20"/>
              </w:rPr>
              <w:t>ur</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70,2</w:t>
            </w:r>
          </w:p>
        </w:tc>
        <w:tc>
          <w:tcPr>
            <w:tcW w:w="112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69,1</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-1,1</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00C36624">
              <w:rPr>
                <w:rFonts w:ascii="Times New Roman" w:hAnsi="Times New Roman"/>
                <w:color w:val="000000"/>
                <w:sz w:val="20"/>
              </w:rPr>
              <w:t xml:space="preserve">Konečná spotreba domácností, </w:t>
            </w:r>
            <w:r w:rsidRPr="00E92D1B">
              <w:rPr>
                <w:rFonts w:ascii="Times New Roman" w:hAnsi="Times New Roman"/>
                <w:color w:val="000000"/>
                <w:sz w:val="20"/>
              </w:rPr>
              <w:t>reálny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0,4</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-0,4</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-0,8</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00C36624">
              <w:rPr>
                <w:rFonts w:ascii="Times New Roman" w:hAnsi="Times New Roman"/>
                <w:color w:val="000000"/>
                <w:sz w:val="20"/>
              </w:rPr>
              <w:t xml:space="preserve">Konečná spotreba domácností, </w:t>
            </w:r>
            <w:r w:rsidRPr="00E92D1B">
              <w:rPr>
                <w:rFonts w:ascii="Times New Roman" w:hAnsi="Times New Roman"/>
                <w:color w:val="000000"/>
                <w:sz w:val="20"/>
              </w:rPr>
              <w:t>nominálny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3,9</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3,4</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-0,5</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00C36624">
              <w:rPr>
                <w:rFonts w:ascii="Times New Roman" w:hAnsi="Times New Roman"/>
                <w:color w:val="000000"/>
                <w:sz w:val="20"/>
              </w:rPr>
              <w:t xml:space="preserve">Priemerná mesačná mzda, </w:t>
            </w:r>
            <w:r w:rsidRPr="00E92D1B">
              <w:rPr>
                <w:rFonts w:ascii="Times New Roman" w:hAnsi="Times New Roman"/>
                <w:color w:val="000000"/>
                <w:sz w:val="20"/>
              </w:rPr>
              <w:t>reálny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0,0</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-1,6</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-1,6</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Pr="00E92D1B">
              <w:rPr>
                <w:rFonts w:ascii="Times New Roman" w:hAnsi="Times New Roman"/>
                <w:color w:val="000000"/>
                <w:sz w:val="20"/>
              </w:rPr>
              <w:t>Priemerná mesačná</w:t>
            </w:r>
            <w:r w:rsidR="00C36624">
              <w:rPr>
                <w:rFonts w:ascii="Times New Roman" w:hAnsi="Times New Roman"/>
                <w:color w:val="000000"/>
                <w:sz w:val="20"/>
              </w:rPr>
              <w:t xml:space="preserve"> mzda, </w:t>
            </w:r>
            <w:r w:rsidRPr="00E92D1B">
              <w:rPr>
                <w:rFonts w:ascii="Times New Roman" w:hAnsi="Times New Roman"/>
                <w:color w:val="000000"/>
                <w:sz w:val="20"/>
              </w:rPr>
              <w:t>nominálny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3,7</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2,2</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-1,5</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Pr="00E92D1B">
              <w:rPr>
                <w:rFonts w:ascii="Times New Roman" w:hAnsi="Times New Roman"/>
                <w:color w:val="000000"/>
                <w:sz w:val="20"/>
              </w:rPr>
              <w:t>Rast zamestnanosti (štatistické zisťovanie)</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1,2</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1,5</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0,3</w:t>
            </w:r>
          </w:p>
        </w:tc>
      </w:tr>
      <w:tr>
        <w:tblPrEx>
          <w:tblW w:w="8175" w:type="dxa"/>
          <w:jc w:val="center"/>
          <w:tblInd w:w="-1737" w:type="dxa"/>
          <w:tblCellMar>
            <w:left w:w="70" w:type="dxa"/>
            <w:right w:w="70" w:type="dxa"/>
          </w:tblCellMar>
          <w:tblLook w:val="04A0"/>
        </w:tblPrEx>
        <w:trPr>
          <w:trHeight w:val="270"/>
          <w:jc w:val="center"/>
        </w:trPr>
        <w:tc>
          <w:tcPr>
            <w:tcW w:w="4253"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rPr>
                <w:rFonts w:ascii="Times New Roman" w:hAnsi="Times New Roman"/>
                <w:color w:val="000000"/>
                <w:sz w:val="20"/>
              </w:rPr>
            </w:pPr>
            <w:r w:rsidRPr="00E92D1B">
              <w:rPr>
                <w:rFonts w:ascii="Times New Roman" w:hAnsi="Times New Roman"/>
                <w:color w:val="000000"/>
                <w:sz w:val="20"/>
              </w:rPr>
              <w:t>Harmonizovan</w:t>
            </w:r>
            <w:r w:rsidR="00C36624">
              <w:rPr>
                <w:rFonts w:ascii="Times New Roman" w:hAnsi="Times New Roman"/>
                <w:color w:val="000000"/>
                <w:sz w:val="20"/>
              </w:rPr>
              <w:t xml:space="preserve">ý index spotrebiteľských cien, </w:t>
            </w:r>
            <w:r w:rsidRPr="00E92D1B">
              <w:rPr>
                <w:rFonts w:ascii="Times New Roman" w:hAnsi="Times New Roman"/>
                <w:color w:val="000000"/>
                <w:sz w:val="20"/>
              </w:rPr>
              <w:t>priemerný rast</w:t>
            </w:r>
          </w:p>
        </w:tc>
        <w:tc>
          <w:tcPr>
            <w:tcW w:w="1447"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3,5</w:t>
            </w:r>
          </w:p>
        </w:tc>
        <w:tc>
          <w:tcPr>
            <w:tcW w:w="1123"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4,1</w:t>
            </w:r>
          </w:p>
        </w:tc>
        <w:tc>
          <w:tcPr>
            <w:tcW w:w="1352" w:type="dxa"/>
            <w:tcBorders>
              <w:top w:val="single" w:sz="4" w:space="0" w:color="auto"/>
              <w:left w:val="single" w:sz="4" w:space="0" w:color="auto"/>
              <w:bottom w:val="single" w:sz="4" w:space="0" w:color="auto"/>
              <w:right w:val="single" w:sz="4" w:space="0" w:color="auto"/>
            </w:tcBorders>
            <w:textDirection w:val="lrTb"/>
            <w:vAlign w:val="bottom"/>
            <w:hideMark/>
          </w:tcPr>
          <w:p w:rsidR="00053BDF" w:rsidRPr="00E92D1B" w:rsidP="003239E7">
            <w:pPr>
              <w:bidi w:val="0"/>
              <w:jc w:val="center"/>
              <w:rPr>
                <w:rFonts w:ascii="Times New Roman" w:hAnsi="Times New Roman"/>
                <w:color w:val="000000"/>
                <w:sz w:val="20"/>
              </w:rPr>
            </w:pPr>
            <w:r w:rsidRPr="00E92D1B">
              <w:rPr>
                <w:rFonts w:ascii="Times New Roman" w:hAnsi="Times New Roman"/>
                <w:color w:val="000000"/>
                <w:sz w:val="20"/>
              </w:rPr>
              <w:t>0,6</w:t>
            </w:r>
          </w:p>
        </w:tc>
      </w:tr>
      <w:tr>
        <w:tblPrEx>
          <w:tblW w:w="8175" w:type="dxa"/>
          <w:jc w:val="center"/>
          <w:tblInd w:w="-1737" w:type="dxa"/>
          <w:tblCellMar>
            <w:left w:w="70" w:type="dxa"/>
            <w:right w:w="70" w:type="dxa"/>
          </w:tblCellMar>
          <w:tblLook w:val="04A0"/>
        </w:tblPrEx>
        <w:trPr>
          <w:trHeight w:val="270"/>
          <w:jc w:val="center"/>
        </w:trPr>
        <w:tc>
          <w:tcPr>
            <w:tcW w:w="8175" w:type="dxa"/>
            <w:gridSpan w:val="4"/>
            <w:tcBorders>
              <w:top w:val="single" w:sz="4" w:space="0" w:color="auto"/>
              <w:left w:val="none" w:sz="0" w:space="0" w:color="auto"/>
              <w:bottom w:val="nil"/>
              <w:right w:val="none" w:sz="0" w:space="0" w:color="auto"/>
            </w:tcBorders>
            <w:textDirection w:val="lrTb"/>
            <w:vAlign w:val="bottom"/>
            <w:hideMark/>
          </w:tcPr>
          <w:p w:rsidR="00053BDF" w:rsidRPr="00F85E1D" w:rsidP="00F85E1D">
            <w:pPr>
              <w:bidi w:val="0"/>
              <w:rPr>
                <w:rFonts w:ascii="Times New Roman" w:hAnsi="Times New Roman"/>
                <w:iCs/>
                <w:color w:val="000000"/>
                <w:sz w:val="20"/>
              </w:rPr>
            </w:pPr>
            <w:r w:rsidRPr="0087088E">
              <w:rPr>
                <w:rFonts w:ascii="Times New Roman" w:hAnsi="Times New Roman"/>
                <w:iCs/>
                <w:color w:val="000000"/>
                <w:sz w:val="20"/>
              </w:rPr>
              <w:t>Zdroj</w:t>
            </w:r>
            <w:r w:rsidRPr="00F85E1D">
              <w:rPr>
                <w:rFonts w:ascii="Times New Roman" w:hAnsi="Times New Roman"/>
                <w:iCs/>
                <w:color w:val="000000"/>
                <w:sz w:val="20"/>
                <w:lang w:val="en-US"/>
              </w:rPr>
              <w:t>:</w:t>
            </w:r>
            <w:r w:rsidRPr="0087088E">
              <w:rPr>
                <w:rFonts w:ascii="Times New Roman" w:hAnsi="Times New Roman"/>
                <w:iCs/>
                <w:color w:val="000000"/>
                <w:sz w:val="20"/>
              </w:rPr>
              <w:t xml:space="preserve"> M</w:t>
            </w:r>
            <w:r w:rsidRPr="0087088E" w:rsidR="00F85E1D">
              <w:rPr>
                <w:rFonts w:ascii="Times New Roman" w:hAnsi="Times New Roman"/>
                <w:iCs/>
                <w:color w:val="000000"/>
                <w:sz w:val="20"/>
              </w:rPr>
              <w:t>inisterstvo financií</w:t>
            </w:r>
            <w:r w:rsidRPr="00F85E1D">
              <w:rPr>
                <w:rFonts w:ascii="Times New Roman" w:hAnsi="Times New Roman"/>
                <w:iCs/>
                <w:color w:val="000000"/>
                <w:sz w:val="20"/>
                <w:lang w:val="en-US"/>
              </w:rPr>
              <w:t xml:space="preserve"> SR</w:t>
            </w:r>
          </w:p>
        </w:tc>
      </w:tr>
    </w:tbl>
    <w:p w:rsidR="00053BDF" w:rsidRPr="003239E7" w:rsidP="0017400C">
      <w:pPr>
        <w:pStyle w:val="Heading3"/>
        <w:bidi w:val="0"/>
        <w:spacing w:before="100" w:beforeAutospacing="1" w:after="100" w:afterAutospacing="1" w:line="360" w:lineRule="auto"/>
        <w:jc w:val="center"/>
        <w:rPr>
          <w:rFonts w:ascii="Times New Roman" w:hAnsi="Times New Roman"/>
          <w:color w:val="auto"/>
        </w:rPr>
      </w:pPr>
      <w:bookmarkStart w:id="9" w:name="_Toc322614743"/>
      <w:r w:rsidRPr="003239E7">
        <w:rPr>
          <w:rFonts w:ascii="Times New Roman" w:hAnsi="Times New Roman"/>
          <w:color w:val="auto"/>
        </w:rPr>
        <w:t>1.2.2.</w:t>
      </w:r>
      <w:r w:rsidR="00E03BC1">
        <w:rPr>
          <w:rFonts w:ascii="Times New Roman" w:hAnsi="Times New Roman"/>
          <w:color w:val="auto"/>
        </w:rPr>
        <w:t xml:space="preserve"> </w:t>
      </w:r>
      <w:r w:rsidRPr="003239E7">
        <w:rPr>
          <w:rFonts w:ascii="Times New Roman" w:hAnsi="Times New Roman"/>
          <w:color w:val="auto"/>
        </w:rPr>
        <w:t>Cenový vývoj a inflácia</w:t>
      </w:r>
      <w:bookmarkEnd w:id="9"/>
    </w:p>
    <w:p w:rsidR="00053BDF" w:rsidRPr="00E92D1B" w:rsidP="0017400C">
      <w:pPr>
        <w:pStyle w:val="Footer"/>
        <w:tabs>
          <w:tab w:val="clear" w:pos="4536"/>
          <w:tab w:val="clear" w:pos="9072"/>
        </w:tabs>
        <w:bidi w:val="0"/>
        <w:spacing w:before="100" w:beforeAutospacing="1" w:after="100" w:afterAutospacing="1" w:line="360" w:lineRule="auto"/>
        <w:ind w:firstLine="709"/>
        <w:jc w:val="both"/>
        <w:rPr>
          <w:rFonts w:ascii="Times New Roman" w:hAnsi="Times New Roman"/>
        </w:rPr>
      </w:pPr>
      <w:r w:rsidRPr="00E92D1B">
        <w:rPr>
          <w:rFonts w:ascii="Times New Roman" w:hAnsi="Times New Roman"/>
        </w:rPr>
        <w:t>Priemerná ročná miera inflácie podľa národnej metodiky (index rastu spotrebiteľských cien CPI) dosiahla v roku 2011 úroveň 3,9</w:t>
      </w:r>
      <w:r w:rsidR="008D6EB9">
        <w:rPr>
          <w:rFonts w:ascii="Times New Roman" w:hAnsi="Times New Roman"/>
        </w:rPr>
        <w:t xml:space="preserve"> </w:t>
      </w:r>
      <w:r w:rsidRPr="00E92D1B">
        <w:rPr>
          <w:rFonts w:ascii="Times New Roman" w:hAnsi="Times New Roman"/>
        </w:rPr>
        <w:t>% a harmonizovaný index HICP 4,1</w:t>
      </w:r>
      <w:r w:rsidR="008D6EB9">
        <w:rPr>
          <w:rFonts w:ascii="Times New Roman" w:hAnsi="Times New Roman"/>
        </w:rPr>
        <w:t xml:space="preserve"> </w:t>
      </w:r>
      <w:r w:rsidRPr="00E92D1B">
        <w:rPr>
          <w:rFonts w:ascii="Times New Roman" w:hAnsi="Times New Roman"/>
        </w:rPr>
        <w:t>% (metodika podľa E</w:t>
      </w:r>
      <w:r w:rsidR="0087088E">
        <w:rPr>
          <w:rFonts w:ascii="Times New Roman" w:hAnsi="Times New Roman"/>
        </w:rPr>
        <w:t>urostat</w:t>
      </w:r>
      <w:r w:rsidRPr="00E92D1B">
        <w:rPr>
          <w:rFonts w:ascii="Times New Roman" w:hAnsi="Times New Roman"/>
        </w:rPr>
        <w:t>u). Po veľmi nízkej úrovni inflácie v roku 2010 (1</w:t>
      </w:r>
      <w:r w:rsidR="008D6EB9">
        <w:rPr>
          <w:rFonts w:ascii="Times New Roman" w:hAnsi="Times New Roman"/>
        </w:rPr>
        <w:t xml:space="preserve"> </w:t>
      </w:r>
      <w:r w:rsidRPr="00E92D1B">
        <w:rPr>
          <w:rFonts w:ascii="Times New Roman" w:hAnsi="Times New Roman"/>
        </w:rPr>
        <w:t>%), ktorá bola ovplyvnená oslabením globálneho dopytu, spotrebiteľské ceny na Slovensku v roku 2011 pomerne výrazne rástli (3,9</w:t>
      </w:r>
      <w:r w:rsidR="008D6EB9">
        <w:rPr>
          <w:rFonts w:ascii="Times New Roman" w:hAnsi="Times New Roman"/>
        </w:rPr>
        <w:t xml:space="preserve"> </w:t>
      </w:r>
      <w:r w:rsidRPr="00E92D1B">
        <w:rPr>
          <w:rFonts w:ascii="Times New Roman" w:hAnsi="Times New Roman"/>
        </w:rPr>
        <w:t xml:space="preserve">%). Inflačný vývoj na Slovensku bol v roku 2011 aj naďalej ovplyvnený vývojom vonkajších faktorov ako rast cien potravín na svetových trhoch a vyššími cenami ropy, ktoré spôsobili výnimočné zvýšenie ceny plynu (o 6,9 %) od júla 2011. </w:t>
      </w:r>
    </w:p>
    <w:tbl>
      <w:tblPr>
        <w:tblStyle w:val="TableNormal"/>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92"/>
        <w:gridCol w:w="286"/>
        <w:gridCol w:w="4292"/>
      </w:tblGrid>
      <w:tr>
        <w:tblPrEx>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485"/>
          <w:jc w:val="center"/>
        </w:trPr>
        <w:tc>
          <w:tcPr>
            <w:tcW w:w="4292" w:type="dxa"/>
            <w:tcBorders>
              <w:top w:val="nil"/>
              <w:left w:val="nil"/>
              <w:bottom w:val="nil"/>
              <w:right w:val="nil"/>
            </w:tcBorders>
            <w:shd w:val="clear" w:color="auto" w:fill="000000"/>
            <w:textDirection w:val="lrTb"/>
            <w:vAlign w:val="top"/>
          </w:tcPr>
          <w:p w:rsidR="00053BDF" w:rsidRPr="00E92D1B" w:rsidP="003239E7">
            <w:pPr>
              <w:bidi w:val="0"/>
              <w:spacing w:before="20"/>
              <w:jc w:val="both"/>
              <w:rPr>
                <w:rFonts w:ascii="Times New Roman" w:hAnsi="Times New Roman"/>
                <w:b/>
                <w:bCs/>
                <w:color w:val="FFFFFF"/>
                <w:sz w:val="20"/>
              </w:rPr>
            </w:pPr>
            <w:r w:rsidRPr="00E92D1B">
              <w:rPr>
                <w:rFonts w:ascii="Times New Roman" w:hAnsi="Times New Roman"/>
                <w:b/>
                <w:bCs/>
                <w:noProof/>
                <w:color w:val="FFFFFF"/>
                <w:sz w:val="20"/>
              </w:rPr>
              <w:t xml:space="preserve">Štruktúra celkovej inflácie </w:t>
            </w:r>
            <w:r w:rsidRPr="00E92D1B">
              <w:rPr>
                <w:rFonts w:ascii="Times New Roman" w:hAnsi="Times New Roman"/>
                <w:b/>
                <w:bCs/>
                <w:color w:val="FFFFFF"/>
                <w:sz w:val="20"/>
              </w:rPr>
              <w:t>(% rast)</w:t>
            </w:r>
          </w:p>
        </w:tc>
        <w:tc>
          <w:tcPr>
            <w:tcW w:w="286" w:type="dxa"/>
            <w:tcBorders>
              <w:top w:val="nil"/>
              <w:left w:val="nil"/>
              <w:bottom w:val="nil"/>
              <w:right w:val="nil"/>
            </w:tcBorders>
            <w:textDirection w:val="lrTb"/>
            <w:vAlign w:val="top"/>
          </w:tcPr>
          <w:p w:rsidR="00053BDF" w:rsidRPr="00E92D1B" w:rsidP="003239E7">
            <w:pPr>
              <w:bidi w:val="0"/>
              <w:spacing w:before="20" w:after="40"/>
              <w:jc w:val="both"/>
              <w:rPr>
                <w:rFonts w:ascii="Times New Roman" w:hAnsi="Times New Roman"/>
                <w:b/>
                <w:color w:val="FFFFFF"/>
                <w:sz w:val="20"/>
                <w:highlight w:val="yellow"/>
              </w:rPr>
            </w:pPr>
          </w:p>
        </w:tc>
        <w:tc>
          <w:tcPr>
            <w:tcW w:w="4292" w:type="dxa"/>
            <w:tcBorders>
              <w:top w:val="nil"/>
              <w:left w:val="nil"/>
              <w:bottom w:val="nil"/>
              <w:right w:val="nil"/>
            </w:tcBorders>
            <w:shd w:val="clear" w:color="auto" w:fill="000000"/>
            <w:textDirection w:val="lrTb"/>
            <w:vAlign w:val="top"/>
          </w:tcPr>
          <w:p w:rsidR="00053BDF" w:rsidRPr="00E92D1B" w:rsidP="003239E7">
            <w:pPr>
              <w:bidi w:val="0"/>
              <w:spacing w:before="20"/>
              <w:jc w:val="both"/>
              <w:rPr>
                <w:rFonts w:ascii="Times New Roman" w:hAnsi="Times New Roman"/>
                <w:b/>
                <w:bCs/>
                <w:color w:val="FFFFFF"/>
                <w:sz w:val="20"/>
              </w:rPr>
            </w:pPr>
            <w:r w:rsidRPr="00E92D1B">
              <w:rPr>
                <w:rFonts w:ascii="Times New Roman" w:hAnsi="Times New Roman"/>
                <w:b/>
                <w:bCs/>
                <w:color w:val="FFFFFF"/>
                <w:sz w:val="20"/>
              </w:rPr>
              <w:t>Vývoj jadrovej inflácie a regulovaných cien (% rast)</w:t>
            </w:r>
          </w:p>
        </w:tc>
      </w:tr>
      <w:tr>
        <w:tblPrEx>
          <w:tblW w:w="0" w:type="auto"/>
          <w:jc w:val="center"/>
          <w:tblLayout w:type="fixed"/>
          <w:tblCellMar>
            <w:left w:w="70" w:type="dxa"/>
            <w:right w:w="70" w:type="dxa"/>
          </w:tblCellMar>
          <w:tblLook w:val="01E0"/>
        </w:tblPrEx>
        <w:trPr>
          <w:trHeight w:val="2655"/>
          <w:jc w:val="center"/>
        </w:trPr>
        <w:tc>
          <w:tcPr>
            <w:tcW w:w="4292" w:type="dxa"/>
            <w:tcBorders>
              <w:top w:val="nil"/>
              <w:left w:val="nil"/>
              <w:bottom w:val="single" w:sz="4" w:space="0" w:color="auto"/>
              <w:right w:val="nil"/>
            </w:tcBorders>
            <w:textDirection w:val="lrTb"/>
            <w:vAlign w:val="top"/>
          </w:tcPr>
          <w:p w:rsidR="00053BDF" w:rsidRPr="00E92D1B" w:rsidP="0053060C">
            <w:pPr>
              <w:tabs>
                <w:tab w:val="left" w:pos="1620"/>
              </w:tabs>
              <w:bidi w:val="0"/>
              <w:spacing w:after="120"/>
              <w:rPr>
                <w:rFonts w:ascii="Times New Roman" w:hAnsi="Times New Roman"/>
                <w:sz w:val="16"/>
                <w:szCs w:val="16"/>
              </w:rPr>
            </w:pPr>
            <w:r>
              <w:rPr>
                <w:rFonts w:ascii="Times New Roman" w:hAnsi="Times New Roman"/>
                <w:noProof/>
                <w:sz w:val="16"/>
                <w:szCs w:val="16"/>
                <w:rtl w:val="0"/>
              </w:rPr>
              <w:pict>
                <v:shape id="Obrázok 3" o:spid="_x0000_i1026" type="#_x0000_t75" style="width:206.62pt;height:148.09pt;visibility:visible" filled="f" stroked="f">
                  <v:imagedata r:id="rId7" o:title=""/>
                </v:shape>
              </w:pict>
            </w:r>
          </w:p>
        </w:tc>
        <w:tc>
          <w:tcPr>
            <w:tcW w:w="286" w:type="dxa"/>
            <w:tcBorders>
              <w:top w:val="nil"/>
              <w:left w:val="nil"/>
              <w:bottom w:val="nil"/>
              <w:right w:val="nil"/>
            </w:tcBorders>
            <w:textDirection w:val="lrTb"/>
            <w:vAlign w:val="top"/>
          </w:tcPr>
          <w:p w:rsidR="00053BDF" w:rsidRPr="00E92D1B" w:rsidP="0053060C">
            <w:pPr>
              <w:bidi w:val="0"/>
              <w:spacing w:before="40" w:after="120"/>
              <w:jc w:val="both"/>
              <w:rPr>
                <w:rFonts w:ascii="Times New Roman" w:hAnsi="Times New Roman"/>
                <w:b/>
                <w:sz w:val="16"/>
                <w:szCs w:val="16"/>
                <w:highlight w:val="yellow"/>
              </w:rPr>
            </w:pPr>
          </w:p>
        </w:tc>
        <w:tc>
          <w:tcPr>
            <w:tcW w:w="4292" w:type="dxa"/>
            <w:tcBorders>
              <w:top w:val="nil"/>
              <w:left w:val="nil"/>
              <w:bottom w:val="single" w:sz="4" w:space="0" w:color="auto"/>
              <w:right w:val="nil"/>
            </w:tcBorders>
            <w:textDirection w:val="lrTb"/>
            <w:vAlign w:val="top"/>
          </w:tcPr>
          <w:p w:rsidR="00053BDF" w:rsidRPr="00E92D1B" w:rsidP="0053060C">
            <w:pPr>
              <w:tabs>
                <w:tab w:val="left" w:pos="1230"/>
              </w:tabs>
              <w:bidi w:val="0"/>
              <w:spacing w:after="120"/>
              <w:rPr>
                <w:rFonts w:ascii="Times New Roman" w:hAnsi="Times New Roman"/>
                <w:sz w:val="16"/>
                <w:szCs w:val="16"/>
              </w:rPr>
            </w:pPr>
            <w:r>
              <w:rPr>
                <w:rFonts w:ascii="Times New Roman" w:hAnsi="Times New Roman"/>
                <w:noProof/>
                <w:sz w:val="16"/>
                <w:szCs w:val="16"/>
                <w:rtl w:val="0"/>
              </w:rPr>
              <w:pict>
                <v:shape id="Obrázok 2" o:spid="_x0000_i1027" type="#_x0000_t75" style="width:206.62pt;height:148.09pt;visibility:visible" filled="f" stroked="f">
                  <v:imagedata r:id="rId8" o:title=""/>
                </v:shape>
              </w:pict>
            </w:r>
          </w:p>
        </w:tc>
      </w:tr>
      <w:tr>
        <w:tblPrEx>
          <w:tblW w:w="0" w:type="auto"/>
          <w:jc w:val="center"/>
          <w:tblLayout w:type="fixed"/>
          <w:tblLook w:val="01E0"/>
        </w:tblPrEx>
        <w:trPr>
          <w:trHeight w:val="135"/>
          <w:jc w:val="center"/>
        </w:trPr>
        <w:tc>
          <w:tcPr>
            <w:tcW w:w="4292" w:type="dxa"/>
            <w:tcBorders>
              <w:top w:val="single" w:sz="4" w:space="0" w:color="auto"/>
              <w:left w:val="nil"/>
              <w:bottom w:val="nil"/>
              <w:right w:val="nil"/>
            </w:tcBorders>
            <w:textDirection w:val="lrTb"/>
            <w:vAlign w:val="top"/>
          </w:tcPr>
          <w:p w:rsidR="00053BDF" w:rsidRPr="0082431C" w:rsidP="0053060C">
            <w:pPr>
              <w:bidi w:val="0"/>
              <w:spacing w:before="40" w:after="120"/>
              <w:rPr>
                <w:rFonts w:ascii="Times New Roman" w:hAnsi="Times New Roman"/>
                <w:sz w:val="16"/>
                <w:szCs w:val="16"/>
              </w:rPr>
            </w:pPr>
            <w:r w:rsidRPr="0082431C" w:rsidR="00C94F94">
              <w:rPr>
                <w:rFonts w:ascii="Times New Roman" w:hAnsi="Times New Roman"/>
                <w:sz w:val="16"/>
                <w:szCs w:val="16"/>
              </w:rPr>
              <w:t>Zdroj: Š</w:t>
            </w:r>
            <w:r w:rsidRPr="0082431C">
              <w:rPr>
                <w:rFonts w:ascii="Times New Roman" w:hAnsi="Times New Roman"/>
                <w:sz w:val="16"/>
                <w:szCs w:val="16"/>
              </w:rPr>
              <w:t>Ú SR, MF SR</w:t>
            </w:r>
          </w:p>
        </w:tc>
        <w:tc>
          <w:tcPr>
            <w:tcW w:w="286" w:type="dxa"/>
            <w:tcBorders>
              <w:top w:val="nil"/>
              <w:left w:val="nil"/>
              <w:bottom w:val="nil"/>
              <w:right w:val="nil"/>
            </w:tcBorders>
            <w:textDirection w:val="lrTb"/>
            <w:vAlign w:val="top"/>
          </w:tcPr>
          <w:p w:rsidR="00053BDF" w:rsidRPr="0082431C" w:rsidP="0053060C">
            <w:pPr>
              <w:bidi w:val="0"/>
              <w:spacing w:before="40" w:after="120"/>
              <w:jc w:val="both"/>
              <w:rPr>
                <w:rFonts w:ascii="Times New Roman" w:hAnsi="Times New Roman"/>
                <w:sz w:val="16"/>
                <w:szCs w:val="16"/>
                <w:highlight w:val="yellow"/>
              </w:rPr>
            </w:pPr>
          </w:p>
        </w:tc>
        <w:tc>
          <w:tcPr>
            <w:tcW w:w="4292" w:type="dxa"/>
            <w:tcBorders>
              <w:top w:val="single" w:sz="4" w:space="0" w:color="auto"/>
              <w:left w:val="nil"/>
              <w:bottom w:val="nil"/>
              <w:right w:val="nil"/>
            </w:tcBorders>
            <w:textDirection w:val="lrTb"/>
            <w:vAlign w:val="top"/>
          </w:tcPr>
          <w:p w:rsidR="00053BDF" w:rsidRPr="0082431C" w:rsidP="0053060C">
            <w:pPr>
              <w:bidi w:val="0"/>
              <w:spacing w:before="40" w:after="120"/>
              <w:rPr>
                <w:rFonts w:ascii="Times New Roman" w:hAnsi="Times New Roman"/>
                <w:sz w:val="16"/>
                <w:szCs w:val="16"/>
              </w:rPr>
            </w:pPr>
            <w:r w:rsidRPr="0082431C">
              <w:rPr>
                <w:rFonts w:ascii="Times New Roman" w:hAnsi="Times New Roman"/>
                <w:sz w:val="16"/>
                <w:szCs w:val="16"/>
              </w:rPr>
              <w:t>Zdroj: ŠÚ SR, MF SR</w:t>
            </w:r>
          </w:p>
        </w:tc>
      </w:tr>
    </w:tbl>
    <w:p w:rsidR="00053BDF" w:rsidRPr="00E92D1B" w:rsidP="0053060C">
      <w:pPr>
        <w:pStyle w:val="Footer"/>
        <w:tabs>
          <w:tab w:val="clear" w:pos="4536"/>
          <w:tab w:val="clear" w:pos="9072"/>
        </w:tabs>
        <w:bidi w:val="0"/>
        <w:spacing w:before="120" w:after="120" w:line="360" w:lineRule="auto"/>
        <w:jc w:val="both"/>
        <w:rPr>
          <w:rFonts w:ascii="Times New Roman" w:hAnsi="Times New Roman"/>
          <w:highlight w:val="yellow"/>
        </w:rPr>
      </w:pPr>
      <w:r w:rsidRPr="00E92D1B">
        <w:rPr>
          <w:rFonts w:ascii="Times New Roman" w:hAnsi="Times New Roman"/>
        </w:rPr>
        <w:t xml:space="preserve">Počas roka 2011 </w:t>
      </w:r>
      <w:r w:rsidR="00E03BC1">
        <w:rPr>
          <w:rFonts w:ascii="Times New Roman" w:hAnsi="Times New Roman"/>
        </w:rPr>
        <w:t xml:space="preserve">vplývali </w:t>
      </w:r>
      <w:r w:rsidRPr="00E92D1B">
        <w:rPr>
          <w:rFonts w:ascii="Times New Roman" w:hAnsi="Times New Roman"/>
        </w:rPr>
        <w:t xml:space="preserve">na priebeh inflácie viaceré protichodné faktory. Na jednej strane pôsobili </w:t>
      </w:r>
      <w:r w:rsidRPr="00E92D1B">
        <w:rPr>
          <w:rFonts w:ascii="Times New Roman" w:hAnsi="Times New Roman"/>
          <w:b/>
        </w:rPr>
        <w:t>faktory zmierňujúce priemernú ročnú infláciu</w:t>
      </w:r>
      <w:r w:rsidRPr="00E92D1B">
        <w:rPr>
          <w:rFonts w:ascii="Times New Roman" w:hAnsi="Times New Roman"/>
        </w:rPr>
        <w:t xml:space="preserve"> – medzi ne sa radia doznievajúce efekty v dôsledku hospodárskej krízy, nízka spotreba domácností. Na druhej strane sa </w:t>
      </w:r>
      <w:r>
        <w:rPr>
          <w:rFonts w:ascii="Times New Roman" w:hAnsi="Times New Roman"/>
        </w:rPr>
        <w:t>prejavili</w:t>
      </w:r>
      <w:r w:rsidRPr="00E92D1B">
        <w:rPr>
          <w:rFonts w:ascii="Times New Roman" w:hAnsi="Times New Roman"/>
        </w:rPr>
        <w:t xml:space="preserve"> </w:t>
      </w:r>
      <w:r w:rsidR="00231405">
        <w:rPr>
          <w:rFonts w:ascii="Times New Roman" w:hAnsi="Times New Roman"/>
          <w:b/>
        </w:rPr>
        <w:t>faktory zdvíhajúce infláciu</w:t>
      </w:r>
      <w:r w:rsidRPr="00E92D1B">
        <w:rPr>
          <w:rFonts w:ascii="Times New Roman" w:hAnsi="Times New Roman"/>
        </w:rPr>
        <w:t>, ktorými sú najmä jednorazové efekty (zvýšenie DPH z</w:t>
      </w:r>
      <w:r w:rsidR="008D6EB9">
        <w:rPr>
          <w:rFonts w:ascii="Times New Roman" w:hAnsi="Times New Roman"/>
        </w:rPr>
        <w:t> </w:t>
      </w:r>
      <w:r w:rsidRPr="00E92D1B">
        <w:rPr>
          <w:rFonts w:ascii="Times New Roman" w:hAnsi="Times New Roman"/>
        </w:rPr>
        <w:t>19</w:t>
      </w:r>
      <w:r w:rsidR="008D6EB9">
        <w:rPr>
          <w:rFonts w:ascii="Times New Roman" w:hAnsi="Times New Roman"/>
        </w:rPr>
        <w:t xml:space="preserve"> </w:t>
      </w:r>
      <w:r w:rsidRPr="00E92D1B">
        <w:rPr>
          <w:rFonts w:ascii="Times New Roman" w:hAnsi="Times New Roman"/>
        </w:rPr>
        <w:t>% na 20</w:t>
      </w:r>
      <w:r w:rsidR="008D6EB9">
        <w:rPr>
          <w:rFonts w:ascii="Times New Roman" w:hAnsi="Times New Roman"/>
        </w:rPr>
        <w:t xml:space="preserve"> </w:t>
      </w:r>
      <w:r w:rsidRPr="00E92D1B">
        <w:rPr>
          <w:rFonts w:ascii="Times New Roman" w:hAnsi="Times New Roman"/>
        </w:rPr>
        <w:t>% a ďalšie úsporné opatrenia vlády) a postupný nárast cien komodít a potravín najmä v prvej polovici roka.</w:t>
      </w:r>
      <w:r>
        <w:rPr>
          <w:rFonts w:ascii="Times New Roman" w:hAnsi="Times New Roman"/>
        </w:rPr>
        <w:t xml:space="preserve"> </w:t>
      </w:r>
      <w:r w:rsidR="00C94F94">
        <w:rPr>
          <w:rFonts w:ascii="Times New Roman" w:hAnsi="Times New Roman"/>
        </w:rPr>
        <w:t>Ozdrav</w:t>
      </w:r>
      <w:r w:rsidRPr="001C1448">
        <w:rPr>
          <w:rFonts w:ascii="Times New Roman" w:hAnsi="Times New Roman"/>
        </w:rPr>
        <w:t>né opatrenia vlády celkovo prispeli k rastu priemerných cien o 0,9 p.b., pričom najväčší príspevok (0,5 p.b.) má dočasné zvýšenie základnej sadzby DPH z</w:t>
      </w:r>
      <w:r w:rsidR="00E03BC1">
        <w:rPr>
          <w:rFonts w:ascii="Times New Roman" w:hAnsi="Times New Roman"/>
        </w:rPr>
        <w:t> </w:t>
      </w:r>
      <w:r w:rsidRPr="001C1448">
        <w:rPr>
          <w:rFonts w:ascii="Times New Roman" w:hAnsi="Times New Roman"/>
        </w:rPr>
        <w:t>19</w:t>
      </w:r>
      <w:r w:rsidR="00E03BC1">
        <w:rPr>
          <w:rFonts w:ascii="Times New Roman" w:hAnsi="Times New Roman"/>
        </w:rPr>
        <w:t xml:space="preserve"> </w:t>
      </w:r>
      <w:r w:rsidRPr="001C1448">
        <w:rPr>
          <w:rFonts w:ascii="Times New Roman" w:hAnsi="Times New Roman"/>
        </w:rPr>
        <w:t>% na 20</w:t>
      </w:r>
      <w:r w:rsidR="008D6EB9">
        <w:rPr>
          <w:rFonts w:ascii="Times New Roman" w:hAnsi="Times New Roman"/>
        </w:rPr>
        <w:t xml:space="preserve"> </w:t>
      </w:r>
      <w:r w:rsidRPr="001C1448">
        <w:rPr>
          <w:rFonts w:ascii="Times New Roman" w:hAnsi="Times New Roman"/>
        </w:rPr>
        <w:t>%.</w:t>
      </w:r>
    </w:p>
    <w:p w:rsidR="00053BDF" w:rsidRPr="00E92D1B" w:rsidP="00247FDD">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rPr>
        <w:t>Priemyselní výr</w:t>
      </w:r>
      <w:r w:rsidR="00231405">
        <w:rPr>
          <w:rFonts w:ascii="Times New Roman" w:hAnsi="Times New Roman"/>
        </w:rPr>
        <w:t>obcovia vo svete,</w:t>
      </w:r>
      <w:r w:rsidRPr="00E92D1B">
        <w:rPr>
          <w:rFonts w:ascii="Times New Roman" w:hAnsi="Times New Roman"/>
        </w:rPr>
        <w:t xml:space="preserve"> ale aj na Slovensku</w:t>
      </w:r>
      <w:r w:rsidR="00231405">
        <w:rPr>
          <w:rFonts w:ascii="Times New Roman" w:hAnsi="Times New Roman"/>
        </w:rPr>
        <w:t>,</w:t>
      </w:r>
      <w:r w:rsidRPr="00E92D1B">
        <w:rPr>
          <w:rFonts w:ascii="Times New Roman" w:hAnsi="Times New Roman"/>
        </w:rPr>
        <w:t xml:space="preserve"> boli ovplyvnení v úvode roka relatívne vysokými cenami ich vstupov. V eurozóne dosiahol rast cien PPI v marci až 6,8</w:t>
      </w:r>
      <w:r w:rsidR="008D6EB9">
        <w:rPr>
          <w:rFonts w:ascii="Times New Roman" w:hAnsi="Times New Roman"/>
        </w:rPr>
        <w:t xml:space="preserve"> </w:t>
      </w:r>
      <w:r w:rsidRPr="00E92D1B">
        <w:rPr>
          <w:rFonts w:ascii="Times New Roman" w:hAnsi="Times New Roman"/>
        </w:rPr>
        <w:t>%. Najvyšší rast cien bol v odvetví koksu a rafinovaných ropných produktov</w:t>
      </w:r>
      <w:r w:rsidR="00231405">
        <w:rPr>
          <w:rFonts w:ascii="Times New Roman" w:hAnsi="Times New Roman"/>
        </w:rPr>
        <w:t>,</w:t>
      </w:r>
      <w:r w:rsidRPr="00E92D1B">
        <w:rPr>
          <w:rFonts w:ascii="Times New Roman" w:hAnsi="Times New Roman"/>
        </w:rPr>
        <w:t xml:space="preserve"> a to v priemere za celý rok až </w:t>
      </w:r>
      <w:r w:rsidR="008D6EB9">
        <w:rPr>
          <w:rFonts w:ascii="Times New Roman" w:hAnsi="Times New Roman"/>
        </w:rPr>
        <w:br/>
      </w:r>
      <w:r w:rsidRPr="00E92D1B">
        <w:rPr>
          <w:rFonts w:ascii="Times New Roman" w:hAnsi="Times New Roman"/>
        </w:rPr>
        <w:t>o 30,1</w:t>
      </w:r>
      <w:r w:rsidR="008D6EB9">
        <w:rPr>
          <w:rFonts w:ascii="Times New Roman" w:hAnsi="Times New Roman"/>
        </w:rPr>
        <w:t xml:space="preserve"> </w:t>
      </w:r>
      <w:r w:rsidRPr="00E92D1B">
        <w:rPr>
          <w:rFonts w:ascii="Times New Roman" w:hAnsi="Times New Roman"/>
        </w:rPr>
        <w:t xml:space="preserve">% v dôsledku vysokého rastu cien ropy na svetových trhoch. V závere roka 2011 </w:t>
      </w:r>
      <w:r w:rsidR="00C94F94">
        <w:rPr>
          <w:rFonts w:ascii="Times New Roman" w:hAnsi="Times New Roman"/>
        </w:rPr>
        <w:t xml:space="preserve">sa </w:t>
      </w:r>
      <w:r w:rsidR="00231405">
        <w:rPr>
          <w:rFonts w:ascii="Times New Roman" w:hAnsi="Times New Roman"/>
        </w:rPr>
        <w:t>však</w:t>
      </w:r>
      <w:r w:rsidRPr="00E92D1B">
        <w:rPr>
          <w:rFonts w:ascii="Times New Roman" w:hAnsi="Times New Roman"/>
        </w:rPr>
        <w:t xml:space="preserve"> ceny mnohých komodít ustálili a po dobrej úrode došlo k poklesu cien väčšiny potravinárskych komodít. I napriek silným inflačným tlakom zo zahraničia </w:t>
      </w:r>
      <w:r w:rsidR="00C94F94">
        <w:rPr>
          <w:rFonts w:ascii="Times New Roman" w:hAnsi="Times New Roman"/>
        </w:rPr>
        <w:t>s</w:t>
      </w:r>
      <w:r w:rsidRPr="00E92D1B">
        <w:rPr>
          <w:rFonts w:ascii="Times New Roman" w:hAnsi="Times New Roman"/>
        </w:rPr>
        <w:t xml:space="preserve">a </w:t>
      </w:r>
      <w:r w:rsidRPr="00E92D1B">
        <w:rPr>
          <w:rFonts w:ascii="Times New Roman" w:hAnsi="Times New Roman"/>
          <w:b/>
        </w:rPr>
        <w:t>rast cien indexu tuzemských cien priemyselných výrobcov (PPI) pohyboval na relatívne nízkej úrovni</w:t>
      </w:r>
      <w:r w:rsidRPr="00E92D1B">
        <w:rPr>
          <w:rFonts w:ascii="Times New Roman" w:hAnsi="Times New Roman"/>
        </w:rPr>
        <w:t xml:space="preserve"> a priemerná medziročná dynamika dosiahla 2,7</w:t>
      </w:r>
      <w:r w:rsidR="008D6EB9">
        <w:rPr>
          <w:rFonts w:ascii="Times New Roman" w:hAnsi="Times New Roman"/>
        </w:rPr>
        <w:t xml:space="preserve"> </w:t>
      </w:r>
      <w:r w:rsidRPr="00E92D1B">
        <w:rPr>
          <w:rFonts w:ascii="Times New Roman" w:hAnsi="Times New Roman"/>
        </w:rPr>
        <w:t xml:space="preserve">%. Index cien tuzemských priemyselných výrobcov bol v roku 2011 hneď po Malte najnižší v celej eurozóne (eurozóna </w:t>
      </w:r>
      <w:r w:rsidR="00E03BC1">
        <w:rPr>
          <w:rFonts w:ascii="Times New Roman" w:hAnsi="Times New Roman"/>
        </w:rPr>
        <w:t xml:space="preserve">dosiahla </w:t>
      </w:r>
      <w:r w:rsidRPr="00E92D1B">
        <w:rPr>
          <w:rFonts w:ascii="Times New Roman" w:hAnsi="Times New Roman"/>
        </w:rPr>
        <w:t>rast 5,9</w:t>
      </w:r>
      <w:r w:rsidR="008D6EB9">
        <w:rPr>
          <w:rFonts w:ascii="Times New Roman" w:hAnsi="Times New Roman"/>
        </w:rPr>
        <w:t xml:space="preserve"> </w:t>
      </w:r>
      <w:r w:rsidRPr="00E92D1B">
        <w:rPr>
          <w:rFonts w:ascii="Times New Roman" w:hAnsi="Times New Roman"/>
        </w:rPr>
        <w:t xml:space="preserve">%). Rast cien </w:t>
      </w:r>
      <w:r w:rsidR="00E03BC1">
        <w:rPr>
          <w:rFonts w:ascii="Times New Roman" w:hAnsi="Times New Roman"/>
        </w:rPr>
        <w:t xml:space="preserve">výrobcov </w:t>
      </w:r>
      <w:r w:rsidRPr="00E92D1B">
        <w:rPr>
          <w:rFonts w:ascii="Times New Roman" w:hAnsi="Times New Roman"/>
        </w:rPr>
        <w:t>na rozdiel od spotrebiteľskej inflácie dosiahol najvyššie hodnoty v rámci roka vo februári 2011 (3,4</w:t>
      </w:r>
      <w:r w:rsidR="008D6EB9">
        <w:rPr>
          <w:rFonts w:ascii="Times New Roman" w:hAnsi="Times New Roman"/>
        </w:rPr>
        <w:t xml:space="preserve"> </w:t>
      </w:r>
      <w:r w:rsidRPr="00E92D1B">
        <w:rPr>
          <w:rFonts w:ascii="Times New Roman" w:hAnsi="Times New Roman"/>
        </w:rPr>
        <w:t xml:space="preserve">%), po ktorom nasledoval pozvoľný pokles </w:t>
      </w:r>
      <w:r>
        <w:rPr>
          <w:rFonts w:ascii="Times New Roman" w:hAnsi="Times New Roman"/>
        </w:rPr>
        <w:t xml:space="preserve">cenovej </w:t>
      </w:r>
      <w:r w:rsidRPr="00E92D1B">
        <w:rPr>
          <w:rFonts w:ascii="Times New Roman" w:hAnsi="Times New Roman"/>
        </w:rPr>
        <w:t>inflácie priemyselných výrobcov.</w:t>
      </w:r>
    </w:p>
    <w:p w:rsidR="00053BDF" w:rsidRPr="003239E7" w:rsidP="0017400C">
      <w:pPr>
        <w:pStyle w:val="Heading3"/>
        <w:bidi w:val="0"/>
        <w:spacing w:before="100" w:beforeAutospacing="1" w:after="100" w:afterAutospacing="1" w:line="360" w:lineRule="auto"/>
        <w:jc w:val="center"/>
        <w:rPr>
          <w:rFonts w:ascii="Times New Roman" w:hAnsi="Times New Roman"/>
          <w:color w:val="auto"/>
        </w:rPr>
      </w:pPr>
      <w:bookmarkStart w:id="10" w:name="_Toc322614744"/>
      <w:r w:rsidRPr="003239E7">
        <w:rPr>
          <w:rFonts w:ascii="Times New Roman" w:hAnsi="Times New Roman"/>
          <w:color w:val="auto"/>
        </w:rPr>
        <w:t>1.2.3.</w:t>
      </w:r>
      <w:r w:rsidR="00E03BC1">
        <w:rPr>
          <w:rFonts w:ascii="Times New Roman" w:hAnsi="Times New Roman"/>
          <w:color w:val="auto"/>
        </w:rPr>
        <w:t xml:space="preserve"> </w:t>
      </w:r>
      <w:r w:rsidRPr="003239E7">
        <w:rPr>
          <w:rFonts w:ascii="Times New Roman" w:hAnsi="Times New Roman"/>
          <w:color w:val="auto"/>
        </w:rPr>
        <w:t>Vývoj na trhu práce</w:t>
      </w:r>
      <w:bookmarkEnd w:id="10"/>
    </w:p>
    <w:p w:rsidR="00053BDF" w:rsidRPr="00E92D1B" w:rsidP="00247FDD">
      <w:pPr>
        <w:pStyle w:val="Footer"/>
        <w:tabs>
          <w:tab w:val="clear" w:pos="4536"/>
          <w:tab w:val="clear" w:pos="9072"/>
        </w:tabs>
        <w:bidi w:val="0"/>
        <w:spacing w:before="120" w:after="120" w:line="360" w:lineRule="auto"/>
        <w:ind w:firstLine="709"/>
        <w:jc w:val="both"/>
        <w:rPr>
          <w:rFonts w:ascii="Times New Roman" w:hAnsi="Times New Roman"/>
        </w:rPr>
      </w:pPr>
      <w:r w:rsidRPr="00E92D1B">
        <w:rPr>
          <w:rFonts w:ascii="Times New Roman" w:hAnsi="Times New Roman"/>
        </w:rPr>
        <w:t>Trh práce bol v roku 2011 charakterizovaný dlho očakávaným oživením</w:t>
      </w:r>
      <w:r w:rsidR="00E03BC1">
        <w:rPr>
          <w:rFonts w:ascii="Times New Roman" w:hAnsi="Times New Roman"/>
        </w:rPr>
        <w:t xml:space="preserve"> ekonomiky</w:t>
      </w:r>
      <w:r w:rsidRPr="00E92D1B">
        <w:rPr>
          <w:rFonts w:ascii="Times New Roman" w:hAnsi="Times New Roman"/>
        </w:rPr>
        <w:t>. Podľa metodiky VZPS</w:t>
      </w:r>
      <w:r>
        <w:rPr>
          <w:rStyle w:val="FootnoteReference"/>
          <w:rFonts w:ascii="Times New Roman" w:hAnsi="Times New Roman"/>
          <w:rtl w:val="0"/>
        </w:rPr>
        <w:footnoteReference w:customMarkFollows="1" w:id="2"/>
        <w:t xml:space="preserve">1</w:t>
      </w:r>
      <w:r w:rsidR="00231405">
        <w:rPr>
          <w:rStyle w:val="FootnoteReference"/>
          <w:rFonts w:ascii="Times New Roman" w:hAnsi="Times New Roman"/>
        </w:rPr>
        <w:t>)</w:t>
      </w:r>
      <w:r w:rsidRPr="00E92D1B">
        <w:rPr>
          <w:rFonts w:ascii="Times New Roman" w:hAnsi="Times New Roman"/>
        </w:rPr>
        <w:t xml:space="preserve"> narástol počet nových pracovných miest skoro o 35 tisíc, čo predstavuje rast na úrovni 1,5</w:t>
      </w:r>
      <w:r w:rsidR="008D6EB9">
        <w:rPr>
          <w:rFonts w:ascii="Times New Roman" w:hAnsi="Times New Roman"/>
        </w:rPr>
        <w:t xml:space="preserve"> </w:t>
      </w:r>
      <w:r w:rsidRPr="00E92D1B">
        <w:rPr>
          <w:rFonts w:ascii="Times New Roman" w:hAnsi="Times New Roman"/>
        </w:rPr>
        <w:t>%. Rast pracovných miest sa sústredil predovšetkým do priemyslu a trhových služ</w:t>
      </w:r>
      <w:r>
        <w:rPr>
          <w:rFonts w:ascii="Times New Roman" w:hAnsi="Times New Roman"/>
        </w:rPr>
        <w:t>ie</w:t>
      </w:r>
      <w:r w:rsidRPr="00E92D1B">
        <w:rPr>
          <w:rFonts w:ascii="Times New Roman" w:hAnsi="Times New Roman"/>
        </w:rPr>
        <w:t xml:space="preserve">b, ktoré najviac utrpeli počas krízy. Naopak v rámci znižovania deficitu verejných financií prišlo </w:t>
      </w:r>
      <w:r w:rsidR="008D6EB9">
        <w:rPr>
          <w:rFonts w:ascii="Times New Roman" w:hAnsi="Times New Roman"/>
        </w:rPr>
        <w:br/>
      </w:r>
      <w:r w:rsidRPr="00E92D1B">
        <w:rPr>
          <w:rFonts w:ascii="Times New Roman" w:hAnsi="Times New Roman"/>
        </w:rPr>
        <w:t>k prepúšťaniu vo verejnej správe a štátnych podnikoch</w:t>
      </w:r>
      <w:r>
        <w:rPr>
          <w:rFonts w:ascii="Times New Roman" w:hAnsi="Times New Roman"/>
        </w:rPr>
        <w:t xml:space="preserve"> v celkovom počte </w:t>
      </w:r>
      <w:r>
        <w:rPr>
          <w:rFonts w:ascii="Times New Roman" w:hAnsi="Times New Roman"/>
          <w:lang w:val="en-GB"/>
        </w:rPr>
        <w:t>6</w:t>
      </w:r>
      <w:r w:rsidR="00231405">
        <w:rPr>
          <w:rFonts w:ascii="Times New Roman" w:hAnsi="Times New Roman"/>
          <w:lang w:val="en-GB"/>
        </w:rPr>
        <w:t xml:space="preserve"> </w:t>
      </w:r>
      <w:r>
        <w:rPr>
          <w:rFonts w:ascii="Times New Roman" w:hAnsi="Times New Roman"/>
          <w:lang w:val="en-GB"/>
        </w:rPr>
        <w:t>625</w:t>
      </w:r>
      <w:r w:rsidRPr="0087088E">
        <w:rPr>
          <w:rFonts w:ascii="Times New Roman" w:hAnsi="Times New Roman"/>
        </w:rPr>
        <w:t xml:space="preserve"> osôb</w:t>
      </w:r>
      <w:r w:rsidRPr="00E92D1B">
        <w:rPr>
          <w:rFonts w:ascii="Times New Roman" w:hAnsi="Times New Roman"/>
        </w:rPr>
        <w:t>.</w:t>
      </w:r>
      <w:r>
        <w:rPr>
          <w:rStyle w:val="FootnoteReference"/>
          <w:rFonts w:ascii="Times New Roman" w:hAnsi="Times New Roman"/>
          <w:rtl w:val="0"/>
        </w:rPr>
        <w:footnoteReference w:customMarkFollows="1" w:id="3"/>
        <w:t xml:space="preserve">2</w:t>
      </w:r>
      <w:r w:rsidR="00231405">
        <w:rPr>
          <w:rStyle w:val="FootnoteReference"/>
          <w:rFonts w:ascii="Times New Roman" w:hAnsi="Times New Roman"/>
        </w:rPr>
        <w:t>)</w:t>
      </w:r>
      <w:r w:rsidRPr="00E92D1B">
        <w:rPr>
          <w:rFonts w:ascii="Times New Roman" w:hAnsi="Times New Roman"/>
        </w:rPr>
        <w:t xml:space="preserve"> Napriek celkovému rastu zamestnanosti, zostáva jej úroveň ďaleko za predkrízovou úrovňou. Kým produkčná stránka ekonomiky dosiahla svoju predkrízovú úroveň už v roku 2010, zamestnanosti stále chýba skoro 40 tisíc osôb. V roku 2011 tak naďalej rástla produktivita práce ako aj počet odpracovaných hodín na zamestnanca.</w:t>
      </w:r>
    </w:p>
    <w:p w:rsidR="00053BDF" w:rsidP="00247FDD">
      <w:pPr>
        <w:pStyle w:val="Footer"/>
        <w:tabs>
          <w:tab w:val="clear" w:pos="4536"/>
          <w:tab w:val="clear" w:pos="9072"/>
        </w:tabs>
        <w:bidi w:val="0"/>
        <w:spacing w:before="120" w:after="120" w:line="360" w:lineRule="auto"/>
        <w:jc w:val="both"/>
        <w:rPr>
          <w:rFonts w:ascii="Times New Roman" w:hAnsi="Times New Roman"/>
        </w:rPr>
      </w:pPr>
      <w:r w:rsidRPr="00E92D1B">
        <w:rPr>
          <w:rFonts w:ascii="Times New Roman" w:hAnsi="Times New Roman"/>
          <w:b/>
        </w:rPr>
        <w:t>Priemerná nominálna mzda</w:t>
      </w:r>
      <w:r w:rsidRPr="00E92D1B">
        <w:rPr>
          <w:rFonts w:ascii="Times New Roman" w:hAnsi="Times New Roman"/>
        </w:rPr>
        <w:t xml:space="preserve"> dosiahla v roku 2011 rast na úrovni 2,2</w:t>
      </w:r>
      <w:r w:rsidR="008D6EB9">
        <w:rPr>
          <w:rFonts w:ascii="Times New Roman" w:hAnsi="Times New Roman"/>
        </w:rPr>
        <w:t xml:space="preserve"> </w:t>
      </w:r>
      <w:r w:rsidRPr="00E92D1B">
        <w:rPr>
          <w:rFonts w:ascii="Times New Roman" w:hAnsi="Times New Roman"/>
        </w:rPr>
        <w:t>%, čo predstavuje spomalenie v porovnaní s predchádzajúcim rokom</w:t>
      </w:r>
      <w:r w:rsidR="00E03BC1">
        <w:rPr>
          <w:rFonts w:ascii="Times New Roman" w:hAnsi="Times New Roman"/>
        </w:rPr>
        <w:t xml:space="preserve"> (2010: 3,2 %)</w:t>
      </w:r>
      <w:r w:rsidRPr="00E92D1B">
        <w:rPr>
          <w:rFonts w:ascii="Times New Roman" w:hAnsi="Times New Roman"/>
        </w:rPr>
        <w:t xml:space="preserve">. Hlavnými dôvodmi nízkeho rastu miezd bolo znižovanie platov vo verejnej správe a neistota ohľadom budúceho vývoja na konci roka, ktorá sa premietla do nízkeho vyplácania koncoročných odmien. </w:t>
      </w:r>
      <w:r w:rsidRPr="00231405">
        <w:rPr>
          <w:rFonts w:ascii="Times New Roman" w:hAnsi="Times New Roman"/>
          <w:b/>
        </w:rPr>
        <w:t>Priemerná nominálna mesačná mzda v ekonomike za rok 2011 dosiahla hodnotu 786 eur</w:t>
      </w:r>
      <w:r w:rsidR="00E03BC1">
        <w:rPr>
          <w:rFonts w:ascii="Times New Roman" w:hAnsi="Times New Roman"/>
          <w:b/>
        </w:rPr>
        <w:t xml:space="preserve"> (2010: 769 eur)</w:t>
      </w:r>
      <w:r w:rsidRPr="00231405">
        <w:rPr>
          <w:rFonts w:ascii="Times New Roman" w:hAnsi="Times New Roman"/>
          <w:b/>
        </w:rPr>
        <w:t>.</w:t>
      </w:r>
      <w:r w:rsidRPr="00E92D1B">
        <w:rPr>
          <w:rFonts w:ascii="Times New Roman" w:hAnsi="Times New Roman"/>
        </w:rPr>
        <w:t xml:space="preserve"> Pri nízkom raste nominálnej mzdy sa reálna mzda prepadla o 1,6</w:t>
      </w:r>
      <w:r w:rsidR="008D6EB9">
        <w:rPr>
          <w:rFonts w:ascii="Times New Roman" w:hAnsi="Times New Roman"/>
        </w:rPr>
        <w:t xml:space="preserve"> </w:t>
      </w:r>
      <w:r w:rsidRPr="00E92D1B">
        <w:rPr>
          <w:rFonts w:ascii="Times New Roman" w:hAnsi="Times New Roman"/>
        </w:rPr>
        <w:t xml:space="preserve">%. </w:t>
      </w:r>
    </w:p>
    <w:p w:rsidR="00053BDF" w:rsidRPr="003239E7" w:rsidP="00247FDD">
      <w:pPr>
        <w:pStyle w:val="Heading3"/>
        <w:bidi w:val="0"/>
        <w:spacing w:before="100" w:beforeAutospacing="1" w:after="100" w:afterAutospacing="1" w:line="360" w:lineRule="auto"/>
        <w:jc w:val="center"/>
        <w:rPr>
          <w:rFonts w:ascii="Times New Roman" w:hAnsi="Times New Roman"/>
          <w:color w:val="auto"/>
        </w:rPr>
      </w:pPr>
      <w:bookmarkStart w:id="11" w:name="_Toc322614745"/>
      <w:r w:rsidR="003239E7">
        <w:rPr>
          <w:rFonts w:ascii="Times New Roman" w:hAnsi="Times New Roman"/>
          <w:color w:val="auto"/>
        </w:rPr>
        <w:t xml:space="preserve">1.2.4. </w:t>
      </w:r>
      <w:r w:rsidRPr="003239E7">
        <w:rPr>
          <w:rFonts w:ascii="Times New Roman" w:hAnsi="Times New Roman"/>
          <w:color w:val="auto"/>
        </w:rPr>
        <w:t>Platobná a obchodná bilancia</w:t>
      </w:r>
      <w:bookmarkEnd w:id="11"/>
    </w:p>
    <w:p w:rsidR="00053BDF" w:rsidP="001C241F">
      <w:pPr>
        <w:pStyle w:val="Footer"/>
        <w:tabs>
          <w:tab w:val="clear" w:pos="4536"/>
          <w:tab w:val="clear" w:pos="9072"/>
        </w:tabs>
        <w:bidi w:val="0"/>
        <w:spacing w:before="100" w:beforeAutospacing="1" w:after="100" w:afterAutospacing="1" w:line="360" w:lineRule="auto"/>
        <w:ind w:firstLine="709"/>
        <w:jc w:val="both"/>
        <w:rPr>
          <w:rFonts w:ascii="Times New Roman" w:hAnsi="Times New Roman"/>
        </w:rPr>
      </w:pPr>
      <w:r w:rsidRPr="00E92D1B">
        <w:rPr>
          <w:rFonts w:ascii="Times New Roman" w:hAnsi="Times New Roman"/>
        </w:rPr>
        <w:t xml:space="preserve">Podľa údajov </w:t>
      </w:r>
      <w:r w:rsidR="002A115F">
        <w:rPr>
          <w:rFonts w:ascii="Times New Roman" w:hAnsi="Times New Roman"/>
        </w:rPr>
        <w:t xml:space="preserve">o vývoji platobnej bilancie SR možno konštatovať, že deficit bežného účtu sa v roku 2011 výrazne zlepšil na 0,1 % HDP v porovnaní s 2,5 % v roku 2010. </w:t>
      </w:r>
      <w:r w:rsidRPr="00E92D1B">
        <w:rPr>
          <w:rFonts w:ascii="Times New Roman" w:hAnsi="Times New Roman"/>
        </w:rPr>
        <w:t xml:space="preserve">Deficit bežného účtu je do značnej miery krytý finančným účtom prostredníctvom prílevu </w:t>
      </w:r>
      <w:r>
        <w:rPr>
          <w:rFonts w:ascii="Times New Roman" w:hAnsi="Times New Roman"/>
        </w:rPr>
        <w:t>priamych zahraničných investícií</w:t>
      </w:r>
      <w:r w:rsidRPr="00E92D1B">
        <w:rPr>
          <w:rFonts w:ascii="Times New Roman" w:hAnsi="Times New Roman"/>
        </w:rPr>
        <w:t>. Za zlepšením salda bežného účtu stojí predovšetkým výrazne aktívne saldo obchodnej bilancie a mierne zlepšenie deficitu bilancie služieb a transferov. Saldo výnosov sa však naopak mierne zhoršilo.</w:t>
      </w:r>
    </w:p>
    <w:p w:rsidR="00053BDF" w:rsidRPr="00E92D1B" w:rsidP="00053BDF">
      <w:pPr>
        <w:autoSpaceDE w:val="0"/>
        <w:autoSpaceDN w:val="0"/>
        <w:bidi w:val="0"/>
        <w:adjustRightInd w:val="0"/>
        <w:spacing w:line="360" w:lineRule="auto"/>
        <w:jc w:val="both"/>
        <w:rPr>
          <w:rFonts w:ascii="Times New Roman" w:hAnsi="Times New Roman"/>
        </w:rPr>
      </w:pPr>
    </w:p>
    <w:tbl>
      <w:tblPr>
        <w:tblStyle w:val="TableNormal"/>
        <w:tblW w:w="5791" w:type="dxa"/>
        <w:jc w:val="center"/>
        <w:tblInd w:w="70" w:type="dxa"/>
        <w:tblCellMar>
          <w:left w:w="70" w:type="dxa"/>
          <w:right w:w="70" w:type="dxa"/>
        </w:tblCellMar>
      </w:tblPr>
      <w:tblGrid>
        <w:gridCol w:w="5791"/>
      </w:tblGrid>
      <w:tr>
        <w:tblPrEx>
          <w:tblW w:w="5791" w:type="dxa"/>
          <w:jc w:val="center"/>
          <w:tblInd w:w="70" w:type="dxa"/>
          <w:tblCellMar>
            <w:left w:w="70" w:type="dxa"/>
            <w:right w:w="70" w:type="dxa"/>
          </w:tblCellMar>
        </w:tblPrEx>
        <w:trPr>
          <w:trHeight w:val="540"/>
          <w:jc w:val="center"/>
        </w:trPr>
        <w:tc>
          <w:tcPr>
            <w:tcW w:w="5791" w:type="dxa"/>
            <w:tcBorders>
              <w:top w:val="nil"/>
              <w:left w:val="nil"/>
              <w:bottom w:val="nil"/>
              <w:right w:val="nil"/>
            </w:tcBorders>
            <w:shd w:val="clear" w:color="auto" w:fill="000000"/>
            <w:textDirection w:val="lrTb"/>
            <w:vAlign w:val="bottom"/>
          </w:tcPr>
          <w:p w:rsidR="002A115F" w:rsidRPr="00E92D1B" w:rsidP="0093230F">
            <w:pPr>
              <w:bidi w:val="0"/>
              <w:rPr>
                <w:rFonts w:ascii="Times New Roman" w:hAnsi="Times New Roman"/>
                <w:b/>
                <w:bCs/>
                <w:color w:val="FFFFFF"/>
                <w:sz w:val="20"/>
              </w:rPr>
            </w:pPr>
            <w:r w:rsidRPr="00E92D1B">
              <w:rPr>
                <w:rFonts w:ascii="Times New Roman" w:hAnsi="Times New Roman"/>
                <w:b/>
                <w:bCs/>
                <w:color w:val="FFFFFF"/>
                <w:sz w:val="20"/>
              </w:rPr>
              <w:t>Vývoj bežného účtu platobnej bilancie v roku 201</w:t>
            </w:r>
            <w:r>
              <w:rPr>
                <w:rFonts w:ascii="Times New Roman" w:hAnsi="Times New Roman"/>
                <w:b/>
                <w:bCs/>
                <w:color w:val="FFFFFF"/>
                <w:sz w:val="20"/>
              </w:rPr>
              <w:t>1</w:t>
            </w:r>
            <w:r w:rsidRPr="00E92D1B">
              <w:rPr>
                <w:rFonts w:ascii="Times New Roman" w:hAnsi="Times New Roman"/>
                <w:b/>
                <w:bCs/>
                <w:color w:val="FFFFFF"/>
                <w:sz w:val="20"/>
              </w:rPr>
              <w:t xml:space="preserve"> podľa jeho zložiek (priemer za 12m, % HDP)</w:t>
            </w:r>
          </w:p>
        </w:tc>
      </w:tr>
      <w:tr>
        <w:tblPrEx>
          <w:tblW w:w="5791" w:type="dxa"/>
          <w:jc w:val="center"/>
          <w:tblInd w:w="70" w:type="dxa"/>
          <w:tblCellMar>
            <w:left w:w="70" w:type="dxa"/>
            <w:right w:w="70" w:type="dxa"/>
          </w:tblCellMar>
        </w:tblPrEx>
        <w:trPr>
          <w:trHeight w:val="255"/>
          <w:jc w:val="center"/>
        </w:trPr>
        <w:tc>
          <w:tcPr>
            <w:tcW w:w="5791" w:type="dxa"/>
            <w:vMerge w:val="restart"/>
            <w:tcBorders>
              <w:top w:val="nil"/>
              <w:left w:val="nil"/>
              <w:bottom w:val="nil"/>
              <w:right w:val="nil"/>
            </w:tcBorders>
            <w:noWrap/>
            <w:textDirection w:val="lrTb"/>
            <w:vAlign w:val="bottom"/>
          </w:tcPr>
          <w:p w:rsidR="002A115F" w:rsidRPr="00E92D1B" w:rsidP="0093230F">
            <w:pPr>
              <w:bidi w:val="0"/>
              <w:jc w:val="center"/>
              <w:rPr>
                <w:rFonts w:ascii="Times New Roman" w:hAnsi="Times New Roman"/>
                <w:sz w:val="20"/>
              </w:rPr>
            </w:pPr>
            <w:r>
              <w:rPr>
                <w:rFonts w:ascii="Times New Roman" w:hAnsi="Times New Roman"/>
                <w:noProof/>
                <w:sz w:val="20"/>
                <w:rtl w:val="0"/>
              </w:rPr>
              <w:pict>
                <v:shape id="Obrázok 4" o:spid="_x0000_i1028" type="#_x0000_t75" style="width:270.11pt;height:174.14pt;visibility:visible" filled="f" stroked="f">
                  <v:imagedata r:id="rId9" o:title=""/>
                  <o:lock v:ext="edit" aspectratio="t"/>
                </v:shape>
              </w:pict>
            </w: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823"/>
          <w:jc w:val="center"/>
        </w:trPr>
        <w:tc>
          <w:tcPr>
            <w:tcW w:w="5791" w:type="dxa"/>
            <w:vMerge/>
            <w:tcBorders>
              <w:top w:val="nil"/>
              <w:left w:val="nil"/>
              <w:bottom w:val="nil"/>
              <w:right w:val="nil"/>
            </w:tcBorders>
            <w:textDirection w:val="lrTb"/>
            <w:vAlign w:val="center"/>
          </w:tcPr>
          <w:p w:rsidR="002A115F" w:rsidRPr="00E92D1B" w:rsidP="0093230F">
            <w:pPr>
              <w:bidi w:val="0"/>
              <w:rPr>
                <w:rFonts w:ascii="Times New Roman" w:hAnsi="Times New Roman"/>
                <w:sz w:val="20"/>
              </w:rPr>
            </w:pPr>
          </w:p>
        </w:tc>
      </w:tr>
      <w:tr>
        <w:tblPrEx>
          <w:tblW w:w="5791" w:type="dxa"/>
          <w:jc w:val="center"/>
          <w:tblInd w:w="70" w:type="dxa"/>
          <w:tblCellMar>
            <w:left w:w="70" w:type="dxa"/>
            <w:right w:w="70" w:type="dxa"/>
          </w:tblCellMar>
        </w:tblPrEx>
        <w:trPr>
          <w:trHeight w:val="255"/>
          <w:jc w:val="center"/>
        </w:trPr>
        <w:tc>
          <w:tcPr>
            <w:tcW w:w="5791" w:type="dxa"/>
            <w:tcBorders>
              <w:top w:val="single" w:sz="4" w:space="0" w:color="auto"/>
              <w:left w:val="nil"/>
              <w:bottom w:val="nil"/>
              <w:right w:val="nil"/>
            </w:tcBorders>
            <w:noWrap/>
            <w:textDirection w:val="lrTb"/>
            <w:vAlign w:val="bottom"/>
          </w:tcPr>
          <w:p w:rsidR="002A115F" w:rsidRPr="005D622D" w:rsidP="0093230F">
            <w:pPr>
              <w:bidi w:val="0"/>
              <w:rPr>
                <w:rFonts w:ascii="Times New Roman" w:hAnsi="Times New Roman"/>
                <w:iCs/>
                <w:sz w:val="16"/>
                <w:szCs w:val="16"/>
              </w:rPr>
            </w:pPr>
            <w:r w:rsidRPr="005D622D">
              <w:rPr>
                <w:rFonts w:ascii="Times New Roman" w:hAnsi="Times New Roman"/>
                <w:iCs/>
                <w:sz w:val="16"/>
                <w:szCs w:val="16"/>
              </w:rPr>
              <w:t>Zdroj: NBS, ŠÚ SR</w:t>
            </w:r>
          </w:p>
        </w:tc>
      </w:tr>
    </w:tbl>
    <w:p w:rsidR="00231405" w:rsidP="00247FDD">
      <w:pPr>
        <w:pStyle w:val="Footer"/>
        <w:tabs>
          <w:tab w:val="clear" w:pos="4536"/>
          <w:tab w:val="clear" w:pos="9072"/>
        </w:tabs>
        <w:bidi w:val="0"/>
        <w:spacing w:before="100" w:beforeAutospacing="1" w:after="100" w:afterAutospacing="1" w:line="360" w:lineRule="auto"/>
        <w:jc w:val="both"/>
        <w:rPr>
          <w:rFonts w:ascii="Times New Roman" w:hAnsi="Times New Roman"/>
        </w:rPr>
      </w:pPr>
      <w:r w:rsidRPr="00E92D1B" w:rsidR="00053BDF">
        <w:rPr>
          <w:rFonts w:ascii="Times New Roman" w:hAnsi="Times New Roman"/>
          <w:b/>
        </w:rPr>
        <w:t>Prebytok obchodnej bilancie</w:t>
      </w:r>
      <w:r w:rsidRPr="00E92D1B" w:rsidR="00053BDF">
        <w:rPr>
          <w:rFonts w:ascii="Times New Roman" w:hAnsi="Times New Roman"/>
        </w:rPr>
        <w:t xml:space="preserve"> sa oproti roku </w:t>
      </w:r>
      <w:r w:rsidR="00053BDF">
        <w:rPr>
          <w:rFonts w:ascii="Times New Roman" w:hAnsi="Times New Roman"/>
        </w:rPr>
        <w:t xml:space="preserve">2010 </w:t>
      </w:r>
      <w:r w:rsidRPr="00E92D1B" w:rsidR="00053BDF">
        <w:rPr>
          <w:rFonts w:ascii="Times New Roman" w:hAnsi="Times New Roman"/>
        </w:rPr>
        <w:t>výrazne zvýšil. V absolútnom vyjadrení dosiahla v roku 2011 výška prebytku bilancie tovarov hodnotu 2</w:t>
      </w:r>
      <w:r w:rsidR="00053BDF">
        <w:rPr>
          <w:rFonts w:ascii="Times New Roman" w:hAnsi="Times New Roman"/>
        </w:rPr>
        <w:t xml:space="preserve"> </w:t>
      </w:r>
      <w:r w:rsidR="001E60EA">
        <w:rPr>
          <w:rFonts w:ascii="Times New Roman" w:hAnsi="Times New Roman"/>
        </w:rPr>
        <w:t xml:space="preserve">441,9 mil. eur (3,5 </w:t>
      </w:r>
      <w:r w:rsidRPr="00E92D1B" w:rsidR="00053BDF">
        <w:rPr>
          <w:rFonts w:ascii="Times New Roman" w:hAnsi="Times New Roman"/>
        </w:rPr>
        <w:t>% HDP), čo predstavuje nárast oproti roku 2010 o 1</w:t>
      </w:r>
      <w:r w:rsidR="00053BDF">
        <w:rPr>
          <w:rFonts w:ascii="Times New Roman" w:hAnsi="Times New Roman"/>
        </w:rPr>
        <w:t xml:space="preserve"> </w:t>
      </w:r>
      <w:r w:rsidRPr="00E92D1B" w:rsidR="00053BDF">
        <w:rPr>
          <w:rFonts w:ascii="Times New Roman" w:hAnsi="Times New Roman"/>
        </w:rPr>
        <w:t>663,3 mil. eur (z úrovne 1,2</w:t>
      </w:r>
      <w:r w:rsidR="00651C00">
        <w:rPr>
          <w:rFonts w:ascii="Times New Roman" w:hAnsi="Times New Roman"/>
        </w:rPr>
        <w:t xml:space="preserve"> </w:t>
      </w:r>
      <w:r w:rsidRPr="00E92D1B" w:rsidR="00053BDF">
        <w:rPr>
          <w:rFonts w:ascii="Times New Roman" w:hAnsi="Times New Roman"/>
        </w:rPr>
        <w:t>% HDP). Export tovarov dosiahol v nominálnom vyjadrení rast 16,9</w:t>
      </w:r>
      <w:r w:rsidR="008D6EB9">
        <w:rPr>
          <w:rFonts w:ascii="Times New Roman" w:hAnsi="Times New Roman"/>
        </w:rPr>
        <w:t xml:space="preserve"> </w:t>
      </w:r>
      <w:r w:rsidRPr="00E92D1B" w:rsidR="00053BDF">
        <w:rPr>
          <w:rFonts w:ascii="Times New Roman" w:hAnsi="Times New Roman"/>
        </w:rPr>
        <w:t>%. Rast zaznamenali všetky významné zložky exportu – výroba automobilov, elektrotechniky aj kovov. Rast importu dosiahol za rok 2011 iba 13,6</w:t>
      </w:r>
      <w:r w:rsidR="008D6EB9">
        <w:rPr>
          <w:rFonts w:ascii="Times New Roman" w:hAnsi="Times New Roman"/>
        </w:rPr>
        <w:t xml:space="preserve"> </w:t>
      </w:r>
      <w:r w:rsidRPr="00E92D1B" w:rsidR="00053BDF">
        <w:rPr>
          <w:rFonts w:ascii="Times New Roman" w:hAnsi="Times New Roman"/>
        </w:rPr>
        <w:t>%, pričom najpomalšie rástol dovoz kapitálových tovarov, čo odráža obavy z budúceho vývoja. Podľa predbežných údajov sa oproti roku 2010 ceny dovozov tovarov a služieb zvýšili o 4,0</w:t>
      </w:r>
      <w:r w:rsidR="008D6EB9">
        <w:rPr>
          <w:rFonts w:ascii="Times New Roman" w:hAnsi="Times New Roman"/>
        </w:rPr>
        <w:t xml:space="preserve"> </w:t>
      </w:r>
      <w:r w:rsidRPr="00E92D1B" w:rsidR="00053BDF">
        <w:rPr>
          <w:rFonts w:ascii="Times New Roman" w:hAnsi="Times New Roman"/>
        </w:rPr>
        <w:t>% a ceny vývozov o 5,3</w:t>
      </w:r>
      <w:r w:rsidR="008D6EB9">
        <w:rPr>
          <w:rFonts w:ascii="Times New Roman" w:hAnsi="Times New Roman"/>
        </w:rPr>
        <w:t xml:space="preserve"> </w:t>
      </w:r>
      <w:r w:rsidRPr="00E92D1B" w:rsidR="00053BDF">
        <w:rPr>
          <w:rFonts w:ascii="Times New Roman" w:hAnsi="Times New Roman"/>
        </w:rPr>
        <w:t xml:space="preserve">%. </w:t>
      </w:r>
    </w:p>
    <w:p w:rsidR="001C4C5A" w:rsidRPr="00231405" w:rsidP="00DF397E">
      <w:pPr>
        <w:pStyle w:val="Heading1"/>
        <w:bidi w:val="0"/>
        <w:spacing w:before="100" w:beforeAutospacing="1" w:after="100" w:afterAutospacing="1" w:line="360" w:lineRule="auto"/>
        <w:jc w:val="center"/>
        <w:rPr>
          <w:rFonts w:ascii="Times New Roman" w:hAnsi="Times New Roman"/>
          <w:color w:val="auto"/>
          <w:sz w:val="24"/>
          <w:szCs w:val="24"/>
        </w:rPr>
      </w:pPr>
      <w:r w:rsidR="00231405">
        <w:br w:type="page"/>
      </w:r>
      <w:bookmarkStart w:id="12" w:name="_Toc322614746"/>
      <w:r w:rsidRPr="00231405" w:rsidR="00D07062">
        <w:rPr>
          <w:rFonts w:ascii="Times New Roman" w:hAnsi="Times New Roman"/>
          <w:color w:val="auto"/>
          <w:sz w:val="24"/>
          <w:szCs w:val="24"/>
        </w:rPr>
        <w:t xml:space="preserve">2. </w:t>
      </w:r>
      <w:r w:rsidRPr="00231405">
        <w:rPr>
          <w:rFonts w:ascii="Times New Roman" w:hAnsi="Times New Roman"/>
          <w:color w:val="auto"/>
          <w:sz w:val="24"/>
          <w:szCs w:val="24"/>
        </w:rPr>
        <w:t>Výsledok hospodárenia rozpočtu verejnej správy v metodike ESA 95</w:t>
      </w:r>
      <w:bookmarkEnd w:id="12"/>
    </w:p>
    <w:p w:rsidR="00DF397E" w:rsidP="004C1F8C">
      <w:pPr>
        <w:bidi w:val="0"/>
        <w:spacing w:before="120" w:after="120" w:line="360" w:lineRule="auto"/>
        <w:ind w:firstLine="708"/>
        <w:jc w:val="both"/>
        <w:rPr>
          <w:rFonts w:ascii="Times New Roman" w:hAnsi="Times New Roman"/>
        </w:rPr>
      </w:pPr>
      <w:r>
        <w:rPr>
          <w:rFonts w:ascii="Times New Roman" w:hAnsi="Times New Roman"/>
        </w:rPr>
        <w:t>Nariadenie Rady (ES) č. 479/2009 o uplatňovaní Protokolu o postupe pri nadmernom schodku</w:t>
      </w:r>
      <w:r>
        <w:rPr>
          <w:rStyle w:val="FootnoteReference"/>
          <w:rFonts w:ascii="Times New Roman" w:hAnsi="Times New Roman"/>
          <w:rtl w:val="0"/>
        </w:rPr>
        <w:footnoteReference w:customMarkFollows="1" w:id="4"/>
        <w:t xml:space="preserve">3</w:t>
      </w:r>
      <w:r>
        <w:rPr>
          <w:rStyle w:val="FootnoteReference"/>
          <w:rFonts w:ascii="Times New Roman" w:hAnsi="Times New Roman"/>
        </w:rPr>
        <w:t>)</w:t>
      </w:r>
      <w:r>
        <w:rPr>
          <w:rFonts w:ascii="Times New Roman" w:hAnsi="Times New Roman"/>
        </w:rPr>
        <w:t xml:space="preserve"> zaviedlo </w:t>
      </w:r>
      <w:r w:rsidR="005A405D">
        <w:rPr>
          <w:rFonts w:ascii="Times New Roman" w:hAnsi="Times New Roman"/>
        </w:rPr>
        <w:t xml:space="preserve">od roku 2009 </w:t>
      </w:r>
      <w:r>
        <w:rPr>
          <w:rFonts w:ascii="Times New Roman" w:hAnsi="Times New Roman"/>
        </w:rPr>
        <w:t xml:space="preserve">podrobné pravidlá pre organizovanie rýchleho a pravidelného vykazovania plánovaných a skutočných výsledkov hospodárenia s financiami verejnej správy. Podľa tohto nariadenia sa Európskej komisii (Eurostatu) predkladajú plánované a skutočné výsledky dvakrát ročne, prvýkrát do 1. apríla bežného roka a druhýkrát do 1. októbra bežného roka. Do 1. apríla bežného roka sa predloží </w:t>
      </w:r>
      <w:r w:rsidRPr="00601FC9">
        <w:rPr>
          <w:rFonts w:ascii="Times New Roman" w:hAnsi="Times New Roman"/>
          <w:b/>
        </w:rPr>
        <w:t>odhad</w:t>
      </w:r>
      <w:r>
        <w:rPr>
          <w:rFonts w:ascii="Times New Roman" w:hAnsi="Times New Roman"/>
        </w:rPr>
        <w:t xml:space="preserve"> skutočného schodku za uplynulý rok a do 1. októbra bežného roka </w:t>
      </w:r>
      <w:r w:rsidRPr="00601FC9">
        <w:rPr>
          <w:rFonts w:ascii="Times New Roman" w:hAnsi="Times New Roman"/>
          <w:b/>
        </w:rPr>
        <w:t>aktuálny</w:t>
      </w:r>
      <w:r>
        <w:rPr>
          <w:rFonts w:ascii="Times New Roman" w:hAnsi="Times New Roman"/>
        </w:rPr>
        <w:t xml:space="preserve"> schodok za uplynulý rok. V zmysle tejto zásady je potrebné všetky údaje uvedené v nasledujúcom texte chápať ako predbežné, ktoré môžu byť v období do 1</w:t>
      </w:r>
      <w:r w:rsidR="00230016">
        <w:rPr>
          <w:rFonts w:ascii="Times New Roman" w:hAnsi="Times New Roman"/>
        </w:rPr>
        <w:t>. októbra tohto roka revidované a budú súčasťou súhrnnej výročnej správy, ktorú podľa § 29a</w:t>
      </w:r>
      <w:r>
        <w:rPr>
          <w:rFonts w:ascii="Times New Roman" w:hAnsi="Times New Roman"/>
        </w:rPr>
        <w:t xml:space="preserve"> </w:t>
      </w:r>
      <w:r w:rsidR="00572C26">
        <w:rPr>
          <w:rFonts w:ascii="Times New Roman" w:hAnsi="Times New Roman"/>
        </w:rPr>
        <w:t>zákona č 523/2004 Z. z. o rozpočtových pravidlách verejnej správ</w:t>
      </w:r>
      <w:r w:rsidR="001622BF">
        <w:rPr>
          <w:rFonts w:ascii="Times New Roman" w:hAnsi="Times New Roman"/>
        </w:rPr>
        <w:t>y</w:t>
      </w:r>
      <w:r w:rsidR="00572C26">
        <w:rPr>
          <w:rFonts w:ascii="Times New Roman" w:hAnsi="Times New Roman"/>
        </w:rPr>
        <w:t xml:space="preserve"> a o zmene a doplnení niektorých zákonov </w:t>
      </w:r>
      <w:r w:rsidR="00230016">
        <w:rPr>
          <w:rFonts w:ascii="Times New Roman" w:hAnsi="Times New Roman"/>
        </w:rPr>
        <w:t>predloží MF SR vláde do 31.</w:t>
      </w:r>
      <w:r w:rsidR="001E60EA">
        <w:rPr>
          <w:rFonts w:ascii="Times New Roman" w:hAnsi="Times New Roman"/>
        </w:rPr>
        <w:t xml:space="preserve"> </w:t>
      </w:r>
      <w:r w:rsidR="00230016">
        <w:rPr>
          <w:rFonts w:ascii="Times New Roman" w:hAnsi="Times New Roman"/>
        </w:rPr>
        <w:t>10.</w:t>
      </w:r>
      <w:r w:rsidR="001E60EA">
        <w:rPr>
          <w:rFonts w:ascii="Times New Roman" w:hAnsi="Times New Roman"/>
        </w:rPr>
        <w:t xml:space="preserve"> </w:t>
      </w:r>
      <w:r w:rsidR="00230016">
        <w:rPr>
          <w:rFonts w:ascii="Times New Roman" w:hAnsi="Times New Roman"/>
        </w:rPr>
        <w:t>2012 a vláda Národnej rade SR do 20.</w:t>
      </w:r>
      <w:r w:rsidR="001E60EA">
        <w:rPr>
          <w:rFonts w:ascii="Times New Roman" w:hAnsi="Times New Roman"/>
        </w:rPr>
        <w:t xml:space="preserve"> </w:t>
      </w:r>
      <w:r w:rsidR="00230016">
        <w:rPr>
          <w:rFonts w:ascii="Times New Roman" w:hAnsi="Times New Roman"/>
        </w:rPr>
        <w:t>11.</w:t>
      </w:r>
      <w:r w:rsidR="001E60EA">
        <w:rPr>
          <w:rFonts w:ascii="Times New Roman" w:hAnsi="Times New Roman"/>
        </w:rPr>
        <w:t xml:space="preserve"> </w:t>
      </w:r>
      <w:r w:rsidR="00230016">
        <w:rPr>
          <w:rFonts w:ascii="Times New Roman" w:hAnsi="Times New Roman"/>
        </w:rPr>
        <w:t>2012.</w:t>
      </w:r>
    </w:p>
    <w:p w:rsidR="00DF397E" w:rsidRPr="00854467" w:rsidP="00491E04">
      <w:pPr>
        <w:bidi w:val="0"/>
        <w:spacing w:before="120" w:after="120" w:line="360" w:lineRule="auto"/>
        <w:ind w:firstLine="708"/>
        <w:jc w:val="both"/>
        <w:rPr>
          <w:rFonts w:ascii="Times New Roman" w:hAnsi="Times New Roman"/>
        </w:rPr>
      </w:pPr>
      <w:r w:rsidRPr="003A2F2D">
        <w:rPr>
          <w:rFonts w:ascii="Times New Roman" w:hAnsi="Times New Roman"/>
          <w:b/>
        </w:rPr>
        <w:t>Podľa metodiky ESA 95 uplatňovanej Eurostatom hospodárila vere</w:t>
      </w:r>
      <w:r>
        <w:rPr>
          <w:rFonts w:ascii="Times New Roman" w:hAnsi="Times New Roman"/>
          <w:b/>
        </w:rPr>
        <w:t>jná správa Slovenskej republiky</w:t>
      </w:r>
      <w:r w:rsidRPr="003A2F2D">
        <w:rPr>
          <w:rFonts w:ascii="Times New Roman" w:hAnsi="Times New Roman"/>
          <w:b/>
        </w:rPr>
        <w:t xml:space="preserve"> v roku 2011 so schodkom -4,8 % HDP a</w:t>
      </w:r>
      <w:r>
        <w:rPr>
          <w:rFonts w:ascii="Times New Roman" w:hAnsi="Times New Roman"/>
          <w:b/>
        </w:rPr>
        <w:t> </w:t>
      </w:r>
      <w:r w:rsidRPr="003A2F2D">
        <w:rPr>
          <w:rFonts w:ascii="Times New Roman" w:hAnsi="Times New Roman"/>
          <w:b/>
        </w:rPr>
        <w:t>dlh</w:t>
      </w:r>
      <w:r>
        <w:rPr>
          <w:rFonts w:ascii="Times New Roman" w:hAnsi="Times New Roman"/>
          <w:b/>
        </w:rPr>
        <w:t xml:space="preserve"> verejnej správy</w:t>
      </w:r>
      <w:r w:rsidRPr="003A2F2D">
        <w:rPr>
          <w:rFonts w:ascii="Times New Roman" w:hAnsi="Times New Roman"/>
          <w:b/>
        </w:rPr>
        <w:t xml:space="preserve"> dosiahol k 31.</w:t>
      </w:r>
      <w:r w:rsidR="001E60EA">
        <w:rPr>
          <w:rFonts w:ascii="Times New Roman" w:hAnsi="Times New Roman"/>
          <w:b/>
        </w:rPr>
        <w:t xml:space="preserve"> </w:t>
      </w:r>
      <w:r w:rsidRPr="003A2F2D">
        <w:rPr>
          <w:rFonts w:ascii="Times New Roman" w:hAnsi="Times New Roman"/>
          <w:b/>
        </w:rPr>
        <w:t>12.</w:t>
      </w:r>
      <w:r w:rsidR="001E60EA">
        <w:rPr>
          <w:rFonts w:ascii="Times New Roman" w:hAnsi="Times New Roman"/>
          <w:b/>
        </w:rPr>
        <w:t xml:space="preserve"> </w:t>
      </w:r>
      <w:r w:rsidRPr="003A2F2D">
        <w:rPr>
          <w:rFonts w:ascii="Times New Roman" w:hAnsi="Times New Roman"/>
          <w:b/>
        </w:rPr>
        <w:t>2011 43,3 % HDP.</w:t>
      </w:r>
    </w:p>
    <w:p w:rsidR="001C4C5A" w:rsidP="008912C3">
      <w:pPr>
        <w:bidi w:val="0"/>
        <w:spacing w:line="360" w:lineRule="auto"/>
        <w:jc w:val="both"/>
        <w:rPr>
          <w:rFonts w:ascii="Times New Roman" w:hAnsi="Times New Roman"/>
        </w:rPr>
      </w:pPr>
      <w:r>
        <w:rPr>
          <w:rFonts w:ascii="Times New Roman" w:hAnsi="Times New Roman"/>
        </w:rPr>
        <w:t>V týchto číslach sú zahrnuté dva významné jednorazové vplyvy: vykázanie dlhov železničných spoločností a zdravotníckych zariadení za roky 2008 až 2010 v celkovej výške 574</w:t>
      </w:r>
      <w:r w:rsidR="00D01974">
        <w:rPr>
          <w:rFonts w:ascii="Times New Roman" w:hAnsi="Times New Roman"/>
        </w:rPr>
        <w:t> 382 tis</w:t>
      </w:r>
      <w:r>
        <w:rPr>
          <w:rFonts w:ascii="Times New Roman" w:hAnsi="Times New Roman"/>
        </w:rPr>
        <w:t>. eur (negatívny vplyv na schodok: 0,8 % HDP) a daň z pridanej hodnoty uhradená konzorciom GRANVIA pri výstavbe rýchlostnej c</w:t>
      </w:r>
      <w:r w:rsidR="00D01974">
        <w:rPr>
          <w:rFonts w:ascii="Times New Roman" w:hAnsi="Times New Roman"/>
        </w:rPr>
        <w:t>esty R1 v celkovej výške 173 639 tis.</w:t>
      </w:r>
      <w:r>
        <w:rPr>
          <w:rFonts w:ascii="Times New Roman" w:hAnsi="Times New Roman"/>
        </w:rPr>
        <w:t xml:space="preserve"> eur (pozitívny vplyv na schodok 0,2 % HDP). </w:t>
      </w:r>
      <w:r w:rsidRPr="00DC7426">
        <w:rPr>
          <w:rFonts w:ascii="Times New Roman" w:hAnsi="Times New Roman"/>
        </w:rPr>
        <w:t xml:space="preserve">Bez týchto jednorazových vplyvov by bol </w:t>
      </w:r>
      <w:r>
        <w:rPr>
          <w:rFonts w:ascii="Times New Roman" w:hAnsi="Times New Roman"/>
        </w:rPr>
        <w:t>schodok</w:t>
      </w:r>
      <w:r w:rsidRPr="00DC7426">
        <w:rPr>
          <w:rFonts w:ascii="Times New Roman" w:hAnsi="Times New Roman"/>
        </w:rPr>
        <w:t xml:space="preserve"> financií </w:t>
      </w:r>
      <w:r>
        <w:rPr>
          <w:rFonts w:ascii="Times New Roman" w:hAnsi="Times New Roman"/>
        </w:rPr>
        <w:t xml:space="preserve">verejnej správy </w:t>
      </w:r>
      <w:r w:rsidRPr="00DC7426">
        <w:rPr>
          <w:rFonts w:ascii="Times New Roman" w:hAnsi="Times New Roman"/>
        </w:rPr>
        <w:t>za rok 201</w:t>
      </w:r>
      <w:r>
        <w:rPr>
          <w:rFonts w:ascii="Times New Roman" w:hAnsi="Times New Roman"/>
        </w:rPr>
        <w:t>1</w:t>
      </w:r>
      <w:r w:rsidRPr="00DC7426">
        <w:rPr>
          <w:rFonts w:ascii="Times New Roman" w:hAnsi="Times New Roman"/>
        </w:rPr>
        <w:t xml:space="preserve"> vo výške 4,2 % HDP. </w:t>
      </w:r>
    </w:p>
    <w:p w:rsidR="008912C3" w:rsidP="008912C3">
      <w:pPr>
        <w:bidi w:val="0"/>
        <w:spacing w:line="360" w:lineRule="auto"/>
        <w:jc w:val="both"/>
        <w:rPr>
          <w:rFonts w:ascii="Times New Roman" w:hAnsi="Times New Roman"/>
        </w:rPr>
      </w:pPr>
      <w:r w:rsidRPr="00DF397E">
        <w:rPr>
          <w:rFonts w:ascii="Times New Roman" w:hAnsi="Times New Roman"/>
          <w:b/>
          <w:bCs/>
          <w:color w:val="000000"/>
        </w:rPr>
        <w:t>Vývoj základných ukazovateľov financií verejnej správy v rokoch 2009 až 2011</w:t>
      </w:r>
    </w:p>
    <w:tbl>
      <w:tblPr>
        <w:tblStyle w:val="TableNormal"/>
        <w:tblW w:w="0" w:type="auto"/>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85"/>
        <w:gridCol w:w="1040"/>
        <w:gridCol w:w="1204"/>
        <w:gridCol w:w="1275"/>
        <w:gridCol w:w="1159"/>
      </w:tblGrid>
      <w:tr>
        <w:tblPrEx>
          <w:tblW w:w="0" w:type="auto"/>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jc w:val="center"/>
        </w:trPr>
        <w:tc>
          <w:tcPr>
            <w:tcW w:w="288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hideMark/>
          </w:tcPr>
          <w:p w:rsidR="00DF397E" w:rsidRPr="00A75676" w:rsidP="00230B42">
            <w:pPr>
              <w:bidi w:val="0"/>
              <w:jc w:val="center"/>
              <w:rPr>
                <w:rFonts w:ascii="Times New Roman" w:hAnsi="Times New Roman"/>
                <w:b/>
                <w:color w:val="FFFFFF"/>
                <w:sz w:val="20"/>
                <w:szCs w:val="20"/>
              </w:rPr>
            </w:pPr>
            <w:r w:rsidRPr="00A75676">
              <w:rPr>
                <w:rFonts w:ascii="Times New Roman" w:hAnsi="Times New Roman"/>
                <w:b/>
                <w:color w:val="FFFFFF"/>
                <w:sz w:val="20"/>
                <w:szCs w:val="20"/>
              </w:rPr>
              <w:t>Ukazovateľ</w:t>
            </w:r>
          </w:p>
        </w:tc>
        <w:tc>
          <w:tcPr>
            <w:tcW w:w="104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hideMark/>
          </w:tcPr>
          <w:p w:rsidR="00DF397E" w:rsidRPr="00A75676" w:rsidP="00230B42">
            <w:pPr>
              <w:bidi w:val="0"/>
              <w:jc w:val="center"/>
              <w:rPr>
                <w:rFonts w:ascii="Times New Roman" w:hAnsi="Times New Roman"/>
                <w:b/>
                <w:color w:val="FFFFFF"/>
                <w:sz w:val="20"/>
                <w:szCs w:val="20"/>
              </w:rPr>
            </w:pPr>
            <w:r w:rsidRPr="00A75676">
              <w:rPr>
                <w:rFonts w:ascii="Times New Roman" w:hAnsi="Times New Roman"/>
                <w:b/>
                <w:color w:val="FFFFFF"/>
                <w:sz w:val="20"/>
                <w:szCs w:val="20"/>
              </w:rPr>
              <w:t>m. j.</w:t>
            </w:r>
          </w:p>
        </w:tc>
        <w:tc>
          <w:tcPr>
            <w:tcW w:w="1204"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hideMark/>
          </w:tcPr>
          <w:p w:rsidR="00DF397E" w:rsidRPr="00A75676" w:rsidP="00230B42">
            <w:pPr>
              <w:bidi w:val="0"/>
              <w:jc w:val="center"/>
              <w:rPr>
                <w:rFonts w:ascii="Times New Roman" w:hAnsi="Times New Roman"/>
                <w:b/>
                <w:color w:val="FFFFFF"/>
                <w:sz w:val="20"/>
                <w:szCs w:val="20"/>
              </w:rPr>
            </w:pPr>
            <w:r w:rsidRPr="00A75676">
              <w:rPr>
                <w:rFonts w:ascii="Times New Roman" w:hAnsi="Times New Roman"/>
                <w:b/>
                <w:color w:val="FFFFFF"/>
                <w:sz w:val="20"/>
                <w:szCs w:val="20"/>
              </w:rPr>
              <w:t>2009</w:t>
            </w:r>
          </w:p>
        </w:tc>
        <w:tc>
          <w:tcPr>
            <w:tcW w:w="127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hideMark/>
          </w:tcPr>
          <w:p w:rsidR="00DF397E" w:rsidRPr="00A75676" w:rsidP="00230B42">
            <w:pPr>
              <w:bidi w:val="0"/>
              <w:jc w:val="center"/>
              <w:rPr>
                <w:rFonts w:ascii="Times New Roman" w:hAnsi="Times New Roman"/>
                <w:b/>
                <w:color w:val="FFFFFF"/>
                <w:sz w:val="20"/>
                <w:szCs w:val="20"/>
              </w:rPr>
            </w:pPr>
            <w:r w:rsidRPr="00A75676">
              <w:rPr>
                <w:rFonts w:ascii="Times New Roman" w:hAnsi="Times New Roman"/>
                <w:b/>
                <w:color w:val="FFFFFF"/>
                <w:sz w:val="20"/>
                <w:szCs w:val="20"/>
              </w:rPr>
              <w:t>2010</w:t>
            </w:r>
          </w:p>
        </w:tc>
        <w:tc>
          <w:tcPr>
            <w:tcW w:w="1159"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hideMark/>
          </w:tcPr>
          <w:p w:rsidR="00DF397E" w:rsidRPr="00A75676" w:rsidP="00230B42">
            <w:pPr>
              <w:bidi w:val="0"/>
              <w:jc w:val="center"/>
              <w:rPr>
                <w:rFonts w:ascii="Times New Roman" w:hAnsi="Times New Roman"/>
                <w:b/>
                <w:color w:val="FFFFFF"/>
                <w:sz w:val="20"/>
                <w:szCs w:val="20"/>
              </w:rPr>
            </w:pPr>
            <w:r w:rsidRPr="00A75676">
              <w:rPr>
                <w:rFonts w:ascii="Times New Roman" w:hAnsi="Times New Roman"/>
                <w:b/>
                <w:color w:val="FFFFFF"/>
                <w:sz w:val="20"/>
                <w:szCs w:val="20"/>
              </w:rPr>
              <w:t>2011</w:t>
            </w:r>
          </w:p>
        </w:tc>
      </w:tr>
      <w:tr>
        <w:tblPrEx>
          <w:tblW w:w="0" w:type="auto"/>
          <w:jc w:val="center"/>
          <w:tblInd w:w="-979" w:type="dxa"/>
          <w:tblCellMar>
            <w:left w:w="70" w:type="dxa"/>
            <w:right w:w="70" w:type="dxa"/>
          </w:tblCellMar>
          <w:tblLook w:val="04A0"/>
        </w:tblPrEx>
        <w:trPr>
          <w:trHeight w:val="330"/>
          <w:jc w:val="center"/>
        </w:trPr>
        <w:tc>
          <w:tcPr>
            <w:tcW w:w="2885"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DF397E" w:rsidRPr="00DF397E" w:rsidP="00230B42">
            <w:pPr>
              <w:bidi w:val="0"/>
              <w:rPr>
                <w:rFonts w:ascii="Times New Roman" w:hAnsi="Times New Roman"/>
                <w:color w:val="000000"/>
                <w:sz w:val="20"/>
                <w:szCs w:val="20"/>
              </w:rPr>
            </w:pPr>
            <w:r w:rsidRPr="00DF397E">
              <w:rPr>
                <w:rFonts w:ascii="Times New Roman" w:hAnsi="Times New Roman"/>
                <w:color w:val="000000"/>
                <w:sz w:val="20"/>
                <w:szCs w:val="20"/>
              </w:rPr>
              <w:t>ESA schodok</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8912C3">
            <w:pPr>
              <w:bidi w:val="0"/>
              <w:jc w:val="center"/>
              <w:rPr>
                <w:rFonts w:ascii="Times New Roman" w:hAnsi="Times New Roman"/>
                <w:color w:val="000000"/>
                <w:sz w:val="20"/>
                <w:szCs w:val="20"/>
              </w:rPr>
            </w:pPr>
            <w:r w:rsidRPr="00DF397E">
              <w:rPr>
                <w:rFonts w:ascii="Times New Roman" w:hAnsi="Times New Roman"/>
                <w:color w:val="000000"/>
                <w:sz w:val="20"/>
                <w:szCs w:val="20"/>
              </w:rPr>
              <w:t xml:space="preserve">tis. </w:t>
            </w:r>
            <w:r w:rsidR="008912C3">
              <w:rPr>
                <w:rFonts w:ascii="Times New Roman" w:hAnsi="Times New Roman"/>
                <w:color w:val="000000"/>
                <w:sz w:val="20"/>
                <w:szCs w:val="20"/>
              </w:rPr>
              <w:t>eur</w:t>
            </w:r>
          </w:p>
        </w:tc>
        <w:tc>
          <w:tcPr>
            <w:tcW w:w="1204"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right"/>
              <w:rPr>
                <w:rFonts w:ascii="Times New Roman" w:hAnsi="Times New Roman"/>
                <w:color w:val="000000"/>
                <w:sz w:val="20"/>
                <w:szCs w:val="20"/>
              </w:rPr>
            </w:pPr>
            <w:r w:rsidRPr="00DF397E">
              <w:rPr>
                <w:rFonts w:ascii="Times New Roman" w:hAnsi="Times New Roman"/>
                <w:color w:val="000000"/>
                <w:sz w:val="20"/>
                <w:szCs w:val="20"/>
              </w:rPr>
              <w:t>-5 021 95</w:t>
            </w:r>
            <w:r w:rsidR="00D01974">
              <w:rPr>
                <w:rFonts w:ascii="Times New Roman" w:hAnsi="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right"/>
              <w:rPr>
                <w:rFonts w:ascii="Times New Roman" w:hAnsi="Times New Roman"/>
                <w:color w:val="000000"/>
                <w:sz w:val="20"/>
                <w:szCs w:val="20"/>
              </w:rPr>
            </w:pPr>
            <w:r w:rsidRPr="00DF397E">
              <w:rPr>
                <w:rFonts w:ascii="Times New Roman" w:hAnsi="Times New Roman"/>
                <w:color w:val="000000"/>
                <w:sz w:val="20"/>
                <w:szCs w:val="20"/>
              </w:rPr>
              <w:t>-5 0</w:t>
            </w:r>
            <w:r w:rsidR="00D01974">
              <w:rPr>
                <w:rFonts w:ascii="Times New Roman" w:hAnsi="Times New Roman"/>
                <w:color w:val="000000"/>
                <w:sz w:val="20"/>
                <w:szCs w:val="20"/>
              </w:rPr>
              <w:t>47</w:t>
            </w:r>
            <w:r w:rsidRPr="00DF397E">
              <w:rPr>
                <w:rFonts w:ascii="Times New Roman" w:hAnsi="Times New Roman"/>
                <w:color w:val="000000"/>
                <w:sz w:val="20"/>
                <w:szCs w:val="20"/>
              </w:rPr>
              <w:t xml:space="preserve"> </w:t>
            </w:r>
            <w:r w:rsidR="00D01974">
              <w:rPr>
                <w:rFonts w:ascii="Times New Roman" w:hAnsi="Times New Roman"/>
                <w:color w:val="000000"/>
                <w:sz w:val="20"/>
                <w:szCs w:val="20"/>
              </w:rPr>
              <w:t>028</w:t>
            </w:r>
          </w:p>
        </w:tc>
        <w:tc>
          <w:tcPr>
            <w:tcW w:w="1159"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-3 326 566</w:t>
            </w:r>
          </w:p>
        </w:tc>
      </w:tr>
      <w:tr>
        <w:tblPrEx>
          <w:tblW w:w="0" w:type="auto"/>
          <w:jc w:val="center"/>
          <w:tblInd w:w="-979" w:type="dxa"/>
          <w:tblCellMar>
            <w:left w:w="70" w:type="dxa"/>
            <w:right w:w="70" w:type="dxa"/>
          </w:tblCellMar>
          <w:tblLook w:val="04A0"/>
        </w:tblPrEx>
        <w:trPr>
          <w:trHeight w:val="330"/>
          <w:jc w:val="center"/>
        </w:trPr>
        <w:tc>
          <w:tcPr>
            <w:tcW w:w="2885" w:type="dxa"/>
            <w:vMerge/>
            <w:tcBorders>
              <w:top w:val="single" w:sz="4" w:space="0" w:color="auto"/>
              <w:left w:val="single" w:sz="4" w:space="0" w:color="auto"/>
              <w:bottom w:val="single" w:sz="4" w:space="0" w:color="auto"/>
              <w:right w:val="single" w:sz="4" w:space="0" w:color="auto"/>
            </w:tcBorders>
            <w:textDirection w:val="lrTb"/>
            <w:vAlign w:val="center"/>
            <w:hideMark/>
          </w:tcPr>
          <w:p w:rsidR="00DF397E" w:rsidRPr="00DF397E" w:rsidP="00230B42">
            <w:pPr>
              <w:bidi w:val="0"/>
              <w:rPr>
                <w:rFonts w:ascii="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center"/>
              <w:rPr>
                <w:rFonts w:ascii="Times New Roman" w:hAnsi="Times New Roman"/>
                <w:color w:val="000000"/>
                <w:sz w:val="20"/>
                <w:szCs w:val="20"/>
              </w:rPr>
            </w:pPr>
            <w:r w:rsidRPr="00DF397E">
              <w:rPr>
                <w:rFonts w:ascii="Times New Roman" w:hAnsi="Times New Roman"/>
                <w:color w:val="000000"/>
                <w:sz w:val="20"/>
                <w:szCs w:val="20"/>
              </w:rPr>
              <w:t>%HDP</w:t>
            </w:r>
          </w:p>
        </w:tc>
        <w:tc>
          <w:tcPr>
            <w:tcW w:w="1204"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right"/>
              <w:rPr>
                <w:rFonts w:ascii="Times New Roman" w:hAnsi="Times New Roman"/>
                <w:color w:val="000000"/>
                <w:sz w:val="20"/>
                <w:szCs w:val="20"/>
              </w:rPr>
            </w:pPr>
            <w:r w:rsidRPr="00DF397E">
              <w:rPr>
                <w:rFonts w:ascii="Times New Roman" w:hAnsi="Times New Roman"/>
                <w:color w:val="000000"/>
                <w:sz w:val="20"/>
                <w:szCs w:val="20"/>
              </w:rPr>
              <w:t>-7,6</w:t>
            </w:r>
            <w:r w:rsidR="00D01974">
              <w:rPr>
                <w:rFonts w:ascii="Times New Roman" w:hAnsi="Times New Roman"/>
                <w:color w:val="000000"/>
                <w:sz w:val="20"/>
                <w:szCs w:val="20"/>
              </w:rPr>
              <w:t>8</w:t>
            </w:r>
          </w:p>
        </w:tc>
        <w:tc>
          <w:tcPr>
            <w:tcW w:w="1159"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-4,82</w:t>
            </w:r>
          </w:p>
        </w:tc>
      </w:tr>
      <w:tr>
        <w:tblPrEx>
          <w:tblW w:w="0" w:type="auto"/>
          <w:jc w:val="center"/>
          <w:tblInd w:w="-979" w:type="dxa"/>
          <w:tblCellMar>
            <w:left w:w="70" w:type="dxa"/>
            <w:right w:w="70" w:type="dxa"/>
          </w:tblCellMar>
          <w:tblLook w:val="04A0"/>
        </w:tblPrEx>
        <w:trPr>
          <w:trHeight w:val="330"/>
          <w:jc w:val="center"/>
        </w:trPr>
        <w:tc>
          <w:tcPr>
            <w:tcW w:w="2885"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DF397E" w:rsidRPr="00DF397E" w:rsidP="00230B42">
            <w:pPr>
              <w:bidi w:val="0"/>
              <w:rPr>
                <w:rFonts w:ascii="Times New Roman" w:hAnsi="Times New Roman"/>
                <w:color w:val="000000"/>
                <w:sz w:val="20"/>
                <w:szCs w:val="20"/>
              </w:rPr>
            </w:pPr>
            <w:r w:rsidRPr="00DF397E">
              <w:rPr>
                <w:rFonts w:ascii="Times New Roman" w:hAnsi="Times New Roman"/>
                <w:color w:val="000000"/>
                <w:sz w:val="20"/>
                <w:szCs w:val="20"/>
              </w:rPr>
              <w:t>Maastrichtský dlh</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center"/>
              <w:rPr>
                <w:rFonts w:ascii="Times New Roman" w:hAnsi="Times New Roman"/>
                <w:color w:val="000000"/>
                <w:sz w:val="20"/>
                <w:szCs w:val="20"/>
              </w:rPr>
            </w:pPr>
            <w:r w:rsidRPr="00DF397E">
              <w:rPr>
                <w:rFonts w:ascii="Times New Roman" w:hAnsi="Times New Roman"/>
                <w:color w:val="000000"/>
                <w:sz w:val="20"/>
                <w:szCs w:val="20"/>
              </w:rPr>
              <w:t xml:space="preserve">tis. </w:t>
            </w:r>
            <w:r w:rsidR="00D01974">
              <w:rPr>
                <w:rFonts w:ascii="Times New Roman" w:hAnsi="Times New Roman"/>
                <w:color w:val="000000"/>
                <w:sz w:val="20"/>
                <w:szCs w:val="20"/>
              </w:rPr>
              <w:t>eur</w:t>
            </w:r>
          </w:p>
        </w:tc>
        <w:tc>
          <w:tcPr>
            <w:tcW w:w="1204"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22 331 285</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26 998 378</w:t>
            </w:r>
          </w:p>
        </w:tc>
        <w:tc>
          <w:tcPr>
            <w:tcW w:w="1159"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29 911 262</w:t>
            </w:r>
          </w:p>
        </w:tc>
      </w:tr>
      <w:tr>
        <w:tblPrEx>
          <w:tblW w:w="0" w:type="auto"/>
          <w:jc w:val="center"/>
          <w:tblInd w:w="-979" w:type="dxa"/>
          <w:tblCellMar>
            <w:left w:w="70" w:type="dxa"/>
            <w:right w:w="70" w:type="dxa"/>
          </w:tblCellMar>
          <w:tblLook w:val="04A0"/>
        </w:tblPrEx>
        <w:trPr>
          <w:trHeight w:val="330"/>
          <w:jc w:val="center"/>
        </w:trPr>
        <w:tc>
          <w:tcPr>
            <w:tcW w:w="2885" w:type="dxa"/>
            <w:vMerge/>
            <w:tcBorders>
              <w:top w:val="single" w:sz="4" w:space="0" w:color="auto"/>
              <w:left w:val="single" w:sz="4" w:space="0" w:color="auto"/>
              <w:bottom w:val="single" w:sz="4" w:space="0" w:color="auto"/>
              <w:right w:val="single" w:sz="4" w:space="0" w:color="auto"/>
            </w:tcBorders>
            <w:textDirection w:val="lrTb"/>
            <w:vAlign w:val="center"/>
            <w:hideMark/>
          </w:tcPr>
          <w:p w:rsidR="00DF397E" w:rsidRPr="00DF397E" w:rsidP="00230B42">
            <w:pPr>
              <w:bidi w:val="0"/>
              <w:rPr>
                <w:rFonts w:ascii="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center"/>
              <w:rPr>
                <w:rFonts w:ascii="Times New Roman" w:hAnsi="Times New Roman"/>
                <w:color w:val="000000"/>
                <w:sz w:val="20"/>
                <w:szCs w:val="20"/>
              </w:rPr>
            </w:pPr>
            <w:r w:rsidRPr="00DF397E">
              <w:rPr>
                <w:rFonts w:ascii="Times New Roman" w:hAnsi="Times New Roman"/>
                <w:color w:val="000000"/>
                <w:sz w:val="20"/>
                <w:szCs w:val="20"/>
              </w:rPr>
              <w:t>%HDP</w:t>
            </w:r>
          </w:p>
        </w:tc>
        <w:tc>
          <w:tcPr>
            <w:tcW w:w="1204"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35,56</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41,07</w:t>
            </w:r>
          </w:p>
        </w:tc>
        <w:tc>
          <w:tcPr>
            <w:tcW w:w="1159"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43,31</w:t>
            </w:r>
          </w:p>
        </w:tc>
      </w:tr>
      <w:tr>
        <w:tblPrEx>
          <w:tblW w:w="0" w:type="auto"/>
          <w:jc w:val="center"/>
          <w:tblInd w:w="-979" w:type="dxa"/>
          <w:tblCellMar>
            <w:left w:w="70" w:type="dxa"/>
            <w:right w:w="70" w:type="dxa"/>
          </w:tblCellMar>
          <w:tblLook w:val="04A0"/>
        </w:tblPrEx>
        <w:trPr>
          <w:trHeight w:val="330"/>
          <w:jc w:val="center"/>
        </w:trPr>
        <w:tc>
          <w:tcPr>
            <w:tcW w:w="288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381259">
            <w:pPr>
              <w:bidi w:val="0"/>
              <w:rPr>
                <w:rFonts w:ascii="Times New Roman" w:hAnsi="Times New Roman"/>
                <w:color w:val="000000"/>
                <w:sz w:val="20"/>
                <w:szCs w:val="20"/>
              </w:rPr>
            </w:pPr>
            <w:r w:rsidRPr="00DF397E">
              <w:rPr>
                <w:rFonts w:ascii="Times New Roman" w:hAnsi="Times New Roman"/>
                <w:color w:val="000000"/>
                <w:sz w:val="20"/>
                <w:szCs w:val="20"/>
              </w:rPr>
              <w:t>HDP v</w:t>
            </w:r>
            <w:r w:rsidR="00381259">
              <w:rPr>
                <w:rFonts w:ascii="Times New Roman" w:hAnsi="Times New Roman"/>
                <w:color w:val="000000"/>
                <w:sz w:val="20"/>
                <w:szCs w:val="20"/>
              </w:rPr>
              <w:t> </w:t>
            </w:r>
            <w:r w:rsidRPr="00DF397E">
              <w:rPr>
                <w:rFonts w:ascii="Times New Roman" w:hAnsi="Times New Roman"/>
                <w:color w:val="000000"/>
                <w:sz w:val="20"/>
                <w:szCs w:val="20"/>
              </w:rPr>
              <w:t>b</w:t>
            </w:r>
            <w:r w:rsidR="00381259">
              <w:rPr>
                <w:rFonts w:ascii="Times New Roman" w:hAnsi="Times New Roman"/>
                <w:color w:val="000000"/>
                <w:sz w:val="20"/>
                <w:szCs w:val="20"/>
              </w:rPr>
              <w:t>ežných cenách</w:t>
            </w:r>
            <w:r w:rsidRPr="00DF397E">
              <w:rPr>
                <w:rFonts w:ascii="Times New Roman" w:hAnsi="Times New Roman"/>
                <w:color w:val="000000"/>
                <w:sz w:val="20"/>
                <w:szCs w:val="20"/>
              </w:rPr>
              <w:t>.</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center"/>
              <w:rPr>
                <w:rFonts w:ascii="Times New Roman" w:hAnsi="Times New Roman"/>
                <w:color w:val="000000"/>
                <w:sz w:val="20"/>
                <w:szCs w:val="20"/>
              </w:rPr>
            </w:pPr>
            <w:r w:rsidRPr="00DF397E">
              <w:rPr>
                <w:rFonts w:ascii="Times New Roman" w:hAnsi="Times New Roman"/>
                <w:color w:val="000000"/>
                <w:sz w:val="20"/>
                <w:szCs w:val="20"/>
              </w:rPr>
              <w:t xml:space="preserve">tis. </w:t>
            </w:r>
            <w:r w:rsidR="00D01974">
              <w:rPr>
                <w:rFonts w:ascii="Times New Roman" w:hAnsi="Times New Roman"/>
                <w:color w:val="000000"/>
                <w:sz w:val="20"/>
                <w:szCs w:val="20"/>
              </w:rPr>
              <w:t>eur</w:t>
            </w:r>
          </w:p>
        </w:tc>
        <w:tc>
          <w:tcPr>
            <w:tcW w:w="1204"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right"/>
              <w:rPr>
                <w:rFonts w:ascii="Times New Roman" w:hAnsi="Times New Roman"/>
                <w:color w:val="000000"/>
                <w:sz w:val="20"/>
                <w:szCs w:val="20"/>
              </w:rPr>
            </w:pPr>
            <w:r w:rsidRPr="00DF397E">
              <w:rPr>
                <w:rFonts w:ascii="Times New Roman" w:hAnsi="Times New Roman"/>
                <w:color w:val="000000"/>
                <w:sz w:val="20"/>
                <w:szCs w:val="20"/>
              </w:rPr>
              <w:t xml:space="preserve">62 795 </w:t>
            </w:r>
            <w:r w:rsidR="00D01974">
              <w:rPr>
                <w:rFonts w:ascii="Times New Roman" w:hAnsi="Times New Roman"/>
                <w:color w:val="000000"/>
                <w:sz w:val="20"/>
                <w:szCs w:val="20"/>
              </w:rPr>
              <w:t>2</w:t>
            </w:r>
            <w:r w:rsidRPr="00DF397E">
              <w:rPr>
                <w:rFonts w:ascii="Times New Roman" w:hAnsi="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hideMark/>
          </w:tcPr>
          <w:p w:rsidR="00DF397E" w:rsidRPr="00DF397E" w:rsidP="00D01974">
            <w:pPr>
              <w:bidi w:val="0"/>
              <w:jc w:val="right"/>
              <w:rPr>
                <w:rFonts w:ascii="Times New Roman" w:hAnsi="Times New Roman"/>
                <w:color w:val="000000"/>
                <w:sz w:val="20"/>
                <w:szCs w:val="20"/>
              </w:rPr>
            </w:pPr>
            <w:r w:rsidRPr="00DF397E">
              <w:rPr>
                <w:rFonts w:ascii="Times New Roman" w:hAnsi="Times New Roman"/>
                <w:color w:val="000000"/>
                <w:sz w:val="20"/>
                <w:szCs w:val="20"/>
              </w:rPr>
              <w:t>65 74</w:t>
            </w:r>
            <w:r w:rsidR="00D01974">
              <w:rPr>
                <w:rFonts w:ascii="Times New Roman" w:hAnsi="Times New Roman"/>
                <w:color w:val="000000"/>
                <w:sz w:val="20"/>
                <w:szCs w:val="20"/>
              </w:rPr>
              <w:t>3</w:t>
            </w:r>
            <w:r w:rsidRPr="00DF397E">
              <w:rPr>
                <w:rFonts w:ascii="Times New Roman" w:hAnsi="Times New Roman"/>
                <w:color w:val="000000"/>
                <w:sz w:val="20"/>
                <w:szCs w:val="20"/>
              </w:rPr>
              <w:t xml:space="preserve"> </w:t>
            </w:r>
            <w:r w:rsidR="00D01974">
              <w:rPr>
                <w:rFonts w:ascii="Times New Roman" w:hAnsi="Times New Roman"/>
                <w:color w:val="000000"/>
                <w:sz w:val="20"/>
                <w:szCs w:val="20"/>
              </w:rPr>
              <w:t>5</w:t>
            </w:r>
            <w:r w:rsidRPr="00DF397E">
              <w:rPr>
                <w:rFonts w:ascii="Times New Roman" w:hAnsi="Times New Roman"/>
                <w:color w:val="000000"/>
                <w:sz w:val="20"/>
                <w:szCs w:val="20"/>
              </w:rPr>
              <w:t>00</w:t>
            </w:r>
          </w:p>
        </w:tc>
        <w:tc>
          <w:tcPr>
            <w:tcW w:w="1159"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DF397E" w:rsidRPr="00DF397E" w:rsidP="00230B42">
            <w:pPr>
              <w:bidi w:val="0"/>
              <w:jc w:val="right"/>
              <w:rPr>
                <w:rFonts w:ascii="Times New Roman" w:hAnsi="Times New Roman"/>
                <w:color w:val="000000"/>
                <w:sz w:val="20"/>
                <w:szCs w:val="20"/>
              </w:rPr>
            </w:pPr>
            <w:r w:rsidRPr="00DF397E">
              <w:rPr>
                <w:rFonts w:ascii="Times New Roman" w:hAnsi="Times New Roman"/>
                <w:color w:val="000000"/>
                <w:sz w:val="20"/>
                <w:szCs w:val="20"/>
              </w:rPr>
              <w:t>69 058 194</w:t>
            </w:r>
          </w:p>
        </w:tc>
      </w:tr>
    </w:tbl>
    <w:p w:rsidR="001E60EA" w:rsidP="007706DC">
      <w:pPr>
        <w:tabs>
          <w:tab w:val="left" w:pos="6720"/>
        </w:tabs>
        <w:bidi w:val="0"/>
        <w:spacing w:before="120" w:after="120"/>
        <w:ind w:left="567"/>
        <w:rPr>
          <w:rFonts w:ascii="Times New Roman" w:hAnsi="Times New Roman"/>
          <w:sz w:val="20"/>
          <w:szCs w:val="20"/>
        </w:rPr>
      </w:pPr>
      <w:r w:rsidR="006E335F">
        <w:rPr>
          <w:rFonts w:ascii="Times New Roman" w:hAnsi="Times New Roman"/>
          <w:sz w:val="20"/>
          <w:szCs w:val="20"/>
        </w:rPr>
        <w:t xml:space="preserve">        </w:t>
      </w:r>
      <w:r w:rsidRPr="00DF397E" w:rsidR="00DF397E">
        <w:rPr>
          <w:rFonts w:ascii="Times New Roman" w:hAnsi="Times New Roman"/>
          <w:sz w:val="20"/>
          <w:szCs w:val="20"/>
        </w:rPr>
        <w:t>Zdroj: Štatistický úrad SR, Ministerstvo financií SR</w:t>
      </w:r>
    </w:p>
    <w:p w:rsidR="00DF397E" w:rsidRPr="00DF397E" w:rsidP="007706DC">
      <w:pPr>
        <w:tabs>
          <w:tab w:val="left" w:pos="6720"/>
        </w:tabs>
        <w:bidi w:val="0"/>
        <w:spacing w:before="120" w:after="120"/>
        <w:ind w:left="567"/>
        <w:jc w:val="both"/>
        <w:rPr>
          <w:rFonts w:ascii="Times New Roman" w:hAnsi="Times New Roman"/>
          <w:sz w:val="20"/>
          <w:szCs w:val="20"/>
        </w:rPr>
      </w:pPr>
      <w:r w:rsidR="006E335F">
        <w:rPr>
          <w:rFonts w:ascii="Times New Roman" w:hAnsi="Times New Roman"/>
          <w:sz w:val="20"/>
          <w:szCs w:val="20"/>
        </w:rPr>
        <w:t xml:space="preserve">        </w:t>
      </w:r>
      <w:r w:rsidR="00381259">
        <w:rPr>
          <w:rFonts w:ascii="Times New Roman" w:hAnsi="Times New Roman"/>
          <w:sz w:val="20"/>
          <w:szCs w:val="20"/>
        </w:rPr>
        <w:t>Údaje za rok 2010,</w:t>
      </w:r>
      <w:r w:rsidR="00BB78E6">
        <w:rPr>
          <w:rFonts w:ascii="Times New Roman" w:hAnsi="Times New Roman"/>
          <w:sz w:val="20"/>
          <w:szCs w:val="20"/>
        </w:rPr>
        <w:t xml:space="preserve"> </w:t>
      </w:r>
      <w:r w:rsidR="00381259">
        <w:rPr>
          <w:rFonts w:ascii="Times New Roman" w:hAnsi="Times New Roman"/>
          <w:sz w:val="20"/>
          <w:szCs w:val="20"/>
        </w:rPr>
        <w:t>2009 sú na základe jesennej notifikácie,</w:t>
      </w:r>
      <w:r w:rsidR="004F2313">
        <w:rPr>
          <w:rFonts w:ascii="Times New Roman" w:hAnsi="Times New Roman"/>
          <w:sz w:val="20"/>
          <w:szCs w:val="20"/>
        </w:rPr>
        <w:t xml:space="preserve"> </w:t>
      </w:r>
      <w:r w:rsidR="00381259">
        <w:rPr>
          <w:rFonts w:ascii="Times New Roman" w:hAnsi="Times New Roman"/>
          <w:sz w:val="20"/>
          <w:szCs w:val="20"/>
        </w:rPr>
        <w:t>potvrdené Eurostatom</w:t>
      </w:r>
      <w:r w:rsidRPr="00DF397E">
        <w:rPr>
          <w:rFonts w:ascii="Times New Roman" w:hAnsi="Times New Roman"/>
          <w:sz w:val="20"/>
          <w:szCs w:val="20"/>
        </w:rPr>
        <w:tab/>
      </w:r>
    </w:p>
    <w:p w:rsidR="001C4C5A" w:rsidP="00491E04">
      <w:pPr>
        <w:bidi w:val="0"/>
        <w:spacing w:before="120" w:after="120" w:line="360" w:lineRule="auto"/>
        <w:jc w:val="both"/>
        <w:rPr>
          <w:rFonts w:ascii="Times New Roman" w:hAnsi="Times New Roman"/>
        </w:rPr>
      </w:pPr>
      <w:r>
        <w:rPr>
          <w:rFonts w:ascii="Times New Roman" w:hAnsi="Times New Roman"/>
        </w:rPr>
        <w:t xml:space="preserve">Z hľadiska </w:t>
      </w:r>
      <w:r w:rsidRPr="00483BDA">
        <w:rPr>
          <w:rFonts w:ascii="Times New Roman" w:hAnsi="Times New Roman"/>
          <w:b/>
        </w:rPr>
        <w:t>porovnania dosiahnutých výsledkov</w:t>
      </w:r>
      <w:r>
        <w:rPr>
          <w:rFonts w:ascii="Times New Roman" w:hAnsi="Times New Roman"/>
        </w:rPr>
        <w:t xml:space="preserve"> hospodárenia verejných financií s </w:t>
      </w:r>
      <w:r w:rsidRPr="00483BDA">
        <w:rPr>
          <w:rFonts w:ascii="Times New Roman" w:hAnsi="Times New Roman"/>
          <w:b/>
        </w:rPr>
        <w:t>rozpočtovaným</w:t>
      </w:r>
      <w:r>
        <w:rPr>
          <w:rFonts w:ascii="Times New Roman" w:hAnsi="Times New Roman"/>
        </w:rPr>
        <w:t>i (schodok: 4,9 % HDP) boli najvýznamnejšie rozdiely zaznamenané v týchto oblastiach:</w:t>
      </w:r>
    </w:p>
    <w:p w:rsidR="001C4C5A" w:rsidRPr="00DC7426" w:rsidP="00491E04">
      <w:pPr>
        <w:pStyle w:val="ListParagraph"/>
        <w:numPr>
          <w:numId w:val="14"/>
        </w:numPr>
        <w:bidi w:val="0"/>
        <w:spacing w:before="120" w:after="120" w:line="360" w:lineRule="auto"/>
        <w:contextualSpacing w:val="0"/>
        <w:jc w:val="both"/>
        <w:rPr>
          <w:rFonts w:ascii="Times New Roman" w:hAnsi="Times New Roman"/>
          <w:sz w:val="24"/>
          <w:szCs w:val="24"/>
        </w:rPr>
      </w:pPr>
      <w:r w:rsidR="00483BDA">
        <w:rPr>
          <w:rFonts w:ascii="Times New Roman" w:hAnsi="Times New Roman"/>
          <w:sz w:val="24"/>
          <w:szCs w:val="24"/>
        </w:rPr>
        <w:t>c</w:t>
      </w:r>
      <w:r w:rsidRPr="00DC7426">
        <w:rPr>
          <w:rFonts w:ascii="Times New Roman" w:hAnsi="Times New Roman"/>
          <w:sz w:val="24"/>
          <w:szCs w:val="24"/>
        </w:rPr>
        <w:t xml:space="preserve">elkový pozitívny vplyv na </w:t>
      </w:r>
      <w:r>
        <w:rPr>
          <w:rFonts w:ascii="Times New Roman" w:hAnsi="Times New Roman"/>
          <w:sz w:val="24"/>
          <w:szCs w:val="24"/>
        </w:rPr>
        <w:t>schodok</w:t>
      </w:r>
      <w:r w:rsidRPr="00DC7426">
        <w:rPr>
          <w:rFonts w:ascii="Times New Roman" w:hAnsi="Times New Roman"/>
          <w:sz w:val="24"/>
          <w:szCs w:val="24"/>
        </w:rPr>
        <w:t xml:space="preserve"> financií </w:t>
      </w:r>
      <w:r>
        <w:rPr>
          <w:rFonts w:ascii="Times New Roman" w:hAnsi="Times New Roman"/>
          <w:sz w:val="24"/>
          <w:szCs w:val="24"/>
        </w:rPr>
        <w:t xml:space="preserve">verejnej správy </w:t>
      </w:r>
      <w:r w:rsidRPr="00DC7426">
        <w:rPr>
          <w:rFonts w:ascii="Times New Roman" w:hAnsi="Times New Roman"/>
          <w:sz w:val="24"/>
          <w:szCs w:val="24"/>
        </w:rPr>
        <w:t>v porovnaní s rozpočtom v hodnote 1</w:t>
      </w:r>
      <w:r w:rsidR="0073524E">
        <w:rPr>
          <w:rFonts w:ascii="Times New Roman" w:hAnsi="Times New Roman"/>
          <w:sz w:val="24"/>
          <w:szCs w:val="24"/>
        </w:rPr>
        <w:t xml:space="preserve"> </w:t>
      </w:r>
      <w:r w:rsidRPr="00DC7426">
        <w:rPr>
          <w:rFonts w:ascii="Times New Roman" w:hAnsi="Times New Roman"/>
          <w:sz w:val="24"/>
          <w:szCs w:val="24"/>
        </w:rPr>
        <w:t>24</w:t>
      </w:r>
      <w:r w:rsidR="00BB78E6">
        <w:rPr>
          <w:rFonts w:ascii="Times New Roman" w:hAnsi="Times New Roman"/>
          <w:sz w:val="24"/>
          <w:szCs w:val="24"/>
        </w:rPr>
        <w:t>3</w:t>
      </w:r>
      <w:r w:rsidR="0073524E">
        <w:rPr>
          <w:rFonts w:ascii="Times New Roman" w:hAnsi="Times New Roman"/>
          <w:sz w:val="24"/>
          <w:szCs w:val="24"/>
        </w:rPr>
        <w:t xml:space="preserve"> 192</w:t>
      </w:r>
      <w:r w:rsidRPr="00DC7426">
        <w:rPr>
          <w:rFonts w:ascii="Times New Roman" w:hAnsi="Times New Roman"/>
          <w:sz w:val="24"/>
          <w:szCs w:val="24"/>
        </w:rPr>
        <w:t xml:space="preserve"> </w:t>
      </w:r>
      <w:r w:rsidR="0073524E">
        <w:rPr>
          <w:rFonts w:ascii="Times New Roman" w:hAnsi="Times New Roman"/>
          <w:sz w:val="24"/>
          <w:szCs w:val="24"/>
        </w:rPr>
        <w:t>tis</w:t>
      </w:r>
      <w:r w:rsidRPr="00DC7426">
        <w:rPr>
          <w:rFonts w:ascii="Times New Roman" w:hAnsi="Times New Roman"/>
          <w:sz w:val="24"/>
          <w:szCs w:val="24"/>
        </w:rPr>
        <w:t xml:space="preserve">. </w:t>
      </w:r>
      <w:r>
        <w:rPr>
          <w:rFonts w:ascii="Times New Roman" w:hAnsi="Times New Roman"/>
          <w:sz w:val="24"/>
          <w:szCs w:val="24"/>
        </w:rPr>
        <w:t>eur</w:t>
      </w:r>
      <w:r w:rsidRPr="00DC7426">
        <w:rPr>
          <w:rFonts w:ascii="Times New Roman" w:hAnsi="Times New Roman"/>
          <w:sz w:val="24"/>
          <w:szCs w:val="24"/>
        </w:rPr>
        <w:t xml:space="preserve"> je tvorený hlavne úsporou na spolufinancovaní európskych zdrojov (227</w:t>
      </w:r>
      <w:r w:rsidR="0073524E">
        <w:rPr>
          <w:rFonts w:ascii="Times New Roman" w:hAnsi="Times New Roman"/>
          <w:sz w:val="24"/>
          <w:szCs w:val="24"/>
        </w:rPr>
        <w:t> 308 tis</w:t>
      </w:r>
      <w:r w:rsidRPr="00DC7426">
        <w:rPr>
          <w:rFonts w:ascii="Times New Roman" w:hAnsi="Times New Roman"/>
          <w:sz w:val="24"/>
          <w:szCs w:val="24"/>
        </w:rPr>
        <w:t xml:space="preserve">. </w:t>
      </w:r>
      <w:r>
        <w:rPr>
          <w:rFonts w:ascii="Times New Roman" w:hAnsi="Times New Roman"/>
          <w:sz w:val="24"/>
          <w:szCs w:val="24"/>
        </w:rPr>
        <w:t>eur</w:t>
      </w:r>
      <w:r w:rsidRPr="00DC7426">
        <w:rPr>
          <w:rFonts w:ascii="Times New Roman" w:hAnsi="Times New Roman"/>
          <w:sz w:val="24"/>
          <w:szCs w:val="24"/>
        </w:rPr>
        <w:t xml:space="preserve">), </w:t>
      </w:r>
      <w:r w:rsidR="0073524E">
        <w:rPr>
          <w:rFonts w:ascii="Times New Roman" w:hAnsi="Times New Roman"/>
          <w:sz w:val="24"/>
          <w:szCs w:val="24"/>
        </w:rPr>
        <w:t>z</w:t>
      </w:r>
      <w:r w:rsidRPr="00DC7426">
        <w:rPr>
          <w:rFonts w:ascii="Times New Roman" w:hAnsi="Times New Roman"/>
          <w:sz w:val="24"/>
          <w:szCs w:val="24"/>
        </w:rPr>
        <w:t xml:space="preserve">lepším </w:t>
      </w:r>
      <w:r w:rsidR="0073524E">
        <w:rPr>
          <w:rFonts w:ascii="Times New Roman" w:hAnsi="Times New Roman"/>
          <w:sz w:val="24"/>
          <w:szCs w:val="24"/>
        </w:rPr>
        <w:t xml:space="preserve">pozície verejných financií vplyvom </w:t>
      </w:r>
      <w:r w:rsidRPr="00DC7426">
        <w:rPr>
          <w:rFonts w:ascii="Times New Roman" w:hAnsi="Times New Roman"/>
          <w:sz w:val="24"/>
          <w:szCs w:val="24"/>
        </w:rPr>
        <w:t>hospodáren</w:t>
      </w:r>
      <w:r w:rsidR="0073524E">
        <w:rPr>
          <w:rFonts w:ascii="Times New Roman" w:hAnsi="Times New Roman"/>
          <w:sz w:val="24"/>
          <w:szCs w:val="24"/>
        </w:rPr>
        <w:t>ia Sociálnej poisťovne (185 566 tis</w:t>
      </w:r>
      <w:r w:rsidRPr="00DC7426">
        <w:rPr>
          <w:rFonts w:ascii="Times New Roman" w:hAnsi="Times New Roman"/>
          <w:sz w:val="24"/>
          <w:szCs w:val="24"/>
        </w:rPr>
        <w:t xml:space="preserve">. </w:t>
      </w:r>
      <w:r>
        <w:rPr>
          <w:rFonts w:ascii="Times New Roman" w:hAnsi="Times New Roman"/>
          <w:sz w:val="24"/>
          <w:szCs w:val="24"/>
        </w:rPr>
        <w:t>eur</w:t>
      </w:r>
      <w:r w:rsidRPr="00DC7426">
        <w:rPr>
          <w:rFonts w:ascii="Times New Roman" w:hAnsi="Times New Roman"/>
          <w:sz w:val="24"/>
          <w:szCs w:val="24"/>
        </w:rPr>
        <w:t>), vyššími nedaňovými príjmami vrátane príjmov za predĺženie licencie telekomunikačným operátorom (168</w:t>
      </w:r>
      <w:r w:rsidR="0073524E">
        <w:rPr>
          <w:rFonts w:ascii="Times New Roman" w:hAnsi="Times New Roman"/>
          <w:sz w:val="24"/>
          <w:szCs w:val="24"/>
        </w:rPr>
        <w:t> 40</w:t>
      </w:r>
      <w:r w:rsidR="009E6F02">
        <w:rPr>
          <w:rFonts w:ascii="Times New Roman" w:hAnsi="Times New Roman"/>
          <w:sz w:val="24"/>
          <w:szCs w:val="24"/>
        </w:rPr>
        <w:t>4</w:t>
      </w:r>
      <w:r w:rsidR="0073524E">
        <w:rPr>
          <w:rFonts w:ascii="Times New Roman" w:hAnsi="Times New Roman"/>
          <w:sz w:val="24"/>
          <w:szCs w:val="24"/>
        </w:rPr>
        <w:t xml:space="preserve"> tis</w:t>
      </w:r>
      <w:r w:rsidRPr="00DC7426">
        <w:rPr>
          <w:rFonts w:ascii="Times New Roman" w:hAnsi="Times New Roman"/>
          <w:sz w:val="24"/>
          <w:szCs w:val="24"/>
        </w:rPr>
        <w:t xml:space="preserve">. </w:t>
      </w:r>
      <w:r>
        <w:rPr>
          <w:rFonts w:ascii="Times New Roman" w:hAnsi="Times New Roman"/>
          <w:sz w:val="24"/>
          <w:szCs w:val="24"/>
        </w:rPr>
        <w:t>eur</w:t>
      </w:r>
      <w:r w:rsidRPr="00DC7426">
        <w:rPr>
          <w:rFonts w:ascii="Times New Roman" w:hAnsi="Times New Roman"/>
          <w:sz w:val="24"/>
          <w:szCs w:val="24"/>
        </w:rPr>
        <w:t>) a úsporou výdavkov na obsluhe štátneho dlhu (156</w:t>
      </w:r>
      <w:r w:rsidR="0073524E">
        <w:rPr>
          <w:rFonts w:ascii="Times New Roman" w:hAnsi="Times New Roman"/>
          <w:sz w:val="24"/>
          <w:szCs w:val="24"/>
        </w:rPr>
        <w:t> 546 tis</w:t>
      </w:r>
      <w:r w:rsidRPr="00DC7426">
        <w:rPr>
          <w:rFonts w:ascii="Times New Roman" w:hAnsi="Times New Roman"/>
          <w:sz w:val="24"/>
          <w:szCs w:val="24"/>
        </w:rPr>
        <w:t xml:space="preserve">. </w:t>
      </w:r>
      <w:r>
        <w:rPr>
          <w:rFonts w:ascii="Times New Roman" w:hAnsi="Times New Roman"/>
          <w:sz w:val="24"/>
          <w:szCs w:val="24"/>
        </w:rPr>
        <w:t>eur</w:t>
      </w:r>
      <w:r w:rsidRPr="00DC7426">
        <w:rPr>
          <w:rFonts w:ascii="Times New Roman" w:hAnsi="Times New Roman"/>
          <w:sz w:val="24"/>
          <w:szCs w:val="24"/>
        </w:rPr>
        <w:t xml:space="preserve">). K pozitívnemu vývoju </w:t>
      </w:r>
      <w:r>
        <w:rPr>
          <w:rFonts w:ascii="Times New Roman" w:hAnsi="Times New Roman"/>
          <w:sz w:val="24"/>
          <w:szCs w:val="24"/>
        </w:rPr>
        <w:t>schodku</w:t>
      </w:r>
      <w:r w:rsidRPr="00DC7426">
        <w:rPr>
          <w:rFonts w:ascii="Times New Roman" w:hAnsi="Times New Roman"/>
          <w:sz w:val="24"/>
          <w:szCs w:val="24"/>
        </w:rPr>
        <w:t xml:space="preserve"> prispeli aj vyššie príjmy z dividend, úspora výdavkov verejného zdravotného poistenia, zlepšenie hospodárenia obcí a vyšších územných celkov ako aj úspora na odvode Slovenskej republiky do rozpočtu EÚ.</w:t>
      </w:r>
    </w:p>
    <w:p w:rsidR="00F03705" w:rsidRPr="00F03705" w:rsidP="00491E04">
      <w:pPr>
        <w:pStyle w:val="ListParagraph"/>
        <w:numPr>
          <w:numId w:val="14"/>
        </w:numPr>
        <w:bidi w:val="0"/>
        <w:spacing w:before="120" w:after="120" w:line="360" w:lineRule="auto"/>
        <w:ind w:left="709" w:hanging="283"/>
        <w:contextualSpacing w:val="0"/>
        <w:jc w:val="both"/>
        <w:rPr>
          <w:sz w:val="24"/>
          <w:szCs w:val="24"/>
        </w:rPr>
      </w:pPr>
      <w:r w:rsidR="00483BDA">
        <w:rPr>
          <w:rFonts w:ascii="Times New Roman" w:hAnsi="Times New Roman"/>
          <w:sz w:val="24"/>
          <w:szCs w:val="24"/>
        </w:rPr>
        <w:t>c</w:t>
      </w:r>
      <w:r w:rsidRPr="009F256B" w:rsidR="001C4C5A">
        <w:rPr>
          <w:rFonts w:ascii="Times New Roman" w:hAnsi="Times New Roman"/>
          <w:sz w:val="24"/>
          <w:szCs w:val="24"/>
        </w:rPr>
        <w:t>elkový negatívny vplyv na schodok financií verejnej správy v porovnaní s rozpočtom</w:t>
      </w:r>
      <w:r w:rsidR="00C36624">
        <w:rPr>
          <w:rFonts w:ascii="Times New Roman" w:hAnsi="Times New Roman"/>
          <w:sz w:val="24"/>
          <w:szCs w:val="24"/>
        </w:rPr>
        <w:t xml:space="preserve"> </w:t>
      </w:r>
      <w:r w:rsidR="009E6F02">
        <w:rPr>
          <w:rFonts w:ascii="Times New Roman" w:hAnsi="Times New Roman"/>
          <w:sz w:val="24"/>
          <w:szCs w:val="24"/>
        </w:rPr>
        <w:br/>
      </w:r>
      <w:r w:rsidR="00C36624">
        <w:rPr>
          <w:rFonts w:ascii="Times New Roman" w:hAnsi="Times New Roman"/>
          <w:sz w:val="24"/>
          <w:szCs w:val="24"/>
        </w:rPr>
        <w:t xml:space="preserve">v hodnote </w:t>
      </w:r>
      <w:r w:rsidRPr="009F256B" w:rsidR="001C4C5A">
        <w:rPr>
          <w:rFonts w:ascii="Times New Roman" w:hAnsi="Times New Roman"/>
          <w:sz w:val="24"/>
          <w:szCs w:val="24"/>
        </w:rPr>
        <w:t>720</w:t>
      </w:r>
      <w:r w:rsidR="009E6F02">
        <w:rPr>
          <w:rFonts w:ascii="Times New Roman" w:hAnsi="Times New Roman"/>
          <w:sz w:val="24"/>
          <w:szCs w:val="24"/>
        </w:rPr>
        <w:t xml:space="preserve"> 081 </w:t>
      </w:r>
      <w:r w:rsidR="0073524E">
        <w:rPr>
          <w:rFonts w:ascii="Times New Roman" w:hAnsi="Times New Roman"/>
          <w:sz w:val="24"/>
          <w:szCs w:val="24"/>
        </w:rPr>
        <w:t>tis</w:t>
      </w:r>
      <w:r w:rsidRPr="009F256B" w:rsidR="001C4C5A">
        <w:rPr>
          <w:rFonts w:ascii="Times New Roman" w:hAnsi="Times New Roman"/>
          <w:sz w:val="24"/>
          <w:szCs w:val="24"/>
        </w:rPr>
        <w:t xml:space="preserve">. </w:t>
      </w:r>
      <w:r w:rsidR="009E6F02">
        <w:rPr>
          <w:rFonts w:ascii="Times New Roman" w:hAnsi="Times New Roman"/>
          <w:sz w:val="24"/>
          <w:szCs w:val="24"/>
        </w:rPr>
        <w:t>eur</w:t>
      </w:r>
      <w:r w:rsidRPr="009F256B" w:rsidR="001C4C5A">
        <w:rPr>
          <w:rFonts w:ascii="Times New Roman" w:hAnsi="Times New Roman"/>
          <w:sz w:val="24"/>
          <w:szCs w:val="24"/>
        </w:rPr>
        <w:t xml:space="preserve"> </w:t>
      </w:r>
      <w:r w:rsidR="009E6F02">
        <w:rPr>
          <w:rFonts w:ascii="Times New Roman" w:hAnsi="Times New Roman"/>
          <w:sz w:val="24"/>
          <w:szCs w:val="24"/>
        </w:rPr>
        <w:t xml:space="preserve">bol spôsobený </w:t>
      </w:r>
      <w:r w:rsidRPr="009F256B" w:rsidR="001C4C5A">
        <w:rPr>
          <w:rFonts w:ascii="Times New Roman" w:hAnsi="Times New Roman"/>
          <w:sz w:val="24"/>
          <w:szCs w:val="24"/>
        </w:rPr>
        <w:t>hlavne prekročením základných výdavkov na chod štátu vrátane výdavkov na zmluvné vzťahy so železničnými spoločnosťami (</w:t>
      </w:r>
      <w:r w:rsidR="009E6F02">
        <w:rPr>
          <w:rFonts w:ascii="Times New Roman" w:hAnsi="Times New Roman"/>
          <w:sz w:val="24"/>
          <w:szCs w:val="24"/>
        </w:rPr>
        <w:t>199 566</w:t>
      </w:r>
      <w:r w:rsidRPr="009F256B" w:rsidR="001C4C5A">
        <w:rPr>
          <w:rFonts w:ascii="Times New Roman" w:hAnsi="Times New Roman"/>
          <w:sz w:val="24"/>
          <w:szCs w:val="24"/>
        </w:rPr>
        <w:t xml:space="preserve"> </w:t>
      </w:r>
      <w:r w:rsidR="0073524E">
        <w:rPr>
          <w:rFonts w:ascii="Times New Roman" w:hAnsi="Times New Roman"/>
          <w:sz w:val="24"/>
          <w:szCs w:val="24"/>
        </w:rPr>
        <w:t>tis</w:t>
      </w:r>
      <w:r w:rsidRPr="009F256B" w:rsidR="001C4C5A">
        <w:rPr>
          <w:rFonts w:ascii="Times New Roman" w:hAnsi="Times New Roman"/>
          <w:sz w:val="24"/>
          <w:szCs w:val="24"/>
        </w:rPr>
        <w:t xml:space="preserve">. </w:t>
      </w:r>
      <w:r w:rsidR="001C4C5A">
        <w:rPr>
          <w:rFonts w:ascii="Times New Roman" w:hAnsi="Times New Roman"/>
          <w:sz w:val="24"/>
          <w:szCs w:val="24"/>
        </w:rPr>
        <w:t>eur</w:t>
      </w:r>
      <w:r w:rsidRPr="009F256B" w:rsidR="001C4C5A">
        <w:rPr>
          <w:rFonts w:ascii="Times New Roman" w:hAnsi="Times New Roman"/>
          <w:sz w:val="24"/>
          <w:szCs w:val="24"/>
        </w:rPr>
        <w:t>) a výpadkom daňových príjmov štátneho rozpočtu vo výške 14</w:t>
      </w:r>
      <w:r w:rsidR="009E6F02">
        <w:rPr>
          <w:rFonts w:ascii="Times New Roman" w:hAnsi="Times New Roman"/>
          <w:sz w:val="24"/>
          <w:szCs w:val="24"/>
        </w:rPr>
        <w:t>7 996</w:t>
      </w:r>
      <w:r w:rsidRPr="009F256B" w:rsidR="001C4C5A">
        <w:rPr>
          <w:rFonts w:ascii="Times New Roman" w:hAnsi="Times New Roman"/>
          <w:sz w:val="24"/>
          <w:szCs w:val="24"/>
        </w:rPr>
        <w:t xml:space="preserve"> </w:t>
      </w:r>
      <w:r w:rsidR="0073524E">
        <w:rPr>
          <w:rFonts w:ascii="Times New Roman" w:hAnsi="Times New Roman"/>
          <w:sz w:val="24"/>
          <w:szCs w:val="24"/>
        </w:rPr>
        <w:t>tis</w:t>
      </w:r>
      <w:r w:rsidRPr="009F256B" w:rsidR="001C4C5A">
        <w:rPr>
          <w:rFonts w:ascii="Times New Roman" w:hAnsi="Times New Roman"/>
          <w:sz w:val="24"/>
          <w:szCs w:val="24"/>
        </w:rPr>
        <w:t xml:space="preserve">. </w:t>
      </w:r>
      <w:r>
        <w:rPr>
          <w:rFonts w:ascii="Times New Roman" w:hAnsi="Times New Roman"/>
          <w:sz w:val="24"/>
          <w:szCs w:val="24"/>
        </w:rPr>
        <w:t>eur</w:t>
      </w:r>
      <w:r w:rsidRPr="009F256B" w:rsidR="001C4C5A">
        <w:rPr>
          <w:rFonts w:ascii="Times New Roman" w:hAnsi="Times New Roman"/>
          <w:sz w:val="24"/>
          <w:szCs w:val="24"/>
        </w:rPr>
        <w:t>. Ďalšími položkami zhoršujúcimi schodok rozpočtu verejnej správy bolo zohľadnenie záväzkov zdravotníckych zariadení a železničných spoločností za rok 2011, nerealizácia emisných kvót a zhoršenie hospodárenia príspevkových organizácií štátu, príspevkových organizácií obcí a príspevkových organizácií vyšších územných celkov.</w:t>
      </w:r>
      <w:r w:rsidRPr="00820B99" w:rsidR="001C4C5A">
        <w:rPr>
          <w:rFonts w:ascii="Times New Roman" w:hAnsi="Times New Roman"/>
          <w:color w:val="000000"/>
          <w:sz w:val="24"/>
          <w:szCs w:val="24"/>
        </w:rPr>
        <w:t xml:space="preserve"> </w:t>
      </w:r>
    </w:p>
    <w:p w:rsidR="001C4C5A" w:rsidRPr="00F03705" w:rsidP="009E6F02">
      <w:pPr>
        <w:pStyle w:val="ListParagraph"/>
        <w:bidi w:val="0"/>
        <w:spacing w:before="120" w:after="120" w:line="360" w:lineRule="auto"/>
        <w:ind w:left="0"/>
        <w:contextualSpacing w:val="0"/>
        <w:jc w:val="both"/>
        <w:rPr>
          <w:sz w:val="24"/>
          <w:szCs w:val="24"/>
        </w:rPr>
      </w:pPr>
      <w:r w:rsidR="009E6F02">
        <w:rPr>
          <w:rFonts w:ascii="Times New Roman" w:hAnsi="Times New Roman"/>
          <w:color w:val="000000"/>
          <w:sz w:val="24"/>
          <w:szCs w:val="24"/>
        </w:rPr>
        <w:t>O</w:t>
      </w:r>
      <w:r>
        <w:rPr>
          <w:rFonts w:ascii="Times New Roman" w:hAnsi="Times New Roman"/>
          <w:color w:val="000000"/>
          <w:sz w:val="24"/>
          <w:szCs w:val="24"/>
        </w:rPr>
        <w:t>sobitný negatívny vplyv vo výške 401</w:t>
      </w:r>
      <w:r w:rsidR="009E6F02">
        <w:rPr>
          <w:rFonts w:ascii="Times New Roman" w:hAnsi="Times New Roman"/>
          <w:color w:val="000000"/>
          <w:sz w:val="24"/>
          <w:szCs w:val="24"/>
        </w:rPr>
        <w:t xml:space="preserve"> 743 </w:t>
      </w:r>
      <w:r w:rsidR="0073524E">
        <w:rPr>
          <w:rFonts w:ascii="Times New Roman" w:hAnsi="Times New Roman"/>
          <w:color w:val="000000"/>
          <w:sz w:val="24"/>
          <w:szCs w:val="24"/>
        </w:rPr>
        <w:t>tis</w:t>
      </w:r>
      <w:r>
        <w:rPr>
          <w:rFonts w:ascii="Times New Roman" w:hAnsi="Times New Roman"/>
          <w:color w:val="000000"/>
          <w:sz w:val="24"/>
          <w:szCs w:val="24"/>
        </w:rPr>
        <w:t xml:space="preserve">. eur súvisí s </w:t>
      </w:r>
      <w:r w:rsidRPr="00820B99">
        <w:rPr>
          <w:rFonts w:ascii="Times New Roman" w:hAnsi="Times New Roman"/>
          <w:color w:val="000000"/>
          <w:sz w:val="24"/>
          <w:szCs w:val="24"/>
        </w:rPr>
        <w:t>oddlžen</w:t>
      </w:r>
      <w:r>
        <w:rPr>
          <w:rFonts w:ascii="Times New Roman" w:hAnsi="Times New Roman"/>
          <w:color w:val="000000"/>
          <w:sz w:val="24"/>
          <w:szCs w:val="24"/>
        </w:rPr>
        <w:t>ím</w:t>
      </w:r>
      <w:r w:rsidRPr="00820B99">
        <w:rPr>
          <w:rFonts w:ascii="Times New Roman" w:hAnsi="Times New Roman"/>
          <w:color w:val="000000"/>
          <w:sz w:val="24"/>
          <w:szCs w:val="24"/>
        </w:rPr>
        <w:t xml:space="preserve"> zdravotníckych zariadení a započítan</w:t>
      </w:r>
      <w:r>
        <w:rPr>
          <w:rFonts w:ascii="Times New Roman" w:hAnsi="Times New Roman"/>
          <w:color w:val="000000"/>
          <w:sz w:val="24"/>
          <w:szCs w:val="24"/>
        </w:rPr>
        <w:t>ím</w:t>
      </w:r>
      <w:r w:rsidR="00C36624">
        <w:rPr>
          <w:rFonts w:ascii="Times New Roman" w:hAnsi="Times New Roman"/>
          <w:color w:val="000000"/>
          <w:sz w:val="24"/>
          <w:szCs w:val="24"/>
        </w:rPr>
        <w:t xml:space="preserve"> záväzkov voči </w:t>
      </w:r>
      <w:r w:rsidRPr="00820B99">
        <w:rPr>
          <w:rFonts w:ascii="Times New Roman" w:hAnsi="Times New Roman"/>
          <w:color w:val="000000"/>
          <w:sz w:val="24"/>
          <w:szCs w:val="24"/>
        </w:rPr>
        <w:t>železniciam z min</w:t>
      </w:r>
      <w:r>
        <w:rPr>
          <w:rFonts w:ascii="Times New Roman" w:hAnsi="Times New Roman"/>
          <w:color w:val="000000"/>
          <w:sz w:val="24"/>
          <w:szCs w:val="24"/>
        </w:rPr>
        <w:t>ulých</w:t>
      </w:r>
      <w:r w:rsidRPr="00820B99">
        <w:rPr>
          <w:rFonts w:ascii="Times New Roman" w:hAnsi="Times New Roman"/>
          <w:color w:val="000000"/>
          <w:sz w:val="24"/>
          <w:szCs w:val="24"/>
        </w:rPr>
        <w:t xml:space="preserve"> rokov</w:t>
      </w:r>
      <w:r>
        <w:rPr>
          <w:rFonts w:ascii="Times New Roman" w:hAnsi="Times New Roman"/>
          <w:color w:val="000000"/>
          <w:sz w:val="24"/>
          <w:szCs w:val="24"/>
        </w:rPr>
        <w:t xml:space="preserve"> (574</w:t>
      </w:r>
      <w:r w:rsidR="009E6F02">
        <w:rPr>
          <w:rFonts w:ascii="Times New Roman" w:hAnsi="Times New Roman"/>
          <w:color w:val="000000"/>
          <w:sz w:val="24"/>
          <w:szCs w:val="24"/>
        </w:rPr>
        <w:t xml:space="preserve"> 382 </w:t>
      </w:r>
      <w:r w:rsidR="0073524E">
        <w:rPr>
          <w:rFonts w:ascii="Times New Roman" w:hAnsi="Times New Roman"/>
          <w:color w:val="000000"/>
          <w:sz w:val="24"/>
          <w:szCs w:val="24"/>
        </w:rPr>
        <w:t>tis</w:t>
      </w:r>
      <w:r>
        <w:rPr>
          <w:rFonts w:ascii="Times New Roman" w:hAnsi="Times New Roman"/>
          <w:color w:val="000000"/>
          <w:sz w:val="24"/>
          <w:szCs w:val="24"/>
        </w:rPr>
        <w:t xml:space="preserve">. eur) </w:t>
      </w:r>
      <w:r w:rsidRPr="001C27C8">
        <w:rPr>
          <w:rFonts w:ascii="Times New Roman" w:hAnsi="Times New Roman"/>
          <w:color w:val="000000"/>
          <w:sz w:val="24"/>
          <w:szCs w:val="24"/>
        </w:rPr>
        <w:t>a presunut</w:t>
      </w:r>
      <w:r>
        <w:rPr>
          <w:rFonts w:ascii="Times New Roman" w:hAnsi="Times New Roman"/>
          <w:color w:val="000000"/>
          <w:sz w:val="24"/>
          <w:szCs w:val="24"/>
        </w:rPr>
        <w:t>ím</w:t>
      </w:r>
      <w:r w:rsidRPr="001C27C8">
        <w:rPr>
          <w:rFonts w:ascii="Times New Roman" w:hAnsi="Times New Roman"/>
          <w:color w:val="000000"/>
          <w:sz w:val="24"/>
          <w:szCs w:val="24"/>
        </w:rPr>
        <w:t xml:space="preserve"> uskutočnenej úhrady za vystavanú </w:t>
      </w:r>
      <w:r w:rsidR="00077CDC">
        <w:rPr>
          <w:rFonts w:ascii="Times New Roman" w:hAnsi="Times New Roman"/>
          <w:color w:val="000000"/>
          <w:sz w:val="24"/>
          <w:szCs w:val="24"/>
        </w:rPr>
        <w:t xml:space="preserve">rýchlostnú cestu </w:t>
      </w:r>
      <w:r w:rsidR="00C36624">
        <w:rPr>
          <w:rFonts w:ascii="Times New Roman" w:hAnsi="Times New Roman"/>
          <w:color w:val="000000"/>
          <w:sz w:val="24"/>
          <w:szCs w:val="24"/>
        </w:rPr>
        <w:t xml:space="preserve">R1 vo výške zaplatenej </w:t>
      </w:r>
      <w:r w:rsidRPr="001C27C8">
        <w:rPr>
          <w:rFonts w:ascii="Times New Roman" w:hAnsi="Times New Roman"/>
          <w:color w:val="000000"/>
          <w:sz w:val="24"/>
          <w:szCs w:val="24"/>
        </w:rPr>
        <w:t>DPH do budúcich rokov</w:t>
      </w:r>
      <w:r>
        <w:rPr>
          <w:rFonts w:ascii="Times New Roman" w:hAnsi="Times New Roman"/>
          <w:color w:val="000000"/>
          <w:sz w:val="24"/>
          <w:szCs w:val="24"/>
        </w:rPr>
        <w:t xml:space="preserve"> </w:t>
      </w:r>
      <w:r w:rsidR="009E6F02">
        <w:rPr>
          <w:rFonts w:ascii="Times New Roman" w:hAnsi="Times New Roman"/>
          <w:color w:val="000000"/>
          <w:sz w:val="24"/>
          <w:szCs w:val="24"/>
        </w:rPr>
        <w:t>(-173 639</w:t>
      </w:r>
      <w:r w:rsidR="00F03705">
        <w:rPr>
          <w:rFonts w:ascii="Times New Roman" w:hAnsi="Times New Roman"/>
          <w:color w:val="000000"/>
          <w:sz w:val="24"/>
          <w:szCs w:val="24"/>
        </w:rPr>
        <w:t xml:space="preserve"> </w:t>
      </w:r>
      <w:r w:rsidR="0073524E">
        <w:rPr>
          <w:rFonts w:ascii="Times New Roman" w:hAnsi="Times New Roman"/>
          <w:color w:val="000000"/>
          <w:sz w:val="24"/>
          <w:szCs w:val="24"/>
        </w:rPr>
        <w:t>tis</w:t>
      </w:r>
      <w:r w:rsidR="00F03705">
        <w:rPr>
          <w:rFonts w:ascii="Times New Roman" w:hAnsi="Times New Roman"/>
          <w:color w:val="000000"/>
          <w:sz w:val="24"/>
          <w:szCs w:val="24"/>
        </w:rPr>
        <w:t>. eur).</w:t>
      </w:r>
    </w:p>
    <w:p w:rsidR="00F03705" w:rsidP="00491E04">
      <w:pPr>
        <w:bidi w:val="0"/>
        <w:spacing w:before="120" w:after="120" w:line="360" w:lineRule="auto"/>
        <w:jc w:val="both"/>
        <w:rPr>
          <w:rFonts w:ascii="Times New Roman" w:hAnsi="Times New Roman"/>
        </w:rPr>
      </w:pPr>
      <w:r w:rsidRPr="00924E85">
        <w:rPr>
          <w:rFonts w:ascii="Times New Roman" w:hAnsi="Times New Roman"/>
        </w:rPr>
        <w:t>Údaje za skutočnosť ro</w:t>
      </w:r>
      <w:r>
        <w:rPr>
          <w:rFonts w:ascii="Times New Roman" w:hAnsi="Times New Roman"/>
        </w:rPr>
        <w:t>ku 2011</w:t>
      </w:r>
      <w:r w:rsidRPr="00924E85">
        <w:rPr>
          <w:rFonts w:ascii="Times New Roman" w:hAnsi="Times New Roman"/>
        </w:rPr>
        <w:t xml:space="preserve"> je treba chápať ako predbežné, pretože sú spracované na základe výkazov, ktoré </w:t>
      </w:r>
      <w:r>
        <w:rPr>
          <w:rFonts w:ascii="Times New Roman" w:hAnsi="Times New Roman"/>
        </w:rPr>
        <w:t>o svojom hospodárení v roku 2011</w:t>
      </w:r>
      <w:r w:rsidRPr="00924E85">
        <w:rPr>
          <w:rFonts w:ascii="Times New Roman" w:hAnsi="Times New Roman"/>
        </w:rPr>
        <w:t xml:space="preserve"> predložili jednotlivé subjekty verejnej správy, ale ktoré neprešli schvaľovacím proceso</w:t>
      </w:r>
      <w:r>
        <w:rPr>
          <w:rFonts w:ascii="Times New Roman" w:hAnsi="Times New Roman"/>
        </w:rPr>
        <w:t>m. Definitívne údaje za rok 2011</w:t>
      </w:r>
      <w:r w:rsidRPr="00924E85">
        <w:rPr>
          <w:rFonts w:ascii="Times New Roman" w:hAnsi="Times New Roman"/>
        </w:rPr>
        <w:t xml:space="preserve"> bude možné prezentovať po spresnení týchto výsledkov na základe vykonaných auditov a po získaní definitívnych údajov pre časové rozlíše</w:t>
      </w:r>
      <w:r>
        <w:rPr>
          <w:rFonts w:ascii="Times New Roman" w:hAnsi="Times New Roman"/>
        </w:rPr>
        <w:t>nie daní a poistného za rok 2011</w:t>
      </w:r>
      <w:r w:rsidRPr="00924E85">
        <w:rPr>
          <w:rFonts w:ascii="Times New Roman" w:hAnsi="Times New Roman"/>
        </w:rPr>
        <w:t xml:space="preserve"> z</w:t>
      </w:r>
      <w:r>
        <w:rPr>
          <w:rFonts w:ascii="Times New Roman" w:hAnsi="Times New Roman"/>
        </w:rPr>
        <w:t> Finančnej správy SR</w:t>
      </w:r>
      <w:r w:rsidRPr="00924E85">
        <w:rPr>
          <w:rFonts w:ascii="Times New Roman" w:hAnsi="Times New Roman"/>
        </w:rPr>
        <w:t xml:space="preserve">, Sociálnej poisťovne a zdravotných </w:t>
      </w:r>
      <w:r w:rsidRPr="00425DA9">
        <w:rPr>
          <w:rFonts w:ascii="Times New Roman" w:hAnsi="Times New Roman"/>
        </w:rPr>
        <w:t xml:space="preserve">poisťovní. </w:t>
      </w:r>
      <w:r>
        <w:rPr>
          <w:rFonts w:ascii="Times New Roman" w:hAnsi="Times New Roman"/>
        </w:rPr>
        <w:t>Rozhodujúce bude stanovisko Eurostatu pri notifikácii výsledkov roku 2011 v októbri 2012.</w:t>
      </w:r>
    </w:p>
    <w:p w:rsidR="001C4C5A" w:rsidRPr="001C4C5A" w:rsidP="0017400C">
      <w:pPr>
        <w:pStyle w:val="Heading2"/>
        <w:bidi w:val="0"/>
        <w:spacing w:before="100" w:beforeAutospacing="1" w:after="100" w:afterAutospacing="1"/>
        <w:jc w:val="center"/>
        <w:rPr>
          <w:rFonts w:ascii="Times New Roman" w:hAnsi="Times New Roman"/>
          <w:color w:val="auto"/>
          <w:sz w:val="24"/>
          <w:szCs w:val="24"/>
        </w:rPr>
      </w:pPr>
      <w:bookmarkStart w:id="13" w:name="_Toc322614747"/>
      <w:r w:rsidRPr="001C4C5A">
        <w:rPr>
          <w:rFonts w:ascii="Times New Roman" w:hAnsi="Times New Roman"/>
          <w:color w:val="auto"/>
          <w:sz w:val="24"/>
          <w:szCs w:val="24"/>
        </w:rPr>
        <w:t>2.1. Súhrnné výsledky hospodárenia verejnej správy v metodike ESA 95</w:t>
      </w:r>
      <w:bookmarkEnd w:id="13"/>
    </w:p>
    <w:p w:rsidR="001C4C5A" w:rsidP="004C1F8C">
      <w:pPr>
        <w:bidi w:val="0"/>
        <w:spacing w:before="100" w:beforeAutospacing="1" w:after="100" w:afterAutospacing="1" w:line="360" w:lineRule="auto"/>
        <w:ind w:firstLine="709"/>
        <w:jc w:val="both"/>
        <w:rPr>
          <w:rFonts w:ascii="Times New Roman" w:hAnsi="Times New Roman"/>
        </w:rPr>
      </w:pPr>
      <w:r w:rsidR="00F03705">
        <w:rPr>
          <w:rFonts w:ascii="Times New Roman" w:hAnsi="Times New Roman"/>
        </w:rPr>
        <w:t>V</w:t>
      </w:r>
      <w:r w:rsidRPr="00924E85">
        <w:rPr>
          <w:rFonts w:ascii="Times New Roman" w:hAnsi="Times New Roman"/>
        </w:rPr>
        <w:t>ýsledky hospodárenia subjektov verejnej správy, vyčíslené v metodike ESA 95, boli v roku 201</w:t>
      </w:r>
      <w:r>
        <w:rPr>
          <w:rFonts w:ascii="Times New Roman" w:hAnsi="Times New Roman"/>
        </w:rPr>
        <w:t>1</w:t>
      </w:r>
      <w:r w:rsidRPr="00924E85">
        <w:rPr>
          <w:rFonts w:ascii="Times New Roman" w:hAnsi="Times New Roman"/>
        </w:rPr>
        <w:t xml:space="preserve"> nasledovné:</w:t>
      </w:r>
    </w:p>
    <w:tbl>
      <w:tblPr>
        <w:tblStyle w:val="TableNormal"/>
        <w:tblW w:w="9639" w:type="dxa"/>
        <w:tblInd w:w="70" w:type="dxa"/>
        <w:tblLayout w:type="fixed"/>
        <w:tblCellMar>
          <w:left w:w="70" w:type="dxa"/>
          <w:right w:w="70" w:type="dxa"/>
        </w:tblCellMar>
        <w:tblLook w:val="00A0"/>
      </w:tblPr>
      <w:tblGrid>
        <w:gridCol w:w="4675"/>
        <w:gridCol w:w="1277"/>
        <w:gridCol w:w="1277"/>
        <w:gridCol w:w="1253"/>
        <w:gridCol w:w="1157"/>
      </w:tblGrid>
      <w:tr>
        <w:tblPrEx>
          <w:tblW w:w="9639" w:type="dxa"/>
          <w:tblInd w:w="70" w:type="dxa"/>
          <w:tblLayout w:type="fixed"/>
          <w:tblCellMar>
            <w:left w:w="70" w:type="dxa"/>
            <w:right w:w="70" w:type="dxa"/>
          </w:tblCellMar>
          <w:tblLook w:val="00A0"/>
        </w:tblPrEx>
        <w:trPr>
          <w:trHeight w:val="315"/>
        </w:trPr>
        <w:tc>
          <w:tcPr>
            <w:tcW w:w="4675" w:type="dxa"/>
            <w:vMerge w:val="restart"/>
            <w:tcBorders>
              <w:top w:val="single" w:sz="4" w:space="0" w:color="auto"/>
              <w:left w:val="single" w:sz="4" w:space="0" w:color="auto"/>
              <w:bottom w:val="single" w:sz="4" w:space="0" w:color="auto"/>
              <w:right w:val="single" w:sz="4" w:space="0" w:color="FFFFFF"/>
            </w:tcBorders>
            <w:shd w:val="clear" w:color="auto" w:fill="000000"/>
            <w:noWrap/>
            <w:textDirection w:val="lrTb"/>
            <w:vAlign w:val="center"/>
          </w:tcPr>
          <w:p w:rsidR="001C4C5A" w:rsidRPr="00F03705" w:rsidP="00DD509A">
            <w:pPr>
              <w:bidi w:val="0"/>
              <w:spacing w:before="100" w:beforeAutospacing="1" w:after="100" w:afterAutospacing="1"/>
              <w:jc w:val="center"/>
              <w:rPr>
                <w:rFonts w:ascii="Times New Roman" w:hAnsi="Times New Roman"/>
                <w:b/>
                <w:bCs/>
                <w:sz w:val="20"/>
                <w:szCs w:val="20"/>
              </w:rPr>
            </w:pPr>
            <w:r w:rsidRPr="00F03705">
              <w:rPr>
                <w:rFonts w:ascii="Times New Roman" w:hAnsi="Times New Roman"/>
                <w:b/>
                <w:bCs/>
                <w:sz w:val="20"/>
                <w:szCs w:val="20"/>
              </w:rPr>
              <w:t>Druh verejného rozpočtu</w:t>
            </w:r>
          </w:p>
          <w:p w:rsidR="00F85E1D" w:rsidRPr="00F03705" w:rsidP="00F85E1D">
            <w:pPr>
              <w:bidi w:val="0"/>
              <w:spacing w:before="100" w:beforeAutospacing="1" w:after="100" w:afterAutospacing="1"/>
              <w:rPr>
                <w:rFonts w:ascii="Times New Roman" w:hAnsi="Times New Roman"/>
                <w:b/>
                <w:bCs/>
                <w:sz w:val="20"/>
                <w:szCs w:val="20"/>
              </w:rPr>
            </w:pPr>
            <w:r w:rsidRPr="00F03705">
              <w:rPr>
                <w:rFonts w:ascii="Times New Roman" w:hAnsi="Times New Roman"/>
                <w:b/>
                <w:bCs/>
                <w:sz w:val="20"/>
                <w:szCs w:val="20"/>
              </w:rPr>
              <w:t>(v tis.</w:t>
            </w:r>
            <w:r w:rsidRPr="00F03705" w:rsidR="00775DB5">
              <w:rPr>
                <w:rFonts w:ascii="Times New Roman" w:hAnsi="Times New Roman"/>
                <w:b/>
                <w:bCs/>
                <w:sz w:val="20"/>
                <w:szCs w:val="20"/>
              </w:rPr>
              <w:t xml:space="preserve"> </w:t>
            </w:r>
            <w:r w:rsidRPr="00F03705">
              <w:rPr>
                <w:rFonts w:ascii="Times New Roman" w:hAnsi="Times New Roman"/>
                <w:b/>
                <w:bCs/>
                <w:sz w:val="20"/>
                <w:szCs w:val="20"/>
              </w:rPr>
              <w:t>eur)</w:t>
            </w:r>
          </w:p>
        </w:tc>
        <w:tc>
          <w:tcPr>
            <w:tcW w:w="1277" w:type="dxa"/>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1C4C5A" w:rsidRPr="00F03705" w:rsidP="00DD509A">
            <w:pPr>
              <w:bidi w:val="0"/>
              <w:spacing w:before="100" w:beforeAutospacing="1" w:after="100" w:afterAutospacing="1"/>
              <w:jc w:val="center"/>
              <w:rPr>
                <w:rFonts w:ascii="Times New Roman" w:hAnsi="Times New Roman"/>
                <w:b/>
                <w:bCs/>
                <w:sz w:val="20"/>
                <w:szCs w:val="20"/>
              </w:rPr>
            </w:pPr>
            <w:r w:rsidRPr="00F03705" w:rsidR="00F85E1D">
              <w:rPr>
                <w:rFonts w:ascii="Times New Roman" w:hAnsi="Times New Roman"/>
                <w:b/>
                <w:bCs/>
                <w:sz w:val="20"/>
                <w:szCs w:val="20"/>
              </w:rPr>
              <w:t>2</w:t>
            </w:r>
            <w:r w:rsidRPr="00F03705">
              <w:rPr>
                <w:rFonts w:ascii="Times New Roman" w:hAnsi="Times New Roman"/>
                <w:b/>
                <w:bCs/>
                <w:sz w:val="20"/>
                <w:szCs w:val="20"/>
              </w:rPr>
              <w:t>010</w:t>
            </w:r>
          </w:p>
        </w:tc>
        <w:tc>
          <w:tcPr>
            <w:tcW w:w="3687" w:type="dxa"/>
            <w:gridSpan w:val="3"/>
            <w:tcBorders>
              <w:top w:val="single" w:sz="4" w:space="0" w:color="auto"/>
              <w:left w:val="single" w:sz="4" w:space="0" w:color="FFFFFF"/>
              <w:bottom w:val="single" w:sz="4" w:space="0" w:color="FFFFFF"/>
              <w:right w:val="single" w:sz="4" w:space="0" w:color="auto"/>
            </w:tcBorders>
            <w:shd w:val="clear" w:color="auto" w:fill="000000"/>
            <w:textDirection w:val="lrTb"/>
            <w:vAlign w:val="top"/>
          </w:tcPr>
          <w:p w:rsidR="001C4C5A" w:rsidRPr="00F03705" w:rsidP="00DD509A">
            <w:pPr>
              <w:bidi w:val="0"/>
              <w:spacing w:before="100" w:beforeAutospacing="1" w:after="100" w:afterAutospacing="1"/>
              <w:jc w:val="center"/>
              <w:rPr>
                <w:rFonts w:ascii="Times New Roman" w:hAnsi="Times New Roman"/>
                <w:b/>
                <w:bCs/>
                <w:sz w:val="20"/>
                <w:szCs w:val="20"/>
              </w:rPr>
            </w:pPr>
            <w:r w:rsidRPr="00F03705">
              <w:rPr>
                <w:rFonts w:ascii="Times New Roman" w:hAnsi="Times New Roman"/>
                <w:b/>
                <w:bCs/>
                <w:sz w:val="20"/>
                <w:szCs w:val="20"/>
              </w:rPr>
              <w:t>2011</w:t>
            </w:r>
          </w:p>
        </w:tc>
      </w:tr>
      <w:tr>
        <w:tblPrEx>
          <w:tblW w:w="9639" w:type="dxa"/>
          <w:tblInd w:w="70" w:type="dxa"/>
          <w:tblLayout w:type="fixed"/>
          <w:tblCellMar>
            <w:left w:w="70" w:type="dxa"/>
            <w:right w:w="70" w:type="dxa"/>
          </w:tblCellMar>
          <w:tblLook w:val="00A0"/>
        </w:tblPrEx>
        <w:trPr>
          <w:trHeight w:val="315"/>
        </w:trPr>
        <w:tc>
          <w:tcPr>
            <w:tcW w:w="4675" w:type="dxa"/>
            <w:vMerge/>
            <w:tcBorders>
              <w:top w:val="single" w:sz="4" w:space="0" w:color="auto"/>
              <w:left w:val="single" w:sz="4" w:space="0" w:color="auto"/>
              <w:bottom w:val="single" w:sz="4" w:space="0" w:color="auto"/>
              <w:right w:val="single" w:sz="4" w:space="0" w:color="FFFFFF"/>
            </w:tcBorders>
            <w:shd w:val="clear" w:color="auto" w:fill="000000"/>
            <w:textDirection w:val="lrTb"/>
            <w:vAlign w:val="center"/>
          </w:tcPr>
          <w:p w:rsidR="001C4C5A" w:rsidRPr="001C4C5A" w:rsidP="00DD509A">
            <w:pPr>
              <w:bidi w:val="0"/>
              <w:spacing w:before="100" w:beforeAutospacing="1" w:after="100" w:afterAutospacing="1"/>
              <w:rPr>
                <w:rFonts w:ascii="Times New Roman" w:hAnsi="Times New Roman"/>
                <w:b/>
                <w:bCs/>
                <w:sz w:val="20"/>
                <w:szCs w:val="20"/>
              </w:rPr>
            </w:pPr>
          </w:p>
        </w:tc>
        <w:tc>
          <w:tcPr>
            <w:tcW w:w="127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1C4C5A" w:rsidRPr="001C4C5A" w:rsidP="00DD509A">
            <w:pPr>
              <w:bidi w:val="0"/>
              <w:spacing w:before="100" w:beforeAutospacing="1" w:after="100" w:afterAutospacing="1"/>
              <w:jc w:val="center"/>
              <w:rPr>
                <w:rFonts w:ascii="Times New Roman" w:hAnsi="Times New Roman"/>
                <w:b/>
                <w:bCs/>
                <w:sz w:val="20"/>
                <w:szCs w:val="20"/>
              </w:rPr>
            </w:pPr>
            <w:r w:rsidRPr="001C4C5A">
              <w:rPr>
                <w:rFonts w:ascii="Times New Roman" w:hAnsi="Times New Roman"/>
                <w:b/>
                <w:bCs/>
                <w:sz w:val="20"/>
                <w:szCs w:val="20"/>
              </w:rPr>
              <w:t>Skutočnosť</w:t>
            </w:r>
          </w:p>
        </w:tc>
        <w:tc>
          <w:tcPr>
            <w:tcW w:w="127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1C4C5A" w:rsidRPr="001C4C5A" w:rsidP="00DD509A">
            <w:pPr>
              <w:bidi w:val="0"/>
              <w:spacing w:before="100" w:beforeAutospacing="1" w:after="100" w:afterAutospacing="1"/>
              <w:jc w:val="center"/>
              <w:rPr>
                <w:rFonts w:ascii="Times New Roman" w:hAnsi="Times New Roman"/>
                <w:b/>
                <w:bCs/>
                <w:sz w:val="20"/>
                <w:szCs w:val="20"/>
              </w:rPr>
            </w:pPr>
            <w:r w:rsidRPr="001C4C5A">
              <w:rPr>
                <w:rFonts w:ascii="Times New Roman" w:hAnsi="Times New Roman"/>
                <w:b/>
                <w:bCs/>
                <w:sz w:val="20"/>
                <w:szCs w:val="20"/>
              </w:rPr>
              <w:t>Rozpočet</w:t>
            </w:r>
            <w:r w:rsidRPr="001C4C5A">
              <w:rPr>
                <w:rFonts w:ascii="Times New Roman" w:hAnsi="Times New Roman"/>
                <w:b/>
                <w:bCs/>
                <w:sz w:val="20"/>
                <w:szCs w:val="20"/>
                <w:vertAlign w:val="superscript"/>
              </w:rPr>
              <w:t>1)</w:t>
            </w:r>
          </w:p>
        </w:tc>
        <w:tc>
          <w:tcPr>
            <w:tcW w:w="1253" w:type="dxa"/>
            <w:tcBorders>
              <w:top w:val="single" w:sz="4" w:space="0" w:color="FFFFFF"/>
              <w:left w:val="single" w:sz="4" w:space="0" w:color="FFFFFF"/>
              <w:bottom w:val="single" w:sz="4" w:space="0" w:color="auto"/>
              <w:right w:val="single" w:sz="4" w:space="0" w:color="FFFFFF"/>
            </w:tcBorders>
            <w:shd w:val="clear" w:color="auto" w:fill="000000"/>
            <w:noWrap/>
            <w:textDirection w:val="lrTb"/>
            <w:vAlign w:val="center"/>
          </w:tcPr>
          <w:p w:rsidR="001C4C5A" w:rsidRPr="001C4C5A" w:rsidP="00195460">
            <w:pPr>
              <w:bidi w:val="0"/>
              <w:spacing w:before="100" w:beforeAutospacing="1" w:after="100" w:afterAutospacing="1"/>
              <w:jc w:val="center"/>
              <w:rPr>
                <w:rFonts w:ascii="Times New Roman" w:hAnsi="Times New Roman"/>
                <w:b/>
                <w:bCs/>
                <w:sz w:val="20"/>
                <w:szCs w:val="20"/>
              </w:rPr>
            </w:pPr>
            <w:r w:rsidRPr="001C4C5A">
              <w:rPr>
                <w:rFonts w:ascii="Times New Roman" w:hAnsi="Times New Roman"/>
                <w:b/>
                <w:bCs/>
                <w:sz w:val="20"/>
                <w:szCs w:val="20"/>
              </w:rPr>
              <w:t>Skutočnosť</w:t>
            </w:r>
            <w:r w:rsidR="00195460">
              <w:rPr>
                <w:rFonts w:ascii="Times New Roman" w:hAnsi="Times New Roman"/>
                <w:b/>
                <w:bCs/>
                <w:sz w:val="20"/>
                <w:szCs w:val="20"/>
                <w:vertAlign w:val="superscript"/>
              </w:rPr>
              <w:t>2</w:t>
            </w:r>
            <w:r w:rsidRPr="001C4C5A">
              <w:rPr>
                <w:rFonts w:ascii="Times New Roman" w:hAnsi="Times New Roman"/>
                <w:b/>
                <w:bCs/>
                <w:sz w:val="20"/>
                <w:szCs w:val="20"/>
                <w:vertAlign w:val="superscript"/>
              </w:rPr>
              <w:t>)</w:t>
            </w:r>
          </w:p>
        </w:tc>
        <w:tc>
          <w:tcPr>
            <w:tcW w:w="1157" w:type="dxa"/>
            <w:tcBorders>
              <w:top w:val="single" w:sz="4" w:space="0" w:color="FFFFFF"/>
              <w:left w:val="single" w:sz="4" w:space="0" w:color="FFFFFF"/>
              <w:bottom w:val="single" w:sz="4" w:space="0" w:color="auto"/>
              <w:right w:val="single" w:sz="4" w:space="0" w:color="auto"/>
            </w:tcBorders>
            <w:shd w:val="clear" w:color="auto" w:fill="000000"/>
            <w:textDirection w:val="lrTb"/>
            <w:vAlign w:val="center"/>
          </w:tcPr>
          <w:p w:rsidR="001C4C5A" w:rsidRPr="001C4C5A" w:rsidP="00DD509A">
            <w:pPr>
              <w:bidi w:val="0"/>
              <w:spacing w:before="100" w:beforeAutospacing="1" w:after="100" w:afterAutospacing="1"/>
              <w:jc w:val="center"/>
              <w:rPr>
                <w:rFonts w:ascii="Times New Roman" w:hAnsi="Times New Roman"/>
                <w:b/>
                <w:bCs/>
                <w:sz w:val="20"/>
                <w:szCs w:val="20"/>
              </w:rPr>
            </w:pPr>
            <w:r w:rsidRPr="001C4C5A">
              <w:rPr>
                <w:rFonts w:ascii="Times New Roman" w:hAnsi="Times New Roman"/>
                <w:b/>
                <w:bCs/>
                <w:sz w:val="20"/>
                <w:szCs w:val="20"/>
              </w:rPr>
              <w:t>Rozdiel</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C4C5A" w:rsidRPr="005028F3" w:rsidP="00B7497A">
            <w:pPr>
              <w:bidi w:val="0"/>
              <w:jc w:val="center"/>
              <w:rPr>
                <w:rFonts w:ascii="Times New Roman" w:hAnsi="Times New Roman"/>
                <w:b/>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C4C5A" w:rsidRPr="005028F3" w:rsidP="00B7497A">
            <w:pPr>
              <w:bidi w:val="0"/>
              <w:jc w:val="center"/>
              <w:rPr>
                <w:rFonts w:ascii="Times New Roman" w:hAnsi="Times New Roman"/>
                <w:b/>
                <w:color w:val="000000"/>
                <w:sz w:val="20"/>
                <w:szCs w:val="20"/>
              </w:rPr>
            </w:pPr>
            <w:r w:rsidRPr="005028F3">
              <w:rPr>
                <w:rFonts w:ascii="Times New Roman" w:hAnsi="Times New Roman"/>
                <w:b/>
                <w:color w:val="000000"/>
                <w:sz w:val="20"/>
                <w:szCs w:val="20"/>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1C4C5A" w:rsidRPr="005028F3" w:rsidP="00B7497A">
            <w:pPr>
              <w:bidi w:val="0"/>
              <w:jc w:val="center"/>
              <w:rPr>
                <w:rFonts w:ascii="Times New Roman" w:hAnsi="Times New Roman"/>
                <w:b/>
                <w:color w:val="000000"/>
                <w:sz w:val="20"/>
                <w:szCs w:val="20"/>
              </w:rPr>
            </w:pPr>
            <w:r w:rsidRPr="005028F3">
              <w:rPr>
                <w:rFonts w:ascii="Times New Roman" w:hAnsi="Times New Roman"/>
                <w:b/>
                <w:color w:val="000000"/>
                <w:sz w:val="20"/>
                <w:szCs w:val="20"/>
              </w:rPr>
              <w:t>2</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1C4C5A" w:rsidRPr="005028F3" w:rsidP="00B7497A">
            <w:pPr>
              <w:bidi w:val="0"/>
              <w:ind w:right="-70"/>
              <w:jc w:val="center"/>
              <w:rPr>
                <w:rFonts w:ascii="Times New Roman" w:hAnsi="Times New Roman"/>
                <w:b/>
                <w:color w:val="000000"/>
                <w:sz w:val="20"/>
                <w:szCs w:val="20"/>
              </w:rPr>
            </w:pPr>
            <w:r w:rsidRPr="005028F3">
              <w:rPr>
                <w:rFonts w:ascii="Times New Roman" w:hAnsi="Times New Roman"/>
                <w:b/>
                <w:color w:val="000000"/>
                <w:sz w:val="20"/>
                <w:szCs w:val="20"/>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C4C5A" w:rsidRPr="005028F3" w:rsidP="00B7497A">
            <w:pPr>
              <w:bidi w:val="0"/>
              <w:jc w:val="center"/>
              <w:rPr>
                <w:rFonts w:ascii="Times New Roman" w:hAnsi="Times New Roman"/>
                <w:b/>
                <w:color w:val="000000"/>
                <w:sz w:val="20"/>
                <w:szCs w:val="20"/>
              </w:rPr>
            </w:pPr>
            <w:r w:rsidRPr="005028F3" w:rsidR="00195460">
              <w:rPr>
                <w:rFonts w:ascii="Times New Roman" w:hAnsi="Times New Roman"/>
                <w:b/>
                <w:color w:val="000000"/>
                <w:sz w:val="20"/>
                <w:szCs w:val="20"/>
              </w:rPr>
              <w:t>4</w:t>
            </w:r>
            <w:r w:rsidRPr="005028F3">
              <w:rPr>
                <w:rFonts w:ascii="Times New Roman" w:hAnsi="Times New Roman"/>
                <w:b/>
                <w:color w:val="000000"/>
                <w:sz w:val="20"/>
                <w:szCs w:val="20"/>
              </w:rPr>
              <w:t>=3-2</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textDirection w:val="lrTb"/>
            <w:vAlign w:val="top"/>
          </w:tcPr>
          <w:p w:rsidR="001C4C5A" w:rsidRPr="001C4C5A" w:rsidP="00B7497A">
            <w:pPr>
              <w:bidi w:val="0"/>
              <w:jc w:val="both"/>
              <w:rPr>
                <w:rFonts w:ascii="Times New Roman" w:hAnsi="Times New Roman"/>
                <w:b/>
                <w:bCs/>
                <w:sz w:val="20"/>
                <w:szCs w:val="20"/>
              </w:rPr>
            </w:pPr>
            <w:r w:rsidRPr="001C4C5A">
              <w:rPr>
                <w:rFonts w:ascii="Times New Roman" w:hAnsi="Times New Roman"/>
                <w:b/>
                <w:bCs/>
                <w:sz w:val="20"/>
                <w:szCs w:val="20"/>
              </w:rPr>
              <w:t>Verejná správa spolu</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1C4C5A" w:rsidRPr="001C4C5A" w:rsidP="00901073">
            <w:pPr>
              <w:bidi w:val="0"/>
              <w:jc w:val="right"/>
              <w:rPr>
                <w:rFonts w:ascii="Times New Roman" w:hAnsi="Times New Roman"/>
                <w:b/>
                <w:bCs/>
                <w:sz w:val="20"/>
                <w:szCs w:val="20"/>
              </w:rPr>
            </w:pPr>
            <w:r w:rsidRPr="001C4C5A">
              <w:rPr>
                <w:rFonts w:ascii="Times New Roman" w:hAnsi="Times New Roman"/>
                <w:b/>
                <w:bCs/>
                <w:sz w:val="20"/>
                <w:szCs w:val="20"/>
              </w:rPr>
              <w:t>-5 0</w:t>
            </w:r>
            <w:r w:rsidR="00901073">
              <w:rPr>
                <w:rFonts w:ascii="Times New Roman" w:hAnsi="Times New Roman"/>
                <w:b/>
                <w:bCs/>
                <w:sz w:val="20"/>
                <w:szCs w:val="20"/>
              </w:rPr>
              <w:t>47</w:t>
            </w:r>
            <w:r w:rsidRPr="001C4C5A">
              <w:rPr>
                <w:rFonts w:ascii="Times New Roman" w:hAnsi="Times New Roman"/>
                <w:b/>
                <w:bCs/>
                <w:sz w:val="20"/>
                <w:szCs w:val="20"/>
              </w:rPr>
              <w:t xml:space="preserve"> </w:t>
            </w:r>
            <w:r w:rsidR="00901073">
              <w:rPr>
                <w:rFonts w:ascii="Times New Roman" w:hAnsi="Times New Roman"/>
                <w:b/>
                <w:bCs/>
                <w:sz w:val="20"/>
                <w:szCs w:val="20"/>
              </w:rPr>
              <w:t>028</w:t>
            </w:r>
          </w:p>
        </w:tc>
        <w:tc>
          <w:tcPr>
            <w:tcW w:w="1277" w:type="dxa"/>
            <w:tcBorders>
              <w:top w:val="single" w:sz="4" w:space="0" w:color="auto"/>
              <w:left w:val="nil"/>
              <w:bottom w:val="single" w:sz="4" w:space="0" w:color="auto"/>
              <w:right w:val="single" w:sz="4" w:space="0" w:color="auto"/>
            </w:tcBorders>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-3 448 934</w:t>
            </w:r>
          </w:p>
        </w:tc>
        <w:tc>
          <w:tcPr>
            <w:tcW w:w="1253" w:type="dxa"/>
            <w:tcBorders>
              <w:top w:val="single" w:sz="4" w:space="0" w:color="auto"/>
              <w:left w:val="nil"/>
              <w:bottom w:val="single" w:sz="4" w:space="0" w:color="auto"/>
              <w:right w:val="single" w:sz="4" w:space="0" w:color="auto"/>
            </w:tcBorders>
            <w:shd w:val="clear" w:color="auto" w:fill="D9D9D9"/>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-3 326 566</w:t>
            </w:r>
          </w:p>
        </w:tc>
        <w:tc>
          <w:tcPr>
            <w:tcW w:w="1157" w:type="dxa"/>
            <w:tcBorders>
              <w:top w:val="single" w:sz="4" w:space="0" w:color="auto"/>
              <w:left w:val="nil"/>
              <w:bottom w:val="single" w:sz="4" w:space="0" w:color="auto"/>
              <w:right w:val="single" w:sz="4" w:space="0" w:color="auto"/>
            </w:tcBorders>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122 368</w:t>
            </w:r>
          </w:p>
        </w:tc>
      </w:tr>
      <w:tr>
        <w:tblPrEx>
          <w:tblW w:w="9639" w:type="dxa"/>
          <w:tblInd w:w="70" w:type="dxa"/>
          <w:tblLayout w:type="fixed"/>
          <w:tblCellMar>
            <w:left w:w="70" w:type="dxa"/>
            <w:right w:w="70" w:type="dxa"/>
          </w:tblCellMar>
          <w:tblLook w:val="00A0"/>
        </w:tblPrEx>
        <w:trPr>
          <w:trHeight w:val="330"/>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rPr>
                <w:rFonts w:ascii="Times New Roman" w:hAnsi="Times New Roman"/>
                <w:sz w:val="20"/>
                <w:szCs w:val="20"/>
              </w:rPr>
            </w:pPr>
            <w:r w:rsidRPr="001C4C5A">
              <w:rPr>
                <w:rFonts w:ascii="Times New Roman" w:hAnsi="Times New Roman"/>
                <w:sz w:val="20"/>
                <w:szCs w:val="20"/>
              </w:rPr>
              <w:t>Štátny rozpočet</w:t>
            </w:r>
            <w:r w:rsidRPr="001C4C5A">
              <w:rPr>
                <w:rFonts w:ascii="Times New Roman" w:hAnsi="Times New Roman"/>
                <w:sz w:val="20"/>
                <w:szCs w:val="20"/>
                <w:vertAlign w:val="superscript"/>
              </w:rPr>
              <w:t>3)</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901073">
            <w:pPr>
              <w:bidi w:val="0"/>
              <w:jc w:val="right"/>
              <w:rPr>
                <w:rFonts w:ascii="Times New Roman" w:hAnsi="Times New Roman"/>
                <w:sz w:val="20"/>
                <w:szCs w:val="20"/>
              </w:rPr>
            </w:pPr>
            <w:r w:rsidRPr="001C4C5A">
              <w:rPr>
                <w:rFonts w:ascii="Times New Roman" w:hAnsi="Times New Roman"/>
                <w:sz w:val="20"/>
                <w:szCs w:val="20"/>
              </w:rPr>
              <w:t>-4 2</w:t>
            </w:r>
            <w:r w:rsidR="00901073">
              <w:rPr>
                <w:rFonts w:ascii="Times New Roman" w:hAnsi="Times New Roman"/>
                <w:sz w:val="20"/>
                <w:szCs w:val="20"/>
              </w:rPr>
              <w:t>54</w:t>
            </w:r>
            <w:r w:rsidRPr="001C4C5A">
              <w:rPr>
                <w:rFonts w:ascii="Times New Roman" w:hAnsi="Times New Roman"/>
                <w:sz w:val="20"/>
                <w:szCs w:val="20"/>
              </w:rPr>
              <w:t xml:space="preserve"> </w:t>
            </w:r>
            <w:r w:rsidR="00901073">
              <w:rPr>
                <w:rFonts w:ascii="Times New Roman" w:hAnsi="Times New Roman"/>
                <w:sz w:val="20"/>
                <w:szCs w:val="20"/>
              </w:rPr>
              <w:t>797</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-3 706 502</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-3 528 043</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178 459</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Štátne fondy spolu</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98 904</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301 821</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190 486</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-111 335</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Fond národného majetku SR</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-213 270</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-22 488</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-287 681</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-265 193</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Slovenský pozemkový fond</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2 258</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5 913</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10 210</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4 297</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Slovenská konsolidačná, a.s.</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-13 024</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-2 777</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-5 844</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-3 067</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Verejné vysoké školy</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-38 134</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306</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2 169</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1 863</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Úrad pre dohľad nad zdrav. starostlivosťou</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311</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174</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2 040</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1 866</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Ústav pamäti národa</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-31</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-16</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-16</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Slovenské nár. stredisko pre ľud. práva</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7</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Rozhlas a televízia Slovenska</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-14 615</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-676</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24 529</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25 205</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Úrad pre dohľad nad výkonom auditu</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158</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-85</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35</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120</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RTVS, s. r. o.</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-23</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-400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223</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623</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Tlačová agentúra SR</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130</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-161</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-161</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Audiovizuálny fond</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1 374</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859</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859</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Vyššie územné celky</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-24 279</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-60 028</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-5 785</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54 243</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Obce</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-541 954</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-75 859</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29 529</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105 388</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Neziskové org</w:t>
            </w:r>
            <w:r w:rsidR="0087088E">
              <w:rPr>
                <w:rFonts w:ascii="Times New Roman" w:hAnsi="Times New Roman"/>
                <w:sz w:val="20"/>
                <w:szCs w:val="20"/>
              </w:rPr>
              <w:t>anizácie</w:t>
            </w:r>
            <w:r w:rsidRPr="001C4C5A">
              <w:rPr>
                <w:rFonts w:ascii="Times New Roman" w:hAnsi="Times New Roman"/>
                <w:sz w:val="20"/>
                <w:szCs w:val="20"/>
              </w:rPr>
              <w:t xml:space="preserve">. obcí zaradené do sektora </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-2 600</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2 544</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2 544</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Sociálna poisťovňa</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67 297</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91 419</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173 513</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82 094</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Verejné zdravotné poistenie</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-88 591</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14 000</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107 028</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93 028</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ind w:left="-10"/>
              <w:rPr>
                <w:rFonts w:ascii="Times New Roman" w:hAnsi="Times New Roman"/>
                <w:sz w:val="20"/>
                <w:szCs w:val="20"/>
              </w:rPr>
            </w:pPr>
            <w:r w:rsidRPr="001C4C5A">
              <w:rPr>
                <w:rFonts w:ascii="Times New Roman" w:hAnsi="Times New Roman"/>
                <w:sz w:val="20"/>
                <w:szCs w:val="20"/>
              </w:rPr>
              <w:t>Príspevkové organizácie zaradené do sektora spolu</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-26 149</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1C4C5A" w:rsidP="00B7497A">
            <w:pPr>
              <w:bidi w:val="0"/>
              <w:jc w:val="right"/>
              <w:rPr>
                <w:rFonts w:ascii="Times New Roman" w:hAnsi="Times New Roman"/>
                <w:sz w:val="20"/>
                <w:szCs w:val="20"/>
              </w:rPr>
            </w:pPr>
            <w:r w:rsidRPr="001C4C5A">
              <w:rPr>
                <w:rFonts w:ascii="Times New Roman" w:hAnsi="Times New Roman"/>
                <w:sz w:val="20"/>
                <w:szCs w:val="20"/>
              </w:rPr>
              <w:t>6 248</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1C4C5A" w:rsidP="00901073">
            <w:pPr>
              <w:bidi w:val="0"/>
              <w:jc w:val="right"/>
              <w:rPr>
                <w:rFonts w:ascii="Times New Roman" w:hAnsi="Times New Roman"/>
                <w:sz w:val="20"/>
                <w:szCs w:val="20"/>
              </w:rPr>
            </w:pPr>
            <w:r w:rsidRPr="001C4C5A">
              <w:rPr>
                <w:rFonts w:ascii="Times New Roman" w:hAnsi="Times New Roman"/>
                <w:sz w:val="20"/>
                <w:szCs w:val="20"/>
              </w:rPr>
              <w:t>-4</w:t>
            </w:r>
            <w:r w:rsidR="00901073">
              <w:rPr>
                <w:rFonts w:ascii="Times New Roman" w:hAnsi="Times New Roman"/>
                <w:sz w:val="20"/>
                <w:szCs w:val="20"/>
              </w:rPr>
              <w:t>2</w:t>
            </w:r>
            <w:r w:rsidRPr="001C4C5A">
              <w:rPr>
                <w:rFonts w:ascii="Times New Roman" w:hAnsi="Times New Roman"/>
                <w:sz w:val="20"/>
                <w:szCs w:val="20"/>
              </w:rPr>
              <w:t xml:space="preserve"> </w:t>
            </w:r>
            <w:r w:rsidR="00901073">
              <w:rPr>
                <w:rFonts w:ascii="Times New Roman" w:hAnsi="Times New Roman"/>
                <w:sz w:val="20"/>
                <w:szCs w:val="20"/>
              </w:rPr>
              <w:t>195</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1C4C5A" w:rsidP="00901073">
            <w:pPr>
              <w:bidi w:val="0"/>
              <w:jc w:val="right"/>
              <w:rPr>
                <w:rFonts w:ascii="Times New Roman" w:hAnsi="Times New Roman"/>
                <w:sz w:val="20"/>
                <w:szCs w:val="20"/>
              </w:rPr>
            </w:pPr>
            <w:r w:rsidRPr="001C4C5A">
              <w:rPr>
                <w:rFonts w:ascii="Times New Roman" w:hAnsi="Times New Roman"/>
                <w:sz w:val="20"/>
                <w:szCs w:val="20"/>
              </w:rPr>
              <w:t>-4</w:t>
            </w:r>
            <w:r w:rsidR="00901073">
              <w:rPr>
                <w:rFonts w:ascii="Times New Roman" w:hAnsi="Times New Roman"/>
                <w:sz w:val="20"/>
                <w:szCs w:val="20"/>
              </w:rPr>
              <w:t>8</w:t>
            </w:r>
            <w:r w:rsidRPr="001C4C5A">
              <w:rPr>
                <w:rFonts w:ascii="Times New Roman" w:hAnsi="Times New Roman"/>
                <w:sz w:val="20"/>
                <w:szCs w:val="20"/>
              </w:rPr>
              <w:t xml:space="preserve"> </w:t>
            </w:r>
            <w:r w:rsidR="00901073">
              <w:rPr>
                <w:rFonts w:ascii="Times New Roman" w:hAnsi="Times New Roman"/>
                <w:sz w:val="20"/>
                <w:szCs w:val="20"/>
              </w:rPr>
              <w:t>443</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ind w:left="-10"/>
              <w:rPr>
                <w:rFonts w:ascii="Times New Roman" w:hAnsi="Times New Roman"/>
                <w:i/>
                <w:sz w:val="20"/>
                <w:szCs w:val="20"/>
              </w:rPr>
            </w:pPr>
            <w:r w:rsidRPr="004A0ACE">
              <w:rPr>
                <w:rFonts w:ascii="Times New Roman" w:hAnsi="Times New Roman"/>
                <w:sz w:val="20"/>
                <w:szCs w:val="20"/>
              </w:rPr>
              <w:t>z toho</w:t>
            </w:r>
            <w:r w:rsidRPr="004A0ACE">
              <w:rPr>
                <w:rFonts w:ascii="Times New Roman" w:hAnsi="Times New Roman"/>
                <w:i/>
                <w:sz w:val="20"/>
                <w:szCs w:val="20"/>
              </w:rPr>
              <w:t>: štátne</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Pr="004A0ACE">
              <w:rPr>
                <w:rFonts w:ascii="Times New Roman" w:hAnsi="Times New Roman"/>
                <w:i/>
                <w:sz w:val="20"/>
                <w:szCs w:val="20"/>
              </w:rPr>
              <w:t>-8 748</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- 225</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4A0ACE" w:rsidP="00B7497A">
            <w:pPr>
              <w:bidi w:val="0"/>
              <w:jc w:val="right"/>
              <w:rPr>
                <w:rFonts w:ascii="Times New Roman" w:hAnsi="Times New Roman"/>
                <w:i/>
                <w:sz w:val="20"/>
                <w:szCs w:val="20"/>
              </w:rPr>
            </w:pPr>
            <w:r w:rsidRPr="004A0ACE">
              <w:rPr>
                <w:rFonts w:ascii="Times New Roman" w:hAnsi="Times New Roman"/>
                <w:i/>
                <w:sz w:val="20"/>
                <w:szCs w:val="20"/>
              </w:rPr>
              <w:t>-18 295</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-18 070</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ind w:left="-10"/>
              <w:rPr>
                <w:rFonts w:ascii="Times New Roman" w:hAnsi="Times New Roman"/>
                <w:i/>
                <w:sz w:val="20"/>
                <w:szCs w:val="20"/>
              </w:rPr>
            </w:pPr>
            <w:r w:rsidRPr="004A0ACE">
              <w:rPr>
                <w:rFonts w:ascii="Times New Roman" w:hAnsi="Times New Roman"/>
                <w:i/>
                <w:sz w:val="20"/>
                <w:szCs w:val="20"/>
              </w:rPr>
              <w:t xml:space="preserve">            obecné</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Pr="004A0ACE">
              <w:rPr>
                <w:rFonts w:ascii="Times New Roman" w:hAnsi="Times New Roman"/>
                <w:i/>
                <w:sz w:val="20"/>
                <w:szCs w:val="20"/>
              </w:rPr>
              <w:t>-19 081</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1 494</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4A0ACE" w:rsidP="00B7497A">
            <w:pPr>
              <w:bidi w:val="0"/>
              <w:jc w:val="right"/>
              <w:rPr>
                <w:rFonts w:ascii="Times New Roman" w:hAnsi="Times New Roman"/>
                <w:i/>
                <w:sz w:val="20"/>
                <w:szCs w:val="20"/>
              </w:rPr>
            </w:pPr>
            <w:r w:rsidRPr="004A0ACE">
              <w:rPr>
                <w:rFonts w:ascii="Times New Roman" w:hAnsi="Times New Roman"/>
                <w:i/>
                <w:sz w:val="20"/>
                <w:szCs w:val="20"/>
              </w:rPr>
              <w:t>-11 990</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-13 484</w:t>
            </w:r>
          </w:p>
        </w:tc>
      </w:tr>
      <w:tr>
        <w:tblPrEx>
          <w:tblW w:w="9639" w:type="dxa"/>
          <w:tblInd w:w="70" w:type="dxa"/>
          <w:tblLayout w:type="fixed"/>
          <w:tblCellMar>
            <w:left w:w="70" w:type="dxa"/>
            <w:right w:w="70" w:type="dxa"/>
          </w:tblCellMar>
          <w:tblLook w:val="00A0"/>
        </w:tblPrEx>
        <w:trPr>
          <w:trHeight w:val="255"/>
        </w:trPr>
        <w:tc>
          <w:tcPr>
            <w:tcW w:w="4675"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ind w:left="-10"/>
              <w:rPr>
                <w:rFonts w:ascii="Times New Roman" w:hAnsi="Times New Roman"/>
                <w:i/>
                <w:sz w:val="20"/>
                <w:szCs w:val="20"/>
              </w:rPr>
            </w:pPr>
            <w:r w:rsidRPr="004A0ACE">
              <w:rPr>
                <w:rFonts w:ascii="Times New Roman" w:hAnsi="Times New Roman"/>
                <w:i/>
                <w:sz w:val="20"/>
                <w:szCs w:val="20"/>
              </w:rPr>
              <w:t xml:space="preserve">            vyšších územných celkov</w:t>
            </w:r>
          </w:p>
        </w:tc>
        <w:tc>
          <w:tcPr>
            <w:tcW w:w="127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Pr="004A0ACE">
              <w:rPr>
                <w:rFonts w:ascii="Times New Roman" w:hAnsi="Times New Roman"/>
                <w:i/>
                <w:sz w:val="20"/>
                <w:szCs w:val="20"/>
              </w:rPr>
              <w:t>1 680</w:t>
            </w:r>
          </w:p>
        </w:tc>
        <w:tc>
          <w:tcPr>
            <w:tcW w:w="1277" w:type="dxa"/>
            <w:tcBorders>
              <w:top w:val="single" w:sz="4" w:space="0" w:color="auto"/>
              <w:left w:val="single" w:sz="4" w:space="0" w:color="auto"/>
              <w:bottom w:val="single" w:sz="4" w:space="0" w:color="auto"/>
              <w:right w:val="single" w:sz="4" w:space="0" w:color="auto"/>
            </w:tcBorders>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4 979</w:t>
            </w:r>
          </w:p>
        </w:tc>
        <w:tc>
          <w:tcPr>
            <w:tcW w:w="125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D15C85" w:rsidRPr="004A0ACE" w:rsidP="00901073">
            <w:pPr>
              <w:bidi w:val="0"/>
              <w:jc w:val="right"/>
              <w:rPr>
                <w:rFonts w:ascii="Times New Roman" w:hAnsi="Times New Roman"/>
                <w:i/>
                <w:sz w:val="20"/>
                <w:szCs w:val="20"/>
              </w:rPr>
            </w:pPr>
            <w:r w:rsidRPr="004A0ACE">
              <w:rPr>
                <w:rFonts w:ascii="Times New Roman" w:hAnsi="Times New Roman"/>
                <w:i/>
                <w:sz w:val="20"/>
                <w:szCs w:val="20"/>
              </w:rPr>
              <w:t>-</w:t>
            </w:r>
            <w:r w:rsidR="00901073">
              <w:rPr>
                <w:rFonts w:ascii="Times New Roman" w:hAnsi="Times New Roman"/>
                <w:i/>
                <w:sz w:val="20"/>
                <w:szCs w:val="20"/>
              </w:rPr>
              <w:t>11 910</w:t>
            </w:r>
          </w:p>
        </w:tc>
        <w:tc>
          <w:tcPr>
            <w:tcW w:w="1157" w:type="dxa"/>
            <w:tcBorders>
              <w:top w:val="single" w:sz="4" w:space="0" w:color="auto"/>
              <w:left w:val="single" w:sz="4" w:space="0" w:color="auto"/>
              <w:bottom w:val="single" w:sz="4" w:space="0" w:color="auto"/>
              <w:right w:val="single" w:sz="4" w:space="0" w:color="auto"/>
            </w:tcBorders>
            <w:noWrap/>
            <w:textDirection w:val="lrTb"/>
            <w:vAlign w:val="bottom"/>
          </w:tcPr>
          <w:p w:rsidR="00D15C85" w:rsidRPr="004A0ACE" w:rsidP="00B7497A">
            <w:pPr>
              <w:bidi w:val="0"/>
              <w:jc w:val="right"/>
              <w:rPr>
                <w:rFonts w:ascii="Times New Roman" w:hAnsi="Times New Roman"/>
                <w:i/>
                <w:sz w:val="20"/>
                <w:szCs w:val="20"/>
              </w:rPr>
            </w:pPr>
            <w:r w:rsidR="00901073">
              <w:rPr>
                <w:rFonts w:ascii="Times New Roman" w:hAnsi="Times New Roman"/>
                <w:i/>
                <w:sz w:val="20"/>
                <w:szCs w:val="20"/>
              </w:rPr>
              <w:t>-16 889</w:t>
            </w:r>
          </w:p>
        </w:tc>
      </w:tr>
      <w:tr>
        <w:tblPrEx>
          <w:tblW w:w="9639" w:type="dxa"/>
          <w:tblInd w:w="70" w:type="dxa"/>
          <w:tblLayout w:type="fixed"/>
          <w:tblCellMar>
            <w:left w:w="70" w:type="dxa"/>
            <w:right w:w="70" w:type="dxa"/>
          </w:tblCellMar>
          <w:tblLook w:val="00A0"/>
        </w:tblPrEx>
        <w:trPr>
          <w:trHeight w:val="300"/>
        </w:trPr>
        <w:tc>
          <w:tcPr>
            <w:tcW w:w="4675" w:type="dxa"/>
            <w:tcBorders>
              <w:top w:val="single" w:sz="4" w:space="0" w:color="auto"/>
              <w:left w:val="single" w:sz="4" w:space="0" w:color="auto"/>
              <w:bottom w:val="double" w:sz="4" w:space="0" w:color="auto"/>
              <w:right w:val="nil"/>
            </w:tcBorders>
            <w:noWrap/>
            <w:textDirection w:val="lrTb"/>
            <w:vAlign w:val="bottom"/>
          </w:tcPr>
          <w:p w:rsidR="001C4C5A" w:rsidRPr="001C4C5A" w:rsidP="00B7497A">
            <w:pPr>
              <w:bidi w:val="0"/>
              <w:rPr>
                <w:rFonts w:ascii="Times New Roman" w:hAnsi="Times New Roman"/>
                <w:sz w:val="20"/>
                <w:szCs w:val="20"/>
              </w:rPr>
            </w:pPr>
            <w:r w:rsidRPr="001C4C5A">
              <w:rPr>
                <w:rFonts w:ascii="Times New Roman" w:hAnsi="Times New Roman"/>
                <w:sz w:val="20"/>
                <w:szCs w:val="20"/>
              </w:rPr>
              <w:t>Hrubý domáci produkt v bežných cenách</w:t>
            </w:r>
          </w:p>
        </w:tc>
        <w:tc>
          <w:tcPr>
            <w:tcW w:w="1277" w:type="dxa"/>
            <w:tcBorders>
              <w:top w:val="single" w:sz="4" w:space="0" w:color="auto"/>
              <w:left w:val="single" w:sz="4" w:space="0" w:color="auto"/>
              <w:bottom w:val="double" w:sz="4" w:space="0" w:color="auto"/>
              <w:right w:val="nil"/>
            </w:tcBorders>
            <w:noWrap/>
            <w:textDirection w:val="lrTb"/>
            <w:vAlign w:val="bottom"/>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65 743 500</w:t>
            </w:r>
          </w:p>
        </w:tc>
        <w:tc>
          <w:tcPr>
            <w:tcW w:w="1277" w:type="dxa"/>
            <w:tcBorders>
              <w:top w:val="single" w:sz="4" w:space="0" w:color="auto"/>
              <w:left w:val="single" w:sz="4" w:space="0" w:color="auto"/>
              <w:bottom w:val="double" w:sz="4" w:space="0" w:color="auto"/>
              <w:right w:val="single" w:sz="4" w:space="0" w:color="auto"/>
            </w:tcBorders>
            <w:textDirection w:val="lrTb"/>
            <w:vAlign w:val="bottom"/>
          </w:tcPr>
          <w:p w:rsidR="001C4C5A" w:rsidRPr="001C4C5A" w:rsidP="00EE19A8">
            <w:pPr>
              <w:bidi w:val="0"/>
              <w:ind w:left="-207" w:firstLine="207"/>
              <w:jc w:val="right"/>
              <w:rPr>
                <w:rFonts w:ascii="Times New Roman" w:hAnsi="Times New Roman"/>
                <w:sz w:val="20"/>
                <w:szCs w:val="20"/>
              </w:rPr>
            </w:pPr>
            <w:r w:rsidRPr="001C4C5A">
              <w:rPr>
                <w:rFonts w:ascii="Times New Roman" w:hAnsi="Times New Roman"/>
                <w:sz w:val="20"/>
                <w:szCs w:val="20"/>
              </w:rPr>
              <w:t>70 173 6</w:t>
            </w:r>
            <w:r w:rsidR="00EE19A8">
              <w:rPr>
                <w:rFonts w:ascii="Times New Roman" w:hAnsi="Times New Roman"/>
                <w:sz w:val="20"/>
                <w:szCs w:val="20"/>
              </w:rPr>
              <w:t>04</w:t>
            </w:r>
          </w:p>
        </w:tc>
        <w:tc>
          <w:tcPr>
            <w:tcW w:w="1253" w:type="dxa"/>
            <w:tcBorders>
              <w:top w:val="single" w:sz="4" w:space="0" w:color="auto"/>
              <w:left w:val="single" w:sz="4" w:space="0" w:color="auto"/>
              <w:bottom w:val="double" w:sz="4" w:space="0" w:color="auto"/>
              <w:right w:val="single" w:sz="4" w:space="0" w:color="auto"/>
            </w:tcBorders>
            <w:shd w:val="clear" w:color="auto" w:fill="D9D9D9"/>
            <w:noWrap/>
            <w:textDirection w:val="lrTb"/>
            <w:vAlign w:val="bottom"/>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69 058 194</w:t>
            </w:r>
          </w:p>
        </w:tc>
        <w:tc>
          <w:tcPr>
            <w:tcW w:w="1157" w:type="dxa"/>
            <w:tcBorders>
              <w:top w:val="single" w:sz="4" w:space="0" w:color="auto"/>
              <w:left w:val="nil"/>
              <w:bottom w:val="double" w:sz="4" w:space="0" w:color="auto"/>
              <w:right w:val="single" w:sz="4" w:space="0" w:color="auto"/>
            </w:tcBorders>
            <w:noWrap/>
            <w:textDirection w:val="lrTb"/>
            <w:vAlign w:val="bottom"/>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 xml:space="preserve">-1 115 406  </w:t>
            </w:r>
          </w:p>
        </w:tc>
      </w:tr>
      <w:tr>
        <w:tblPrEx>
          <w:tblW w:w="9639" w:type="dxa"/>
          <w:tblInd w:w="70" w:type="dxa"/>
          <w:tblLayout w:type="fixed"/>
          <w:tblCellMar>
            <w:left w:w="70" w:type="dxa"/>
            <w:right w:w="70" w:type="dxa"/>
          </w:tblCellMar>
          <w:tblLook w:val="00A0"/>
        </w:tblPrEx>
        <w:trPr>
          <w:trHeight w:val="300"/>
        </w:trPr>
        <w:tc>
          <w:tcPr>
            <w:tcW w:w="4675" w:type="dxa"/>
            <w:tcBorders>
              <w:top w:val="double" w:sz="4" w:space="0" w:color="auto"/>
              <w:left w:val="single" w:sz="4" w:space="0" w:color="auto"/>
              <w:bottom w:val="single" w:sz="4" w:space="0" w:color="auto"/>
              <w:right w:val="single" w:sz="4" w:space="0" w:color="auto"/>
            </w:tcBorders>
            <w:noWrap/>
            <w:textDirection w:val="lrTb"/>
            <w:vAlign w:val="bottom"/>
          </w:tcPr>
          <w:p w:rsidR="001C4C5A" w:rsidRPr="001C4C5A" w:rsidP="00EE19A8">
            <w:pPr>
              <w:bidi w:val="0"/>
              <w:rPr>
                <w:rFonts w:ascii="Times New Roman" w:hAnsi="Times New Roman"/>
                <w:b/>
                <w:bCs/>
                <w:sz w:val="20"/>
                <w:szCs w:val="20"/>
              </w:rPr>
            </w:pPr>
            <w:r w:rsidRPr="001C4C5A">
              <w:rPr>
                <w:rFonts w:ascii="Times New Roman" w:hAnsi="Times New Roman"/>
                <w:b/>
                <w:bCs/>
                <w:sz w:val="20"/>
                <w:szCs w:val="20"/>
              </w:rPr>
              <w:t>P</w:t>
            </w:r>
            <w:r w:rsidR="00572C26">
              <w:rPr>
                <w:rFonts w:ascii="Times New Roman" w:hAnsi="Times New Roman"/>
                <w:b/>
                <w:bCs/>
                <w:sz w:val="20"/>
                <w:szCs w:val="20"/>
              </w:rPr>
              <w:t>o</w:t>
            </w:r>
            <w:r w:rsidR="00EE19A8">
              <w:rPr>
                <w:rFonts w:ascii="Times New Roman" w:hAnsi="Times New Roman"/>
                <w:b/>
                <w:bCs/>
                <w:sz w:val="20"/>
                <w:szCs w:val="20"/>
              </w:rPr>
              <w:t>mer</w:t>
            </w:r>
            <w:r w:rsidRPr="001C4C5A">
              <w:rPr>
                <w:rFonts w:ascii="Times New Roman" w:hAnsi="Times New Roman"/>
                <w:b/>
                <w:bCs/>
                <w:sz w:val="20"/>
                <w:szCs w:val="20"/>
              </w:rPr>
              <w:t xml:space="preserve"> schodku verejnej správy z</w:t>
            </w:r>
            <w:r w:rsidR="00572C26">
              <w:rPr>
                <w:rFonts w:ascii="Times New Roman" w:hAnsi="Times New Roman"/>
                <w:b/>
                <w:bCs/>
                <w:sz w:val="20"/>
                <w:szCs w:val="20"/>
              </w:rPr>
              <w:t> </w:t>
            </w:r>
            <w:r w:rsidRPr="001C4C5A">
              <w:rPr>
                <w:rFonts w:ascii="Times New Roman" w:hAnsi="Times New Roman"/>
                <w:b/>
                <w:bCs/>
                <w:sz w:val="20"/>
                <w:szCs w:val="20"/>
              </w:rPr>
              <w:t>HDP</w:t>
            </w:r>
            <w:r w:rsidR="00572C26">
              <w:rPr>
                <w:rFonts w:ascii="Times New Roman" w:hAnsi="Times New Roman"/>
                <w:b/>
                <w:bCs/>
                <w:sz w:val="20"/>
                <w:szCs w:val="20"/>
              </w:rPr>
              <w:t xml:space="preserve"> v %</w:t>
            </w:r>
          </w:p>
        </w:tc>
        <w:tc>
          <w:tcPr>
            <w:tcW w:w="1277" w:type="dxa"/>
            <w:tcBorders>
              <w:top w:val="double" w:sz="4" w:space="0" w:color="auto"/>
              <w:left w:val="single" w:sz="4" w:space="0" w:color="auto"/>
              <w:bottom w:val="single" w:sz="4" w:space="0" w:color="auto"/>
              <w:right w:val="single" w:sz="4" w:space="0" w:color="auto"/>
            </w:tcBorders>
            <w:noWrap/>
            <w:textDirection w:val="lrTb"/>
            <w:vAlign w:val="bottom"/>
          </w:tcPr>
          <w:p w:rsidR="001C4C5A" w:rsidRPr="001C4C5A" w:rsidP="00EE19A8">
            <w:pPr>
              <w:bidi w:val="0"/>
              <w:jc w:val="right"/>
              <w:rPr>
                <w:rFonts w:ascii="Times New Roman" w:hAnsi="Times New Roman"/>
                <w:b/>
                <w:bCs/>
                <w:sz w:val="20"/>
                <w:szCs w:val="20"/>
              </w:rPr>
            </w:pPr>
            <w:r w:rsidRPr="001C4C5A">
              <w:rPr>
                <w:rFonts w:ascii="Times New Roman" w:hAnsi="Times New Roman"/>
                <w:b/>
                <w:bCs/>
                <w:sz w:val="20"/>
                <w:szCs w:val="20"/>
              </w:rPr>
              <w:t>-7,6</w:t>
            </w:r>
            <w:r w:rsidR="00EE19A8">
              <w:rPr>
                <w:rFonts w:ascii="Times New Roman" w:hAnsi="Times New Roman"/>
                <w:b/>
                <w:bCs/>
                <w:sz w:val="20"/>
                <w:szCs w:val="20"/>
              </w:rPr>
              <w:t>8</w:t>
            </w:r>
          </w:p>
        </w:tc>
        <w:tc>
          <w:tcPr>
            <w:tcW w:w="1277" w:type="dxa"/>
            <w:tcBorders>
              <w:top w:val="double" w:sz="4" w:space="0" w:color="auto"/>
              <w:left w:val="nil"/>
              <w:bottom w:val="single" w:sz="4" w:space="0" w:color="auto"/>
              <w:right w:val="single" w:sz="4" w:space="0" w:color="auto"/>
            </w:tcBorders>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-4,91</w:t>
            </w:r>
          </w:p>
        </w:tc>
        <w:tc>
          <w:tcPr>
            <w:tcW w:w="1253" w:type="dxa"/>
            <w:tcBorders>
              <w:top w:val="double" w:sz="4" w:space="0" w:color="auto"/>
              <w:left w:val="nil"/>
              <w:bottom w:val="single" w:sz="4" w:space="0" w:color="auto"/>
              <w:right w:val="single" w:sz="4" w:space="0" w:color="auto"/>
            </w:tcBorders>
            <w:shd w:val="clear" w:color="auto" w:fill="D9D9D9"/>
            <w:noWrap/>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-4,82</w:t>
            </w:r>
          </w:p>
        </w:tc>
        <w:tc>
          <w:tcPr>
            <w:tcW w:w="1157" w:type="dxa"/>
            <w:tcBorders>
              <w:top w:val="double" w:sz="4" w:space="0" w:color="auto"/>
              <w:left w:val="nil"/>
              <w:bottom w:val="single" w:sz="4" w:space="0" w:color="auto"/>
              <w:right w:val="single" w:sz="4" w:space="0" w:color="auto"/>
            </w:tcBorders>
            <w:noWrap/>
            <w:textDirection w:val="lrTb"/>
            <w:vAlign w:val="bottom"/>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0,09</w:t>
            </w:r>
          </w:p>
        </w:tc>
      </w:tr>
    </w:tbl>
    <w:p w:rsidR="00F01552" w:rsidRPr="00F03705" w:rsidP="00230B42">
      <w:pPr>
        <w:bidi w:val="0"/>
        <w:ind w:left="-57"/>
        <w:jc w:val="both"/>
        <w:rPr>
          <w:rFonts w:ascii="Times New Roman" w:hAnsi="Times New Roman"/>
          <w:sz w:val="18"/>
          <w:szCs w:val="18"/>
          <w:vertAlign w:val="superscript"/>
        </w:rPr>
      </w:pPr>
      <w:bookmarkStart w:id="14" w:name="RANGE_A1_H35"/>
      <w:bookmarkEnd w:id="14"/>
      <w:r w:rsidRPr="00F03705">
        <w:rPr>
          <w:rFonts w:ascii="Times New Roman" w:hAnsi="Times New Roman"/>
          <w:sz w:val="18"/>
          <w:szCs w:val="18"/>
          <w:vertAlign w:val="superscript"/>
        </w:rPr>
        <w:t>1)</w:t>
      </w:r>
      <w:r w:rsidRPr="00F03705">
        <w:rPr>
          <w:rFonts w:ascii="Times New Roman" w:hAnsi="Times New Roman"/>
          <w:sz w:val="18"/>
          <w:szCs w:val="18"/>
        </w:rPr>
        <w:t xml:space="preserve"> Schvál</w:t>
      </w:r>
      <w:r>
        <w:rPr>
          <w:rFonts w:ascii="Times New Roman" w:hAnsi="Times New Roman"/>
          <w:sz w:val="18"/>
          <w:szCs w:val="18"/>
        </w:rPr>
        <w:t>ený rozpočet zo 6. októbra 2010.</w:t>
      </w:r>
      <w:r w:rsidRPr="00F03705">
        <w:rPr>
          <w:rFonts w:ascii="Times New Roman" w:hAnsi="Times New Roman"/>
          <w:sz w:val="18"/>
          <w:szCs w:val="18"/>
        </w:rPr>
        <w:t xml:space="preserve"> </w:t>
      </w:r>
    </w:p>
    <w:p w:rsidR="00F01552" w:rsidRPr="00F03705" w:rsidP="00230B42">
      <w:pPr>
        <w:bidi w:val="0"/>
        <w:ind w:left="-57"/>
        <w:jc w:val="both"/>
        <w:rPr>
          <w:rFonts w:ascii="Times New Roman" w:hAnsi="Times New Roman"/>
          <w:sz w:val="18"/>
          <w:szCs w:val="18"/>
        </w:rPr>
      </w:pPr>
      <w:r w:rsidRPr="00F03705">
        <w:rPr>
          <w:rFonts w:ascii="Times New Roman" w:hAnsi="Times New Roman"/>
          <w:sz w:val="18"/>
          <w:szCs w:val="18"/>
          <w:vertAlign w:val="superscript"/>
        </w:rPr>
        <w:t xml:space="preserve">2) </w:t>
      </w:r>
      <w:r w:rsidRPr="00F03705">
        <w:rPr>
          <w:rFonts w:ascii="Times New Roman" w:hAnsi="Times New Roman"/>
          <w:sz w:val="18"/>
          <w:szCs w:val="18"/>
        </w:rPr>
        <w:t>Údaje za skutočnosť 2011 sú predbežné.</w:t>
      </w:r>
    </w:p>
    <w:p w:rsidR="00F01552" w:rsidRPr="00F03705" w:rsidP="00230B42">
      <w:pPr>
        <w:bidi w:val="0"/>
        <w:ind w:left="-57"/>
        <w:jc w:val="both"/>
        <w:rPr>
          <w:rFonts w:ascii="Times New Roman" w:hAnsi="Times New Roman"/>
          <w:sz w:val="18"/>
          <w:szCs w:val="18"/>
        </w:rPr>
      </w:pPr>
      <w:r w:rsidRPr="00F03705">
        <w:rPr>
          <w:rFonts w:ascii="Times New Roman" w:hAnsi="Times New Roman"/>
          <w:sz w:val="18"/>
          <w:szCs w:val="18"/>
          <w:vertAlign w:val="superscript"/>
        </w:rPr>
        <w:t xml:space="preserve">3) </w:t>
      </w:r>
      <w:r w:rsidRPr="00F03705">
        <w:rPr>
          <w:rFonts w:ascii="Times New Roman" w:hAnsi="Times New Roman"/>
          <w:sz w:val="18"/>
          <w:szCs w:val="18"/>
        </w:rPr>
        <w:t>Vrátane štátnych finančných ak</w:t>
      </w:r>
      <w:r w:rsidR="007706DC">
        <w:rPr>
          <w:rFonts w:ascii="Times New Roman" w:hAnsi="Times New Roman"/>
          <w:sz w:val="18"/>
          <w:szCs w:val="18"/>
        </w:rPr>
        <w:t>tív a mimorozpočtových účtov.</w:t>
      </w:r>
    </w:p>
    <w:p w:rsidR="00F01552" w:rsidRPr="00F03705" w:rsidP="00230B42">
      <w:pPr>
        <w:bidi w:val="0"/>
        <w:spacing w:line="360" w:lineRule="auto"/>
        <w:jc w:val="both"/>
        <w:rPr>
          <w:rFonts w:ascii="Times New Roman" w:hAnsi="Times New Roman"/>
          <w:sz w:val="18"/>
          <w:szCs w:val="18"/>
        </w:rPr>
      </w:pPr>
      <w:r w:rsidRPr="00F03705">
        <w:rPr>
          <w:rFonts w:ascii="Times New Roman" w:hAnsi="Times New Roman"/>
          <w:sz w:val="18"/>
          <w:szCs w:val="18"/>
        </w:rPr>
        <w:t>Zdr</w:t>
      </w:r>
      <w:r w:rsidR="007706DC">
        <w:rPr>
          <w:rFonts w:ascii="Times New Roman" w:hAnsi="Times New Roman"/>
          <w:sz w:val="18"/>
          <w:szCs w:val="18"/>
        </w:rPr>
        <w:t>oj: Ministerstvo financií SR</w:t>
      </w:r>
    </w:p>
    <w:p w:rsidR="001C4C5A" w:rsidRPr="00924E85" w:rsidP="004C1F8C">
      <w:pPr>
        <w:bidi w:val="0"/>
        <w:spacing w:before="120" w:after="120" w:line="360" w:lineRule="auto"/>
        <w:ind w:firstLine="709"/>
        <w:jc w:val="both"/>
        <w:rPr>
          <w:rFonts w:ascii="Times New Roman" w:hAnsi="Times New Roman"/>
        </w:rPr>
      </w:pPr>
      <w:r w:rsidRPr="00924E85">
        <w:rPr>
          <w:rFonts w:ascii="Times New Roman" w:hAnsi="Times New Roman"/>
        </w:rPr>
        <w:t>V porovnaní s</w:t>
      </w:r>
      <w:r>
        <w:rPr>
          <w:rFonts w:ascii="Times New Roman" w:hAnsi="Times New Roman"/>
        </w:rPr>
        <w:t>o</w:t>
      </w:r>
      <w:r w:rsidR="00195460">
        <w:rPr>
          <w:rFonts w:ascii="Times New Roman" w:hAnsi="Times New Roman"/>
        </w:rPr>
        <w:t xml:space="preserve"> z</w:t>
      </w:r>
      <w:r w:rsidRPr="00924E85">
        <w:rPr>
          <w:rFonts w:ascii="Times New Roman" w:hAnsi="Times New Roman"/>
        </w:rPr>
        <w:t>áverečným účtom verejnej správy za rok 20</w:t>
      </w:r>
      <w:r>
        <w:rPr>
          <w:rFonts w:ascii="Times New Roman" w:hAnsi="Times New Roman"/>
        </w:rPr>
        <w:t>10</w:t>
      </w:r>
      <w:r>
        <w:rPr>
          <w:rStyle w:val="FootnoteReference"/>
          <w:rFonts w:ascii="Times New Roman" w:hAnsi="Times New Roman"/>
          <w:rtl w:val="0"/>
        </w:rPr>
        <w:footnoteReference w:customMarkFollows="1" w:id="5"/>
        <w:t xml:space="preserve">4</w:t>
      </w:r>
      <w:r w:rsidR="00D5523C">
        <w:rPr>
          <w:rStyle w:val="FootnoteReference"/>
          <w:rFonts w:ascii="Times New Roman" w:hAnsi="Times New Roman"/>
        </w:rPr>
        <w:t>)</w:t>
      </w:r>
      <w:r w:rsidRPr="00924E85">
        <w:rPr>
          <w:rFonts w:ascii="Times New Roman" w:hAnsi="Times New Roman"/>
        </w:rPr>
        <w:t xml:space="preserve"> sa údaje za skutočnosť roku 20</w:t>
      </w:r>
      <w:r>
        <w:rPr>
          <w:rFonts w:ascii="Times New Roman" w:hAnsi="Times New Roman"/>
        </w:rPr>
        <w:t>10</w:t>
      </w:r>
      <w:r w:rsidRPr="00924E85">
        <w:rPr>
          <w:rFonts w:ascii="Times New Roman" w:hAnsi="Times New Roman"/>
        </w:rPr>
        <w:t xml:space="preserve"> revidovali</w:t>
      </w:r>
      <w:r w:rsidR="00B52BD6">
        <w:rPr>
          <w:rFonts w:ascii="Times New Roman" w:hAnsi="Times New Roman"/>
        </w:rPr>
        <w:t xml:space="preserve"> počas tzv. jesennej notifikácie</w:t>
      </w:r>
      <w:r w:rsidRPr="00924E85">
        <w:rPr>
          <w:rFonts w:ascii="Times New Roman" w:hAnsi="Times New Roman"/>
        </w:rPr>
        <w:t>. Pri revízii sa zohľadnilo najmä:</w:t>
      </w:r>
    </w:p>
    <w:p w:rsidR="001C4C5A" w:rsidRPr="00924E85" w:rsidP="00B52084">
      <w:pPr>
        <w:numPr>
          <w:numId w:val="13"/>
        </w:numPr>
        <w:bidi w:val="0"/>
        <w:spacing w:before="120" w:after="120" w:line="360" w:lineRule="auto"/>
        <w:ind w:left="567" w:hanging="207"/>
        <w:jc w:val="both"/>
        <w:rPr>
          <w:rFonts w:ascii="Times New Roman" w:hAnsi="Times New Roman"/>
        </w:rPr>
      </w:pPr>
      <w:r w:rsidRPr="00924E85">
        <w:rPr>
          <w:rFonts w:ascii="Times New Roman" w:hAnsi="Times New Roman"/>
        </w:rPr>
        <w:t xml:space="preserve">aktualizácia časového rozlíšenia </w:t>
      </w:r>
      <w:r>
        <w:rPr>
          <w:rFonts w:ascii="Times New Roman" w:hAnsi="Times New Roman"/>
        </w:rPr>
        <w:t>daňových príjmov a sociálnych príspevkov</w:t>
      </w:r>
      <w:r w:rsidRPr="00924E85">
        <w:rPr>
          <w:rFonts w:ascii="Times New Roman" w:hAnsi="Times New Roman"/>
        </w:rPr>
        <w:t>,</w:t>
      </w:r>
    </w:p>
    <w:p w:rsidR="001C4C5A" w:rsidP="00B52084">
      <w:pPr>
        <w:numPr>
          <w:numId w:val="13"/>
        </w:numPr>
        <w:bidi w:val="0"/>
        <w:spacing w:before="120" w:after="120" w:line="360" w:lineRule="auto"/>
        <w:ind w:left="567" w:hanging="207"/>
        <w:jc w:val="both"/>
        <w:rPr>
          <w:rFonts w:ascii="Times New Roman" w:hAnsi="Times New Roman"/>
        </w:rPr>
      </w:pPr>
      <w:r>
        <w:rPr>
          <w:rFonts w:ascii="Times New Roman" w:hAnsi="Times New Roman"/>
        </w:rPr>
        <w:t>vylúčenie negatívneho vplyvu prevzatých záväzkov nemocníc a záväzkov vlády voči železničným spoločnostiam za rok 2010 a ich presunutie do roku 2011 na základe rozhodnutia Eurostatu pri notifi</w:t>
      </w:r>
      <w:r w:rsidR="005A4E8D">
        <w:rPr>
          <w:rFonts w:ascii="Times New Roman" w:hAnsi="Times New Roman"/>
        </w:rPr>
        <w:t>kovaní výsledkov v októbri 2011,</w:t>
      </w:r>
    </w:p>
    <w:p w:rsidR="001C4C5A" w:rsidRPr="00924E85" w:rsidP="00491E04">
      <w:pPr>
        <w:numPr>
          <w:numId w:val="13"/>
        </w:numPr>
        <w:bidi w:val="0"/>
        <w:spacing w:before="120" w:after="120" w:line="360" w:lineRule="auto"/>
        <w:ind w:left="567" w:hanging="207"/>
        <w:jc w:val="both"/>
        <w:rPr>
          <w:rFonts w:ascii="Times New Roman" w:hAnsi="Times New Roman"/>
        </w:rPr>
      </w:pPr>
      <w:r>
        <w:rPr>
          <w:rFonts w:ascii="Times New Roman" w:hAnsi="Times New Roman"/>
        </w:rPr>
        <w:t xml:space="preserve">spresnenie stavu pohľadávok a záväzkov </w:t>
      </w:r>
      <w:r w:rsidR="00B52BD6">
        <w:rPr>
          <w:rFonts w:ascii="Times New Roman" w:hAnsi="Times New Roman"/>
        </w:rPr>
        <w:t xml:space="preserve">subjektov verejnej správy </w:t>
      </w:r>
      <w:r>
        <w:rPr>
          <w:rFonts w:ascii="Times New Roman" w:hAnsi="Times New Roman"/>
        </w:rPr>
        <w:t>na základe údajov z</w:t>
      </w:r>
      <w:r w:rsidR="00077CDC">
        <w:rPr>
          <w:rFonts w:ascii="Times New Roman" w:hAnsi="Times New Roman"/>
        </w:rPr>
        <w:t> definitívnych výkazov</w:t>
      </w:r>
      <w:r>
        <w:rPr>
          <w:rFonts w:ascii="Times New Roman" w:hAnsi="Times New Roman"/>
        </w:rPr>
        <w:t xml:space="preserve"> </w:t>
      </w:r>
      <w:r w:rsidR="00B52BD6">
        <w:rPr>
          <w:rFonts w:ascii="Times New Roman" w:hAnsi="Times New Roman"/>
        </w:rPr>
        <w:t>za rok</w:t>
      </w:r>
      <w:r>
        <w:rPr>
          <w:rFonts w:ascii="Times New Roman" w:hAnsi="Times New Roman"/>
        </w:rPr>
        <w:t xml:space="preserve"> 2010.</w:t>
      </w:r>
    </w:p>
    <w:p w:rsidR="001C4C5A" w:rsidP="00491E04">
      <w:pPr>
        <w:bidi w:val="0"/>
        <w:spacing w:before="120" w:after="120" w:line="360" w:lineRule="auto"/>
        <w:jc w:val="both"/>
        <w:rPr>
          <w:rFonts w:ascii="Times New Roman" w:hAnsi="Times New Roman"/>
        </w:rPr>
      </w:pPr>
      <w:r w:rsidRPr="00DE1591">
        <w:rPr>
          <w:rFonts w:ascii="Times New Roman" w:hAnsi="Times New Roman"/>
          <w:b/>
          <w:bCs/>
        </w:rPr>
        <w:t>V roku 201</w:t>
      </w:r>
      <w:r>
        <w:rPr>
          <w:rFonts w:ascii="Times New Roman" w:hAnsi="Times New Roman"/>
          <w:b/>
          <w:bCs/>
        </w:rPr>
        <w:t>1</w:t>
      </w:r>
      <w:r w:rsidRPr="00DE1591">
        <w:rPr>
          <w:rFonts w:ascii="Times New Roman" w:hAnsi="Times New Roman"/>
          <w:b/>
          <w:bCs/>
        </w:rPr>
        <w:t xml:space="preserve"> dosiahlo celkové hospodárenie s verejným</w:t>
      </w:r>
      <w:r>
        <w:rPr>
          <w:rFonts w:ascii="Times New Roman" w:hAnsi="Times New Roman"/>
          <w:b/>
          <w:bCs/>
        </w:rPr>
        <w:t xml:space="preserve">i financiami schodok vo výške </w:t>
      </w:r>
      <w:r w:rsidR="00077CDC">
        <w:rPr>
          <w:rFonts w:ascii="Times New Roman" w:hAnsi="Times New Roman"/>
          <w:b/>
          <w:bCs/>
        </w:rPr>
        <w:br/>
      </w:r>
      <w:r>
        <w:rPr>
          <w:rFonts w:ascii="Times New Roman" w:hAnsi="Times New Roman"/>
          <w:b/>
          <w:bCs/>
        </w:rPr>
        <w:t>3 326 566</w:t>
      </w:r>
      <w:r w:rsidRPr="00DE1591">
        <w:rPr>
          <w:rFonts w:ascii="Times New Roman" w:hAnsi="Times New Roman"/>
          <w:b/>
          <w:bCs/>
        </w:rPr>
        <w:t xml:space="preserve"> tis. eur, t.</w:t>
      </w:r>
      <w:r>
        <w:rPr>
          <w:rFonts w:ascii="Times New Roman" w:hAnsi="Times New Roman"/>
          <w:b/>
          <w:bCs/>
        </w:rPr>
        <w:t>j. 4,8</w:t>
      </w:r>
      <w:r w:rsidR="00077CDC">
        <w:rPr>
          <w:rFonts w:ascii="Times New Roman" w:hAnsi="Times New Roman"/>
          <w:b/>
          <w:bCs/>
        </w:rPr>
        <w:t>2</w:t>
      </w:r>
      <w:r w:rsidRPr="00DE1591">
        <w:rPr>
          <w:rFonts w:ascii="Times New Roman" w:hAnsi="Times New Roman"/>
          <w:b/>
          <w:bCs/>
        </w:rPr>
        <w:t xml:space="preserve"> % z HDP.</w:t>
      </w:r>
      <w:r w:rsidRPr="00924E85">
        <w:rPr>
          <w:rFonts w:ascii="Times New Roman" w:hAnsi="Times New Roman"/>
        </w:rPr>
        <w:t xml:space="preserve"> </w:t>
      </w:r>
      <w:r w:rsidRPr="00F42C4D">
        <w:rPr>
          <w:rFonts w:ascii="Times New Roman" w:hAnsi="Times New Roman"/>
        </w:rPr>
        <w:t xml:space="preserve">Skutočne dosiahnutý schodok </w:t>
      </w:r>
      <w:r>
        <w:rPr>
          <w:rFonts w:ascii="Times New Roman" w:hAnsi="Times New Roman"/>
        </w:rPr>
        <w:t>bol nižší oproti</w:t>
      </w:r>
      <w:r w:rsidRPr="00F42C4D">
        <w:rPr>
          <w:rFonts w:ascii="Times New Roman" w:hAnsi="Times New Roman"/>
        </w:rPr>
        <w:t xml:space="preserve"> rozpočtova</w:t>
      </w:r>
      <w:r>
        <w:rPr>
          <w:rFonts w:ascii="Times New Roman" w:hAnsi="Times New Roman"/>
        </w:rPr>
        <w:t>nej</w:t>
      </w:r>
      <w:r w:rsidRPr="00425DA9">
        <w:rPr>
          <w:rFonts w:ascii="Times New Roman" w:hAnsi="Times New Roman"/>
        </w:rPr>
        <w:t xml:space="preserve"> hodnot</w:t>
      </w:r>
      <w:r>
        <w:rPr>
          <w:rFonts w:ascii="Times New Roman" w:hAnsi="Times New Roman"/>
        </w:rPr>
        <w:t>e</w:t>
      </w:r>
      <w:r w:rsidRPr="00425DA9">
        <w:rPr>
          <w:rFonts w:ascii="Times New Roman" w:hAnsi="Times New Roman"/>
        </w:rPr>
        <w:t xml:space="preserve"> </w:t>
      </w:r>
      <w:r w:rsidR="00CE306E">
        <w:rPr>
          <w:rFonts w:ascii="Times New Roman" w:hAnsi="Times New Roman"/>
        </w:rPr>
        <w:t>o 122 368 tis. eur.</w:t>
      </w:r>
    </w:p>
    <w:p w:rsidR="001C4C5A" w:rsidP="004C1F8C">
      <w:pPr>
        <w:bidi w:val="0"/>
        <w:spacing w:before="120" w:after="120" w:line="360" w:lineRule="auto"/>
        <w:jc w:val="both"/>
        <w:rPr>
          <w:rFonts w:ascii="Times New Roman" w:hAnsi="Times New Roman"/>
        </w:rPr>
      </w:pPr>
      <w:r>
        <w:rPr>
          <w:rFonts w:ascii="Times New Roman" w:hAnsi="Times New Roman"/>
        </w:rPr>
        <w:t>Najvýznamnejšie vplyvy, ktoré v priebehu roka 2011 ovplyvňovali plnenie rozpočt</w:t>
      </w:r>
      <w:r w:rsidR="00961E88">
        <w:rPr>
          <w:rFonts w:ascii="Times New Roman" w:hAnsi="Times New Roman"/>
        </w:rPr>
        <w:t>ovaného</w:t>
      </w:r>
      <w:r>
        <w:rPr>
          <w:rFonts w:ascii="Times New Roman" w:hAnsi="Times New Roman"/>
        </w:rPr>
        <w:t xml:space="preserve"> schodku, poskytuje nasledovný prehľad.</w:t>
      </w:r>
    </w:p>
    <w:p w:rsidR="001C4C5A" w:rsidRPr="00620A1A" w:rsidP="00077CDC">
      <w:pPr>
        <w:bidi w:val="0"/>
        <w:spacing w:before="120" w:line="360" w:lineRule="auto"/>
        <w:rPr>
          <w:rFonts w:ascii="Times New Roman" w:hAnsi="Times New Roman"/>
          <w:b/>
          <w:bCs/>
        </w:rPr>
      </w:pPr>
      <w:r w:rsidRPr="00620A1A">
        <w:rPr>
          <w:rFonts w:ascii="Times New Roman" w:hAnsi="Times New Roman"/>
          <w:b/>
          <w:bCs/>
        </w:rPr>
        <w:t>Pozitívne a negatívne vplyvy na plnenie rozpočt</w:t>
      </w:r>
      <w:r w:rsidR="00961E88">
        <w:rPr>
          <w:rFonts w:ascii="Times New Roman" w:hAnsi="Times New Roman"/>
          <w:b/>
          <w:bCs/>
        </w:rPr>
        <w:t>ovaného</w:t>
      </w:r>
      <w:r w:rsidRPr="00620A1A">
        <w:rPr>
          <w:rFonts w:ascii="Times New Roman" w:hAnsi="Times New Roman"/>
          <w:b/>
          <w:bCs/>
        </w:rPr>
        <w:t xml:space="preserve"> schodku </w:t>
      </w:r>
      <w:r w:rsidR="00077CDC">
        <w:rPr>
          <w:rFonts w:ascii="Times New Roman" w:hAnsi="Times New Roman"/>
          <w:b/>
          <w:bCs/>
        </w:rPr>
        <w:t xml:space="preserve">verejnej správy </w:t>
      </w:r>
      <w:r w:rsidRPr="00620A1A">
        <w:rPr>
          <w:rFonts w:ascii="Times New Roman" w:hAnsi="Times New Roman"/>
          <w:b/>
          <w:bCs/>
        </w:rPr>
        <w:t>v roku 2011</w:t>
      </w:r>
    </w:p>
    <w:tbl>
      <w:tblPr>
        <w:tblStyle w:val="TableNormal"/>
        <w:tblW w:w="9214" w:type="dxa"/>
        <w:tblInd w:w="212" w:type="dxa"/>
        <w:tblCellMar>
          <w:left w:w="70" w:type="dxa"/>
          <w:right w:w="70" w:type="dxa"/>
        </w:tblCellMar>
        <w:tblLook w:val="00A0"/>
      </w:tblPr>
      <w:tblGrid>
        <w:gridCol w:w="7938"/>
        <w:gridCol w:w="1276"/>
      </w:tblGrid>
      <w:tr>
        <w:tblPrEx>
          <w:tblW w:w="9214" w:type="dxa"/>
          <w:tblInd w:w="212" w:type="dxa"/>
          <w:tblCellMar>
            <w:left w:w="70" w:type="dxa"/>
            <w:right w:w="70" w:type="dxa"/>
          </w:tblCellMar>
          <w:tblLook w:val="00A0"/>
        </w:tblPrEx>
        <w:trPr>
          <w:trHeight w:val="330"/>
        </w:trPr>
        <w:tc>
          <w:tcPr>
            <w:tcW w:w="7938"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077CDC" w:rsidP="00077CDC">
            <w:pPr>
              <w:bidi w:val="0"/>
              <w:jc w:val="center"/>
              <w:rPr>
                <w:rFonts w:ascii="Times New Roman" w:hAnsi="Times New Roman"/>
                <w:b/>
                <w:bCs/>
                <w:color w:val="FFFFFF"/>
                <w:sz w:val="20"/>
                <w:szCs w:val="20"/>
              </w:rPr>
            </w:pPr>
            <w:r w:rsidRPr="001A066A" w:rsidR="00F01552">
              <w:rPr>
                <w:rFonts w:ascii="Times New Roman" w:hAnsi="Times New Roman"/>
                <w:b/>
                <w:bCs/>
                <w:color w:val="FFFFFF"/>
                <w:sz w:val="20"/>
                <w:szCs w:val="20"/>
              </w:rPr>
              <w:t>Ukazovateľ</w:t>
            </w:r>
          </w:p>
          <w:p w:rsidR="00F01552" w:rsidRPr="001A066A" w:rsidP="00077CDC">
            <w:pPr>
              <w:bidi w:val="0"/>
              <w:rPr>
                <w:rFonts w:ascii="Times New Roman" w:hAnsi="Times New Roman"/>
                <w:b/>
                <w:bCs/>
                <w:color w:val="FFFFFF"/>
                <w:sz w:val="20"/>
                <w:szCs w:val="20"/>
              </w:rPr>
            </w:pPr>
            <w:r w:rsidR="00077CDC">
              <w:rPr>
                <w:rFonts w:ascii="Times New Roman" w:hAnsi="Times New Roman"/>
                <w:b/>
                <w:bCs/>
                <w:color w:val="FFFFFF"/>
                <w:sz w:val="20"/>
                <w:szCs w:val="20"/>
              </w:rPr>
              <w:t>(</w:t>
            </w:r>
            <w:r w:rsidRPr="001A066A">
              <w:rPr>
                <w:rFonts w:ascii="Times New Roman" w:hAnsi="Times New Roman"/>
                <w:b/>
                <w:bCs/>
                <w:color w:val="FFFFFF"/>
                <w:sz w:val="20"/>
                <w:szCs w:val="20"/>
              </w:rPr>
              <w:t>v tis. eur</w:t>
            </w:r>
            <w:r w:rsidR="00077CDC">
              <w:rPr>
                <w:rFonts w:ascii="Times New Roman" w:hAnsi="Times New Roman"/>
                <w:b/>
                <w:bCs/>
                <w:color w:val="FFFFFF"/>
                <w:sz w:val="20"/>
                <w:szCs w:val="20"/>
              </w:rPr>
              <w:t>)</w:t>
            </w:r>
          </w:p>
        </w:tc>
        <w:tc>
          <w:tcPr>
            <w:tcW w:w="1276"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F01552" w:rsidRPr="001A066A" w:rsidP="00F01552">
            <w:pPr>
              <w:bidi w:val="0"/>
              <w:jc w:val="center"/>
              <w:rPr>
                <w:rFonts w:ascii="Times New Roman" w:hAnsi="Times New Roman"/>
                <w:b/>
                <w:bCs/>
                <w:color w:val="FFFFFF"/>
                <w:sz w:val="20"/>
                <w:szCs w:val="20"/>
              </w:rPr>
            </w:pPr>
            <w:r w:rsidRPr="001A066A">
              <w:rPr>
                <w:rFonts w:ascii="Times New Roman" w:hAnsi="Times New Roman"/>
                <w:b/>
                <w:bCs/>
                <w:color w:val="FFFFFF"/>
                <w:sz w:val="20"/>
                <w:szCs w:val="20"/>
              </w:rPr>
              <w:t>Skutočnosť 2011</w:t>
            </w:r>
          </w:p>
        </w:tc>
      </w:tr>
      <w:tr>
        <w:tblPrEx>
          <w:tblW w:w="9214" w:type="dxa"/>
          <w:tblInd w:w="212" w:type="dxa"/>
          <w:tblCellMar>
            <w:left w:w="70" w:type="dxa"/>
            <w:right w:w="70" w:type="dxa"/>
          </w:tblCellMar>
          <w:tblLook w:val="00A0"/>
        </w:tblPrEx>
        <w:trPr>
          <w:trHeight w:val="330"/>
        </w:trPr>
        <w:tc>
          <w:tcPr>
            <w:tcW w:w="7938" w:type="dxa"/>
            <w:tcBorders>
              <w:top w:val="single" w:sz="4" w:space="0" w:color="FFFFFF"/>
              <w:left w:val="single" w:sz="8" w:space="0" w:color="auto"/>
              <w:bottom w:val="single" w:sz="4" w:space="0" w:color="auto"/>
              <w:right w:val="single" w:sz="4" w:space="0" w:color="auto"/>
            </w:tcBorders>
            <w:shd w:val="clear" w:color="000000" w:fill="FFFFFF"/>
            <w:noWrap/>
            <w:textDirection w:val="lrTb"/>
            <w:vAlign w:val="center"/>
          </w:tcPr>
          <w:p w:rsidR="00D15C85" w:rsidRPr="00961E88" w:rsidP="00CE306E">
            <w:pPr>
              <w:bidi w:val="0"/>
              <w:jc w:val="both"/>
              <w:rPr>
                <w:rFonts w:ascii="Times New Roman" w:hAnsi="Times New Roman"/>
                <w:bCs/>
                <w:color w:val="000000"/>
                <w:sz w:val="20"/>
                <w:szCs w:val="20"/>
              </w:rPr>
            </w:pPr>
            <w:r w:rsidRPr="00961E88" w:rsidR="001C4C5A">
              <w:rPr>
                <w:rFonts w:ascii="Times New Roman" w:hAnsi="Times New Roman"/>
                <w:b/>
                <w:bCs/>
                <w:color w:val="000000"/>
                <w:sz w:val="20"/>
                <w:szCs w:val="20"/>
              </w:rPr>
              <w:t>Špecifické vplyvy</w:t>
            </w:r>
          </w:p>
        </w:tc>
        <w:tc>
          <w:tcPr>
            <w:tcW w:w="1276" w:type="dxa"/>
            <w:tcBorders>
              <w:top w:val="single" w:sz="4" w:space="0" w:color="FFFFFF"/>
              <w:left w:val="nil"/>
              <w:bottom w:val="single" w:sz="4" w:space="0" w:color="auto"/>
              <w:right w:val="single" w:sz="8" w:space="0" w:color="auto"/>
            </w:tcBorders>
            <w:shd w:val="clear" w:color="000000" w:fill="FFFFFF"/>
            <w:noWrap/>
            <w:textDirection w:val="lrTb"/>
            <w:vAlign w:val="center"/>
          </w:tcPr>
          <w:p w:rsidR="001C4C5A" w:rsidRPr="00961E88" w:rsidP="00B7497A">
            <w:pPr>
              <w:bidi w:val="0"/>
              <w:jc w:val="right"/>
              <w:rPr>
                <w:rFonts w:ascii="Times New Roman" w:hAnsi="Times New Roman"/>
                <w:b/>
                <w:bCs/>
                <w:color w:val="000000"/>
                <w:sz w:val="20"/>
                <w:szCs w:val="20"/>
              </w:rPr>
            </w:pPr>
            <w:r w:rsidRPr="00961E88">
              <w:rPr>
                <w:rFonts w:ascii="Times New Roman" w:hAnsi="Times New Roman"/>
                <w:b/>
                <w:bCs/>
                <w:color w:val="000000"/>
                <w:sz w:val="20"/>
                <w:szCs w:val="20"/>
              </w:rPr>
              <w:t>-400 743</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nil"/>
            </w:tcBorders>
            <w:noWrap/>
            <w:textDirection w:val="lrTb"/>
            <w:vAlign w:val="center"/>
          </w:tcPr>
          <w:p w:rsidR="001C4C5A" w:rsidRPr="001C4C5A" w:rsidP="00B7497A">
            <w:pPr>
              <w:bidi w:val="0"/>
              <w:jc w:val="both"/>
              <w:rPr>
                <w:rFonts w:ascii="Times New Roman" w:hAnsi="Times New Roman"/>
                <w:color w:val="000000"/>
                <w:sz w:val="20"/>
                <w:szCs w:val="20"/>
              </w:rPr>
            </w:pPr>
            <w:r w:rsidR="00C36624">
              <w:rPr>
                <w:rFonts w:ascii="Times New Roman" w:hAnsi="Times New Roman"/>
                <w:color w:val="000000"/>
                <w:sz w:val="20"/>
                <w:szCs w:val="20"/>
              </w:rPr>
              <w:t xml:space="preserve">oddlženie zdravotníckych </w:t>
            </w:r>
            <w:r w:rsidRPr="001C4C5A">
              <w:rPr>
                <w:rFonts w:ascii="Times New Roman" w:hAnsi="Times New Roman"/>
                <w:color w:val="000000"/>
                <w:sz w:val="20"/>
                <w:szCs w:val="20"/>
              </w:rPr>
              <w:t>zariade</w:t>
            </w:r>
            <w:r w:rsidR="00C36624">
              <w:rPr>
                <w:rFonts w:ascii="Times New Roman" w:hAnsi="Times New Roman"/>
                <w:color w:val="000000"/>
                <w:sz w:val="20"/>
                <w:szCs w:val="20"/>
              </w:rPr>
              <w:t xml:space="preserve">ní a započítanie záväzkov voči </w:t>
            </w:r>
            <w:r w:rsidRPr="001C4C5A">
              <w:rPr>
                <w:rFonts w:ascii="Times New Roman" w:hAnsi="Times New Roman"/>
                <w:color w:val="000000"/>
                <w:sz w:val="20"/>
                <w:szCs w:val="20"/>
              </w:rPr>
              <w:t>železniciam z min. rokov</w:t>
            </w:r>
            <w:r w:rsidR="0042166B">
              <w:rPr>
                <w:rFonts w:ascii="Times New Roman" w:hAnsi="Times New Roman"/>
                <w:color w:val="000000"/>
                <w:sz w:val="20"/>
                <w:szCs w:val="20"/>
              </w:rPr>
              <w:t xml:space="preserve"> znížené o sumu 59 068 tis. eur, ktorú z oddlženia zdravotníctva získala Sociálna poisťovňa</w:t>
            </w:r>
          </w:p>
        </w:tc>
        <w:tc>
          <w:tcPr>
            <w:tcW w:w="1276" w:type="dxa"/>
            <w:tcBorders>
              <w:top w:val="nil"/>
              <w:left w:val="single" w:sz="4" w:space="0" w:color="auto"/>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color w:val="000000"/>
                <w:sz w:val="20"/>
                <w:szCs w:val="20"/>
              </w:rPr>
            </w:pPr>
            <w:r w:rsidRPr="001C4C5A">
              <w:rPr>
                <w:rFonts w:ascii="Times New Roman" w:hAnsi="Times New Roman"/>
                <w:color w:val="000000"/>
                <w:sz w:val="20"/>
                <w:szCs w:val="20"/>
              </w:rPr>
              <w:t>-574 382</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nil"/>
            </w:tcBorders>
            <w:noWrap/>
            <w:textDirection w:val="lrTb"/>
            <w:vAlign w:val="center"/>
          </w:tcPr>
          <w:p w:rsidR="001C4C5A" w:rsidRPr="001C4C5A" w:rsidP="00B7497A">
            <w:pPr>
              <w:bidi w:val="0"/>
              <w:jc w:val="both"/>
              <w:rPr>
                <w:rFonts w:ascii="Times New Roman" w:hAnsi="Times New Roman"/>
                <w:color w:val="000000"/>
                <w:sz w:val="20"/>
                <w:szCs w:val="20"/>
              </w:rPr>
            </w:pPr>
            <w:r w:rsidRPr="001C4C5A">
              <w:rPr>
                <w:rFonts w:ascii="Times New Roman" w:hAnsi="Times New Roman"/>
                <w:color w:val="000000"/>
                <w:sz w:val="20"/>
                <w:szCs w:val="20"/>
              </w:rPr>
              <w:t>presunutie uskutočnenej úhrady za vy</w:t>
            </w:r>
            <w:r w:rsidR="00C36624">
              <w:rPr>
                <w:rFonts w:ascii="Times New Roman" w:hAnsi="Times New Roman"/>
                <w:color w:val="000000"/>
                <w:sz w:val="20"/>
                <w:szCs w:val="20"/>
              </w:rPr>
              <w:t xml:space="preserve">stavanú R1 vo výške zaplatenej </w:t>
            </w:r>
            <w:r w:rsidRPr="001C4C5A">
              <w:rPr>
                <w:rFonts w:ascii="Times New Roman" w:hAnsi="Times New Roman"/>
                <w:color w:val="000000"/>
                <w:sz w:val="20"/>
                <w:szCs w:val="20"/>
              </w:rPr>
              <w:t>DPH do budúcich rokov</w:t>
            </w:r>
          </w:p>
        </w:tc>
        <w:tc>
          <w:tcPr>
            <w:tcW w:w="1276" w:type="dxa"/>
            <w:tcBorders>
              <w:top w:val="nil"/>
              <w:left w:val="single" w:sz="4" w:space="0" w:color="auto"/>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color w:val="000000"/>
                <w:sz w:val="20"/>
                <w:szCs w:val="20"/>
              </w:rPr>
            </w:pPr>
            <w:r w:rsidRPr="001C4C5A">
              <w:rPr>
                <w:rFonts w:ascii="Times New Roman" w:hAnsi="Times New Roman"/>
                <w:color w:val="000000"/>
                <w:sz w:val="20"/>
                <w:szCs w:val="20"/>
              </w:rPr>
              <w:t>173 639</w:t>
            </w:r>
          </w:p>
        </w:tc>
      </w:tr>
      <w:tr>
        <w:tblPrEx>
          <w:tblW w:w="9214" w:type="dxa"/>
          <w:tblInd w:w="212" w:type="dxa"/>
          <w:tblCellMar>
            <w:left w:w="70" w:type="dxa"/>
            <w:right w:w="70" w:type="dxa"/>
          </w:tblCellMar>
          <w:tblLook w:val="00A0"/>
        </w:tblPrEx>
        <w:trPr>
          <w:trHeight w:val="330"/>
        </w:trPr>
        <w:tc>
          <w:tcPr>
            <w:tcW w:w="7938" w:type="dxa"/>
            <w:tcBorders>
              <w:top w:val="single" w:sz="4" w:space="0" w:color="auto"/>
              <w:left w:val="single" w:sz="8" w:space="0" w:color="auto"/>
              <w:bottom w:val="single" w:sz="4" w:space="0" w:color="auto"/>
              <w:right w:val="nil"/>
            </w:tcBorders>
            <w:shd w:val="clear" w:color="000000" w:fill="FFFFFF"/>
            <w:noWrap/>
            <w:textDirection w:val="lrTb"/>
            <w:vAlign w:val="center"/>
          </w:tcPr>
          <w:p w:rsidR="001C4C5A" w:rsidRPr="001C4C5A" w:rsidP="00B7497A">
            <w:pPr>
              <w:bidi w:val="0"/>
              <w:jc w:val="both"/>
              <w:rPr>
                <w:rFonts w:ascii="Times New Roman" w:hAnsi="Times New Roman"/>
                <w:b/>
                <w:bCs/>
                <w:color w:val="000000"/>
                <w:sz w:val="20"/>
                <w:szCs w:val="20"/>
              </w:rPr>
            </w:pPr>
            <w:r w:rsidRPr="001C4C5A">
              <w:rPr>
                <w:rFonts w:ascii="Times New Roman" w:hAnsi="Times New Roman"/>
                <w:b/>
                <w:bCs/>
                <w:color w:val="000000"/>
                <w:sz w:val="20"/>
                <w:szCs w:val="20"/>
              </w:rPr>
              <w:t>Pozitívne vplyvy</w:t>
            </w:r>
          </w:p>
        </w:tc>
        <w:tc>
          <w:tcPr>
            <w:tcW w:w="1276" w:type="dxa"/>
            <w:tcBorders>
              <w:top w:val="single" w:sz="4" w:space="0" w:color="auto"/>
              <w:left w:val="single" w:sz="4" w:space="0" w:color="auto"/>
              <w:bottom w:val="single" w:sz="4" w:space="0" w:color="auto"/>
              <w:right w:val="single" w:sz="8" w:space="0" w:color="auto"/>
            </w:tcBorders>
            <w:shd w:val="clear" w:color="000000" w:fill="FFFFFF"/>
            <w:noWrap/>
            <w:textDirection w:val="lrTb"/>
            <w:vAlign w:val="center"/>
          </w:tcPr>
          <w:p w:rsidR="001C4C5A" w:rsidRPr="001C4C5A" w:rsidP="00913563">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 xml:space="preserve">1 243 </w:t>
            </w:r>
            <w:r w:rsidR="00913563">
              <w:rPr>
                <w:rFonts w:ascii="Times New Roman" w:hAnsi="Times New Roman"/>
                <w:b/>
                <w:bCs/>
                <w:color w:val="000000"/>
                <w:sz w:val="20"/>
                <w:szCs w:val="20"/>
              </w:rPr>
              <w:t>192</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úspora na spolufinancovaní s prostriedkami EÚ</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227 308</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zlepše</w:t>
            </w:r>
            <w:r w:rsidR="00C36624">
              <w:rPr>
                <w:rFonts w:ascii="Times New Roman" w:hAnsi="Times New Roman"/>
                <w:sz w:val="20"/>
                <w:szCs w:val="20"/>
              </w:rPr>
              <w:t xml:space="preserve">nie pozície verejných financií </w:t>
            </w:r>
            <w:r w:rsidRPr="001C4C5A">
              <w:rPr>
                <w:rFonts w:ascii="Times New Roman" w:hAnsi="Times New Roman"/>
                <w:sz w:val="20"/>
                <w:szCs w:val="20"/>
              </w:rPr>
              <w:t>vplyvom hospodárenia Sociálnej poisťovne</w:t>
            </w:r>
          </w:p>
        </w:tc>
        <w:tc>
          <w:tcPr>
            <w:tcW w:w="1276" w:type="dxa"/>
            <w:tcBorders>
              <w:top w:val="nil"/>
              <w:left w:val="nil"/>
              <w:bottom w:val="single" w:sz="4" w:space="0" w:color="auto"/>
              <w:right w:val="single" w:sz="8" w:space="0" w:color="auto"/>
            </w:tcBorders>
            <w:noWrap/>
            <w:textDirection w:val="lrTb"/>
            <w:vAlign w:val="center"/>
          </w:tcPr>
          <w:p w:rsidR="001C4C5A" w:rsidRPr="001C4C5A" w:rsidP="00913563">
            <w:pPr>
              <w:bidi w:val="0"/>
              <w:jc w:val="right"/>
              <w:rPr>
                <w:rFonts w:ascii="Times New Roman" w:hAnsi="Times New Roman"/>
                <w:sz w:val="20"/>
                <w:szCs w:val="20"/>
              </w:rPr>
            </w:pPr>
            <w:r w:rsidRPr="001C4C5A">
              <w:rPr>
                <w:rFonts w:ascii="Times New Roman" w:hAnsi="Times New Roman"/>
                <w:sz w:val="20"/>
                <w:szCs w:val="20"/>
              </w:rPr>
              <w:t xml:space="preserve">185 </w:t>
            </w:r>
            <w:r w:rsidR="00913563">
              <w:rPr>
                <w:rFonts w:ascii="Times New Roman" w:hAnsi="Times New Roman"/>
                <w:sz w:val="20"/>
                <w:szCs w:val="20"/>
              </w:rPr>
              <w:t>566</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CE306E">
            <w:pPr>
              <w:bidi w:val="0"/>
              <w:jc w:val="both"/>
              <w:rPr>
                <w:rFonts w:ascii="Times New Roman" w:hAnsi="Times New Roman"/>
                <w:i/>
                <w:iCs/>
                <w:sz w:val="20"/>
                <w:szCs w:val="20"/>
              </w:rPr>
            </w:pPr>
            <w:r w:rsidRPr="004A0ACE">
              <w:rPr>
                <w:rFonts w:ascii="Times New Roman" w:hAnsi="Times New Roman"/>
                <w:iCs/>
                <w:sz w:val="20"/>
                <w:szCs w:val="20"/>
              </w:rPr>
              <w:t>v tom</w:t>
            </w:r>
            <w:r w:rsidRPr="001C4C5A">
              <w:rPr>
                <w:rFonts w:ascii="Times New Roman" w:hAnsi="Times New Roman"/>
                <w:i/>
                <w:iCs/>
                <w:sz w:val="20"/>
                <w:szCs w:val="20"/>
              </w:rPr>
              <w:t>: lepší vý</w:t>
            </w:r>
            <w:r w:rsidR="00672460">
              <w:rPr>
                <w:rFonts w:ascii="Times New Roman" w:hAnsi="Times New Roman"/>
                <w:i/>
                <w:iCs/>
                <w:sz w:val="20"/>
                <w:szCs w:val="20"/>
              </w:rPr>
              <w:t>ber príjmov z poistného(10 124 tis. eur) a nedaňových príjmov (5 271 tis. eur</w:t>
            </w:r>
            <w:r w:rsidRPr="001C4C5A">
              <w:rPr>
                <w:rFonts w:ascii="Times New Roman" w:hAnsi="Times New Roman"/>
                <w:i/>
                <w:iCs/>
                <w:sz w:val="20"/>
                <w:szCs w:val="20"/>
              </w:rPr>
              <w:t>)</w:t>
            </w:r>
          </w:p>
        </w:tc>
        <w:tc>
          <w:tcPr>
            <w:tcW w:w="1276" w:type="dxa"/>
            <w:tcBorders>
              <w:top w:val="nil"/>
              <w:left w:val="nil"/>
              <w:bottom w:val="single" w:sz="4" w:space="0" w:color="auto"/>
              <w:right w:val="single" w:sz="8" w:space="0" w:color="auto"/>
            </w:tcBorders>
            <w:noWrap/>
            <w:textDirection w:val="lrTb"/>
            <w:vAlign w:val="center"/>
          </w:tcPr>
          <w:p w:rsidR="001C4C5A" w:rsidRPr="001C4C5A" w:rsidP="00913563">
            <w:pPr>
              <w:bidi w:val="0"/>
              <w:jc w:val="right"/>
              <w:rPr>
                <w:rFonts w:ascii="Times New Roman" w:hAnsi="Times New Roman"/>
                <w:i/>
                <w:iCs/>
                <w:sz w:val="20"/>
                <w:szCs w:val="20"/>
              </w:rPr>
            </w:pPr>
            <w:r w:rsidRPr="001C4C5A">
              <w:rPr>
                <w:rFonts w:ascii="Times New Roman" w:hAnsi="Times New Roman"/>
                <w:i/>
                <w:iCs/>
                <w:sz w:val="20"/>
                <w:szCs w:val="20"/>
              </w:rPr>
              <w:t xml:space="preserve">15 </w:t>
            </w:r>
            <w:r w:rsidR="00913563">
              <w:rPr>
                <w:rFonts w:ascii="Times New Roman" w:hAnsi="Times New Roman"/>
                <w:i/>
                <w:iCs/>
                <w:sz w:val="20"/>
                <w:szCs w:val="20"/>
              </w:rPr>
              <w:t>395</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42166B">
            <w:pPr>
              <w:bidi w:val="0"/>
              <w:ind w:firstLine="880"/>
              <w:jc w:val="both"/>
              <w:rPr>
                <w:rFonts w:ascii="Times New Roman" w:hAnsi="Times New Roman"/>
                <w:i/>
                <w:iCs/>
                <w:sz w:val="20"/>
                <w:szCs w:val="20"/>
              </w:rPr>
            </w:pPr>
            <w:r w:rsidRPr="001C4C5A">
              <w:rPr>
                <w:rFonts w:ascii="Times New Roman" w:hAnsi="Times New Roman"/>
                <w:i/>
                <w:iCs/>
                <w:sz w:val="20"/>
                <w:szCs w:val="20"/>
              </w:rPr>
              <w:t>nižšie výdavky poistenia (109</w:t>
            </w:r>
            <w:r w:rsidR="00CE306E">
              <w:rPr>
                <w:rFonts w:ascii="Times New Roman" w:hAnsi="Times New Roman"/>
                <w:i/>
                <w:iCs/>
                <w:sz w:val="20"/>
                <w:szCs w:val="20"/>
              </w:rPr>
              <w:t> </w:t>
            </w:r>
            <w:r w:rsidR="00672460">
              <w:rPr>
                <w:rFonts w:ascii="Times New Roman" w:hAnsi="Times New Roman"/>
                <w:i/>
                <w:iCs/>
                <w:sz w:val="20"/>
                <w:szCs w:val="20"/>
              </w:rPr>
              <w:t>250</w:t>
            </w:r>
            <w:r w:rsidR="00CE306E">
              <w:rPr>
                <w:rFonts w:ascii="Times New Roman" w:hAnsi="Times New Roman"/>
                <w:i/>
                <w:iCs/>
                <w:sz w:val="20"/>
                <w:szCs w:val="20"/>
              </w:rPr>
              <w:t xml:space="preserve"> </w:t>
            </w:r>
            <w:r w:rsidR="00672460">
              <w:rPr>
                <w:rFonts w:ascii="Times New Roman" w:hAnsi="Times New Roman"/>
                <w:i/>
                <w:iCs/>
                <w:sz w:val="20"/>
                <w:szCs w:val="20"/>
              </w:rPr>
              <w:t>tis</w:t>
            </w:r>
            <w:r w:rsidRPr="001C4C5A">
              <w:rPr>
                <w:rFonts w:ascii="Times New Roman" w:hAnsi="Times New Roman"/>
                <w:i/>
                <w:iCs/>
                <w:sz w:val="20"/>
                <w:szCs w:val="20"/>
              </w:rPr>
              <w:t>. eur) a správneho fondu (</w:t>
            </w:r>
            <w:r w:rsidR="0042166B">
              <w:rPr>
                <w:rFonts w:ascii="Times New Roman" w:hAnsi="Times New Roman"/>
                <w:i/>
                <w:iCs/>
                <w:sz w:val="20"/>
                <w:szCs w:val="20"/>
              </w:rPr>
              <w:t>15 913 tis.</w:t>
            </w:r>
            <w:r w:rsidRPr="001C4C5A">
              <w:rPr>
                <w:rFonts w:ascii="Times New Roman" w:hAnsi="Times New Roman"/>
                <w:i/>
                <w:iCs/>
                <w:sz w:val="20"/>
                <w:szCs w:val="20"/>
              </w:rPr>
              <w:t xml:space="preserve"> eur)</w:t>
            </w:r>
          </w:p>
        </w:tc>
        <w:tc>
          <w:tcPr>
            <w:tcW w:w="1276" w:type="dxa"/>
            <w:tcBorders>
              <w:top w:val="nil"/>
              <w:left w:val="nil"/>
              <w:bottom w:val="single" w:sz="4" w:space="0" w:color="auto"/>
              <w:right w:val="single" w:sz="8" w:space="0" w:color="auto"/>
            </w:tcBorders>
            <w:noWrap/>
            <w:textDirection w:val="lrTb"/>
            <w:vAlign w:val="center"/>
          </w:tcPr>
          <w:p w:rsidR="001C4C5A" w:rsidRPr="001C4C5A" w:rsidP="00913563">
            <w:pPr>
              <w:bidi w:val="0"/>
              <w:jc w:val="right"/>
              <w:rPr>
                <w:rFonts w:ascii="Times New Roman" w:hAnsi="Times New Roman"/>
                <w:i/>
                <w:iCs/>
                <w:sz w:val="20"/>
                <w:szCs w:val="20"/>
              </w:rPr>
            </w:pPr>
            <w:r w:rsidRPr="001C4C5A">
              <w:rPr>
                <w:rFonts w:ascii="Times New Roman" w:hAnsi="Times New Roman"/>
                <w:i/>
                <w:iCs/>
                <w:sz w:val="20"/>
                <w:szCs w:val="20"/>
              </w:rPr>
              <w:t>12</w:t>
            </w:r>
            <w:r w:rsidR="00913563">
              <w:rPr>
                <w:rFonts w:ascii="Times New Roman" w:hAnsi="Times New Roman"/>
                <w:i/>
                <w:iCs/>
                <w:sz w:val="20"/>
                <w:szCs w:val="20"/>
              </w:rPr>
              <w:t>5 163</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ind w:firstLine="880"/>
              <w:jc w:val="both"/>
              <w:rPr>
                <w:rFonts w:ascii="Times New Roman" w:hAnsi="Times New Roman"/>
                <w:i/>
                <w:iCs/>
                <w:sz w:val="20"/>
                <w:szCs w:val="20"/>
              </w:rPr>
            </w:pPr>
            <w:r w:rsidRPr="001C4C5A">
              <w:rPr>
                <w:rFonts w:ascii="Times New Roman" w:hAnsi="Times New Roman"/>
                <w:i/>
                <w:iCs/>
                <w:sz w:val="20"/>
                <w:szCs w:val="20"/>
              </w:rPr>
              <w:t>ostatné úpravy vrátane zmeny stavu pohľadávok a záväzkov</w:t>
            </w:r>
          </w:p>
        </w:tc>
        <w:tc>
          <w:tcPr>
            <w:tcW w:w="1276" w:type="dxa"/>
            <w:tcBorders>
              <w:top w:val="nil"/>
              <w:left w:val="nil"/>
              <w:bottom w:val="single" w:sz="4" w:space="0" w:color="auto"/>
              <w:right w:val="single" w:sz="8" w:space="0" w:color="auto"/>
            </w:tcBorders>
            <w:noWrap/>
            <w:textDirection w:val="lrTb"/>
            <w:vAlign w:val="center"/>
          </w:tcPr>
          <w:p w:rsidR="001C4C5A" w:rsidRPr="001C4C5A" w:rsidP="00913563">
            <w:pPr>
              <w:bidi w:val="0"/>
              <w:jc w:val="right"/>
              <w:rPr>
                <w:rFonts w:ascii="Times New Roman" w:hAnsi="Times New Roman"/>
                <w:i/>
                <w:iCs/>
                <w:sz w:val="20"/>
                <w:szCs w:val="20"/>
              </w:rPr>
            </w:pPr>
            <w:r w:rsidRPr="001C4C5A">
              <w:rPr>
                <w:rFonts w:ascii="Times New Roman" w:hAnsi="Times New Roman"/>
                <w:i/>
                <w:iCs/>
                <w:sz w:val="20"/>
                <w:szCs w:val="20"/>
              </w:rPr>
              <w:t>4</w:t>
            </w:r>
            <w:r w:rsidR="00913563">
              <w:rPr>
                <w:rFonts w:ascii="Times New Roman" w:hAnsi="Times New Roman"/>
                <w:i/>
                <w:iCs/>
                <w:sz w:val="20"/>
                <w:szCs w:val="20"/>
              </w:rPr>
              <w:t>5 008</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ostatné nedaňové príjmy ŠR</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168 404</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ind w:firstLine="440"/>
              <w:jc w:val="both"/>
              <w:rPr>
                <w:rFonts w:ascii="Times New Roman" w:hAnsi="Times New Roman"/>
                <w:i/>
                <w:iCs/>
                <w:sz w:val="20"/>
                <w:szCs w:val="20"/>
              </w:rPr>
            </w:pPr>
            <w:r w:rsidRPr="004A0ACE">
              <w:rPr>
                <w:rFonts w:ascii="Times New Roman" w:hAnsi="Times New Roman"/>
                <w:iCs/>
                <w:sz w:val="20"/>
                <w:szCs w:val="20"/>
              </w:rPr>
              <w:t>v tom</w:t>
            </w:r>
            <w:r w:rsidRPr="001C4C5A">
              <w:rPr>
                <w:rFonts w:ascii="Times New Roman" w:hAnsi="Times New Roman"/>
                <w:i/>
                <w:iCs/>
                <w:sz w:val="20"/>
                <w:szCs w:val="20"/>
              </w:rPr>
              <w:t>: príjmy za predĺženie licencie telekomunikačným operátorom</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88 460</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ind w:firstLine="880"/>
              <w:jc w:val="both"/>
              <w:rPr>
                <w:rFonts w:ascii="Times New Roman" w:hAnsi="Times New Roman"/>
                <w:i/>
                <w:iCs/>
                <w:sz w:val="20"/>
                <w:szCs w:val="20"/>
              </w:rPr>
            </w:pPr>
            <w:r w:rsidRPr="001C4C5A">
              <w:rPr>
                <w:rFonts w:ascii="Times New Roman" w:hAnsi="Times New Roman"/>
                <w:i/>
                <w:iCs/>
                <w:sz w:val="20"/>
                <w:szCs w:val="20"/>
              </w:rPr>
              <w:t>granty a transfery (zároveň zvyšujú v rovnakom objeme výdavky ŠR)</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37 831</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ind w:firstLine="880"/>
              <w:jc w:val="both"/>
              <w:rPr>
                <w:rFonts w:ascii="Times New Roman" w:hAnsi="Times New Roman"/>
                <w:i/>
                <w:iCs/>
                <w:sz w:val="20"/>
                <w:szCs w:val="20"/>
              </w:rPr>
            </w:pPr>
            <w:r w:rsidRPr="001C4C5A">
              <w:rPr>
                <w:rFonts w:ascii="Times New Roman" w:hAnsi="Times New Roman"/>
                <w:i/>
                <w:iCs/>
                <w:sz w:val="20"/>
                <w:szCs w:val="20"/>
              </w:rPr>
              <w:t>príjmy z výberu príspevku za dovoz núdzových zásob ropy a ropných výrobkov</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20 730</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úspora výdavkov na obsluhu štátneho dlhu</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155 546</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príjmy z dividend v štátnom rozpočte a v štátnych finančných aktívach</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150 440</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úspora výdavkov verejného zdravotného poistenia</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115 900</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zlepšenie hospodárenia obcí</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105 388</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úspora na odvode SR do EÚ</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80 397</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zlepšenie hospodárenia VÚC</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54 243</w:t>
            </w:r>
          </w:p>
        </w:tc>
      </w:tr>
      <w:tr>
        <w:tblPrEx>
          <w:tblW w:w="9214" w:type="dxa"/>
          <w:tblInd w:w="212" w:type="dxa"/>
          <w:tblCellMar>
            <w:left w:w="70" w:type="dxa"/>
            <w:right w:w="70" w:type="dxa"/>
          </w:tblCellMar>
          <w:tblLook w:val="00A0"/>
        </w:tblPrEx>
        <w:trPr>
          <w:trHeight w:val="330"/>
        </w:trPr>
        <w:tc>
          <w:tcPr>
            <w:tcW w:w="7938" w:type="dxa"/>
            <w:tcBorders>
              <w:top w:val="single" w:sz="4" w:space="0" w:color="auto"/>
              <w:left w:val="single" w:sz="8" w:space="0" w:color="auto"/>
              <w:bottom w:val="single" w:sz="4" w:space="0" w:color="auto"/>
              <w:right w:val="nil"/>
            </w:tcBorders>
            <w:shd w:val="clear" w:color="000000" w:fill="FFFFFF"/>
            <w:noWrap/>
            <w:textDirection w:val="lrTb"/>
            <w:vAlign w:val="center"/>
          </w:tcPr>
          <w:p w:rsidR="001C4C5A" w:rsidRPr="001C4C5A" w:rsidP="00B7497A">
            <w:pPr>
              <w:bidi w:val="0"/>
              <w:jc w:val="both"/>
              <w:rPr>
                <w:rFonts w:ascii="Times New Roman" w:hAnsi="Times New Roman"/>
                <w:b/>
                <w:bCs/>
                <w:color w:val="000000"/>
                <w:sz w:val="20"/>
                <w:szCs w:val="20"/>
              </w:rPr>
            </w:pPr>
            <w:r w:rsidRPr="001C4C5A">
              <w:rPr>
                <w:rFonts w:ascii="Times New Roman" w:hAnsi="Times New Roman"/>
                <w:b/>
                <w:bCs/>
                <w:color w:val="000000"/>
                <w:sz w:val="20"/>
                <w:szCs w:val="20"/>
              </w:rPr>
              <w:t>Negatívne vplyvy</w:t>
            </w:r>
          </w:p>
        </w:tc>
        <w:tc>
          <w:tcPr>
            <w:tcW w:w="1276" w:type="dxa"/>
            <w:tcBorders>
              <w:top w:val="single" w:sz="4" w:space="0" w:color="auto"/>
              <w:left w:val="single" w:sz="4" w:space="0" w:color="auto"/>
              <w:bottom w:val="single" w:sz="4" w:space="0" w:color="auto"/>
              <w:right w:val="single" w:sz="8" w:space="0" w:color="auto"/>
            </w:tcBorders>
            <w:shd w:val="clear" w:color="000000" w:fill="FFFFFF"/>
            <w:noWrap/>
            <w:textDirection w:val="lrTb"/>
            <w:vAlign w:val="center"/>
          </w:tcPr>
          <w:p w:rsidR="001C4C5A" w:rsidRPr="001C4C5A" w:rsidP="006E0559">
            <w:pPr>
              <w:bidi w:val="0"/>
              <w:jc w:val="right"/>
              <w:rPr>
                <w:rFonts w:ascii="Times New Roman" w:hAnsi="Times New Roman"/>
                <w:b/>
                <w:bCs/>
                <w:sz w:val="20"/>
                <w:szCs w:val="20"/>
              </w:rPr>
            </w:pPr>
            <w:r w:rsidRPr="001C4C5A">
              <w:rPr>
                <w:rFonts w:ascii="Times New Roman" w:hAnsi="Times New Roman"/>
                <w:b/>
                <w:bCs/>
                <w:sz w:val="20"/>
                <w:szCs w:val="20"/>
              </w:rPr>
              <w:t xml:space="preserve">-720 </w:t>
            </w:r>
            <w:r w:rsidR="006E0559">
              <w:rPr>
                <w:rFonts w:ascii="Times New Roman" w:hAnsi="Times New Roman"/>
                <w:b/>
                <w:bCs/>
                <w:sz w:val="20"/>
                <w:szCs w:val="20"/>
              </w:rPr>
              <w:t>081</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prekročenie základných výdavkov na chod štátu</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-199 566</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5C61C0">
            <w:pPr>
              <w:bidi w:val="0"/>
              <w:jc w:val="both"/>
              <w:rPr>
                <w:rFonts w:ascii="Times New Roman" w:hAnsi="Times New Roman"/>
                <w:i/>
                <w:iCs/>
                <w:sz w:val="20"/>
                <w:szCs w:val="20"/>
              </w:rPr>
            </w:pPr>
            <w:r w:rsidRPr="004A0ACE">
              <w:rPr>
                <w:rFonts w:ascii="Times New Roman" w:hAnsi="Times New Roman"/>
                <w:iCs/>
                <w:sz w:val="20"/>
                <w:szCs w:val="20"/>
              </w:rPr>
              <w:t>v tom</w:t>
            </w:r>
            <w:r w:rsidRPr="001C4C5A">
              <w:rPr>
                <w:rFonts w:ascii="Times New Roman" w:hAnsi="Times New Roman"/>
                <w:i/>
                <w:iCs/>
                <w:sz w:val="20"/>
                <w:szCs w:val="20"/>
              </w:rPr>
              <w:t>: výdavky na zmluvy pre ŽSR a ŽSSK</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-135 627</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5C61C0">
            <w:pPr>
              <w:bidi w:val="0"/>
              <w:jc w:val="both"/>
              <w:rPr>
                <w:rFonts w:ascii="Times New Roman" w:hAnsi="Times New Roman"/>
                <w:i/>
                <w:iCs/>
                <w:sz w:val="20"/>
                <w:szCs w:val="20"/>
              </w:rPr>
            </w:pPr>
            <w:r w:rsidR="005C61C0">
              <w:rPr>
                <w:rFonts w:ascii="Times New Roman" w:hAnsi="Times New Roman"/>
                <w:i/>
                <w:iCs/>
                <w:sz w:val="20"/>
                <w:szCs w:val="20"/>
              </w:rPr>
              <w:t xml:space="preserve">           </w:t>
            </w:r>
            <w:r w:rsidRPr="001C4C5A">
              <w:rPr>
                <w:rFonts w:ascii="Times New Roman" w:hAnsi="Times New Roman"/>
                <w:i/>
                <w:iCs/>
                <w:sz w:val="20"/>
                <w:szCs w:val="20"/>
              </w:rPr>
              <w:t>výdavky na súdne spory MV SR</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-24 018</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CE306E">
            <w:pPr>
              <w:bidi w:val="0"/>
              <w:jc w:val="both"/>
              <w:rPr>
                <w:rFonts w:ascii="Times New Roman" w:hAnsi="Times New Roman"/>
                <w:i/>
                <w:iCs/>
                <w:sz w:val="20"/>
                <w:szCs w:val="20"/>
              </w:rPr>
            </w:pPr>
            <w:r w:rsidR="005C61C0">
              <w:rPr>
                <w:rFonts w:ascii="Times New Roman" w:hAnsi="Times New Roman"/>
                <w:i/>
                <w:iCs/>
                <w:sz w:val="20"/>
                <w:szCs w:val="20"/>
              </w:rPr>
              <w:t xml:space="preserve">           </w:t>
            </w:r>
            <w:r w:rsidRPr="001C4C5A">
              <w:rPr>
                <w:rFonts w:ascii="Times New Roman" w:hAnsi="Times New Roman"/>
                <w:i/>
                <w:iCs/>
                <w:sz w:val="20"/>
                <w:szCs w:val="20"/>
              </w:rPr>
              <w:t>oddlženie Rozhlasu a televízie Slovenska</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i/>
                <w:iCs/>
                <w:sz w:val="20"/>
                <w:szCs w:val="20"/>
              </w:rPr>
            </w:pPr>
            <w:r w:rsidRPr="001C4C5A">
              <w:rPr>
                <w:rFonts w:ascii="Times New Roman" w:hAnsi="Times New Roman"/>
                <w:i/>
                <w:iCs/>
                <w:sz w:val="20"/>
                <w:szCs w:val="20"/>
              </w:rPr>
              <w:t>-19 500</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výpadok daňových príjmov v štátnom rozpočte</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-147 996</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prevzatie záväzkov zdravotníckych zariadení v roku 2011</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-100 338</w:t>
            </w:r>
          </w:p>
        </w:tc>
      </w:tr>
      <w:tr>
        <w:tblPrEx>
          <w:tblW w:w="9214" w:type="dxa"/>
          <w:tblInd w:w="212" w:type="dxa"/>
          <w:tblCellMar>
            <w:left w:w="70" w:type="dxa"/>
            <w:right w:w="70" w:type="dxa"/>
          </w:tblCellMar>
          <w:tblLook w:val="00A0"/>
        </w:tblPrEx>
        <w:trPr>
          <w:trHeight w:val="330"/>
        </w:trPr>
        <w:tc>
          <w:tcPr>
            <w:tcW w:w="7938" w:type="dxa"/>
            <w:tcBorders>
              <w:top w:val="nil"/>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nerealizovanie predaja emisných kvót</w:t>
            </w:r>
          </w:p>
        </w:tc>
        <w:tc>
          <w:tcPr>
            <w:tcW w:w="1276" w:type="dxa"/>
            <w:tcBorders>
              <w:top w:val="nil"/>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-100 000</w:t>
            </w:r>
          </w:p>
        </w:tc>
      </w:tr>
      <w:tr>
        <w:tblPrEx>
          <w:tblW w:w="9214" w:type="dxa"/>
          <w:tblInd w:w="212" w:type="dxa"/>
          <w:tblCellMar>
            <w:left w:w="70" w:type="dxa"/>
            <w:right w:w="70" w:type="dxa"/>
          </w:tblCellMar>
          <w:tblLook w:val="00A0"/>
        </w:tblPrEx>
        <w:trPr>
          <w:trHeight w:val="330"/>
        </w:trPr>
        <w:tc>
          <w:tcPr>
            <w:tcW w:w="7938" w:type="dxa"/>
            <w:tcBorders>
              <w:top w:val="single" w:sz="4" w:space="0" w:color="auto"/>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záväzky vzniknuté v roku 2011 voči železničným spoločnostiam</w:t>
            </w:r>
          </w:p>
        </w:tc>
        <w:tc>
          <w:tcPr>
            <w:tcW w:w="1276" w:type="dxa"/>
            <w:tcBorders>
              <w:top w:val="single" w:sz="4" w:space="0" w:color="auto"/>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-90 917</w:t>
            </w:r>
          </w:p>
        </w:tc>
      </w:tr>
      <w:tr>
        <w:tblPrEx>
          <w:tblW w:w="9214" w:type="dxa"/>
          <w:tblInd w:w="212" w:type="dxa"/>
          <w:tblCellMar>
            <w:left w:w="70" w:type="dxa"/>
            <w:right w:w="70" w:type="dxa"/>
          </w:tblCellMar>
          <w:tblLook w:val="00A0"/>
        </w:tblPrEx>
        <w:trPr>
          <w:trHeight w:val="330"/>
        </w:trPr>
        <w:tc>
          <w:tcPr>
            <w:tcW w:w="7938" w:type="dxa"/>
            <w:tcBorders>
              <w:top w:val="single" w:sz="4" w:space="0" w:color="auto"/>
              <w:left w:val="single" w:sz="8" w:space="0" w:color="auto"/>
              <w:bottom w:val="sing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zhoršenie hospodárenia príspevk</w:t>
            </w:r>
            <w:r w:rsidR="00C36624">
              <w:rPr>
                <w:rFonts w:ascii="Times New Roman" w:hAnsi="Times New Roman"/>
                <w:sz w:val="20"/>
                <w:szCs w:val="20"/>
              </w:rPr>
              <w:t xml:space="preserve">ových organizácií v pôsobnosti </w:t>
            </w:r>
            <w:r w:rsidRPr="001C4C5A">
              <w:rPr>
                <w:rFonts w:ascii="Times New Roman" w:hAnsi="Times New Roman"/>
                <w:sz w:val="20"/>
                <w:szCs w:val="20"/>
              </w:rPr>
              <w:t>štátu, obcí a VÚC</w:t>
            </w:r>
          </w:p>
        </w:tc>
        <w:tc>
          <w:tcPr>
            <w:tcW w:w="1276" w:type="dxa"/>
            <w:tcBorders>
              <w:top w:val="single" w:sz="4" w:space="0" w:color="auto"/>
              <w:left w:val="nil"/>
              <w:bottom w:val="sing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Pr="001C4C5A">
              <w:rPr>
                <w:rFonts w:ascii="Times New Roman" w:hAnsi="Times New Roman"/>
                <w:sz w:val="20"/>
                <w:szCs w:val="20"/>
              </w:rPr>
              <w:t>-48 443</w:t>
            </w:r>
          </w:p>
        </w:tc>
      </w:tr>
      <w:tr>
        <w:tblPrEx>
          <w:tblW w:w="9214" w:type="dxa"/>
          <w:tblInd w:w="212" w:type="dxa"/>
          <w:tblCellMar>
            <w:left w:w="70" w:type="dxa"/>
            <w:right w:w="70" w:type="dxa"/>
          </w:tblCellMar>
          <w:tblLook w:val="00A0"/>
        </w:tblPrEx>
        <w:trPr>
          <w:trHeight w:val="345"/>
        </w:trPr>
        <w:tc>
          <w:tcPr>
            <w:tcW w:w="7938" w:type="dxa"/>
            <w:tcBorders>
              <w:top w:val="single" w:sz="4" w:space="0" w:color="auto"/>
              <w:left w:val="single" w:sz="8" w:space="0" w:color="auto"/>
              <w:bottom w:val="double" w:sz="4" w:space="0" w:color="auto"/>
              <w:right w:val="single" w:sz="4" w:space="0" w:color="auto"/>
            </w:tcBorders>
            <w:noWrap/>
            <w:textDirection w:val="lrTb"/>
            <w:vAlign w:val="center"/>
          </w:tcPr>
          <w:p w:rsidR="001C4C5A" w:rsidRPr="001C4C5A" w:rsidP="00B7497A">
            <w:pPr>
              <w:bidi w:val="0"/>
              <w:jc w:val="both"/>
              <w:rPr>
                <w:rFonts w:ascii="Times New Roman" w:hAnsi="Times New Roman"/>
                <w:sz w:val="20"/>
                <w:szCs w:val="20"/>
              </w:rPr>
            </w:pPr>
            <w:r w:rsidRPr="001C4C5A">
              <w:rPr>
                <w:rFonts w:ascii="Times New Roman" w:hAnsi="Times New Roman"/>
                <w:sz w:val="20"/>
                <w:szCs w:val="20"/>
              </w:rPr>
              <w:t>ostatné negatíva</w:t>
            </w:r>
          </w:p>
        </w:tc>
        <w:tc>
          <w:tcPr>
            <w:tcW w:w="1276" w:type="dxa"/>
            <w:tcBorders>
              <w:top w:val="single" w:sz="4" w:space="0" w:color="auto"/>
              <w:left w:val="nil"/>
              <w:bottom w:val="double" w:sz="4" w:space="0" w:color="auto"/>
              <w:right w:val="single" w:sz="8" w:space="0" w:color="auto"/>
            </w:tcBorders>
            <w:noWrap/>
            <w:textDirection w:val="lrTb"/>
            <w:vAlign w:val="center"/>
          </w:tcPr>
          <w:p w:rsidR="001C4C5A" w:rsidRPr="001C4C5A" w:rsidP="00B7497A">
            <w:pPr>
              <w:bidi w:val="0"/>
              <w:jc w:val="right"/>
              <w:rPr>
                <w:rFonts w:ascii="Times New Roman" w:hAnsi="Times New Roman"/>
                <w:sz w:val="20"/>
                <w:szCs w:val="20"/>
              </w:rPr>
            </w:pPr>
            <w:r w:rsidR="006E0559">
              <w:rPr>
                <w:rFonts w:ascii="Times New Roman" w:hAnsi="Times New Roman"/>
                <w:sz w:val="20"/>
                <w:szCs w:val="20"/>
              </w:rPr>
              <w:t>-32 821</w:t>
            </w:r>
          </w:p>
        </w:tc>
      </w:tr>
      <w:tr>
        <w:tblPrEx>
          <w:tblW w:w="9214" w:type="dxa"/>
          <w:tblInd w:w="212" w:type="dxa"/>
          <w:tblCellMar>
            <w:left w:w="70" w:type="dxa"/>
            <w:right w:w="70" w:type="dxa"/>
          </w:tblCellMar>
          <w:tblLook w:val="00A0"/>
        </w:tblPrEx>
        <w:trPr>
          <w:trHeight w:val="345"/>
        </w:trPr>
        <w:tc>
          <w:tcPr>
            <w:tcW w:w="7938" w:type="dxa"/>
            <w:tcBorders>
              <w:top w:val="double" w:sz="4" w:space="0" w:color="auto"/>
              <w:left w:val="single" w:sz="8" w:space="0" w:color="auto"/>
              <w:bottom w:val="single" w:sz="4" w:space="0" w:color="auto"/>
              <w:right w:val="single" w:sz="4" w:space="0" w:color="auto"/>
            </w:tcBorders>
            <w:shd w:val="clear" w:color="auto" w:fill="FFFFFF"/>
            <w:noWrap/>
            <w:textDirection w:val="lrTb"/>
            <w:vAlign w:val="center"/>
          </w:tcPr>
          <w:p w:rsidR="001C4C5A" w:rsidRPr="001C4C5A" w:rsidP="00B7497A">
            <w:pPr>
              <w:bidi w:val="0"/>
              <w:jc w:val="both"/>
              <w:rPr>
                <w:rFonts w:ascii="Times New Roman" w:hAnsi="Times New Roman"/>
                <w:b/>
                <w:bCs/>
                <w:sz w:val="20"/>
                <w:szCs w:val="20"/>
              </w:rPr>
            </w:pPr>
            <w:r w:rsidRPr="001C4C5A">
              <w:rPr>
                <w:rFonts w:ascii="Times New Roman" w:hAnsi="Times New Roman"/>
                <w:b/>
                <w:bCs/>
                <w:sz w:val="20"/>
                <w:szCs w:val="20"/>
              </w:rPr>
              <w:t>Spolu vplyvy</w:t>
            </w:r>
          </w:p>
        </w:tc>
        <w:tc>
          <w:tcPr>
            <w:tcW w:w="1276" w:type="dxa"/>
            <w:tcBorders>
              <w:top w:val="double" w:sz="4" w:space="0" w:color="auto"/>
              <w:left w:val="nil"/>
              <w:bottom w:val="single" w:sz="4" w:space="0" w:color="auto"/>
              <w:right w:val="single" w:sz="8" w:space="0" w:color="auto"/>
            </w:tcBorders>
            <w:shd w:val="clear" w:color="auto" w:fill="FFFFFF"/>
            <w:noWrap/>
            <w:textDirection w:val="lrTb"/>
            <w:vAlign w:val="center"/>
          </w:tcPr>
          <w:p w:rsidR="001C4C5A" w:rsidRPr="001C4C5A" w:rsidP="00B7497A">
            <w:pPr>
              <w:bidi w:val="0"/>
              <w:jc w:val="right"/>
              <w:rPr>
                <w:rFonts w:ascii="Times New Roman" w:hAnsi="Times New Roman"/>
                <w:b/>
                <w:bCs/>
                <w:sz w:val="20"/>
                <w:szCs w:val="20"/>
              </w:rPr>
            </w:pPr>
            <w:r w:rsidRPr="001C4C5A">
              <w:rPr>
                <w:rFonts w:ascii="Times New Roman" w:hAnsi="Times New Roman"/>
                <w:b/>
                <w:bCs/>
                <w:sz w:val="20"/>
                <w:szCs w:val="20"/>
              </w:rPr>
              <w:t>122 368</w:t>
            </w:r>
          </w:p>
        </w:tc>
      </w:tr>
    </w:tbl>
    <w:p w:rsidR="0031383C" w:rsidRPr="00AD26BC" w:rsidP="0031383C">
      <w:pPr>
        <w:bidi w:val="0"/>
        <w:spacing w:before="120" w:after="120" w:line="360" w:lineRule="auto"/>
        <w:ind w:left="142"/>
        <w:jc w:val="both"/>
        <w:rPr>
          <w:rFonts w:ascii="Times New Roman" w:hAnsi="Times New Roman"/>
          <w:sz w:val="20"/>
          <w:szCs w:val="20"/>
        </w:rPr>
      </w:pPr>
      <w:r w:rsidRPr="00AD26BC">
        <w:rPr>
          <w:rFonts w:ascii="Times New Roman" w:hAnsi="Times New Roman"/>
          <w:sz w:val="20"/>
          <w:szCs w:val="20"/>
        </w:rPr>
        <w:t>Zdroj: Ministerstvo financií SR</w:t>
      </w:r>
    </w:p>
    <w:p w:rsidR="001C4C5A" w:rsidRPr="006054C4" w:rsidP="00491E04">
      <w:pPr>
        <w:bidi w:val="0"/>
        <w:spacing w:before="120" w:after="120" w:line="360" w:lineRule="auto"/>
        <w:jc w:val="both"/>
        <w:rPr>
          <w:rFonts w:ascii="Times New Roman" w:hAnsi="Times New Roman"/>
        </w:rPr>
      </w:pPr>
      <w:r>
        <w:rPr>
          <w:rFonts w:ascii="Times New Roman" w:hAnsi="Times New Roman"/>
        </w:rPr>
        <w:t>Z nasledujúceho prehľadu je vidieť, že pozitívne plnenie rozpočt</w:t>
      </w:r>
      <w:r w:rsidR="002B32DC">
        <w:rPr>
          <w:rFonts w:ascii="Times New Roman" w:hAnsi="Times New Roman"/>
        </w:rPr>
        <w:t>ovaného</w:t>
      </w:r>
      <w:r>
        <w:rPr>
          <w:rFonts w:ascii="Times New Roman" w:hAnsi="Times New Roman"/>
        </w:rPr>
        <w:t xml:space="preserve"> schodku bolo dosiahnuté vyšším prekročením rozpočtu príjmov ako výdavkov. Kým rozpočet príjmov sa prekročil </w:t>
      </w:r>
      <w:r w:rsidR="001650C9">
        <w:rPr>
          <w:rFonts w:ascii="Times New Roman" w:hAnsi="Times New Roman"/>
        </w:rPr>
        <w:br/>
      </w:r>
      <w:r>
        <w:rPr>
          <w:rFonts w:ascii="Times New Roman" w:hAnsi="Times New Roman"/>
        </w:rPr>
        <w:t xml:space="preserve">o </w:t>
      </w:r>
      <w:r w:rsidR="001650C9">
        <w:rPr>
          <w:rFonts w:ascii="Times New Roman" w:hAnsi="Times New Roman"/>
        </w:rPr>
        <w:t>305 957 tis. eur</w:t>
      </w:r>
      <w:r>
        <w:rPr>
          <w:rFonts w:ascii="Times New Roman" w:hAnsi="Times New Roman"/>
        </w:rPr>
        <w:t>, rozpočet výdavkov len o 183 589 tis. eur.</w:t>
      </w:r>
    </w:p>
    <w:p w:rsidR="001C4C5A" w:rsidRPr="00BC2ED3" w:rsidP="006A57AC">
      <w:pPr>
        <w:bidi w:val="0"/>
        <w:spacing w:line="360" w:lineRule="auto"/>
        <w:jc w:val="center"/>
        <w:rPr>
          <w:rFonts w:ascii="Times New Roman" w:hAnsi="Times New Roman"/>
          <w:b/>
          <w:bCs/>
          <w:color w:val="000000"/>
        </w:rPr>
      </w:pPr>
      <w:r>
        <w:rPr>
          <w:rFonts w:ascii="Times New Roman" w:hAnsi="Times New Roman"/>
          <w:b/>
          <w:bCs/>
          <w:color w:val="000000"/>
        </w:rPr>
        <w:t>Plnenie</w:t>
      </w:r>
      <w:r w:rsidRPr="00BC2ED3">
        <w:rPr>
          <w:rFonts w:ascii="Times New Roman" w:hAnsi="Times New Roman"/>
          <w:b/>
          <w:bCs/>
          <w:color w:val="000000"/>
        </w:rPr>
        <w:t xml:space="preserve"> rozpočtu </w:t>
      </w:r>
      <w:r>
        <w:rPr>
          <w:rFonts w:ascii="Times New Roman" w:hAnsi="Times New Roman"/>
          <w:b/>
          <w:bCs/>
          <w:color w:val="000000"/>
        </w:rPr>
        <w:t>príjmov a výdavkov</w:t>
      </w:r>
      <w:r w:rsidRPr="00BC2ED3">
        <w:rPr>
          <w:rFonts w:ascii="Times New Roman" w:hAnsi="Times New Roman"/>
          <w:b/>
          <w:bCs/>
          <w:color w:val="000000"/>
        </w:rPr>
        <w:t xml:space="preserve"> </w:t>
      </w:r>
      <w:r>
        <w:rPr>
          <w:rFonts w:ascii="Times New Roman" w:hAnsi="Times New Roman"/>
          <w:b/>
          <w:bCs/>
          <w:color w:val="000000"/>
        </w:rPr>
        <w:t xml:space="preserve">verejnej správy </w:t>
      </w:r>
      <w:r w:rsidRPr="00BC2ED3">
        <w:rPr>
          <w:rFonts w:ascii="Times New Roman" w:hAnsi="Times New Roman"/>
          <w:b/>
          <w:bCs/>
          <w:color w:val="000000"/>
        </w:rPr>
        <w:t>za rok 2011</w:t>
      </w:r>
    </w:p>
    <w:tbl>
      <w:tblPr>
        <w:tblStyle w:val="TableNormal"/>
        <w:tblW w:w="7605" w:type="dxa"/>
        <w:jc w:val="center"/>
        <w:tblInd w:w="-68" w:type="dxa"/>
        <w:tblCellMar>
          <w:left w:w="70" w:type="dxa"/>
          <w:right w:w="70" w:type="dxa"/>
        </w:tblCellMar>
      </w:tblPr>
      <w:tblGrid>
        <w:gridCol w:w="3425"/>
        <w:gridCol w:w="1430"/>
        <w:gridCol w:w="1430"/>
        <w:gridCol w:w="1320"/>
      </w:tblGrid>
      <w:tr>
        <w:tblPrEx>
          <w:tblW w:w="7605" w:type="dxa"/>
          <w:jc w:val="center"/>
          <w:tblInd w:w="-68" w:type="dxa"/>
          <w:tblCellMar>
            <w:left w:w="70" w:type="dxa"/>
            <w:right w:w="70" w:type="dxa"/>
          </w:tblCellMar>
        </w:tblPrEx>
        <w:trPr>
          <w:trHeight w:val="330"/>
          <w:jc w:val="center"/>
        </w:trPr>
        <w:tc>
          <w:tcPr>
            <w:tcW w:w="3425" w:type="dxa"/>
            <w:tcBorders>
              <w:top w:val="single" w:sz="4" w:space="0" w:color="FFFFFF"/>
              <w:left w:val="single" w:sz="4" w:space="0" w:color="FFFFFF"/>
              <w:bottom w:val="single" w:sz="4" w:space="0" w:color="auto"/>
              <w:right w:val="single" w:sz="4" w:space="0" w:color="FFFFFF"/>
            </w:tcBorders>
            <w:shd w:val="clear" w:color="auto" w:fill="000000"/>
            <w:noWrap/>
            <w:textDirection w:val="lrTb"/>
            <w:vAlign w:val="center"/>
          </w:tcPr>
          <w:p w:rsidR="001C4C5A" w:rsidRPr="00961E88" w:rsidP="006A57AC">
            <w:pPr>
              <w:bidi w:val="0"/>
              <w:jc w:val="center"/>
              <w:rPr>
                <w:rFonts w:ascii="Times New Roman" w:hAnsi="Times New Roman"/>
                <w:b/>
                <w:color w:val="FFFFFF"/>
                <w:sz w:val="20"/>
                <w:szCs w:val="20"/>
              </w:rPr>
            </w:pPr>
            <w:r w:rsidRPr="00961E88">
              <w:rPr>
                <w:rFonts w:ascii="Times New Roman" w:hAnsi="Times New Roman"/>
                <w:b/>
                <w:color w:val="FFFFFF"/>
                <w:sz w:val="20"/>
                <w:szCs w:val="20"/>
              </w:rPr>
              <w:t>Položka</w:t>
            </w:r>
          </w:p>
          <w:p w:rsidR="00A92219" w:rsidRPr="00961E88" w:rsidP="006E0559">
            <w:pPr>
              <w:bidi w:val="0"/>
              <w:rPr>
                <w:rFonts w:ascii="Times New Roman" w:hAnsi="Times New Roman"/>
                <w:b/>
                <w:color w:val="FFFFFF"/>
                <w:sz w:val="20"/>
                <w:szCs w:val="20"/>
              </w:rPr>
            </w:pPr>
            <w:r w:rsidRPr="00961E88">
              <w:rPr>
                <w:rFonts w:ascii="Times New Roman" w:hAnsi="Times New Roman"/>
                <w:b/>
                <w:color w:val="FFFFFF"/>
                <w:sz w:val="20"/>
                <w:szCs w:val="20"/>
              </w:rPr>
              <w:t>(v tis.</w:t>
            </w:r>
            <w:r w:rsidRPr="00961E88" w:rsidR="00D15C85">
              <w:rPr>
                <w:rFonts w:ascii="Times New Roman" w:hAnsi="Times New Roman"/>
                <w:b/>
                <w:color w:val="FFFFFF"/>
                <w:sz w:val="20"/>
                <w:szCs w:val="20"/>
              </w:rPr>
              <w:t xml:space="preserve"> </w:t>
            </w:r>
            <w:r w:rsidRPr="00961E88">
              <w:rPr>
                <w:rFonts w:ascii="Times New Roman" w:hAnsi="Times New Roman"/>
                <w:b/>
                <w:color w:val="FFFFFF"/>
                <w:sz w:val="20"/>
                <w:szCs w:val="20"/>
              </w:rPr>
              <w:t>eur)</w:t>
            </w:r>
          </w:p>
        </w:tc>
        <w:tc>
          <w:tcPr>
            <w:tcW w:w="1430" w:type="dxa"/>
            <w:tcBorders>
              <w:top w:val="single" w:sz="4" w:space="0" w:color="FFFFFF"/>
              <w:left w:val="single" w:sz="4" w:space="0" w:color="FFFFFF"/>
              <w:bottom w:val="single" w:sz="4" w:space="0" w:color="auto"/>
              <w:right w:val="single" w:sz="4" w:space="0" w:color="FFFFFF"/>
            </w:tcBorders>
            <w:shd w:val="clear" w:color="auto" w:fill="000000"/>
            <w:noWrap/>
            <w:textDirection w:val="lrTb"/>
            <w:vAlign w:val="center"/>
          </w:tcPr>
          <w:p w:rsidR="001C4C5A" w:rsidRPr="00961E88" w:rsidP="006A57AC">
            <w:pPr>
              <w:bidi w:val="0"/>
              <w:jc w:val="center"/>
              <w:rPr>
                <w:rFonts w:ascii="Times New Roman" w:hAnsi="Times New Roman"/>
                <w:b/>
                <w:color w:val="FFFFFF"/>
                <w:sz w:val="20"/>
                <w:szCs w:val="20"/>
              </w:rPr>
            </w:pPr>
            <w:r w:rsidRPr="00961E88">
              <w:rPr>
                <w:rFonts w:ascii="Times New Roman" w:hAnsi="Times New Roman"/>
                <w:b/>
                <w:color w:val="FFFFFF"/>
                <w:sz w:val="20"/>
                <w:szCs w:val="20"/>
              </w:rPr>
              <w:t>Rozpočet</w:t>
            </w:r>
          </w:p>
        </w:tc>
        <w:tc>
          <w:tcPr>
            <w:tcW w:w="1430" w:type="dxa"/>
            <w:tcBorders>
              <w:top w:val="single" w:sz="4" w:space="0" w:color="FFFFFF"/>
              <w:left w:val="single" w:sz="4" w:space="0" w:color="FFFFFF"/>
              <w:bottom w:val="single" w:sz="4" w:space="0" w:color="auto"/>
              <w:right w:val="single" w:sz="4" w:space="0" w:color="FFFFFF"/>
            </w:tcBorders>
            <w:shd w:val="clear" w:color="auto" w:fill="000000"/>
            <w:noWrap/>
            <w:textDirection w:val="lrTb"/>
            <w:vAlign w:val="center"/>
          </w:tcPr>
          <w:p w:rsidR="001C4C5A" w:rsidRPr="00961E88" w:rsidP="006A57AC">
            <w:pPr>
              <w:bidi w:val="0"/>
              <w:jc w:val="center"/>
              <w:rPr>
                <w:rFonts w:ascii="Times New Roman" w:hAnsi="Times New Roman"/>
                <w:b/>
                <w:color w:val="FFFFFF"/>
                <w:sz w:val="20"/>
                <w:szCs w:val="20"/>
              </w:rPr>
            </w:pPr>
            <w:r w:rsidRPr="00961E88">
              <w:rPr>
                <w:rFonts w:ascii="Times New Roman" w:hAnsi="Times New Roman"/>
                <w:b/>
                <w:color w:val="FFFFFF"/>
                <w:sz w:val="20"/>
                <w:szCs w:val="20"/>
              </w:rPr>
              <w:t>Skutočnosť</w:t>
            </w:r>
          </w:p>
        </w:tc>
        <w:tc>
          <w:tcPr>
            <w:tcW w:w="1320" w:type="dxa"/>
            <w:tcBorders>
              <w:top w:val="single" w:sz="4" w:space="0" w:color="FFFFFF"/>
              <w:left w:val="single" w:sz="4" w:space="0" w:color="FFFFFF"/>
              <w:bottom w:val="single" w:sz="4" w:space="0" w:color="auto"/>
              <w:right w:val="single" w:sz="4" w:space="0" w:color="FFFFFF"/>
            </w:tcBorders>
            <w:shd w:val="clear" w:color="auto" w:fill="000000"/>
            <w:noWrap/>
            <w:textDirection w:val="lrTb"/>
            <w:vAlign w:val="center"/>
          </w:tcPr>
          <w:p w:rsidR="001C4C5A" w:rsidRPr="00961E88" w:rsidP="006A57AC">
            <w:pPr>
              <w:bidi w:val="0"/>
              <w:jc w:val="center"/>
              <w:rPr>
                <w:rFonts w:ascii="Times New Roman" w:hAnsi="Times New Roman"/>
                <w:b/>
                <w:color w:val="FFFFFF"/>
                <w:sz w:val="20"/>
                <w:szCs w:val="20"/>
              </w:rPr>
            </w:pPr>
            <w:r w:rsidRPr="00961E88">
              <w:rPr>
                <w:rFonts w:ascii="Times New Roman" w:hAnsi="Times New Roman"/>
                <w:b/>
                <w:color w:val="FFFFFF"/>
                <w:sz w:val="20"/>
                <w:szCs w:val="20"/>
              </w:rPr>
              <w:t>Rozdiel</w:t>
            </w:r>
          </w:p>
        </w:tc>
      </w:tr>
      <w:tr>
        <w:tblPrEx>
          <w:tblW w:w="7605" w:type="dxa"/>
          <w:jc w:val="center"/>
          <w:tblInd w:w="-68" w:type="dxa"/>
          <w:tblCellMar>
            <w:left w:w="70" w:type="dxa"/>
            <w:right w:w="70" w:type="dxa"/>
          </w:tblCellMar>
        </w:tblPrEx>
        <w:trPr>
          <w:trHeight w:val="330"/>
          <w:jc w:val="center"/>
        </w:trPr>
        <w:tc>
          <w:tcPr>
            <w:tcW w:w="342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C4C5A" w:rsidRPr="00A92219" w:rsidP="0022337B">
            <w:pPr>
              <w:bidi w:val="0"/>
              <w:jc w:val="center"/>
              <w:rPr>
                <w:rFonts w:ascii="Times New Roman" w:hAnsi="Times New Roman"/>
                <w:b/>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C4C5A" w:rsidRPr="00A92219" w:rsidP="0022337B">
            <w:pPr>
              <w:bidi w:val="0"/>
              <w:jc w:val="center"/>
              <w:rPr>
                <w:rFonts w:ascii="Times New Roman" w:hAnsi="Times New Roman"/>
                <w:b/>
                <w:sz w:val="20"/>
                <w:szCs w:val="20"/>
              </w:rPr>
            </w:pPr>
            <w:r w:rsidRPr="00A92219">
              <w:rPr>
                <w:rFonts w:ascii="Times New Roman" w:hAnsi="Times New Roman"/>
                <w:b/>
                <w:sz w:val="20"/>
                <w:szCs w:val="20"/>
              </w:rPr>
              <w:t>1</w:t>
            </w:r>
          </w:p>
        </w:tc>
        <w:tc>
          <w:tcPr>
            <w:tcW w:w="1430"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1C4C5A" w:rsidRPr="00A92219" w:rsidP="0022337B">
            <w:pPr>
              <w:bidi w:val="0"/>
              <w:jc w:val="center"/>
              <w:rPr>
                <w:rFonts w:ascii="Times New Roman" w:hAnsi="Times New Roman"/>
                <w:b/>
                <w:sz w:val="20"/>
                <w:szCs w:val="20"/>
              </w:rPr>
            </w:pPr>
            <w:r w:rsidRPr="00A92219">
              <w:rPr>
                <w:rFonts w:ascii="Times New Roman" w:hAnsi="Times New Roman"/>
                <w:b/>
                <w:sz w:val="20"/>
                <w:szCs w:val="20"/>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C4C5A" w:rsidRPr="00A92219" w:rsidP="005028F3">
            <w:pPr>
              <w:bidi w:val="0"/>
              <w:jc w:val="center"/>
              <w:rPr>
                <w:rFonts w:ascii="Times New Roman" w:hAnsi="Times New Roman"/>
                <w:b/>
                <w:sz w:val="20"/>
                <w:szCs w:val="20"/>
              </w:rPr>
            </w:pPr>
            <w:r w:rsidR="005028F3">
              <w:rPr>
                <w:rFonts w:ascii="Times New Roman" w:hAnsi="Times New Roman"/>
                <w:b/>
                <w:sz w:val="20"/>
                <w:szCs w:val="20"/>
              </w:rPr>
              <w:t>3 =</w:t>
            </w:r>
            <w:r w:rsidRPr="00A92219">
              <w:rPr>
                <w:rFonts w:ascii="Times New Roman" w:hAnsi="Times New Roman"/>
                <w:b/>
                <w:sz w:val="20"/>
                <w:szCs w:val="20"/>
              </w:rPr>
              <w:t>2-1</w:t>
            </w:r>
          </w:p>
        </w:tc>
      </w:tr>
      <w:tr>
        <w:tblPrEx>
          <w:tblW w:w="7605" w:type="dxa"/>
          <w:jc w:val="center"/>
          <w:tblInd w:w="-68" w:type="dxa"/>
          <w:tblCellMar>
            <w:left w:w="70" w:type="dxa"/>
            <w:right w:w="70" w:type="dxa"/>
          </w:tblCellMar>
        </w:tblPrEx>
        <w:trPr>
          <w:trHeight w:val="330"/>
          <w:jc w:val="center"/>
        </w:trPr>
        <w:tc>
          <w:tcPr>
            <w:tcW w:w="3425" w:type="dxa"/>
            <w:tcBorders>
              <w:top w:val="single" w:sz="4" w:space="0" w:color="auto"/>
              <w:left w:val="single" w:sz="4" w:space="0" w:color="auto"/>
              <w:bottom w:val="single" w:sz="4" w:space="0" w:color="auto"/>
              <w:right w:val="single" w:sz="4" w:space="0" w:color="auto"/>
            </w:tcBorders>
            <w:noWrap/>
            <w:textDirection w:val="lrTb"/>
            <w:vAlign w:val="bottom"/>
          </w:tcPr>
          <w:p w:rsidR="001C4C5A" w:rsidRPr="001C4C5A" w:rsidP="005A4E8D">
            <w:pPr>
              <w:bidi w:val="0"/>
              <w:rPr>
                <w:rFonts w:ascii="Times New Roman" w:hAnsi="Times New Roman"/>
                <w:b/>
                <w:bCs/>
                <w:color w:val="000000"/>
                <w:sz w:val="20"/>
                <w:szCs w:val="20"/>
              </w:rPr>
            </w:pPr>
            <w:r w:rsidRPr="001C4C5A">
              <w:rPr>
                <w:rFonts w:ascii="Times New Roman" w:hAnsi="Times New Roman"/>
                <w:b/>
                <w:bCs/>
                <w:color w:val="000000"/>
                <w:sz w:val="20"/>
                <w:szCs w:val="20"/>
              </w:rPr>
              <w:t>Príjmy spolu podľa ESA 95</w:t>
            </w:r>
          </w:p>
        </w:tc>
        <w:tc>
          <w:tcPr>
            <w:tcW w:w="1430" w:type="dxa"/>
            <w:tcBorders>
              <w:top w:val="single" w:sz="4" w:space="0" w:color="auto"/>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23 352 477</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23 658 434</w:t>
            </w:r>
          </w:p>
        </w:tc>
        <w:tc>
          <w:tcPr>
            <w:tcW w:w="1320" w:type="dxa"/>
            <w:tcBorders>
              <w:top w:val="single" w:sz="4" w:space="0" w:color="auto"/>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305 957</w:t>
            </w:r>
          </w:p>
        </w:tc>
      </w:tr>
      <w:tr>
        <w:tblPrEx>
          <w:tblW w:w="7605" w:type="dxa"/>
          <w:jc w:val="center"/>
          <w:tblInd w:w="-68" w:type="dxa"/>
          <w:tblCellMar>
            <w:left w:w="70" w:type="dxa"/>
            <w:right w:w="70" w:type="dxa"/>
          </w:tblCellMar>
        </w:tblPrEx>
        <w:trPr>
          <w:trHeight w:val="330"/>
          <w:jc w:val="center"/>
        </w:trPr>
        <w:tc>
          <w:tcPr>
            <w:tcW w:w="3425" w:type="dxa"/>
            <w:tcBorders>
              <w:top w:val="nil"/>
              <w:left w:val="single" w:sz="4" w:space="0" w:color="auto"/>
              <w:bottom w:val="single" w:sz="4" w:space="0" w:color="auto"/>
              <w:right w:val="single" w:sz="4" w:space="0" w:color="auto"/>
            </w:tcBorders>
            <w:noWrap/>
            <w:textDirection w:val="lrTb"/>
            <w:vAlign w:val="bottom"/>
          </w:tcPr>
          <w:p w:rsidR="001C4C5A" w:rsidRPr="004A0ACE" w:rsidP="005A4E8D">
            <w:pPr>
              <w:bidi w:val="0"/>
              <w:rPr>
                <w:rFonts w:ascii="Times New Roman" w:hAnsi="Times New Roman"/>
                <w:i/>
                <w:color w:val="000000"/>
                <w:sz w:val="20"/>
                <w:szCs w:val="20"/>
              </w:rPr>
            </w:pPr>
            <w:r w:rsidRPr="004A0ACE">
              <w:rPr>
                <w:rFonts w:ascii="Times New Roman" w:hAnsi="Times New Roman"/>
                <w:color w:val="000000"/>
                <w:sz w:val="20"/>
                <w:szCs w:val="20"/>
              </w:rPr>
              <w:t>z toho</w:t>
            </w:r>
            <w:r w:rsidRPr="004A0ACE">
              <w:rPr>
                <w:rFonts w:ascii="Times New Roman" w:hAnsi="Times New Roman"/>
                <w:i/>
                <w:color w:val="000000"/>
                <w:sz w:val="20"/>
                <w:szCs w:val="20"/>
              </w:rPr>
              <w:t>: daňové a poistné</w:t>
            </w:r>
          </w:p>
        </w:tc>
        <w:tc>
          <w:tcPr>
            <w:tcW w:w="143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19 614 845</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19 583 360</w:t>
            </w:r>
          </w:p>
        </w:tc>
        <w:tc>
          <w:tcPr>
            <w:tcW w:w="132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-31 485</w:t>
            </w:r>
          </w:p>
        </w:tc>
      </w:tr>
      <w:tr>
        <w:tblPrEx>
          <w:tblW w:w="7605" w:type="dxa"/>
          <w:jc w:val="center"/>
          <w:tblInd w:w="-68" w:type="dxa"/>
          <w:tblCellMar>
            <w:left w:w="70" w:type="dxa"/>
            <w:right w:w="70" w:type="dxa"/>
          </w:tblCellMar>
        </w:tblPrEx>
        <w:trPr>
          <w:trHeight w:val="330"/>
          <w:jc w:val="center"/>
        </w:trPr>
        <w:tc>
          <w:tcPr>
            <w:tcW w:w="3425" w:type="dxa"/>
            <w:tcBorders>
              <w:top w:val="nil"/>
              <w:left w:val="single" w:sz="4" w:space="0" w:color="auto"/>
              <w:bottom w:val="single" w:sz="4" w:space="0" w:color="auto"/>
              <w:right w:val="single" w:sz="4" w:space="0" w:color="auto"/>
            </w:tcBorders>
            <w:noWrap/>
            <w:textDirection w:val="lrTb"/>
            <w:vAlign w:val="bottom"/>
          </w:tcPr>
          <w:p w:rsidR="001C4C5A" w:rsidRPr="004A0ACE" w:rsidP="005A4E8D">
            <w:pPr>
              <w:bidi w:val="0"/>
              <w:rPr>
                <w:rFonts w:ascii="Times New Roman" w:hAnsi="Times New Roman"/>
                <w:i/>
                <w:color w:val="000000"/>
                <w:sz w:val="20"/>
                <w:szCs w:val="20"/>
              </w:rPr>
            </w:pPr>
            <w:r w:rsidR="005A4E8D">
              <w:rPr>
                <w:rFonts w:ascii="Times New Roman" w:hAnsi="Times New Roman"/>
                <w:i/>
                <w:color w:val="000000"/>
                <w:sz w:val="20"/>
                <w:szCs w:val="20"/>
              </w:rPr>
              <w:t xml:space="preserve">            </w:t>
            </w:r>
            <w:r w:rsidRPr="004A0ACE">
              <w:rPr>
                <w:rFonts w:ascii="Times New Roman" w:hAnsi="Times New Roman"/>
                <w:i/>
                <w:color w:val="000000"/>
                <w:sz w:val="20"/>
                <w:szCs w:val="20"/>
              </w:rPr>
              <w:t>nedaňové</w:t>
            </w:r>
          </w:p>
        </w:tc>
        <w:tc>
          <w:tcPr>
            <w:tcW w:w="143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2 232 104</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2 901 434</w:t>
            </w:r>
          </w:p>
        </w:tc>
        <w:tc>
          <w:tcPr>
            <w:tcW w:w="132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669 330</w:t>
            </w:r>
          </w:p>
        </w:tc>
      </w:tr>
      <w:tr>
        <w:tblPrEx>
          <w:tblW w:w="7605" w:type="dxa"/>
          <w:jc w:val="center"/>
          <w:tblInd w:w="-68" w:type="dxa"/>
          <w:tblCellMar>
            <w:left w:w="70" w:type="dxa"/>
            <w:right w:w="70" w:type="dxa"/>
          </w:tblCellMar>
        </w:tblPrEx>
        <w:trPr>
          <w:trHeight w:val="330"/>
          <w:jc w:val="center"/>
        </w:trPr>
        <w:tc>
          <w:tcPr>
            <w:tcW w:w="3425" w:type="dxa"/>
            <w:tcBorders>
              <w:top w:val="nil"/>
              <w:left w:val="single" w:sz="4" w:space="0" w:color="auto"/>
              <w:bottom w:val="single" w:sz="4" w:space="0" w:color="auto"/>
              <w:right w:val="single" w:sz="4" w:space="0" w:color="auto"/>
            </w:tcBorders>
            <w:noWrap/>
            <w:textDirection w:val="lrTb"/>
            <w:vAlign w:val="bottom"/>
          </w:tcPr>
          <w:p w:rsidR="001C4C5A" w:rsidRPr="004A0ACE" w:rsidP="005A4E8D">
            <w:pPr>
              <w:bidi w:val="0"/>
              <w:rPr>
                <w:rFonts w:ascii="Times New Roman" w:hAnsi="Times New Roman"/>
                <w:i/>
                <w:color w:val="000000"/>
                <w:sz w:val="20"/>
                <w:szCs w:val="20"/>
              </w:rPr>
            </w:pPr>
            <w:r w:rsidR="005A4E8D">
              <w:rPr>
                <w:rFonts w:ascii="Times New Roman" w:hAnsi="Times New Roman"/>
                <w:i/>
                <w:color w:val="000000"/>
                <w:sz w:val="20"/>
                <w:szCs w:val="20"/>
              </w:rPr>
              <w:t xml:space="preserve">            </w:t>
            </w:r>
            <w:r w:rsidRPr="004A0ACE">
              <w:rPr>
                <w:rFonts w:ascii="Times New Roman" w:hAnsi="Times New Roman"/>
                <w:i/>
                <w:color w:val="000000"/>
                <w:sz w:val="20"/>
                <w:szCs w:val="20"/>
              </w:rPr>
              <w:t>granty a transfery</w:t>
            </w:r>
          </w:p>
        </w:tc>
        <w:tc>
          <w:tcPr>
            <w:tcW w:w="143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1 505 528</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1 173 640</w:t>
            </w:r>
          </w:p>
        </w:tc>
        <w:tc>
          <w:tcPr>
            <w:tcW w:w="132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-331 888</w:t>
            </w:r>
          </w:p>
        </w:tc>
      </w:tr>
      <w:tr>
        <w:tblPrEx>
          <w:tblW w:w="7605" w:type="dxa"/>
          <w:jc w:val="center"/>
          <w:tblInd w:w="-68" w:type="dxa"/>
          <w:tblCellMar>
            <w:left w:w="70" w:type="dxa"/>
            <w:right w:w="70" w:type="dxa"/>
          </w:tblCellMar>
        </w:tblPrEx>
        <w:trPr>
          <w:trHeight w:val="330"/>
          <w:jc w:val="center"/>
        </w:trPr>
        <w:tc>
          <w:tcPr>
            <w:tcW w:w="3425" w:type="dxa"/>
            <w:tcBorders>
              <w:top w:val="nil"/>
              <w:left w:val="single" w:sz="4" w:space="0" w:color="auto"/>
              <w:bottom w:val="single" w:sz="4" w:space="0" w:color="auto"/>
              <w:right w:val="single" w:sz="4" w:space="0" w:color="auto"/>
            </w:tcBorders>
            <w:noWrap/>
            <w:textDirection w:val="lrTb"/>
            <w:vAlign w:val="bottom"/>
          </w:tcPr>
          <w:p w:rsidR="001C4C5A" w:rsidRPr="001C4C5A" w:rsidP="005A4E8D">
            <w:pPr>
              <w:bidi w:val="0"/>
              <w:rPr>
                <w:rFonts w:ascii="Times New Roman" w:hAnsi="Times New Roman"/>
                <w:b/>
                <w:bCs/>
                <w:color w:val="000000"/>
                <w:sz w:val="20"/>
                <w:szCs w:val="20"/>
              </w:rPr>
            </w:pPr>
            <w:r w:rsidRPr="001C4C5A">
              <w:rPr>
                <w:rFonts w:ascii="Times New Roman" w:hAnsi="Times New Roman"/>
                <w:b/>
                <w:bCs/>
                <w:color w:val="000000"/>
                <w:sz w:val="20"/>
                <w:szCs w:val="20"/>
              </w:rPr>
              <w:t>Výdavky spolu podľa ESA 95</w:t>
            </w:r>
          </w:p>
        </w:tc>
        <w:tc>
          <w:tcPr>
            <w:tcW w:w="1430" w:type="dxa"/>
            <w:tcBorders>
              <w:top w:val="nil"/>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26 801 411</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26 985 000</w:t>
            </w:r>
          </w:p>
        </w:tc>
        <w:tc>
          <w:tcPr>
            <w:tcW w:w="1320" w:type="dxa"/>
            <w:tcBorders>
              <w:top w:val="nil"/>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183 589</w:t>
            </w:r>
          </w:p>
        </w:tc>
      </w:tr>
      <w:tr>
        <w:tblPrEx>
          <w:tblW w:w="7605" w:type="dxa"/>
          <w:jc w:val="center"/>
          <w:tblInd w:w="-68" w:type="dxa"/>
          <w:tblCellMar>
            <w:left w:w="70" w:type="dxa"/>
            <w:right w:w="70" w:type="dxa"/>
          </w:tblCellMar>
        </w:tblPrEx>
        <w:trPr>
          <w:trHeight w:val="330"/>
          <w:jc w:val="center"/>
        </w:trPr>
        <w:tc>
          <w:tcPr>
            <w:tcW w:w="3425" w:type="dxa"/>
            <w:tcBorders>
              <w:top w:val="nil"/>
              <w:left w:val="single" w:sz="4" w:space="0" w:color="auto"/>
              <w:bottom w:val="single" w:sz="4" w:space="0" w:color="auto"/>
              <w:right w:val="single" w:sz="4" w:space="0" w:color="auto"/>
            </w:tcBorders>
            <w:noWrap/>
            <w:textDirection w:val="lrTb"/>
            <w:vAlign w:val="bottom"/>
          </w:tcPr>
          <w:p w:rsidR="001C4C5A" w:rsidRPr="004A0ACE" w:rsidP="005A4E8D">
            <w:pPr>
              <w:bidi w:val="0"/>
              <w:rPr>
                <w:rFonts w:ascii="Times New Roman" w:hAnsi="Times New Roman"/>
                <w:i/>
                <w:color w:val="000000"/>
                <w:sz w:val="20"/>
                <w:szCs w:val="20"/>
              </w:rPr>
            </w:pPr>
            <w:r w:rsidRPr="004A0ACE" w:rsidR="004A0ACE">
              <w:rPr>
                <w:rFonts w:ascii="Times New Roman" w:hAnsi="Times New Roman"/>
                <w:color w:val="000000"/>
                <w:sz w:val="20"/>
                <w:szCs w:val="20"/>
              </w:rPr>
              <w:t xml:space="preserve">z </w:t>
            </w:r>
            <w:r w:rsidRPr="004A0ACE">
              <w:rPr>
                <w:rFonts w:ascii="Times New Roman" w:hAnsi="Times New Roman"/>
                <w:color w:val="000000"/>
                <w:sz w:val="20"/>
                <w:szCs w:val="20"/>
              </w:rPr>
              <w:t>toho</w:t>
            </w:r>
            <w:r w:rsidRPr="004A0ACE">
              <w:rPr>
                <w:rFonts w:ascii="Times New Roman" w:hAnsi="Times New Roman"/>
                <w:i/>
                <w:color w:val="000000"/>
                <w:sz w:val="20"/>
                <w:szCs w:val="20"/>
              </w:rPr>
              <w:t>: bežné</w:t>
            </w:r>
          </w:p>
        </w:tc>
        <w:tc>
          <w:tcPr>
            <w:tcW w:w="143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Pr="004A0ACE">
              <w:rPr>
                <w:rFonts w:ascii="Times New Roman" w:hAnsi="Times New Roman"/>
                <w:i/>
                <w:color w:val="000000"/>
                <w:sz w:val="20"/>
                <w:szCs w:val="20"/>
              </w:rPr>
              <w:t>2</w:t>
            </w:r>
            <w:r w:rsidR="009E3362">
              <w:rPr>
                <w:rFonts w:ascii="Times New Roman" w:hAnsi="Times New Roman"/>
                <w:i/>
                <w:color w:val="000000"/>
                <w:sz w:val="20"/>
                <w:szCs w:val="20"/>
              </w:rPr>
              <w:t>2</w:t>
            </w:r>
            <w:r w:rsidRPr="004A0ACE">
              <w:rPr>
                <w:rFonts w:ascii="Times New Roman" w:hAnsi="Times New Roman"/>
                <w:i/>
                <w:color w:val="000000"/>
                <w:sz w:val="20"/>
                <w:szCs w:val="20"/>
              </w:rPr>
              <w:t xml:space="preserve"> </w:t>
            </w:r>
            <w:r w:rsidR="009E3362">
              <w:rPr>
                <w:rFonts w:ascii="Times New Roman" w:hAnsi="Times New Roman"/>
                <w:i/>
                <w:color w:val="000000"/>
                <w:sz w:val="20"/>
                <w:szCs w:val="20"/>
              </w:rPr>
              <w:t>947</w:t>
            </w:r>
            <w:r w:rsidRPr="004A0ACE">
              <w:rPr>
                <w:rFonts w:ascii="Times New Roman" w:hAnsi="Times New Roman"/>
                <w:i/>
                <w:color w:val="000000"/>
                <w:sz w:val="20"/>
                <w:szCs w:val="20"/>
              </w:rPr>
              <w:t xml:space="preserve"> </w:t>
            </w:r>
            <w:r w:rsidR="009E3362">
              <w:rPr>
                <w:rFonts w:ascii="Times New Roman" w:hAnsi="Times New Roman"/>
                <w:i/>
                <w:color w:val="000000"/>
                <w:sz w:val="20"/>
                <w:szCs w:val="20"/>
              </w:rPr>
              <w:t>542</w:t>
            </w:r>
          </w:p>
        </w:tc>
        <w:tc>
          <w:tcPr>
            <w:tcW w:w="1430" w:type="dxa"/>
            <w:tcBorders>
              <w:top w:val="single" w:sz="4" w:space="0" w:color="auto"/>
              <w:left w:val="nil"/>
              <w:bottom w:val="single" w:sz="4" w:space="0" w:color="auto"/>
              <w:right w:val="single" w:sz="4" w:space="0" w:color="auto"/>
            </w:tcBorders>
            <w:shd w:val="clear" w:color="auto" w:fill="D9D9D9"/>
            <w:noWrap/>
            <w:textDirection w:val="lrTb"/>
            <w:vAlign w:val="bottom"/>
          </w:tcPr>
          <w:p w:rsidR="001C4C5A" w:rsidRPr="004A0ACE" w:rsidP="005A4E8D">
            <w:pPr>
              <w:bidi w:val="0"/>
              <w:jc w:val="right"/>
              <w:rPr>
                <w:rFonts w:ascii="Times New Roman" w:hAnsi="Times New Roman"/>
                <w:i/>
                <w:color w:val="000000"/>
                <w:sz w:val="20"/>
                <w:szCs w:val="20"/>
              </w:rPr>
            </w:pPr>
            <w:r w:rsidR="000C46B9">
              <w:rPr>
                <w:rFonts w:ascii="Times New Roman" w:hAnsi="Times New Roman"/>
                <w:i/>
                <w:color w:val="000000"/>
                <w:sz w:val="20"/>
                <w:szCs w:val="20"/>
              </w:rPr>
              <w:t>2</w:t>
            </w:r>
            <w:r w:rsidR="009E3362">
              <w:rPr>
                <w:rFonts w:ascii="Times New Roman" w:hAnsi="Times New Roman"/>
                <w:i/>
                <w:color w:val="000000"/>
                <w:sz w:val="20"/>
                <w:szCs w:val="20"/>
              </w:rPr>
              <w:t>4 224 174</w:t>
            </w:r>
          </w:p>
        </w:tc>
        <w:tc>
          <w:tcPr>
            <w:tcW w:w="1320" w:type="dxa"/>
            <w:tcBorders>
              <w:top w:val="nil"/>
              <w:left w:val="nil"/>
              <w:bottom w:val="single" w:sz="4"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009E3362">
              <w:rPr>
                <w:rFonts w:ascii="Times New Roman" w:hAnsi="Times New Roman"/>
                <w:i/>
                <w:color w:val="000000"/>
                <w:sz w:val="20"/>
                <w:szCs w:val="20"/>
              </w:rPr>
              <w:t>1 276 632</w:t>
            </w:r>
          </w:p>
        </w:tc>
      </w:tr>
      <w:tr>
        <w:tblPrEx>
          <w:tblW w:w="7605" w:type="dxa"/>
          <w:jc w:val="center"/>
          <w:tblInd w:w="-68" w:type="dxa"/>
          <w:tblCellMar>
            <w:left w:w="70" w:type="dxa"/>
            <w:right w:w="70" w:type="dxa"/>
          </w:tblCellMar>
        </w:tblPrEx>
        <w:trPr>
          <w:trHeight w:val="330"/>
          <w:jc w:val="center"/>
        </w:trPr>
        <w:tc>
          <w:tcPr>
            <w:tcW w:w="3425" w:type="dxa"/>
            <w:tcBorders>
              <w:top w:val="single" w:sz="4" w:space="0" w:color="auto"/>
              <w:left w:val="single" w:sz="4" w:space="0" w:color="auto"/>
              <w:bottom w:val="double" w:sz="6" w:space="0" w:color="auto"/>
              <w:right w:val="single" w:sz="4" w:space="0" w:color="auto"/>
            </w:tcBorders>
            <w:noWrap/>
            <w:textDirection w:val="lrTb"/>
            <w:vAlign w:val="bottom"/>
          </w:tcPr>
          <w:p w:rsidR="001C4C5A" w:rsidRPr="004A0ACE" w:rsidP="005A4E8D">
            <w:pPr>
              <w:bidi w:val="0"/>
              <w:rPr>
                <w:rFonts w:ascii="Times New Roman" w:hAnsi="Times New Roman"/>
                <w:i/>
                <w:color w:val="000000"/>
                <w:sz w:val="20"/>
                <w:szCs w:val="20"/>
              </w:rPr>
            </w:pPr>
            <w:r w:rsidR="005A4E8D">
              <w:rPr>
                <w:rFonts w:ascii="Times New Roman" w:hAnsi="Times New Roman"/>
                <w:i/>
                <w:color w:val="000000"/>
                <w:sz w:val="20"/>
                <w:szCs w:val="20"/>
              </w:rPr>
              <w:t xml:space="preserve">            </w:t>
            </w:r>
            <w:r w:rsidRPr="004A0ACE">
              <w:rPr>
                <w:rFonts w:ascii="Times New Roman" w:hAnsi="Times New Roman"/>
                <w:i/>
                <w:color w:val="000000"/>
                <w:sz w:val="20"/>
                <w:szCs w:val="20"/>
              </w:rPr>
              <w:t>kapitálové</w:t>
            </w:r>
          </w:p>
        </w:tc>
        <w:tc>
          <w:tcPr>
            <w:tcW w:w="1430" w:type="dxa"/>
            <w:tcBorders>
              <w:top w:val="single" w:sz="4" w:space="0" w:color="auto"/>
              <w:left w:val="nil"/>
              <w:bottom w:val="double" w:sz="6"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009E3362">
              <w:rPr>
                <w:rFonts w:ascii="Times New Roman" w:hAnsi="Times New Roman"/>
                <w:i/>
                <w:color w:val="000000"/>
                <w:sz w:val="20"/>
                <w:szCs w:val="20"/>
              </w:rPr>
              <w:t>3 853 869</w:t>
            </w:r>
          </w:p>
        </w:tc>
        <w:tc>
          <w:tcPr>
            <w:tcW w:w="1430" w:type="dxa"/>
            <w:tcBorders>
              <w:top w:val="single" w:sz="4" w:space="0" w:color="auto"/>
              <w:left w:val="nil"/>
              <w:bottom w:val="double" w:sz="6" w:space="0" w:color="auto"/>
              <w:right w:val="single" w:sz="4" w:space="0" w:color="auto"/>
            </w:tcBorders>
            <w:shd w:val="clear" w:color="auto" w:fill="D9D9D9"/>
            <w:noWrap/>
            <w:textDirection w:val="lrTb"/>
            <w:vAlign w:val="bottom"/>
          </w:tcPr>
          <w:p w:rsidR="001C4C5A" w:rsidRPr="004A0ACE" w:rsidP="005A4E8D">
            <w:pPr>
              <w:bidi w:val="0"/>
              <w:jc w:val="right"/>
              <w:rPr>
                <w:rFonts w:ascii="Times New Roman" w:hAnsi="Times New Roman"/>
                <w:i/>
                <w:color w:val="000000"/>
                <w:sz w:val="20"/>
                <w:szCs w:val="20"/>
              </w:rPr>
            </w:pPr>
            <w:r w:rsidR="009E3362">
              <w:rPr>
                <w:rFonts w:ascii="Times New Roman" w:hAnsi="Times New Roman"/>
                <w:i/>
                <w:color w:val="000000"/>
                <w:sz w:val="20"/>
                <w:szCs w:val="20"/>
              </w:rPr>
              <w:t>2 760 826</w:t>
            </w:r>
          </w:p>
        </w:tc>
        <w:tc>
          <w:tcPr>
            <w:tcW w:w="1320" w:type="dxa"/>
            <w:tcBorders>
              <w:top w:val="single" w:sz="4" w:space="0" w:color="auto"/>
              <w:left w:val="nil"/>
              <w:bottom w:val="double" w:sz="6" w:space="0" w:color="auto"/>
              <w:right w:val="single" w:sz="4" w:space="0" w:color="auto"/>
            </w:tcBorders>
            <w:noWrap/>
            <w:textDirection w:val="lrTb"/>
            <w:vAlign w:val="bottom"/>
          </w:tcPr>
          <w:p w:rsidR="001C4C5A" w:rsidRPr="004A0ACE" w:rsidP="005A4E8D">
            <w:pPr>
              <w:bidi w:val="0"/>
              <w:jc w:val="right"/>
              <w:rPr>
                <w:rFonts w:ascii="Times New Roman" w:hAnsi="Times New Roman"/>
                <w:i/>
                <w:color w:val="000000"/>
                <w:sz w:val="20"/>
                <w:szCs w:val="20"/>
              </w:rPr>
            </w:pPr>
            <w:r w:rsidR="009E3362">
              <w:rPr>
                <w:rFonts w:ascii="Times New Roman" w:hAnsi="Times New Roman"/>
                <w:i/>
                <w:color w:val="000000"/>
                <w:sz w:val="20"/>
                <w:szCs w:val="20"/>
              </w:rPr>
              <w:t>-1 093 043</w:t>
            </w:r>
          </w:p>
        </w:tc>
      </w:tr>
      <w:tr>
        <w:tblPrEx>
          <w:tblW w:w="7605" w:type="dxa"/>
          <w:jc w:val="center"/>
          <w:tblInd w:w="-68" w:type="dxa"/>
          <w:tblCellMar>
            <w:left w:w="70" w:type="dxa"/>
            <w:right w:w="70" w:type="dxa"/>
          </w:tblCellMar>
        </w:tblPrEx>
        <w:trPr>
          <w:trHeight w:val="330"/>
          <w:jc w:val="center"/>
        </w:trPr>
        <w:tc>
          <w:tcPr>
            <w:tcW w:w="3425" w:type="dxa"/>
            <w:tcBorders>
              <w:top w:val="double" w:sz="6" w:space="0" w:color="auto"/>
              <w:left w:val="single" w:sz="4" w:space="0" w:color="auto"/>
              <w:bottom w:val="single" w:sz="4" w:space="0" w:color="auto"/>
              <w:right w:val="single" w:sz="4" w:space="0" w:color="auto"/>
            </w:tcBorders>
            <w:noWrap/>
            <w:textDirection w:val="lrTb"/>
            <w:vAlign w:val="bottom"/>
          </w:tcPr>
          <w:p w:rsidR="001C4C5A" w:rsidRPr="001C4C5A" w:rsidP="005A4E8D">
            <w:pPr>
              <w:bidi w:val="0"/>
              <w:rPr>
                <w:rFonts w:ascii="Times New Roman" w:hAnsi="Times New Roman"/>
                <w:b/>
                <w:bCs/>
                <w:color w:val="000000"/>
                <w:sz w:val="20"/>
                <w:szCs w:val="20"/>
              </w:rPr>
            </w:pPr>
            <w:r w:rsidRPr="001C4C5A">
              <w:rPr>
                <w:rFonts w:ascii="Times New Roman" w:hAnsi="Times New Roman"/>
                <w:b/>
                <w:bCs/>
                <w:color w:val="000000"/>
                <w:sz w:val="20"/>
                <w:szCs w:val="20"/>
              </w:rPr>
              <w:t>Schodok podľa ESA 95</w:t>
            </w:r>
          </w:p>
        </w:tc>
        <w:tc>
          <w:tcPr>
            <w:tcW w:w="1430" w:type="dxa"/>
            <w:tcBorders>
              <w:top w:val="double" w:sz="6" w:space="0" w:color="auto"/>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-3 448 934</w:t>
            </w:r>
          </w:p>
        </w:tc>
        <w:tc>
          <w:tcPr>
            <w:tcW w:w="1430" w:type="dxa"/>
            <w:tcBorders>
              <w:top w:val="double" w:sz="6" w:space="0" w:color="auto"/>
              <w:left w:val="nil"/>
              <w:bottom w:val="single" w:sz="4" w:space="0" w:color="auto"/>
              <w:right w:val="single" w:sz="4" w:space="0" w:color="auto"/>
            </w:tcBorders>
            <w:shd w:val="clear" w:color="auto" w:fill="D9D9D9"/>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-3 326 566</w:t>
            </w:r>
          </w:p>
        </w:tc>
        <w:tc>
          <w:tcPr>
            <w:tcW w:w="1320" w:type="dxa"/>
            <w:tcBorders>
              <w:top w:val="double" w:sz="6" w:space="0" w:color="auto"/>
              <w:left w:val="nil"/>
              <w:bottom w:val="single" w:sz="4" w:space="0" w:color="auto"/>
              <w:right w:val="single" w:sz="4" w:space="0" w:color="auto"/>
            </w:tcBorders>
            <w:noWrap/>
            <w:textDirection w:val="lrTb"/>
            <w:vAlign w:val="bottom"/>
          </w:tcPr>
          <w:p w:rsidR="001C4C5A" w:rsidRPr="001C4C5A" w:rsidP="005A4E8D">
            <w:pPr>
              <w:bidi w:val="0"/>
              <w:jc w:val="right"/>
              <w:rPr>
                <w:rFonts w:ascii="Times New Roman" w:hAnsi="Times New Roman"/>
                <w:b/>
                <w:bCs/>
                <w:color w:val="000000"/>
                <w:sz w:val="20"/>
                <w:szCs w:val="20"/>
              </w:rPr>
            </w:pPr>
            <w:r w:rsidRPr="001C4C5A">
              <w:rPr>
                <w:rFonts w:ascii="Times New Roman" w:hAnsi="Times New Roman"/>
                <w:b/>
                <w:bCs/>
                <w:color w:val="000000"/>
                <w:sz w:val="20"/>
                <w:szCs w:val="20"/>
              </w:rPr>
              <w:t>122 368</w:t>
            </w:r>
          </w:p>
        </w:tc>
      </w:tr>
    </w:tbl>
    <w:p w:rsidR="0031383C" w:rsidRPr="00AD26BC" w:rsidP="0031383C">
      <w:pPr>
        <w:bidi w:val="0"/>
        <w:spacing w:before="120" w:after="120" w:line="360" w:lineRule="auto"/>
        <w:ind w:left="993"/>
        <w:jc w:val="both"/>
        <w:rPr>
          <w:rFonts w:ascii="Times New Roman" w:hAnsi="Times New Roman"/>
          <w:sz w:val="20"/>
          <w:szCs w:val="20"/>
        </w:rPr>
      </w:pPr>
      <w:r w:rsidRPr="00AD26BC">
        <w:rPr>
          <w:rFonts w:ascii="Times New Roman" w:hAnsi="Times New Roman"/>
          <w:sz w:val="20"/>
          <w:szCs w:val="20"/>
        </w:rPr>
        <w:t>Zdroj: Ministerstvo financií SR</w:t>
      </w:r>
    </w:p>
    <w:p w:rsidR="001C4C5A" w:rsidP="00491E04">
      <w:pPr>
        <w:bidi w:val="0"/>
        <w:spacing w:before="120" w:after="120" w:line="360" w:lineRule="auto"/>
        <w:jc w:val="both"/>
        <w:rPr>
          <w:rFonts w:ascii="Times New Roman" w:hAnsi="Times New Roman"/>
        </w:rPr>
      </w:pPr>
      <w:r>
        <w:rPr>
          <w:rFonts w:ascii="Times New Roman" w:hAnsi="Times New Roman"/>
        </w:rPr>
        <w:t xml:space="preserve">Pozitívny výsledok plnenia rozpočtu celej verejnej správy v roku 2011 bol </w:t>
      </w:r>
      <w:r w:rsidR="006A57AC">
        <w:rPr>
          <w:rFonts w:ascii="Times New Roman" w:hAnsi="Times New Roman"/>
        </w:rPr>
        <w:t>dosiahnut</w:t>
      </w:r>
      <w:r>
        <w:rPr>
          <w:rFonts w:ascii="Times New Roman" w:hAnsi="Times New Roman"/>
        </w:rPr>
        <w:t xml:space="preserve">ý predovšetkým pozitívnym plnením rozpočtu kvantitatívne rozhodujúcich </w:t>
      </w:r>
      <w:r w:rsidR="0022337B">
        <w:rPr>
          <w:rFonts w:ascii="Times New Roman" w:hAnsi="Times New Roman"/>
        </w:rPr>
        <w:t>subjektov</w:t>
      </w:r>
      <w:r>
        <w:rPr>
          <w:rFonts w:ascii="Times New Roman" w:hAnsi="Times New Roman"/>
        </w:rPr>
        <w:t xml:space="preserve"> verejnej správy. </w:t>
      </w:r>
      <w:r w:rsidR="00F75FF3">
        <w:rPr>
          <w:rFonts w:ascii="Times New Roman" w:hAnsi="Times New Roman"/>
        </w:rPr>
        <w:t>V</w:t>
      </w:r>
      <w:r>
        <w:rPr>
          <w:rFonts w:ascii="Times New Roman" w:hAnsi="Times New Roman"/>
        </w:rPr>
        <w:t> nasledujúc</w:t>
      </w:r>
      <w:r w:rsidR="00F75FF3">
        <w:rPr>
          <w:rFonts w:ascii="Times New Roman" w:hAnsi="Times New Roman"/>
        </w:rPr>
        <w:t>om</w:t>
      </w:r>
      <w:r>
        <w:rPr>
          <w:rFonts w:ascii="Times New Roman" w:hAnsi="Times New Roman"/>
        </w:rPr>
        <w:t xml:space="preserve"> prehľad</w:t>
      </w:r>
      <w:r w:rsidR="00F75FF3">
        <w:rPr>
          <w:rFonts w:ascii="Times New Roman" w:hAnsi="Times New Roman"/>
        </w:rPr>
        <w:t>e</w:t>
      </w:r>
      <w:r>
        <w:rPr>
          <w:rFonts w:ascii="Times New Roman" w:hAnsi="Times New Roman"/>
        </w:rPr>
        <w:t xml:space="preserve"> sú uvedené rozdiely medzi dosiahnutou skutočnosťou a rozpočtom. </w:t>
      </w:r>
    </w:p>
    <w:tbl>
      <w:tblPr>
        <w:tblStyle w:val="TableNormal"/>
        <w:tblW w:w="8800" w:type="dxa"/>
        <w:jc w:val="center"/>
        <w:tblInd w:w="-237" w:type="dxa"/>
        <w:tblCellMar>
          <w:left w:w="70" w:type="dxa"/>
          <w:right w:w="70" w:type="dxa"/>
        </w:tblCellMar>
        <w:tblLook w:val="04A0"/>
      </w:tblPr>
      <w:tblGrid>
        <w:gridCol w:w="2472"/>
        <w:gridCol w:w="1074"/>
        <w:gridCol w:w="1068"/>
        <w:gridCol w:w="987"/>
        <w:gridCol w:w="1001"/>
        <w:gridCol w:w="1134"/>
        <w:gridCol w:w="1064"/>
      </w:tblGrid>
      <w:tr>
        <w:tblPrEx>
          <w:tblW w:w="8800" w:type="dxa"/>
          <w:jc w:val="center"/>
          <w:tblInd w:w="-237" w:type="dxa"/>
          <w:tblCellMar>
            <w:left w:w="70" w:type="dxa"/>
            <w:right w:w="70" w:type="dxa"/>
          </w:tblCellMar>
          <w:tblLook w:val="04A0"/>
        </w:tblPrEx>
        <w:trPr>
          <w:trHeight w:val="330"/>
          <w:jc w:val="center"/>
        </w:trPr>
        <w:tc>
          <w:tcPr>
            <w:tcW w:w="2472" w:type="dxa"/>
            <w:vMerge w:val="restart"/>
            <w:tcBorders>
              <w:top w:val="single" w:sz="4" w:space="0" w:color="FFFFFF"/>
              <w:left w:val="single" w:sz="4" w:space="0" w:color="FFFFFF"/>
              <w:bottom w:val="none" w:sz="0" w:space="0" w:color="auto"/>
              <w:right w:val="single" w:sz="4" w:space="0" w:color="FFFFFF"/>
            </w:tcBorders>
            <w:shd w:val="clear" w:color="auto" w:fill="000000"/>
            <w:noWrap/>
            <w:textDirection w:val="lrTb"/>
            <w:vAlign w:val="center"/>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Položka</w:t>
            </w:r>
          </w:p>
          <w:p w:rsidR="000637A7" w:rsidRPr="00D5523C" w:rsidP="00296E4F">
            <w:pPr>
              <w:bidi w:val="0"/>
              <w:rPr>
                <w:rFonts w:ascii="Times New Roman" w:hAnsi="Times New Roman"/>
                <w:b/>
                <w:color w:val="FFFFFF"/>
                <w:sz w:val="20"/>
                <w:szCs w:val="20"/>
              </w:rPr>
            </w:pPr>
            <w:r w:rsidRPr="00D5523C">
              <w:rPr>
                <w:rFonts w:ascii="Times New Roman" w:hAnsi="Times New Roman"/>
                <w:b/>
                <w:color w:val="FFFFFF"/>
                <w:sz w:val="20"/>
                <w:szCs w:val="20"/>
              </w:rPr>
              <w:t>(v tis. eur)</w:t>
            </w:r>
          </w:p>
        </w:tc>
        <w:tc>
          <w:tcPr>
            <w:tcW w:w="6328" w:type="dxa"/>
            <w:gridSpan w:val="6"/>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0637A7" w:rsidRPr="00D5523C" w:rsidP="0031383C">
            <w:pPr>
              <w:bidi w:val="0"/>
              <w:jc w:val="center"/>
              <w:rPr>
                <w:rFonts w:ascii="Times New Roman" w:hAnsi="Times New Roman"/>
                <w:b/>
                <w:color w:val="FFFFFF"/>
                <w:sz w:val="20"/>
                <w:szCs w:val="20"/>
              </w:rPr>
            </w:pPr>
            <w:r>
              <w:rPr>
                <w:rFonts w:ascii="Times New Roman" w:hAnsi="Times New Roman"/>
                <w:b/>
                <w:color w:val="FFFFFF"/>
                <w:sz w:val="20"/>
                <w:szCs w:val="20"/>
              </w:rPr>
              <w:t>Rozdiel medzi skutočnosťou a rozpočtom</w:t>
            </w:r>
          </w:p>
        </w:tc>
      </w:tr>
      <w:tr>
        <w:tblPrEx>
          <w:tblW w:w="8800" w:type="dxa"/>
          <w:jc w:val="center"/>
          <w:tblInd w:w="-237" w:type="dxa"/>
          <w:tblCellMar>
            <w:left w:w="70" w:type="dxa"/>
            <w:right w:w="70" w:type="dxa"/>
          </w:tblCellMar>
          <w:tblLook w:val="04A0"/>
        </w:tblPrEx>
        <w:trPr>
          <w:trHeight w:val="690"/>
          <w:jc w:val="center"/>
        </w:trPr>
        <w:tc>
          <w:tcPr>
            <w:tcW w:w="2472" w:type="dxa"/>
            <w:vMerge/>
            <w:tcBorders>
              <w:top w:val="none" w:sz="0" w:space="0" w:color="auto"/>
              <w:left w:val="single" w:sz="4" w:space="0" w:color="FFFFFF"/>
              <w:bottom w:val="single" w:sz="4" w:space="0" w:color="FFFFFF"/>
              <w:right w:val="single" w:sz="4" w:space="0" w:color="FFFFFF"/>
            </w:tcBorders>
            <w:shd w:val="clear" w:color="auto" w:fill="000000"/>
            <w:noWrap/>
            <w:textDirection w:val="lrTb"/>
            <w:vAlign w:val="center"/>
            <w:hideMark/>
          </w:tcPr>
          <w:p w:rsidR="000637A7" w:rsidRPr="00D5523C" w:rsidP="0031383C">
            <w:pPr>
              <w:bidi w:val="0"/>
              <w:rPr>
                <w:rFonts w:ascii="Times New Roman" w:hAnsi="Times New Roman"/>
                <w:b/>
                <w:color w:val="FFFFFF"/>
                <w:sz w:val="20"/>
                <w:szCs w:val="20"/>
              </w:rPr>
            </w:pPr>
          </w:p>
        </w:tc>
        <w:tc>
          <w:tcPr>
            <w:tcW w:w="107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Štátny rozpočet</w:t>
            </w:r>
          </w:p>
        </w:tc>
        <w:tc>
          <w:tcPr>
            <w:tcW w:w="106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Vyššie úz</w:t>
            </w:r>
            <w:r>
              <w:rPr>
                <w:rFonts w:ascii="Times New Roman" w:hAnsi="Times New Roman"/>
                <w:b/>
                <w:color w:val="FFFFFF"/>
                <w:sz w:val="20"/>
                <w:szCs w:val="20"/>
              </w:rPr>
              <w:t>emné</w:t>
            </w:r>
            <w:r w:rsidRPr="00D5523C">
              <w:rPr>
                <w:rFonts w:ascii="Times New Roman" w:hAnsi="Times New Roman"/>
                <w:b/>
                <w:color w:val="FFFFFF"/>
                <w:sz w:val="20"/>
                <w:szCs w:val="20"/>
              </w:rPr>
              <w:t>. celky</w:t>
            </w:r>
          </w:p>
        </w:tc>
        <w:tc>
          <w:tcPr>
            <w:tcW w:w="987"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Obce</w:t>
            </w:r>
          </w:p>
        </w:tc>
        <w:tc>
          <w:tcPr>
            <w:tcW w:w="1001"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Sociálna poisťovňa</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Ver. zdr. poistenie</w:t>
            </w:r>
          </w:p>
        </w:tc>
        <w:tc>
          <w:tcPr>
            <w:tcW w:w="106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0637A7" w:rsidRPr="00D5523C" w:rsidP="0031383C">
            <w:pPr>
              <w:bidi w:val="0"/>
              <w:jc w:val="center"/>
              <w:rPr>
                <w:rFonts w:ascii="Times New Roman" w:hAnsi="Times New Roman"/>
                <w:b/>
                <w:color w:val="FFFFFF"/>
                <w:sz w:val="20"/>
                <w:szCs w:val="20"/>
              </w:rPr>
            </w:pPr>
            <w:r w:rsidRPr="00D5523C">
              <w:rPr>
                <w:rFonts w:ascii="Times New Roman" w:hAnsi="Times New Roman"/>
                <w:b/>
                <w:color w:val="FFFFFF"/>
                <w:sz w:val="20"/>
                <w:szCs w:val="20"/>
              </w:rPr>
              <w:t>Ostatné</w:t>
            </w:r>
            <w:r>
              <w:rPr>
                <w:rFonts w:ascii="Times New Roman" w:hAnsi="Times New Roman"/>
                <w:b/>
                <w:color w:val="FFFFFF"/>
                <w:sz w:val="20"/>
                <w:szCs w:val="20"/>
              </w:rPr>
              <w:t xml:space="preserve"> subjekty</w:t>
            </w:r>
          </w:p>
        </w:tc>
      </w:tr>
      <w:tr>
        <w:tblPrEx>
          <w:tblW w:w="8800" w:type="dxa"/>
          <w:jc w:val="center"/>
          <w:tblInd w:w="-237" w:type="dxa"/>
          <w:tblCellMar>
            <w:left w:w="70" w:type="dxa"/>
            <w:right w:w="70" w:type="dxa"/>
          </w:tblCellMar>
          <w:tblLook w:val="04A0"/>
        </w:tblPrEx>
        <w:trPr>
          <w:trHeight w:val="330"/>
          <w:jc w:val="center"/>
        </w:trPr>
        <w:tc>
          <w:tcPr>
            <w:tcW w:w="2472" w:type="dxa"/>
            <w:tcBorders>
              <w:top w:val="single" w:sz="4" w:space="0" w:color="FFFFFF"/>
              <w:left w:val="single" w:sz="4" w:space="0" w:color="auto"/>
              <w:bottom w:val="single" w:sz="4" w:space="0" w:color="auto"/>
              <w:right w:val="single" w:sz="4" w:space="0" w:color="auto"/>
            </w:tcBorders>
            <w:noWrap/>
            <w:textDirection w:val="lrTb"/>
            <w:vAlign w:val="bottom"/>
            <w:hideMark/>
          </w:tcPr>
          <w:p w:rsidR="001C4C5A" w:rsidRPr="001C4C5A" w:rsidP="000637A7">
            <w:pPr>
              <w:bidi w:val="0"/>
              <w:rPr>
                <w:rFonts w:ascii="Times New Roman" w:hAnsi="Times New Roman"/>
                <w:b/>
                <w:color w:val="000000"/>
                <w:sz w:val="20"/>
                <w:szCs w:val="20"/>
              </w:rPr>
            </w:pPr>
            <w:r w:rsidR="000637A7">
              <w:rPr>
                <w:rFonts w:ascii="Times New Roman" w:hAnsi="Times New Roman"/>
                <w:b/>
                <w:color w:val="000000"/>
                <w:sz w:val="20"/>
                <w:szCs w:val="20"/>
              </w:rPr>
              <w:t>Príjmy spolu</w:t>
            </w:r>
          </w:p>
        </w:tc>
        <w:tc>
          <w:tcPr>
            <w:tcW w:w="1074"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-1 094 506</w:t>
            </w:r>
          </w:p>
        </w:tc>
        <w:tc>
          <w:tcPr>
            <w:tcW w:w="1068"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58 191</w:t>
            </w:r>
          </w:p>
        </w:tc>
        <w:tc>
          <w:tcPr>
            <w:tcW w:w="987"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-33 856</w:t>
            </w:r>
          </w:p>
        </w:tc>
        <w:tc>
          <w:tcPr>
            <w:tcW w:w="1001"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-43 069</w:t>
            </w:r>
          </w:p>
        </w:tc>
        <w:tc>
          <w:tcPr>
            <w:tcW w:w="1134"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1 987</w:t>
            </w:r>
          </w:p>
        </w:tc>
        <w:tc>
          <w:tcPr>
            <w:tcW w:w="1064" w:type="dxa"/>
            <w:tcBorders>
              <w:top w:val="single" w:sz="4" w:space="0" w:color="FFFFFF"/>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227 313</w:t>
            </w:r>
          </w:p>
        </w:tc>
      </w:tr>
      <w:tr>
        <w:tblPrEx>
          <w:tblW w:w="8800" w:type="dxa"/>
          <w:jc w:val="center"/>
          <w:tblInd w:w="-237" w:type="dxa"/>
          <w:tblCellMar>
            <w:left w:w="70" w:type="dxa"/>
            <w:right w:w="70" w:type="dxa"/>
          </w:tblCellMar>
          <w:tblLook w:val="04A0"/>
        </w:tblPrEx>
        <w:trPr>
          <w:trHeight w:val="330"/>
          <w:jc w:val="center"/>
        </w:trPr>
        <w:tc>
          <w:tcPr>
            <w:tcW w:w="2472" w:type="dxa"/>
            <w:tcBorders>
              <w:top w:val="nil"/>
              <w:left w:val="single" w:sz="4" w:space="0" w:color="auto"/>
              <w:bottom w:val="single" w:sz="4" w:space="0" w:color="auto"/>
              <w:right w:val="single" w:sz="4" w:space="0" w:color="auto"/>
            </w:tcBorders>
            <w:noWrap/>
            <w:textDirection w:val="lrTb"/>
            <w:vAlign w:val="bottom"/>
            <w:hideMark/>
          </w:tcPr>
          <w:p w:rsidR="001C4C5A" w:rsidRPr="00A63281" w:rsidP="00B7497A">
            <w:pPr>
              <w:bidi w:val="0"/>
              <w:rPr>
                <w:rFonts w:ascii="Times New Roman" w:hAnsi="Times New Roman"/>
                <w:i/>
                <w:color w:val="000000"/>
                <w:sz w:val="20"/>
                <w:szCs w:val="20"/>
              </w:rPr>
            </w:pPr>
            <w:r w:rsidRPr="00A63281">
              <w:rPr>
                <w:rFonts w:ascii="Times New Roman" w:hAnsi="Times New Roman"/>
                <w:i/>
                <w:color w:val="000000"/>
                <w:sz w:val="20"/>
                <w:szCs w:val="20"/>
              </w:rPr>
              <w:t xml:space="preserve"> </w:t>
            </w:r>
            <w:r w:rsidRPr="00A63281">
              <w:rPr>
                <w:rFonts w:ascii="Times New Roman" w:hAnsi="Times New Roman"/>
                <w:color w:val="000000"/>
                <w:sz w:val="20"/>
                <w:szCs w:val="20"/>
              </w:rPr>
              <w:t>z toho</w:t>
            </w:r>
            <w:r w:rsidRPr="00A63281">
              <w:rPr>
                <w:rFonts w:ascii="Times New Roman" w:hAnsi="Times New Roman"/>
                <w:i/>
                <w:color w:val="000000"/>
                <w:sz w:val="20"/>
                <w:szCs w:val="20"/>
              </w:rPr>
              <w:t>: daňové a poistné</w:t>
            </w:r>
          </w:p>
        </w:tc>
        <w:tc>
          <w:tcPr>
            <w:tcW w:w="107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-5 020</w:t>
            </w:r>
          </w:p>
        </w:tc>
        <w:tc>
          <w:tcPr>
            <w:tcW w:w="1068"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-13 717</w:t>
            </w:r>
          </w:p>
        </w:tc>
        <w:tc>
          <w:tcPr>
            <w:tcW w:w="987"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-64 936</w:t>
            </w:r>
          </w:p>
        </w:tc>
        <w:tc>
          <w:tcPr>
            <w:tcW w:w="1001"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69 194</w:t>
            </w:r>
          </w:p>
        </w:tc>
        <w:tc>
          <w:tcPr>
            <w:tcW w:w="113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38 632</w:t>
            </w:r>
          </w:p>
        </w:tc>
        <w:tc>
          <w:tcPr>
            <w:tcW w:w="106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-1 588</w:t>
            </w:r>
          </w:p>
        </w:tc>
      </w:tr>
      <w:tr>
        <w:tblPrEx>
          <w:tblW w:w="8800" w:type="dxa"/>
          <w:jc w:val="center"/>
          <w:tblInd w:w="-237" w:type="dxa"/>
          <w:tblCellMar>
            <w:left w:w="70" w:type="dxa"/>
            <w:right w:w="70" w:type="dxa"/>
          </w:tblCellMar>
          <w:tblLook w:val="04A0"/>
        </w:tblPrEx>
        <w:trPr>
          <w:trHeight w:val="330"/>
          <w:jc w:val="center"/>
        </w:trPr>
        <w:tc>
          <w:tcPr>
            <w:tcW w:w="2472" w:type="dxa"/>
            <w:tcBorders>
              <w:top w:val="nil"/>
              <w:left w:val="single" w:sz="4" w:space="0" w:color="auto"/>
              <w:bottom w:val="single" w:sz="4" w:space="0" w:color="auto"/>
              <w:right w:val="single" w:sz="4" w:space="0" w:color="auto"/>
            </w:tcBorders>
            <w:noWrap/>
            <w:textDirection w:val="lrTb"/>
            <w:vAlign w:val="bottom"/>
            <w:hideMark/>
          </w:tcPr>
          <w:p w:rsidR="001C4C5A" w:rsidRPr="00A63281" w:rsidP="00B7497A">
            <w:pPr>
              <w:bidi w:val="0"/>
              <w:rPr>
                <w:rFonts w:ascii="Times New Roman" w:hAnsi="Times New Roman"/>
                <w:i/>
                <w:color w:val="000000"/>
                <w:sz w:val="20"/>
                <w:szCs w:val="20"/>
              </w:rPr>
            </w:pPr>
            <w:r w:rsidRPr="00A63281">
              <w:rPr>
                <w:rFonts w:ascii="Times New Roman" w:hAnsi="Times New Roman"/>
                <w:i/>
                <w:color w:val="000000"/>
                <w:sz w:val="20"/>
                <w:szCs w:val="20"/>
              </w:rPr>
              <w:t xml:space="preserve">             nedaňové</w:t>
            </w:r>
          </w:p>
        </w:tc>
        <w:tc>
          <w:tcPr>
            <w:tcW w:w="107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770 096</w:t>
            </w:r>
          </w:p>
        </w:tc>
        <w:tc>
          <w:tcPr>
            <w:tcW w:w="1068"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15 216</w:t>
            </w:r>
          </w:p>
        </w:tc>
        <w:tc>
          <w:tcPr>
            <w:tcW w:w="987"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-90 010</w:t>
            </w:r>
          </w:p>
        </w:tc>
        <w:tc>
          <w:tcPr>
            <w:tcW w:w="1001"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7 543</w:t>
            </w:r>
          </w:p>
        </w:tc>
        <w:tc>
          <w:tcPr>
            <w:tcW w:w="113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-36 607</w:t>
            </w:r>
          </w:p>
        </w:tc>
        <w:tc>
          <w:tcPr>
            <w:tcW w:w="106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-1 684</w:t>
            </w:r>
          </w:p>
        </w:tc>
      </w:tr>
      <w:tr>
        <w:tblPrEx>
          <w:tblW w:w="8800" w:type="dxa"/>
          <w:jc w:val="center"/>
          <w:tblInd w:w="-237" w:type="dxa"/>
          <w:tblCellMar>
            <w:left w:w="70" w:type="dxa"/>
            <w:right w:w="70" w:type="dxa"/>
          </w:tblCellMar>
          <w:tblLook w:val="04A0"/>
        </w:tblPrEx>
        <w:trPr>
          <w:trHeight w:val="330"/>
          <w:jc w:val="center"/>
        </w:trPr>
        <w:tc>
          <w:tcPr>
            <w:tcW w:w="2472" w:type="dxa"/>
            <w:tcBorders>
              <w:top w:val="nil"/>
              <w:left w:val="single" w:sz="4" w:space="0" w:color="auto"/>
              <w:bottom w:val="single" w:sz="4" w:space="0" w:color="auto"/>
              <w:right w:val="single" w:sz="4" w:space="0" w:color="auto"/>
            </w:tcBorders>
            <w:noWrap/>
            <w:textDirection w:val="lrTb"/>
            <w:vAlign w:val="bottom"/>
            <w:hideMark/>
          </w:tcPr>
          <w:p w:rsidR="001C4C5A" w:rsidRPr="00A63281" w:rsidP="0031383C">
            <w:pPr>
              <w:bidi w:val="0"/>
              <w:rPr>
                <w:rFonts w:ascii="Times New Roman" w:hAnsi="Times New Roman"/>
                <w:i/>
                <w:color w:val="000000"/>
                <w:sz w:val="20"/>
                <w:szCs w:val="20"/>
              </w:rPr>
            </w:pPr>
            <w:r w:rsidRPr="00A63281">
              <w:rPr>
                <w:rFonts w:ascii="Times New Roman" w:hAnsi="Times New Roman"/>
                <w:i/>
                <w:color w:val="000000"/>
                <w:sz w:val="20"/>
                <w:szCs w:val="20"/>
              </w:rPr>
              <w:t xml:space="preserve">            granty a trans</w:t>
            </w:r>
            <w:r w:rsidR="0031383C">
              <w:rPr>
                <w:rFonts w:ascii="Times New Roman" w:hAnsi="Times New Roman"/>
                <w:i/>
                <w:color w:val="000000"/>
                <w:sz w:val="20"/>
                <w:szCs w:val="20"/>
              </w:rPr>
              <w:t>fery</w:t>
            </w:r>
          </w:p>
        </w:tc>
        <w:tc>
          <w:tcPr>
            <w:tcW w:w="107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-1 859 582</w:t>
            </w:r>
          </w:p>
        </w:tc>
        <w:tc>
          <w:tcPr>
            <w:tcW w:w="1068"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56 692</w:t>
            </w:r>
          </w:p>
        </w:tc>
        <w:tc>
          <w:tcPr>
            <w:tcW w:w="987"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121 090</w:t>
            </w:r>
          </w:p>
        </w:tc>
        <w:tc>
          <w:tcPr>
            <w:tcW w:w="1001"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-119 806</w:t>
            </w:r>
          </w:p>
        </w:tc>
        <w:tc>
          <w:tcPr>
            <w:tcW w:w="113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-38</w:t>
            </w:r>
          </w:p>
        </w:tc>
        <w:tc>
          <w:tcPr>
            <w:tcW w:w="106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230 585</w:t>
            </w:r>
          </w:p>
        </w:tc>
      </w:tr>
      <w:tr>
        <w:tblPrEx>
          <w:tblW w:w="8800" w:type="dxa"/>
          <w:jc w:val="center"/>
          <w:tblInd w:w="-237" w:type="dxa"/>
          <w:tblCellMar>
            <w:left w:w="70" w:type="dxa"/>
            <w:right w:w="70" w:type="dxa"/>
          </w:tblCellMar>
          <w:tblLook w:val="04A0"/>
        </w:tblPrEx>
        <w:trPr>
          <w:trHeight w:val="330"/>
          <w:jc w:val="center"/>
        </w:trPr>
        <w:tc>
          <w:tcPr>
            <w:tcW w:w="2472" w:type="dxa"/>
            <w:tcBorders>
              <w:top w:val="nil"/>
              <w:left w:val="single" w:sz="4" w:space="0" w:color="auto"/>
              <w:bottom w:val="single" w:sz="4" w:space="0" w:color="auto"/>
              <w:right w:val="single" w:sz="4" w:space="0" w:color="auto"/>
            </w:tcBorders>
            <w:noWrap/>
            <w:textDirection w:val="lrTb"/>
            <w:vAlign w:val="bottom"/>
            <w:hideMark/>
          </w:tcPr>
          <w:p w:rsidR="001C4C5A" w:rsidRPr="001C4C5A" w:rsidP="000637A7">
            <w:pPr>
              <w:bidi w:val="0"/>
              <w:rPr>
                <w:rFonts w:ascii="Times New Roman" w:hAnsi="Times New Roman"/>
                <w:b/>
                <w:color w:val="000000"/>
                <w:sz w:val="20"/>
                <w:szCs w:val="20"/>
              </w:rPr>
            </w:pPr>
            <w:r w:rsidR="000637A7">
              <w:rPr>
                <w:rFonts w:ascii="Times New Roman" w:hAnsi="Times New Roman"/>
                <w:b/>
                <w:color w:val="000000"/>
                <w:sz w:val="20"/>
                <w:szCs w:val="20"/>
              </w:rPr>
              <w:t>Výdavky spolu</w:t>
            </w:r>
          </w:p>
        </w:tc>
        <w:tc>
          <w:tcPr>
            <w:tcW w:w="1074"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-1 272 965</w:t>
            </w:r>
          </w:p>
        </w:tc>
        <w:tc>
          <w:tcPr>
            <w:tcW w:w="1068"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3 948</w:t>
            </w:r>
          </w:p>
        </w:tc>
        <w:tc>
          <w:tcPr>
            <w:tcW w:w="987"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-141 244</w:t>
            </w:r>
          </w:p>
        </w:tc>
        <w:tc>
          <w:tcPr>
            <w:tcW w:w="1001"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-125 163</w:t>
            </w:r>
          </w:p>
        </w:tc>
        <w:tc>
          <w:tcPr>
            <w:tcW w:w="1134"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-91 041</w:t>
            </w:r>
          </w:p>
        </w:tc>
        <w:tc>
          <w:tcPr>
            <w:tcW w:w="1064" w:type="dxa"/>
            <w:tcBorders>
              <w:top w:val="nil"/>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620 157</w:t>
            </w:r>
          </w:p>
        </w:tc>
      </w:tr>
      <w:tr>
        <w:tblPrEx>
          <w:tblW w:w="8800" w:type="dxa"/>
          <w:jc w:val="center"/>
          <w:tblInd w:w="-237" w:type="dxa"/>
          <w:tblCellMar>
            <w:left w:w="70" w:type="dxa"/>
            <w:right w:w="70" w:type="dxa"/>
          </w:tblCellMar>
          <w:tblLook w:val="04A0"/>
        </w:tblPrEx>
        <w:trPr>
          <w:trHeight w:val="330"/>
          <w:jc w:val="center"/>
        </w:trPr>
        <w:tc>
          <w:tcPr>
            <w:tcW w:w="2472" w:type="dxa"/>
            <w:tcBorders>
              <w:top w:val="nil"/>
              <w:left w:val="single" w:sz="4" w:space="0" w:color="auto"/>
              <w:bottom w:val="single" w:sz="4" w:space="0" w:color="auto"/>
              <w:right w:val="single" w:sz="4" w:space="0" w:color="auto"/>
            </w:tcBorders>
            <w:noWrap/>
            <w:textDirection w:val="lrTb"/>
            <w:vAlign w:val="bottom"/>
            <w:hideMark/>
          </w:tcPr>
          <w:p w:rsidR="001C4C5A" w:rsidRPr="00A63281" w:rsidP="00B7497A">
            <w:pPr>
              <w:bidi w:val="0"/>
              <w:rPr>
                <w:rFonts w:ascii="Times New Roman" w:hAnsi="Times New Roman"/>
                <w:i/>
                <w:color w:val="000000"/>
                <w:sz w:val="20"/>
                <w:szCs w:val="20"/>
              </w:rPr>
            </w:pPr>
            <w:r w:rsidRPr="00A63281">
              <w:rPr>
                <w:rFonts w:ascii="Times New Roman" w:hAnsi="Times New Roman"/>
                <w:color w:val="000000"/>
                <w:sz w:val="20"/>
                <w:szCs w:val="20"/>
              </w:rPr>
              <w:t>z toho</w:t>
            </w:r>
            <w:r w:rsidRPr="00A63281">
              <w:rPr>
                <w:rFonts w:ascii="Times New Roman" w:hAnsi="Times New Roman"/>
                <w:i/>
                <w:color w:val="000000"/>
                <w:sz w:val="20"/>
                <w:szCs w:val="20"/>
              </w:rPr>
              <w:t xml:space="preserve">: bežné </w:t>
            </w:r>
          </w:p>
        </w:tc>
        <w:tc>
          <w:tcPr>
            <w:tcW w:w="1074" w:type="dxa"/>
            <w:tcBorders>
              <w:top w:val="nil"/>
              <w:left w:val="nil"/>
              <w:bottom w:val="single" w:sz="4" w:space="0" w:color="auto"/>
              <w:right w:val="single" w:sz="4" w:space="0" w:color="auto"/>
            </w:tcBorders>
            <w:noWrap/>
            <w:textDirection w:val="lrTb"/>
            <w:vAlign w:val="bottom"/>
            <w:hideMark/>
          </w:tcPr>
          <w:p w:rsidR="001C4C5A" w:rsidRPr="00A63281" w:rsidP="000637A7">
            <w:pPr>
              <w:bidi w:val="0"/>
              <w:jc w:val="right"/>
              <w:rPr>
                <w:rFonts w:ascii="Times New Roman" w:hAnsi="Times New Roman"/>
                <w:i/>
                <w:color w:val="000000"/>
                <w:sz w:val="20"/>
                <w:szCs w:val="20"/>
              </w:rPr>
            </w:pPr>
            <w:r w:rsidRPr="00A63281">
              <w:rPr>
                <w:rFonts w:ascii="Times New Roman" w:hAnsi="Times New Roman"/>
                <w:i/>
                <w:color w:val="000000"/>
                <w:sz w:val="20"/>
                <w:szCs w:val="20"/>
              </w:rPr>
              <w:t>-</w:t>
            </w:r>
            <w:r w:rsidR="000637A7">
              <w:rPr>
                <w:rFonts w:ascii="Times New Roman" w:hAnsi="Times New Roman"/>
                <w:i/>
                <w:color w:val="000000"/>
                <w:sz w:val="20"/>
                <w:szCs w:val="20"/>
              </w:rPr>
              <w:t>611 567</w:t>
            </w:r>
          </w:p>
        </w:tc>
        <w:tc>
          <w:tcPr>
            <w:tcW w:w="1068"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19 274</w:t>
            </w:r>
          </w:p>
        </w:tc>
        <w:tc>
          <w:tcPr>
            <w:tcW w:w="987"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-59 964</w:t>
            </w:r>
          </w:p>
        </w:tc>
        <w:tc>
          <w:tcPr>
            <w:tcW w:w="1001"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-99 028</w:t>
            </w:r>
          </w:p>
        </w:tc>
        <w:tc>
          <w:tcPr>
            <w:tcW w:w="113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-93 523</w:t>
            </w:r>
          </w:p>
        </w:tc>
        <w:tc>
          <w:tcPr>
            <w:tcW w:w="1064" w:type="dxa"/>
            <w:tcBorders>
              <w:top w:val="nil"/>
              <w:left w:val="nil"/>
              <w:bottom w:val="sing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465 283</w:t>
            </w:r>
          </w:p>
        </w:tc>
      </w:tr>
      <w:tr>
        <w:tblPrEx>
          <w:tblW w:w="8800" w:type="dxa"/>
          <w:jc w:val="center"/>
          <w:tblInd w:w="-237" w:type="dxa"/>
          <w:tblCellMar>
            <w:left w:w="70" w:type="dxa"/>
            <w:right w:w="70" w:type="dxa"/>
          </w:tblCellMar>
          <w:tblLook w:val="04A0"/>
        </w:tblPrEx>
        <w:trPr>
          <w:trHeight w:val="330"/>
          <w:jc w:val="center"/>
        </w:trPr>
        <w:tc>
          <w:tcPr>
            <w:tcW w:w="2472" w:type="dxa"/>
            <w:tcBorders>
              <w:top w:val="single" w:sz="4" w:space="0" w:color="auto"/>
              <w:left w:val="single" w:sz="4" w:space="0" w:color="auto"/>
              <w:bottom w:val="double" w:sz="4" w:space="0" w:color="auto"/>
              <w:right w:val="single" w:sz="4" w:space="0" w:color="auto"/>
            </w:tcBorders>
            <w:noWrap/>
            <w:textDirection w:val="lrTb"/>
            <w:vAlign w:val="bottom"/>
            <w:hideMark/>
          </w:tcPr>
          <w:p w:rsidR="001C4C5A" w:rsidRPr="00A63281" w:rsidP="00B7497A">
            <w:pPr>
              <w:bidi w:val="0"/>
              <w:rPr>
                <w:rFonts w:ascii="Times New Roman" w:hAnsi="Times New Roman"/>
                <w:i/>
                <w:color w:val="000000"/>
                <w:sz w:val="20"/>
                <w:szCs w:val="20"/>
              </w:rPr>
            </w:pPr>
            <w:r w:rsidRPr="00A63281">
              <w:rPr>
                <w:rFonts w:ascii="Times New Roman" w:hAnsi="Times New Roman"/>
                <w:i/>
                <w:color w:val="000000"/>
                <w:sz w:val="20"/>
                <w:szCs w:val="20"/>
              </w:rPr>
              <w:t xml:space="preserve">             kapitálové</w:t>
            </w:r>
          </w:p>
        </w:tc>
        <w:tc>
          <w:tcPr>
            <w:tcW w:w="1074"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000637A7">
              <w:rPr>
                <w:rFonts w:ascii="Times New Roman" w:hAnsi="Times New Roman"/>
                <w:i/>
                <w:color w:val="000000"/>
                <w:sz w:val="20"/>
                <w:szCs w:val="20"/>
              </w:rPr>
              <w:t>-661 398</w:t>
            </w:r>
          </w:p>
        </w:tc>
        <w:tc>
          <w:tcPr>
            <w:tcW w:w="1068"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-15 326</w:t>
            </w:r>
          </w:p>
        </w:tc>
        <w:tc>
          <w:tcPr>
            <w:tcW w:w="987"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-81 280</w:t>
            </w:r>
          </w:p>
        </w:tc>
        <w:tc>
          <w:tcPr>
            <w:tcW w:w="1001"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-26 135</w:t>
            </w:r>
          </w:p>
        </w:tc>
        <w:tc>
          <w:tcPr>
            <w:tcW w:w="1134"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2 482</w:t>
            </w:r>
          </w:p>
        </w:tc>
        <w:tc>
          <w:tcPr>
            <w:tcW w:w="1064" w:type="dxa"/>
            <w:tcBorders>
              <w:top w:val="single" w:sz="4" w:space="0" w:color="auto"/>
              <w:left w:val="nil"/>
              <w:bottom w:val="double" w:sz="4" w:space="0" w:color="auto"/>
              <w:right w:val="single" w:sz="4" w:space="0" w:color="auto"/>
            </w:tcBorders>
            <w:noWrap/>
            <w:textDirection w:val="lrTb"/>
            <w:vAlign w:val="bottom"/>
            <w:hideMark/>
          </w:tcPr>
          <w:p w:rsidR="001C4C5A" w:rsidRPr="00A63281" w:rsidP="00B7497A">
            <w:pPr>
              <w:bidi w:val="0"/>
              <w:jc w:val="right"/>
              <w:rPr>
                <w:rFonts w:ascii="Times New Roman" w:hAnsi="Times New Roman"/>
                <w:i/>
                <w:color w:val="000000"/>
                <w:sz w:val="20"/>
                <w:szCs w:val="20"/>
              </w:rPr>
            </w:pPr>
            <w:r w:rsidRPr="00A63281">
              <w:rPr>
                <w:rFonts w:ascii="Times New Roman" w:hAnsi="Times New Roman"/>
                <w:i/>
                <w:color w:val="000000"/>
                <w:sz w:val="20"/>
                <w:szCs w:val="20"/>
              </w:rPr>
              <w:t>154 874</w:t>
            </w:r>
          </w:p>
        </w:tc>
      </w:tr>
      <w:tr>
        <w:tblPrEx>
          <w:tblW w:w="8800" w:type="dxa"/>
          <w:jc w:val="center"/>
          <w:tblInd w:w="-237" w:type="dxa"/>
          <w:tblCellMar>
            <w:left w:w="70" w:type="dxa"/>
            <w:right w:w="70" w:type="dxa"/>
          </w:tblCellMar>
          <w:tblLook w:val="04A0"/>
        </w:tblPrEx>
        <w:trPr>
          <w:trHeight w:val="330"/>
          <w:jc w:val="center"/>
        </w:trPr>
        <w:tc>
          <w:tcPr>
            <w:tcW w:w="2472" w:type="dxa"/>
            <w:tcBorders>
              <w:top w:val="double" w:sz="4" w:space="0" w:color="auto"/>
              <w:left w:val="single" w:sz="4" w:space="0" w:color="auto"/>
              <w:bottom w:val="single" w:sz="4" w:space="0" w:color="auto"/>
              <w:right w:val="single" w:sz="4" w:space="0" w:color="auto"/>
            </w:tcBorders>
            <w:noWrap/>
            <w:textDirection w:val="lrTb"/>
            <w:vAlign w:val="bottom"/>
            <w:hideMark/>
          </w:tcPr>
          <w:p w:rsidR="001C4C5A" w:rsidRPr="001C4C5A" w:rsidP="00B7497A">
            <w:pPr>
              <w:bidi w:val="0"/>
              <w:rPr>
                <w:rFonts w:ascii="Times New Roman" w:hAnsi="Times New Roman"/>
                <w:b/>
                <w:color w:val="000000"/>
                <w:sz w:val="20"/>
                <w:szCs w:val="20"/>
              </w:rPr>
            </w:pPr>
            <w:r w:rsidRPr="001C4C5A">
              <w:rPr>
                <w:rFonts w:ascii="Times New Roman" w:hAnsi="Times New Roman"/>
                <w:b/>
                <w:color w:val="000000"/>
                <w:sz w:val="20"/>
                <w:szCs w:val="20"/>
              </w:rPr>
              <w:t>Schodok ESA</w:t>
            </w:r>
          </w:p>
        </w:tc>
        <w:tc>
          <w:tcPr>
            <w:tcW w:w="1074"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178 459</w:t>
            </w:r>
          </w:p>
        </w:tc>
        <w:tc>
          <w:tcPr>
            <w:tcW w:w="1068"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54 243</w:t>
            </w:r>
          </w:p>
        </w:tc>
        <w:tc>
          <w:tcPr>
            <w:tcW w:w="987"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107 388</w:t>
            </w:r>
          </w:p>
        </w:tc>
        <w:tc>
          <w:tcPr>
            <w:tcW w:w="1001"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82 094</w:t>
            </w:r>
          </w:p>
        </w:tc>
        <w:tc>
          <w:tcPr>
            <w:tcW w:w="1134"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93 028</w:t>
            </w:r>
          </w:p>
        </w:tc>
        <w:tc>
          <w:tcPr>
            <w:tcW w:w="1064" w:type="dxa"/>
            <w:tcBorders>
              <w:top w:val="double" w:sz="4" w:space="0" w:color="auto"/>
              <w:left w:val="nil"/>
              <w:bottom w:val="single" w:sz="4" w:space="0" w:color="auto"/>
              <w:right w:val="single" w:sz="4" w:space="0" w:color="auto"/>
            </w:tcBorders>
            <w:noWrap/>
            <w:textDirection w:val="lrTb"/>
            <w:vAlign w:val="bottom"/>
            <w:hideMark/>
          </w:tcPr>
          <w:p w:rsidR="001C4C5A" w:rsidRPr="001C4C5A" w:rsidP="00B7497A">
            <w:pPr>
              <w:bidi w:val="0"/>
              <w:jc w:val="right"/>
              <w:rPr>
                <w:rFonts w:ascii="Times New Roman" w:hAnsi="Times New Roman"/>
                <w:b/>
                <w:color w:val="000000"/>
                <w:sz w:val="20"/>
                <w:szCs w:val="20"/>
              </w:rPr>
            </w:pPr>
            <w:r w:rsidRPr="001C4C5A">
              <w:rPr>
                <w:rFonts w:ascii="Times New Roman" w:hAnsi="Times New Roman"/>
                <w:b/>
                <w:color w:val="000000"/>
                <w:sz w:val="20"/>
                <w:szCs w:val="20"/>
              </w:rPr>
              <w:t>-392 844</w:t>
            </w:r>
          </w:p>
        </w:tc>
      </w:tr>
    </w:tbl>
    <w:p w:rsidR="001C4C5A" w:rsidRPr="00AD26BC" w:rsidP="00F75FF3">
      <w:pPr>
        <w:bidi w:val="0"/>
        <w:spacing w:before="120" w:after="120" w:line="360" w:lineRule="auto"/>
        <w:ind w:left="284"/>
        <w:jc w:val="both"/>
        <w:rPr>
          <w:rFonts w:ascii="Times New Roman" w:hAnsi="Times New Roman"/>
          <w:sz w:val="20"/>
          <w:szCs w:val="20"/>
        </w:rPr>
      </w:pPr>
      <w:r w:rsidR="002A74F6">
        <w:rPr>
          <w:rFonts w:ascii="Times New Roman" w:hAnsi="Times New Roman"/>
          <w:sz w:val="20"/>
          <w:szCs w:val="20"/>
        </w:rPr>
        <w:t xml:space="preserve"> </w:t>
      </w:r>
      <w:r w:rsidRPr="00AD26BC">
        <w:rPr>
          <w:rFonts w:ascii="Times New Roman" w:hAnsi="Times New Roman"/>
          <w:sz w:val="20"/>
          <w:szCs w:val="20"/>
        </w:rPr>
        <w:t>Zdroj: Ministerstvo financií SR</w:t>
      </w:r>
    </w:p>
    <w:p w:rsidR="00F75FF3" w:rsidP="00F75FF3">
      <w:pPr>
        <w:bidi w:val="0"/>
        <w:spacing w:before="120" w:after="120" w:line="360" w:lineRule="auto"/>
        <w:jc w:val="both"/>
        <w:rPr>
          <w:rFonts w:ascii="Times New Roman" w:hAnsi="Times New Roman"/>
        </w:rPr>
      </w:pPr>
      <w:r w:rsidR="001C4C5A">
        <w:rPr>
          <w:rFonts w:ascii="Times New Roman" w:hAnsi="Times New Roman"/>
        </w:rPr>
        <w:t xml:space="preserve">Ostatné </w:t>
      </w:r>
      <w:r w:rsidR="0042166B">
        <w:rPr>
          <w:rFonts w:ascii="Times New Roman" w:hAnsi="Times New Roman"/>
        </w:rPr>
        <w:t>subjekty</w:t>
      </w:r>
      <w:r w:rsidR="001C4C5A">
        <w:rPr>
          <w:rFonts w:ascii="Times New Roman" w:hAnsi="Times New Roman"/>
        </w:rPr>
        <w:t xml:space="preserve"> verejnej správy, ktorých súhrnné príjmy predstavujú len 7,8 % a ich súhrnné výdavky len 7,3 % z celkových príjmov, resp. výd</w:t>
      </w:r>
      <w:r w:rsidR="001650C9">
        <w:rPr>
          <w:rFonts w:ascii="Times New Roman" w:hAnsi="Times New Roman"/>
        </w:rPr>
        <w:t>avkov verejnej správy, dosiahli</w:t>
      </w:r>
      <w:r w:rsidR="001C4C5A">
        <w:rPr>
          <w:rFonts w:ascii="Times New Roman" w:hAnsi="Times New Roman"/>
        </w:rPr>
        <w:t xml:space="preserve"> namiesto rozpočtov</w:t>
      </w:r>
      <w:r w:rsidR="001650C9">
        <w:rPr>
          <w:rFonts w:ascii="Times New Roman" w:hAnsi="Times New Roman"/>
        </w:rPr>
        <w:t>aného prebytku 290 036 tis. eur</w:t>
      </w:r>
      <w:r w:rsidR="001C4C5A">
        <w:rPr>
          <w:rFonts w:ascii="Times New Roman" w:hAnsi="Times New Roman"/>
        </w:rPr>
        <w:t xml:space="preserve"> schodok vo výške -102 808 tis. eur. Významné prekročenie rozpočtu príjmov bolo sprevádzané ešte výraznejším prekročením rozpočtu výdavkov.</w:t>
      </w:r>
      <w:r w:rsidRPr="00F75FF3">
        <w:rPr>
          <w:rFonts w:ascii="Times New Roman" w:hAnsi="Times New Roman"/>
        </w:rPr>
        <w:t xml:space="preserve"> </w:t>
      </w:r>
      <w:r>
        <w:rPr>
          <w:rFonts w:ascii="Times New Roman" w:hAnsi="Times New Roman"/>
        </w:rPr>
        <w:t>Príčinou nenaplnenia rozpočtovaného prebytku sú predovšetkým štátne fondy, Fond národného majetku SR a súhrnne príspevkové organizácie.</w:t>
      </w:r>
    </w:p>
    <w:p w:rsidR="00F75FF3" w:rsidP="00F75FF3">
      <w:pPr>
        <w:bidi w:val="0"/>
        <w:spacing w:before="120" w:after="120" w:line="360" w:lineRule="auto"/>
        <w:jc w:val="both"/>
        <w:rPr>
          <w:rFonts w:ascii="Times New Roman" w:hAnsi="Times New Roman"/>
        </w:rPr>
      </w:pPr>
      <w:r w:rsidR="001C4C5A">
        <w:rPr>
          <w:rFonts w:ascii="Times New Roman" w:hAnsi="Times New Roman"/>
        </w:rPr>
        <w:t>Štátne fondy nenaplnili rozpočtovaný prebytok o 111 335 tis. eur najmä v dôsledku nenaplnenia rozpočtu nedaňových príjmov, ktoré súviselo s neuskutočneným predajom emisných kvót</w:t>
      </w:r>
      <w:r>
        <w:rPr>
          <w:rFonts w:ascii="Times New Roman" w:hAnsi="Times New Roman"/>
        </w:rPr>
        <w:t xml:space="preserve"> (Environmentálny fond)</w:t>
      </w:r>
      <w:r w:rsidR="001C4C5A">
        <w:rPr>
          <w:rFonts w:ascii="Times New Roman" w:hAnsi="Times New Roman"/>
        </w:rPr>
        <w:t>.</w:t>
      </w:r>
    </w:p>
    <w:p w:rsidR="00F75FF3" w:rsidP="00F75FF3">
      <w:pPr>
        <w:bidi w:val="0"/>
        <w:spacing w:before="120" w:after="120" w:line="360" w:lineRule="auto"/>
        <w:jc w:val="both"/>
        <w:rPr>
          <w:rFonts w:ascii="Times New Roman" w:hAnsi="Times New Roman"/>
        </w:rPr>
      </w:pPr>
      <w:r w:rsidR="001C4C5A">
        <w:rPr>
          <w:rFonts w:ascii="Times New Roman" w:hAnsi="Times New Roman"/>
        </w:rPr>
        <w:t xml:space="preserve">Fond národného majetku </w:t>
      </w:r>
      <w:r w:rsidR="001650C9">
        <w:rPr>
          <w:rFonts w:ascii="Times New Roman" w:hAnsi="Times New Roman"/>
        </w:rPr>
        <w:t xml:space="preserve">SR </w:t>
      </w:r>
      <w:r w:rsidR="001C4C5A">
        <w:rPr>
          <w:rFonts w:ascii="Times New Roman" w:hAnsi="Times New Roman"/>
        </w:rPr>
        <w:t xml:space="preserve">prekročil rozpočtovaný schodok o 265 193 tis. eur v dôsledku vyšších bežných transferov, </w:t>
      </w:r>
      <w:r w:rsidR="00C36624">
        <w:rPr>
          <w:rFonts w:ascii="Times New Roman" w:hAnsi="Times New Roman"/>
        </w:rPr>
        <w:t xml:space="preserve">ktoré </w:t>
      </w:r>
      <w:r w:rsidR="00D5523C">
        <w:rPr>
          <w:rFonts w:ascii="Times New Roman" w:hAnsi="Times New Roman"/>
        </w:rPr>
        <w:t>súviseli s prevodom prostriedkov</w:t>
      </w:r>
      <w:r w:rsidR="001C4C5A">
        <w:rPr>
          <w:rFonts w:ascii="Times New Roman" w:hAnsi="Times New Roman"/>
        </w:rPr>
        <w:t xml:space="preserve"> získaný</w:t>
      </w:r>
      <w:r w:rsidR="00D5523C">
        <w:rPr>
          <w:rFonts w:ascii="Times New Roman" w:hAnsi="Times New Roman"/>
        </w:rPr>
        <w:t>ch z </w:t>
      </w:r>
      <w:r w:rsidR="001C4C5A">
        <w:rPr>
          <w:rFonts w:ascii="Times New Roman" w:hAnsi="Times New Roman"/>
        </w:rPr>
        <w:t>dividend</w:t>
      </w:r>
      <w:r w:rsidR="00D5523C">
        <w:rPr>
          <w:rFonts w:ascii="Times New Roman" w:hAnsi="Times New Roman"/>
        </w:rPr>
        <w:t xml:space="preserve"> do štátneho rozpočtu</w:t>
      </w:r>
      <w:r w:rsidR="001C4C5A">
        <w:rPr>
          <w:rFonts w:ascii="Times New Roman" w:hAnsi="Times New Roman"/>
        </w:rPr>
        <w:t>.</w:t>
      </w:r>
    </w:p>
    <w:p w:rsidR="00D5523C" w:rsidRPr="00D5523C" w:rsidP="00F75FF3">
      <w:pPr>
        <w:bidi w:val="0"/>
        <w:spacing w:before="120" w:after="120" w:line="360" w:lineRule="auto"/>
        <w:jc w:val="both"/>
        <w:rPr>
          <w:rFonts w:ascii="Times New Roman" w:hAnsi="Times New Roman"/>
        </w:rPr>
      </w:pPr>
      <w:r w:rsidRPr="00D5523C">
        <w:rPr>
          <w:rFonts w:ascii="Times New Roman" w:hAnsi="Times New Roman"/>
        </w:rPr>
        <w:t xml:space="preserve">Príspevkové organizácie zaradené do sektora verejnej správy hospodárili so schodkom vo výške </w:t>
      </w:r>
      <w:r w:rsidR="008330ED">
        <w:rPr>
          <w:rFonts w:ascii="Times New Roman" w:hAnsi="Times New Roman"/>
        </w:rPr>
        <w:br/>
      </w:r>
      <w:r w:rsidRPr="00D5523C">
        <w:rPr>
          <w:rFonts w:ascii="Times New Roman" w:hAnsi="Times New Roman"/>
        </w:rPr>
        <w:t>-42 195 tis. eur pri rozpočtovanom prebytku 6 248 tis. eur. Nenaplnenie rozpočtovaného preb</w:t>
      </w:r>
      <w:r w:rsidR="00F84DE8">
        <w:rPr>
          <w:rFonts w:ascii="Times New Roman" w:hAnsi="Times New Roman"/>
        </w:rPr>
        <w:t>ytku príspevkových organizácií napriek</w:t>
      </w:r>
      <w:r w:rsidRPr="00D5523C">
        <w:rPr>
          <w:rFonts w:ascii="Times New Roman" w:hAnsi="Times New Roman"/>
        </w:rPr>
        <w:t xml:space="preserve"> prekročen</w:t>
      </w:r>
      <w:r w:rsidR="00F84DE8">
        <w:rPr>
          <w:rFonts w:ascii="Times New Roman" w:hAnsi="Times New Roman"/>
        </w:rPr>
        <w:t>iu</w:t>
      </w:r>
      <w:r w:rsidRPr="00D5523C">
        <w:rPr>
          <w:rFonts w:ascii="Times New Roman" w:hAnsi="Times New Roman"/>
        </w:rPr>
        <w:t xml:space="preserve"> rozpočtu </w:t>
      </w:r>
      <w:r w:rsidR="00F84DE8">
        <w:rPr>
          <w:rFonts w:ascii="Times New Roman" w:hAnsi="Times New Roman"/>
        </w:rPr>
        <w:t xml:space="preserve">príjmov o 61 890 tis. eur, bol spôsobené prekročením rozpočtu výdavkov o 110 333 tis. eur. </w:t>
      </w:r>
      <w:r w:rsidRPr="00D5523C">
        <w:rPr>
          <w:rFonts w:ascii="Times New Roman" w:hAnsi="Times New Roman"/>
        </w:rPr>
        <w:t xml:space="preserve">Vyššie celkové príjmy príspevkových organizácií sa </w:t>
      </w:r>
      <w:r w:rsidR="00F84DE8">
        <w:rPr>
          <w:rFonts w:ascii="Times New Roman" w:hAnsi="Times New Roman"/>
        </w:rPr>
        <w:t>zabezpečili</w:t>
      </w:r>
      <w:r w:rsidRPr="00D5523C">
        <w:rPr>
          <w:rFonts w:ascii="Times New Roman" w:hAnsi="Times New Roman"/>
        </w:rPr>
        <w:t xml:space="preserve"> cez vyššie príjmy z grantov a transferov, ktoré boli poskytnuté predovšetkým zo štátneho rozpočtu a od VÚC. </w:t>
      </w:r>
      <w:r w:rsidR="00F84DE8">
        <w:rPr>
          <w:rFonts w:ascii="Times New Roman" w:hAnsi="Times New Roman"/>
        </w:rPr>
        <w:t>P</w:t>
      </w:r>
      <w:r w:rsidRPr="00D5523C">
        <w:rPr>
          <w:rFonts w:ascii="Times New Roman" w:hAnsi="Times New Roman"/>
        </w:rPr>
        <w:t>rekročen</w:t>
      </w:r>
      <w:r w:rsidR="00F84DE8">
        <w:rPr>
          <w:rFonts w:ascii="Times New Roman" w:hAnsi="Times New Roman"/>
        </w:rPr>
        <w:t>ie</w:t>
      </w:r>
      <w:r w:rsidRPr="00D5523C">
        <w:rPr>
          <w:rFonts w:ascii="Times New Roman" w:hAnsi="Times New Roman"/>
        </w:rPr>
        <w:t xml:space="preserve"> rozpočtu výdavkov príspevkových organizácií </w:t>
      </w:r>
      <w:r w:rsidR="00F84DE8">
        <w:rPr>
          <w:rFonts w:ascii="Times New Roman" w:hAnsi="Times New Roman"/>
        </w:rPr>
        <w:t xml:space="preserve">spôsobili bežné výdavky, ktorých rozpočet sa prekročil o 58 316 tis. eur a aj </w:t>
      </w:r>
      <w:r w:rsidRPr="00D5523C">
        <w:rPr>
          <w:rFonts w:ascii="Times New Roman" w:hAnsi="Times New Roman"/>
        </w:rPr>
        <w:t>kapitálové výdavky</w:t>
      </w:r>
      <w:r w:rsidR="00F84DE8">
        <w:rPr>
          <w:rFonts w:ascii="Times New Roman" w:hAnsi="Times New Roman"/>
        </w:rPr>
        <w:t>, ktorých rozpočet sa prekročil o 52 017 tis. eur</w:t>
      </w:r>
      <w:r w:rsidRPr="00D5523C">
        <w:rPr>
          <w:rFonts w:ascii="Times New Roman" w:hAnsi="Times New Roman"/>
        </w:rPr>
        <w:t>. Z bežných výdavkov prekročili rozpočet predovšetkým výdavky na tovary a služby a z kapitálových výdavkov obstaranie kapitálových aktív.</w:t>
      </w:r>
    </w:p>
    <w:p w:rsidR="00D07062" w:rsidRPr="00D07062" w:rsidP="00491E04">
      <w:pPr>
        <w:pStyle w:val="Heading2"/>
        <w:bidi w:val="0"/>
        <w:spacing w:before="100" w:beforeAutospacing="1" w:after="100" w:afterAutospacing="1"/>
        <w:jc w:val="center"/>
        <w:rPr>
          <w:rFonts w:ascii="Times New Roman" w:hAnsi="Times New Roman"/>
          <w:color w:val="auto"/>
          <w:sz w:val="24"/>
          <w:szCs w:val="24"/>
        </w:rPr>
      </w:pPr>
      <w:bookmarkStart w:id="15" w:name="_Toc322614748"/>
      <w:r w:rsidRPr="00D07062">
        <w:rPr>
          <w:rFonts w:ascii="Times New Roman" w:hAnsi="Times New Roman"/>
          <w:color w:val="auto"/>
          <w:sz w:val="24"/>
          <w:szCs w:val="24"/>
        </w:rPr>
        <w:t>2.2. Stav a vývoj dlhu verejnej správy podľa maastrichtských kritérií</w:t>
      </w:r>
      <w:bookmarkEnd w:id="15"/>
    </w:p>
    <w:p w:rsidR="00D07062" w:rsidRPr="004217D1" w:rsidP="004C1F8C">
      <w:pPr>
        <w:bidi w:val="0"/>
        <w:spacing w:before="100" w:beforeAutospacing="1" w:after="100" w:afterAutospacing="1" w:line="360" w:lineRule="auto"/>
        <w:ind w:firstLine="708"/>
        <w:jc w:val="both"/>
        <w:rPr>
          <w:rFonts w:ascii="Times New Roman" w:hAnsi="Times New Roman"/>
        </w:rPr>
      </w:pPr>
      <w:r>
        <w:rPr>
          <w:rFonts w:ascii="Times New Roman" w:hAnsi="Times New Roman"/>
        </w:rPr>
        <w:t>M</w:t>
      </w:r>
      <w:r w:rsidRPr="004217D1">
        <w:rPr>
          <w:rFonts w:ascii="Times New Roman" w:hAnsi="Times New Roman"/>
        </w:rPr>
        <w:t xml:space="preserve">aastrichtský dlh verejnej správy </w:t>
      </w:r>
      <w:r>
        <w:rPr>
          <w:rFonts w:ascii="Times New Roman" w:hAnsi="Times New Roman"/>
        </w:rPr>
        <w:t>SR</w:t>
      </w:r>
      <w:r>
        <w:rPr>
          <w:rStyle w:val="FootnoteReference"/>
          <w:rFonts w:ascii="Times New Roman" w:hAnsi="Times New Roman"/>
          <w:rtl w:val="0"/>
        </w:rPr>
        <w:footnoteReference w:customMarkFollows="1" w:id="6"/>
        <w:t xml:space="preserve">5</w:t>
      </w:r>
      <w:r w:rsidR="000C46B9">
        <w:rPr>
          <w:rStyle w:val="FootnoteReference"/>
          <w:rFonts w:ascii="Times New Roman" w:hAnsi="Times New Roman"/>
        </w:rPr>
        <w:t>)</w:t>
      </w:r>
      <w:r>
        <w:rPr>
          <w:rFonts w:ascii="Times New Roman" w:hAnsi="Times New Roman"/>
        </w:rPr>
        <w:t xml:space="preserve"> dosiahol podľa predbežných výsledkov k</w:t>
      </w:r>
      <w:r w:rsidRPr="004217D1">
        <w:rPr>
          <w:rFonts w:ascii="Times New Roman" w:hAnsi="Times New Roman"/>
        </w:rPr>
        <w:t> 31.</w:t>
      </w:r>
      <w:r>
        <w:rPr>
          <w:rFonts w:ascii="Times New Roman" w:hAnsi="Times New Roman"/>
        </w:rPr>
        <w:t xml:space="preserve"> </w:t>
      </w:r>
      <w:r w:rsidRPr="004217D1">
        <w:rPr>
          <w:rFonts w:ascii="Times New Roman" w:hAnsi="Times New Roman"/>
        </w:rPr>
        <w:t>12.</w:t>
      </w:r>
      <w:r>
        <w:rPr>
          <w:rFonts w:ascii="Times New Roman" w:hAnsi="Times New Roman"/>
        </w:rPr>
        <w:t xml:space="preserve"> </w:t>
      </w:r>
      <w:r w:rsidRPr="004217D1">
        <w:rPr>
          <w:rFonts w:ascii="Times New Roman" w:hAnsi="Times New Roman"/>
        </w:rPr>
        <w:t>201</w:t>
      </w:r>
      <w:r>
        <w:rPr>
          <w:rFonts w:ascii="Times New Roman" w:hAnsi="Times New Roman"/>
        </w:rPr>
        <w:t>1</w:t>
      </w:r>
      <w:r w:rsidRPr="004217D1">
        <w:rPr>
          <w:rFonts w:ascii="Times New Roman" w:hAnsi="Times New Roman"/>
        </w:rPr>
        <w:t xml:space="preserve"> hodnotu </w:t>
      </w:r>
      <w:r>
        <w:rPr>
          <w:rFonts w:ascii="Times New Roman" w:hAnsi="Times New Roman"/>
        </w:rPr>
        <w:t>29 911 262</w:t>
      </w:r>
      <w:r w:rsidRPr="004217D1">
        <w:rPr>
          <w:rFonts w:ascii="Times New Roman" w:hAnsi="Times New Roman"/>
        </w:rPr>
        <w:t xml:space="preserve"> tis. eur, čo predstavuje</w:t>
      </w:r>
      <w:r>
        <w:rPr>
          <w:rFonts w:ascii="Times New Roman" w:hAnsi="Times New Roman"/>
        </w:rPr>
        <w:t xml:space="preserve"> 43,3 % hrubého domáceho produktu (pri vyčíslenom predbežnom </w:t>
      </w:r>
      <w:r w:rsidRPr="004217D1">
        <w:rPr>
          <w:rFonts w:ascii="Times New Roman" w:hAnsi="Times New Roman"/>
        </w:rPr>
        <w:t xml:space="preserve">HDP </w:t>
      </w:r>
      <w:r>
        <w:rPr>
          <w:rFonts w:ascii="Times New Roman" w:hAnsi="Times New Roman"/>
        </w:rPr>
        <w:t>69 058 194</w:t>
      </w:r>
      <w:r w:rsidRPr="004217D1">
        <w:rPr>
          <w:rFonts w:ascii="Times New Roman" w:hAnsi="Times New Roman"/>
        </w:rPr>
        <w:t xml:space="preserve"> tis. eur). </w:t>
      </w:r>
      <w:r>
        <w:rPr>
          <w:rFonts w:ascii="Times New Roman" w:hAnsi="Times New Roman"/>
        </w:rPr>
        <w:t xml:space="preserve">Oproti roku 2010 vzrástol maastrichtský dlh o 2 912 884 </w:t>
      </w:r>
      <w:r w:rsidRPr="004217D1">
        <w:rPr>
          <w:rFonts w:ascii="Times New Roman" w:hAnsi="Times New Roman"/>
        </w:rPr>
        <w:t>tis. eur</w:t>
      </w:r>
      <w:r>
        <w:rPr>
          <w:rFonts w:ascii="Times New Roman" w:hAnsi="Times New Roman"/>
        </w:rPr>
        <w:t xml:space="preserve"> a jeho pomer</w:t>
      </w:r>
      <w:r w:rsidRPr="004217D1">
        <w:rPr>
          <w:rFonts w:ascii="Times New Roman" w:hAnsi="Times New Roman"/>
        </w:rPr>
        <w:t xml:space="preserve"> k HDP </w:t>
      </w:r>
      <w:r>
        <w:rPr>
          <w:rFonts w:ascii="Times New Roman" w:hAnsi="Times New Roman"/>
        </w:rPr>
        <w:t>o 2,2</w:t>
      </w:r>
      <w:r w:rsidRPr="004217D1">
        <w:rPr>
          <w:rFonts w:ascii="Times New Roman" w:hAnsi="Times New Roman"/>
        </w:rPr>
        <w:t xml:space="preserve"> p. b.. Zvýšenie pomeru </w:t>
      </w:r>
      <w:r>
        <w:rPr>
          <w:rFonts w:ascii="Times New Roman" w:hAnsi="Times New Roman"/>
        </w:rPr>
        <w:t xml:space="preserve">dlhu k HDP </w:t>
      </w:r>
      <w:r w:rsidRPr="004217D1">
        <w:rPr>
          <w:rFonts w:ascii="Times New Roman" w:hAnsi="Times New Roman"/>
        </w:rPr>
        <w:t>bolo spôsobené rastom dlhu o</w:t>
      </w:r>
      <w:r>
        <w:rPr>
          <w:rFonts w:ascii="Times New Roman" w:hAnsi="Times New Roman"/>
        </w:rPr>
        <w:t> 10,8</w:t>
      </w:r>
      <w:r w:rsidR="00C36624">
        <w:rPr>
          <w:rFonts w:ascii="Times New Roman" w:hAnsi="Times New Roman"/>
        </w:rPr>
        <w:t xml:space="preserve"> %</w:t>
      </w:r>
      <w:r>
        <w:rPr>
          <w:rFonts w:ascii="Times New Roman" w:hAnsi="Times New Roman"/>
        </w:rPr>
        <w:t xml:space="preserve"> </w:t>
      </w:r>
      <w:r w:rsidRPr="004217D1">
        <w:rPr>
          <w:rFonts w:ascii="Times New Roman" w:hAnsi="Times New Roman"/>
        </w:rPr>
        <w:t>pri raste HDP v bežných cenách</w:t>
      </w:r>
      <w:r>
        <w:rPr>
          <w:rFonts w:ascii="Times New Roman" w:hAnsi="Times New Roman"/>
        </w:rPr>
        <w:t xml:space="preserve"> o 5,0</w:t>
      </w:r>
      <w:r w:rsidRPr="004217D1">
        <w:rPr>
          <w:rFonts w:ascii="Times New Roman" w:hAnsi="Times New Roman"/>
        </w:rPr>
        <w:t xml:space="preserve"> %. </w:t>
      </w:r>
    </w:p>
    <w:p w:rsidR="00D11EC1" w:rsidP="00244909">
      <w:pPr>
        <w:bidi w:val="0"/>
        <w:spacing w:before="120" w:after="120" w:line="360" w:lineRule="auto"/>
        <w:jc w:val="both"/>
        <w:rPr>
          <w:rFonts w:ascii="Times New Roman" w:hAnsi="Times New Roman"/>
        </w:rPr>
      </w:pPr>
      <w:r w:rsidRPr="004217D1" w:rsidR="00D07062">
        <w:rPr>
          <w:rFonts w:ascii="Times New Roman" w:hAnsi="Times New Roman"/>
        </w:rPr>
        <w:t>Štruktúru maastrichtského dlhu podľa jednotlivých subjektov verejnej správy poskytuje nasledujúci prehľad:</w:t>
      </w:r>
    </w:p>
    <w:p w:rsidR="00D11EC1">
      <w:pPr>
        <w:bidi w:val="0"/>
        <w:rPr>
          <w:rFonts w:ascii="Times New Roman" w:hAnsi="Times New Roman"/>
        </w:rPr>
      </w:pPr>
      <w:r>
        <w:rPr>
          <w:rFonts w:ascii="Times New Roman" w:hAnsi="Times New Roman"/>
        </w:rPr>
        <w:br w:type="page"/>
      </w:r>
    </w:p>
    <w:tbl>
      <w:tblPr>
        <w:tblStyle w:val="TableNormal"/>
        <w:tblW w:w="9796" w:type="dxa"/>
        <w:tblCellMar>
          <w:left w:w="70" w:type="dxa"/>
          <w:right w:w="70" w:type="dxa"/>
        </w:tblCellMar>
        <w:tblLook w:val="04A0"/>
      </w:tblPr>
      <w:tblGrid>
        <w:gridCol w:w="4410"/>
        <w:gridCol w:w="1275"/>
        <w:gridCol w:w="1418"/>
        <w:gridCol w:w="1417"/>
        <w:gridCol w:w="1276"/>
      </w:tblGrid>
      <w:tr>
        <w:tblPrEx>
          <w:tblW w:w="9796" w:type="dxa"/>
          <w:tblCellMar>
            <w:left w:w="70" w:type="dxa"/>
            <w:right w:w="70" w:type="dxa"/>
          </w:tblCellMar>
          <w:tblLook w:val="04A0"/>
        </w:tblPrEx>
        <w:trPr>
          <w:trHeight w:val="366"/>
        </w:trPr>
        <w:tc>
          <w:tcPr>
            <w:tcW w:w="4410" w:type="dxa"/>
            <w:vMerge w:val="restart"/>
            <w:tcBorders>
              <w:top w:val="single" w:sz="4" w:space="0" w:color="FFFFFF"/>
              <w:left w:val="single" w:sz="4" w:space="0" w:color="FFFFFF"/>
              <w:bottom w:val="none" w:sz="0" w:space="0" w:color="auto"/>
              <w:right w:val="single" w:sz="4" w:space="0" w:color="FFFFFF"/>
            </w:tcBorders>
            <w:shd w:val="clear" w:color="auto" w:fill="000000"/>
            <w:noWrap/>
            <w:textDirection w:val="lrTb"/>
            <w:vAlign w:val="bottom"/>
          </w:tcPr>
          <w:p w:rsidR="008E5BC6" w:rsidRPr="00244909" w:rsidP="00D07062">
            <w:pPr>
              <w:bidi w:val="0"/>
              <w:jc w:val="center"/>
              <w:rPr>
                <w:rFonts w:ascii="Times New Roman" w:hAnsi="Times New Roman"/>
                <w:b/>
                <w:bCs/>
                <w:sz w:val="20"/>
                <w:szCs w:val="20"/>
                <w:vertAlign w:val="superscript"/>
              </w:rPr>
            </w:pPr>
            <w:r w:rsidR="00D11EC1">
              <w:rPr>
                <w:rFonts w:ascii="Times New Roman" w:hAnsi="Times New Roman"/>
              </w:rPr>
              <w:br w:type="page"/>
            </w:r>
            <w:r w:rsidR="0042166B">
              <w:rPr>
                <w:rFonts w:ascii="Times New Roman" w:hAnsi="Times New Roman"/>
                <w:b/>
                <w:bCs/>
                <w:sz w:val="20"/>
                <w:szCs w:val="20"/>
              </w:rPr>
              <w:t xml:space="preserve">Subjekty </w:t>
            </w:r>
            <w:r w:rsidRPr="00244909">
              <w:rPr>
                <w:rFonts w:ascii="Times New Roman" w:hAnsi="Times New Roman"/>
                <w:b/>
                <w:bCs/>
                <w:sz w:val="20"/>
                <w:szCs w:val="20"/>
              </w:rPr>
              <w:t>verejnej správy</w:t>
            </w:r>
            <w:r w:rsidRPr="00244909">
              <w:rPr>
                <w:rFonts w:ascii="Times New Roman" w:hAnsi="Times New Roman"/>
                <w:b/>
                <w:bCs/>
                <w:sz w:val="20"/>
                <w:szCs w:val="20"/>
                <w:vertAlign w:val="superscript"/>
              </w:rPr>
              <w:t>4)</w:t>
            </w:r>
          </w:p>
          <w:p w:rsidR="008E5BC6" w:rsidRPr="00244909" w:rsidP="00D15C85">
            <w:pPr>
              <w:bidi w:val="0"/>
              <w:rPr>
                <w:rFonts w:ascii="Times New Roman" w:hAnsi="Times New Roman"/>
                <w:b/>
                <w:bCs/>
                <w:sz w:val="20"/>
                <w:szCs w:val="20"/>
              </w:rPr>
            </w:pPr>
            <w:r w:rsidRPr="00244909">
              <w:rPr>
                <w:rFonts w:ascii="Times New Roman" w:hAnsi="Times New Roman"/>
                <w:b/>
                <w:bCs/>
                <w:sz w:val="20"/>
                <w:szCs w:val="20"/>
              </w:rPr>
              <w:t>(v tis. eur)</w:t>
            </w:r>
          </w:p>
        </w:tc>
        <w:tc>
          <w:tcPr>
            <w:tcW w:w="4110"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E5BC6" w:rsidRPr="00244909" w:rsidP="008E5BC6">
            <w:pPr>
              <w:bidi w:val="0"/>
              <w:jc w:val="center"/>
              <w:rPr>
                <w:rFonts w:ascii="Times New Roman" w:hAnsi="Times New Roman"/>
                <w:b/>
                <w:bCs/>
                <w:sz w:val="20"/>
                <w:szCs w:val="20"/>
              </w:rPr>
            </w:pPr>
            <w:r w:rsidRPr="00244909">
              <w:rPr>
                <w:rFonts w:ascii="Times New Roman" w:hAnsi="Times New Roman"/>
                <w:b/>
                <w:bCs/>
                <w:sz w:val="20"/>
                <w:szCs w:val="20"/>
              </w:rPr>
              <w:t>Dlh</w:t>
            </w:r>
          </w:p>
        </w:tc>
        <w:tc>
          <w:tcPr>
            <w:tcW w:w="1276" w:type="dxa"/>
            <w:vMerge w:val="restart"/>
            <w:tcBorders>
              <w:top w:val="single" w:sz="4" w:space="0" w:color="FFFFFF"/>
              <w:left w:val="single" w:sz="4" w:space="0" w:color="FFFFFF"/>
              <w:bottom w:val="none" w:sz="0" w:space="0" w:color="auto"/>
              <w:right w:val="single" w:sz="4" w:space="0" w:color="FFFFFF"/>
            </w:tcBorders>
            <w:shd w:val="clear" w:color="auto" w:fill="000000"/>
            <w:noWrap/>
            <w:textDirection w:val="lrTb"/>
            <w:vAlign w:val="center"/>
          </w:tcPr>
          <w:p w:rsidR="008E5BC6" w:rsidP="00244909">
            <w:pPr>
              <w:bidi w:val="0"/>
              <w:jc w:val="center"/>
              <w:rPr>
                <w:rFonts w:ascii="Times New Roman" w:hAnsi="Times New Roman"/>
                <w:b/>
                <w:bCs/>
                <w:sz w:val="20"/>
                <w:szCs w:val="20"/>
              </w:rPr>
            </w:pPr>
            <w:r w:rsidRPr="00244909">
              <w:rPr>
                <w:rFonts w:ascii="Times New Roman" w:hAnsi="Times New Roman"/>
                <w:b/>
                <w:bCs/>
                <w:sz w:val="20"/>
                <w:szCs w:val="20"/>
              </w:rPr>
              <w:t>Zmena</w:t>
            </w:r>
          </w:p>
          <w:p w:rsidR="00727AA9" w:rsidRPr="00244909" w:rsidP="00244909">
            <w:pPr>
              <w:bidi w:val="0"/>
              <w:jc w:val="center"/>
              <w:rPr>
                <w:rFonts w:ascii="Times New Roman" w:hAnsi="Times New Roman"/>
                <w:b/>
                <w:bCs/>
                <w:sz w:val="20"/>
                <w:szCs w:val="20"/>
              </w:rPr>
            </w:pPr>
            <w:r>
              <w:rPr>
                <w:rFonts w:ascii="Times New Roman" w:hAnsi="Times New Roman"/>
                <w:b/>
                <w:bCs/>
                <w:sz w:val="20"/>
                <w:szCs w:val="20"/>
              </w:rPr>
              <w:t>2011-2010</w:t>
            </w:r>
          </w:p>
        </w:tc>
      </w:tr>
      <w:tr>
        <w:tblPrEx>
          <w:tblW w:w="9796" w:type="dxa"/>
          <w:tblCellMar>
            <w:left w:w="70" w:type="dxa"/>
            <w:right w:w="70" w:type="dxa"/>
          </w:tblCellMar>
          <w:tblLook w:val="04A0"/>
        </w:tblPrEx>
        <w:trPr>
          <w:trHeight w:val="316"/>
        </w:trPr>
        <w:tc>
          <w:tcPr>
            <w:tcW w:w="4410" w:type="dxa"/>
            <w:vMerge/>
            <w:tcBorders>
              <w:top w:val="none" w:sz="0" w:space="0" w:color="auto"/>
              <w:left w:val="single" w:sz="4" w:space="0" w:color="FFFFFF"/>
              <w:bottom w:val="single" w:sz="4" w:space="0" w:color="FFFFFF"/>
              <w:right w:val="single" w:sz="4" w:space="0" w:color="FFFFFF"/>
            </w:tcBorders>
            <w:shd w:val="clear" w:color="auto" w:fill="000000"/>
            <w:noWrap/>
            <w:textDirection w:val="lrTb"/>
            <w:vAlign w:val="bottom"/>
            <w:hideMark/>
          </w:tcPr>
          <w:p w:rsidR="008E5BC6" w:rsidRPr="00244909" w:rsidP="00D15C85">
            <w:pPr>
              <w:bidi w:val="0"/>
              <w:rPr>
                <w:rFonts w:ascii="Times New Roman" w:hAnsi="Times New Roman"/>
                <w:b/>
                <w:bCs/>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E5BC6" w:rsidRPr="00244909" w:rsidP="008E5BC6">
            <w:pPr>
              <w:bidi w:val="0"/>
              <w:jc w:val="center"/>
              <w:rPr>
                <w:rFonts w:ascii="Times New Roman" w:hAnsi="Times New Roman"/>
                <w:b/>
                <w:bCs/>
                <w:sz w:val="20"/>
                <w:szCs w:val="20"/>
              </w:rPr>
            </w:pPr>
            <w:r>
              <w:rPr>
                <w:rFonts w:ascii="Times New Roman" w:hAnsi="Times New Roman"/>
                <w:b/>
                <w:bCs/>
                <w:sz w:val="20"/>
                <w:szCs w:val="20"/>
              </w:rPr>
              <w:t>k 31.12.2009</w:t>
            </w:r>
          </w:p>
        </w:tc>
        <w:tc>
          <w:tcPr>
            <w:tcW w:w="1418"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8E5BC6" w:rsidRPr="00244909" w:rsidP="008E5BC6">
            <w:pPr>
              <w:bidi w:val="0"/>
              <w:jc w:val="center"/>
              <w:rPr>
                <w:rFonts w:ascii="Times New Roman" w:hAnsi="Times New Roman"/>
                <w:b/>
                <w:bCs/>
                <w:sz w:val="20"/>
                <w:szCs w:val="20"/>
              </w:rPr>
            </w:pPr>
            <w:r w:rsidRPr="00244909">
              <w:rPr>
                <w:rFonts w:ascii="Times New Roman" w:hAnsi="Times New Roman"/>
                <w:b/>
                <w:bCs/>
                <w:sz w:val="20"/>
                <w:szCs w:val="20"/>
              </w:rPr>
              <w:t>k 31.12.2010</w:t>
            </w:r>
          </w:p>
        </w:tc>
        <w:tc>
          <w:tcPr>
            <w:tcW w:w="1417"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8E5BC6" w:rsidRPr="00244909" w:rsidP="008E5BC6">
            <w:pPr>
              <w:bidi w:val="0"/>
              <w:jc w:val="center"/>
              <w:rPr>
                <w:rFonts w:ascii="Times New Roman" w:hAnsi="Times New Roman"/>
                <w:b/>
                <w:bCs/>
                <w:sz w:val="20"/>
                <w:szCs w:val="20"/>
              </w:rPr>
            </w:pPr>
            <w:r w:rsidRPr="00244909">
              <w:rPr>
                <w:rFonts w:ascii="Times New Roman" w:hAnsi="Times New Roman"/>
                <w:b/>
                <w:bCs/>
                <w:sz w:val="20"/>
                <w:szCs w:val="20"/>
              </w:rPr>
              <w:t>k 31.12.2011</w:t>
            </w:r>
          </w:p>
        </w:tc>
        <w:tc>
          <w:tcPr>
            <w:tcW w:w="1276" w:type="dxa"/>
            <w:vMerge/>
            <w:tcBorders>
              <w:top w:val="none" w:sz="0" w:space="0" w:color="auto"/>
              <w:left w:val="single" w:sz="4" w:space="0" w:color="FFFFFF"/>
              <w:bottom w:val="single" w:sz="4" w:space="0" w:color="FFFFFF"/>
              <w:right w:val="single" w:sz="4" w:space="0" w:color="FFFFFF"/>
            </w:tcBorders>
            <w:shd w:val="clear" w:color="auto" w:fill="000000"/>
            <w:noWrap/>
            <w:textDirection w:val="lrTb"/>
            <w:vAlign w:val="center"/>
            <w:hideMark/>
          </w:tcPr>
          <w:p w:rsidR="008E5BC6" w:rsidRPr="00244909" w:rsidP="00244909">
            <w:pPr>
              <w:bidi w:val="0"/>
              <w:jc w:val="center"/>
              <w:rPr>
                <w:rFonts w:ascii="Times New Roman" w:hAnsi="Times New Roman"/>
                <w:b/>
                <w:bCs/>
                <w:sz w:val="20"/>
                <w:szCs w:val="20"/>
              </w:rPr>
            </w:pPr>
          </w:p>
        </w:tc>
      </w:tr>
      <w:tr>
        <w:tblPrEx>
          <w:tblW w:w="9796" w:type="dxa"/>
          <w:tblCellMar>
            <w:left w:w="70" w:type="dxa"/>
            <w:right w:w="70" w:type="dxa"/>
          </w:tblCellMar>
          <w:tblLook w:val="04A0"/>
        </w:tblPrEx>
        <w:trPr>
          <w:trHeight w:val="270"/>
        </w:trPr>
        <w:tc>
          <w:tcPr>
            <w:tcW w:w="4410" w:type="dxa"/>
            <w:tcBorders>
              <w:top w:val="single" w:sz="4" w:space="0" w:color="FFFFFF"/>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center"/>
              <w:rPr>
                <w:rFonts w:ascii="Times New Roman" w:hAnsi="Times New Roman"/>
                <w:b/>
                <w:sz w:val="20"/>
                <w:szCs w:val="20"/>
              </w:rPr>
            </w:pPr>
          </w:p>
        </w:tc>
        <w:tc>
          <w:tcPr>
            <w:tcW w:w="1275" w:type="dxa"/>
            <w:tcBorders>
              <w:top w:val="single" w:sz="4" w:space="0" w:color="FFFFFF"/>
              <w:left w:val="single" w:sz="4" w:space="0" w:color="auto"/>
              <w:bottom w:val="single" w:sz="4" w:space="0" w:color="auto"/>
              <w:right w:val="single" w:sz="4" w:space="0" w:color="auto"/>
            </w:tcBorders>
            <w:textDirection w:val="lrTb"/>
            <w:vAlign w:val="top"/>
          </w:tcPr>
          <w:p w:rsidR="008E5BC6" w:rsidRPr="00D15C85" w:rsidP="00D07062">
            <w:pPr>
              <w:bidi w:val="0"/>
              <w:jc w:val="center"/>
              <w:rPr>
                <w:rFonts w:ascii="Times New Roman" w:hAnsi="Times New Roman"/>
                <w:b/>
                <w:sz w:val="20"/>
                <w:szCs w:val="20"/>
              </w:rPr>
            </w:pPr>
            <w:r>
              <w:rPr>
                <w:rFonts w:ascii="Times New Roman" w:hAnsi="Times New Roman"/>
                <w:b/>
                <w:sz w:val="20"/>
                <w:szCs w:val="20"/>
              </w:rPr>
              <w:t>1</w:t>
            </w:r>
          </w:p>
        </w:tc>
        <w:tc>
          <w:tcPr>
            <w:tcW w:w="1418" w:type="dxa"/>
            <w:tcBorders>
              <w:top w:val="single" w:sz="4" w:space="0" w:color="FFFFFF"/>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center"/>
              <w:rPr>
                <w:rFonts w:ascii="Times New Roman" w:hAnsi="Times New Roman"/>
                <w:b/>
                <w:sz w:val="20"/>
                <w:szCs w:val="20"/>
              </w:rPr>
            </w:pPr>
            <w:r>
              <w:rPr>
                <w:rFonts w:ascii="Times New Roman" w:hAnsi="Times New Roman"/>
                <w:b/>
                <w:sz w:val="20"/>
                <w:szCs w:val="20"/>
              </w:rPr>
              <w:t>2</w:t>
            </w:r>
          </w:p>
        </w:tc>
        <w:tc>
          <w:tcPr>
            <w:tcW w:w="1417" w:type="dxa"/>
            <w:tcBorders>
              <w:top w:val="single" w:sz="4" w:space="0" w:color="FFFFFF"/>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center"/>
              <w:rPr>
                <w:rFonts w:ascii="Times New Roman" w:hAnsi="Times New Roman"/>
                <w:b/>
                <w:sz w:val="20"/>
                <w:szCs w:val="20"/>
              </w:rPr>
            </w:pPr>
            <w:r>
              <w:rPr>
                <w:rFonts w:ascii="Times New Roman" w:hAnsi="Times New Roman"/>
                <w:b/>
                <w:sz w:val="20"/>
                <w:szCs w:val="20"/>
              </w:rPr>
              <w:t>3</w:t>
            </w:r>
          </w:p>
        </w:tc>
        <w:tc>
          <w:tcPr>
            <w:tcW w:w="1276" w:type="dxa"/>
            <w:tcBorders>
              <w:top w:val="single" w:sz="4" w:space="0" w:color="FFFFFF"/>
              <w:left w:val="single" w:sz="4" w:space="0" w:color="auto"/>
              <w:bottom w:val="single" w:sz="4" w:space="0" w:color="auto"/>
              <w:right w:val="single" w:sz="4" w:space="0" w:color="auto"/>
            </w:tcBorders>
            <w:noWrap/>
            <w:textDirection w:val="lrTb"/>
            <w:vAlign w:val="bottom"/>
            <w:hideMark/>
          </w:tcPr>
          <w:p w:rsidR="008E5BC6" w:rsidRPr="00D15C85" w:rsidP="008E5BC6">
            <w:pPr>
              <w:bidi w:val="0"/>
              <w:jc w:val="center"/>
              <w:rPr>
                <w:rFonts w:ascii="Times New Roman" w:hAnsi="Times New Roman"/>
                <w:b/>
                <w:sz w:val="20"/>
                <w:szCs w:val="20"/>
              </w:rPr>
            </w:pPr>
            <w:r>
              <w:rPr>
                <w:rFonts w:ascii="Times New Roman" w:hAnsi="Times New Roman"/>
                <w:b/>
                <w:sz w:val="20"/>
                <w:szCs w:val="20"/>
              </w:rPr>
              <w:t>4</w:t>
            </w:r>
            <w:r w:rsidRPr="00D15C85">
              <w:rPr>
                <w:rFonts w:ascii="Times New Roman" w:hAnsi="Times New Roman"/>
                <w:b/>
                <w:sz w:val="20"/>
                <w:szCs w:val="20"/>
              </w:rPr>
              <w:t>=</w:t>
            </w:r>
            <w:r>
              <w:rPr>
                <w:rFonts w:ascii="Times New Roman" w:hAnsi="Times New Roman"/>
                <w:b/>
                <w:sz w:val="20"/>
                <w:szCs w:val="20"/>
              </w:rPr>
              <w:t>3</w:t>
            </w:r>
            <w:r w:rsidRPr="00D15C85">
              <w:rPr>
                <w:rFonts w:ascii="Times New Roman" w:hAnsi="Times New Roman"/>
                <w:b/>
                <w:sz w:val="20"/>
                <w:szCs w:val="20"/>
              </w:rPr>
              <w:t>-</w:t>
            </w:r>
            <w:r>
              <w:rPr>
                <w:rFonts w:ascii="Times New Roman" w:hAnsi="Times New Roman"/>
                <w:b/>
                <w:sz w:val="20"/>
                <w:szCs w:val="20"/>
              </w:rPr>
              <w:t>2</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vertAlign w:val="superscript"/>
              </w:rPr>
            </w:pPr>
            <w:r>
              <w:rPr>
                <w:rFonts w:ascii="Times New Roman" w:hAnsi="Times New Roman"/>
                <w:sz w:val="20"/>
                <w:szCs w:val="20"/>
              </w:rPr>
              <w:t>Štátne</w:t>
            </w:r>
            <w:r w:rsidRPr="00D15C85">
              <w:rPr>
                <w:rFonts w:ascii="Times New Roman" w:hAnsi="Times New Roman"/>
                <w:sz w:val="20"/>
                <w:szCs w:val="20"/>
              </w:rPr>
              <w:t xml:space="preserve"> rozpočtové organizácie </w:t>
            </w:r>
            <w:r w:rsidRPr="00D15C85">
              <w:rPr>
                <w:rFonts w:ascii="Times New Roman" w:hAnsi="Times New Roman"/>
                <w:sz w:val="20"/>
                <w:szCs w:val="20"/>
                <w:vertAlign w:val="superscript"/>
              </w:rPr>
              <w:t>1)</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21 362 308</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25 825 045</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28 771 698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2 946 653</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Fond národného majetku</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16 171</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16 031</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15 838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-193</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Verejné vysoké školy</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 xml:space="preserve">434 </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339</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-329</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Rozhlas a televízia Slovenska</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167</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104</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-63</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Príspevkové organizácie štátne vo verejnej správe</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280</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803</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523</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Vyššie územné celky</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381 653</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408 601</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426 847</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18 246</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 xml:space="preserve">Príspevkové organizácie VÚC vo verejnej správe </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121</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129</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116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-13</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Obce</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1 143 018</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1 390 919</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1 386 431</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-4 488</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 xml:space="preserve">Príspevkové organizácie obcí vo verejnej správe </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978</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675</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1 146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471</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bCs/>
                <w:sz w:val="20"/>
                <w:szCs w:val="20"/>
              </w:rPr>
            </w:pPr>
            <w:r w:rsidRPr="00D15C85">
              <w:rPr>
                <w:rFonts w:ascii="Times New Roman" w:hAnsi="Times New Roman"/>
                <w:bCs/>
                <w:sz w:val="20"/>
                <w:szCs w:val="20"/>
              </w:rPr>
              <w:t>Neziskové organizácie obcí</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bCs/>
                <w:sz w:val="20"/>
                <w:szCs w:val="20"/>
              </w:rPr>
            </w:pPr>
            <w:r w:rsidR="00D11EC1">
              <w:rPr>
                <w:rFonts w:ascii="Times New Roman" w:hAnsi="Times New Roman"/>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Cs/>
                <w:sz w:val="20"/>
                <w:szCs w:val="20"/>
              </w:rPr>
            </w:pPr>
            <w:r w:rsidRPr="00D15C85">
              <w:rPr>
                <w:rFonts w:ascii="Times New Roman" w:hAnsi="Times New Roman"/>
                <w:bCs/>
                <w:sz w:val="20"/>
                <w:szCs w:val="20"/>
              </w:rPr>
              <w:t>414</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bCs/>
                <w:sz w:val="20"/>
                <w:szCs w:val="20"/>
              </w:rPr>
            </w:pPr>
            <w:r w:rsidRPr="00D15C85">
              <w:rPr>
                <w:rFonts w:ascii="Times New Roman" w:hAnsi="Times New Roman"/>
                <w:bCs/>
                <w:sz w:val="20"/>
                <w:szCs w:val="20"/>
              </w:rPr>
              <w:t>89</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Cs/>
                <w:sz w:val="20"/>
                <w:szCs w:val="20"/>
              </w:rPr>
            </w:pPr>
            <w:r w:rsidRPr="00D15C85">
              <w:rPr>
                <w:rFonts w:ascii="Times New Roman" w:hAnsi="Times New Roman"/>
                <w:bCs/>
                <w:sz w:val="20"/>
                <w:szCs w:val="20"/>
              </w:rPr>
              <w:t>-325</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b/>
                <w:bCs/>
                <w:sz w:val="20"/>
                <w:szCs w:val="20"/>
              </w:rPr>
            </w:pPr>
            <w:r w:rsidRPr="00D15C85">
              <w:rPr>
                <w:rFonts w:ascii="Times New Roman" w:hAnsi="Times New Roman"/>
                <w:b/>
                <w:bCs/>
                <w:sz w:val="20"/>
                <w:szCs w:val="20"/>
              </w:rPr>
              <w:t>Verejná správa spolu</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b/>
                <w:bCs/>
                <w:sz w:val="20"/>
                <w:szCs w:val="20"/>
              </w:rPr>
            </w:pPr>
            <w:r w:rsidR="00D11EC1">
              <w:rPr>
                <w:rFonts w:ascii="Times New Roman" w:hAnsi="Times New Roman"/>
                <w:b/>
                <w:bCs/>
                <w:sz w:val="20"/>
                <w:szCs w:val="20"/>
              </w:rPr>
              <w:t>22 904 714</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27 642 600</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30 603 082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2 960 482</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Konsolidácia</w:t>
            </w:r>
            <w:r w:rsidRPr="00D15C85">
              <w:rPr>
                <w:rFonts w:ascii="Times New Roman" w:hAnsi="Times New Roman"/>
                <w:sz w:val="20"/>
                <w:szCs w:val="20"/>
                <w:vertAlign w:val="superscript"/>
              </w:rPr>
              <w:t>2)</w:t>
            </w:r>
            <w:r w:rsidR="00D11EC1">
              <w:rPr>
                <w:rFonts w:ascii="Times New Roman" w:hAnsi="Times New Roman"/>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573 429</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644 222</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691 820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47 598</w:t>
            </w:r>
          </w:p>
        </w:tc>
      </w:tr>
      <w:tr>
        <w:tblPrEx>
          <w:tblW w:w="9796" w:type="dxa"/>
          <w:tblCellMar>
            <w:left w:w="70" w:type="dxa"/>
            <w:right w:w="70" w:type="dxa"/>
          </w:tblCellMar>
          <w:tblLook w:val="04A0"/>
        </w:tblPrEx>
        <w:trPr>
          <w:trHeight w:val="255"/>
        </w:trPr>
        <w:tc>
          <w:tcPr>
            <w:tcW w:w="4410"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b/>
                <w:bCs/>
                <w:sz w:val="20"/>
                <w:szCs w:val="20"/>
              </w:rPr>
            </w:pPr>
            <w:r w:rsidRPr="00D15C85">
              <w:rPr>
                <w:rFonts w:ascii="Times New Roman" w:hAnsi="Times New Roman"/>
                <w:b/>
                <w:bCs/>
                <w:sz w:val="20"/>
                <w:szCs w:val="20"/>
              </w:rPr>
              <w:t>Verejná správa spolu konsolidovaná</w:t>
            </w:r>
          </w:p>
        </w:tc>
        <w:tc>
          <w:tcPr>
            <w:tcW w:w="1275" w:type="dxa"/>
            <w:tcBorders>
              <w:top w:val="single" w:sz="4"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b/>
                <w:bCs/>
                <w:sz w:val="20"/>
                <w:szCs w:val="20"/>
              </w:rPr>
            </w:pPr>
            <w:r w:rsidR="00D11EC1">
              <w:rPr>
                <w:rFonts w:ascii="Times New Roman" w:hAnsi="Times New Roman"/>
                <w:b/>
                <w:bCs/>
                <w:sz w:val="20"/>
                <w:szCs w:val="20"/>
              </w:rPr>
              <w:t>22 331 285</w:t>
            </w:r>
          </w:p>
        </w:tc>
        <w:tc>
          <w:tcPr>
            <w:tcW w:w="1418"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26 998 378</w:t>
            </w:r>
          </w:p>
        </w:tc>
        <w:tc>
          <w:tcPr>
            <w:tcW w:w="1417"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29 911 262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2 912 884</w:t>
            </w:r>
          </w:p>
        </w:tc>
      </w:tr>
      <w:tr>
        <w:tblPrEx>
          <w:tblW w:w="9796" w:type="dxa"/>
          <w:tblCellMar>
            <w:left w:w="70" w:type="dxa"/>
            <w:right w:w="70" w:type="dxa"/>
          </w:tblCellMar>
          <w:tblLook w:val="04A0"/>
        </w:tblPrEx>
        <w:trPr>
          <w:trHeight w:val="387"/>
        </w:trPr>
        <w:tc>
          <w:tcPr>
            <w:tcW w:w="4410" w:type="dxa"/>
            <w:tcBorders>
              <w:top w:val="single" w:sz="4" w:space="0" w:color="auto"/>
              <w:left w:val="single" w:sz="4" w:space="0" w:color="auto"/>
              <w:bottom w:val="double" w:sz="6" w:space="0" w:color="auto"/>
              <w:right w:val="single" w:sz="4" w:space="0" w:color="auto"/>
            </w:tcBorders>
            <w:noWrap/>
            <w:textDirection w:val="lrTb"/>
            <w:vAlign w:val="bottom"/>
            <w:hideMark/>
          </w:tcPr>
          <w:p w:rsidR="008E5BC6" w:rsidRPr="00D15C85" w:rsidP="00D07062">
            <w:pPr>
              <w:bidi w:val="0"/>
              <w:rPr>
                <w:rFonts w:ascii="Times New Roman" w:hAnsi="Times New Roman"/>
                <w:sz w:val="20"/>
                <w:szCs w:val="20"/>
              </w:rPr>
            </w:pPr>
            <w:r w:rsidRPr="00D15C85">
              <w:rPr>
                <w:rFonts w:ascii="Times New Roman" w:hAnsi="Times New Roman"/>
                <w:sz w:val="20"/>
                <w:szCs w:val="20"/>
              </w:rPr>
              <w:t>Hrubý domáci produkt v b.c.</w:t>
            </w:r>
            <w:r w:rsidRPr="00D15C85">
              <w:rPr>
                <w:rFonts w:ascii="Times New Roman" w:hAnsi="Times New Roman"/>
                <w:sz w:val="20"/>
                <w:szCs w:val="20"/>
                <w:vertAlign w:val="superscript"/>
              </w:rPr>
              <w:t>3)</w:t>
            </w:r>
            <w:r w:rsidRPr="00D15C85">
              <w:rPr>
                <w:rFonts w:ascii="Times New Roman" w:hAnsi="Times New Roman"/>
                <w:sz w:val="20"/>
                <w:szCs w:val="20"/>
              </w:rPr>
              <w:t xml:space="preserve">  </w:t>
            </w:r>
          </w:p>
        </w:tc>
        <w:tc>
          <w:tcPr>
            <w:tcW w:w="1275" w:type="dxa"/>
            <w:tcBorders>
              <w:top w:val="single" w:sz="4" w:space="0" w:color="auto"/>
              <w:left w:val="single" w:sz="4" w:space="0" w:color="auto"/>
              <w:bottom w:val="double" w:sz="6" w:space="0" w:color="auto"/>
              <w:right w:val="single" w:sz="4" w:space="0" w:color="auto"/>
            </w:tcBorders>
            <w:textDirection w:val="lrTb"/>
            <w:vAlign w:val="bottom"/>
          </w:tcPr>
          <w:p w:rsidR="008E5BC6" w:rsidRPr="00D15C85" w:rsidP="00D11EC1">
            <w:pPr>
              <w:bidi w:val="0"/>
              <w:jc w:val="right"/>
              <w:rPr>
                <w:rFonts w:ascii="Times New Roman" w:hAnsi="Times New Roman"/>
                <w:sz w:val="20"/>
                <w:szCs w:val="20"/>
              </w:rPr>
            </w:pPr>
            <w:r w:rsidR="00D11EC1">
              <w:rPr>
                <w:rFonts w:ascii="Times New Roman" w:hAnsi="Times New Roman"/>
                <w:sz w:val="20"/>
                <w:szCs w:val="20"/>
              </w:rPr>
              <w:t>62 795 200</w:t>
            </w:r>
          </w:p>
        </w:tc>
        <w:tc>
          <w:tcPr>
            <w:tcW w:w="1418" w:type="dxa"/>
            <w:tcBorders>
              <w:top w:val="single" w:sz="4" w:space="0" w:color="auto"/>
              <w:left w:val="single" w:sz="4" w:space="0" w:color="auto"/>
              <w:bottom w:val="double" w:sz="6"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 xml:space="preserve">65 743 500 </w:t>
            </w:r>
          </w:p>
        </w:tc>
        <w:tc>
          <w:tcPr>
            <w:tcW w:w="1417"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bottom"/>
            <w:hideMark/>
          </w:tcPr>
          <w:p w:rsidR="008E5BC6" w:rsidRPr="00D15C85" w:rsidP="00D07062">
            <w:pPr>
              <w:bidi w:val="0"/>
              <w:ind w:right="-50"/>
              <w:jc w:val="right"/>
              <w:rPr>
                <w:rFonts w:ascii="Times New Roman" w:hAnsi="Times New Roman"/>
                <w:sz w:val="20"/>
                <w:szCs w:val="20"/>
              </w:rPr>
            </w:pPr>
            <w:r w:rsidRPr="00D15C85">
              <w:rPr>
                <w:rFonts w:ascii="Times New Roman" w:hAnsi="Times New Roman"/>
                <w:sz w:val="20"/>
                <w:szCs w:val="20"/>
              </w:rPr>
              <w:t xml:space="preserve">69 058 194 </w:t>
            </w:r>
          </w:p>
        </w:tc>
        <w:tc>
          <w:tcPr>
            <w:tcW w:w="1276" w:type="dxa"/>
            <w:tcBorders>
              <w:top w:val="single" w:sz="4" w:space="0" w:color="auto"/>
              <w:left w:val="single" w:sz="4" w:space="0" w:color="auto"/>
              <w:bottom w:val="double" w:sz="6" w:space="0" w:color="auto"/>
              <w:right w:val="single" w:sz="4" w:space="0" w:color="auto"/>
            </w:tcBorders>
            <w:noWrap/>
            <w:textDirection w:val="lrTb"/>
            <w:vAlign w:val="bottom"/>
            <w:hideMark/>
          </w:tcPr>
          <w:p w:rsidR="008E5BC6" w:rsidRPr="00D15C85" w:rsidP="00D07062">
            <w:pPr>
              <w:bidi w:val="0"/>
              <w:jc w:val="right"/>
              <w:rPr>
                <w:rFonts w:ascii="Times New Roman" w:hAnsi="Times New Roman"/>
                <w:sz w:val="20"/>
                <w:szCs w:val="20"/>
              </w:rPr>
            </w:pPr>
            <w:r w:rsidRPr="00D15C85">
              <w:rPr>
                <w:rFonts w:ascii="Times New Roman" w:hAnsi="Times New Roman"/>
                <w:sz w:val="20"/>
                <w:szCs w:val="20"/>
              </w:rPr>
              <w:t>3 314 694</w:t>
            </w:r>
          </w:p>
        </w:tc>
      </w:tr>
      <w:tr>
        <w:tblPrEx>
          <w:tblW w:w="9796" w:type="dxa"/>
          <w:tblCellMar>
            <w:left w:w="70" w:type="dxa"/>
            <w:right w:w="70" w:type="dxa"/>
          </w:tblCellMar>
          <w:tblLook w:val="04A0"/>
        </w:tblPrEx>
        <w:trPr>
          <w:trHeight w:val="270"/>
        </w:trPr>
        <w:tc>
          <w:tcPr>
            <w:tcW w:w="4410" w:type="dxa"/>
            <w:tcBorders>
              <w:top w:val="double" w:sz="6"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rPr>
                <w:rFonts w:ascii="Times New Roman" w:hAnsi="Times New Roman"/>
                <w:b/>
                <w:bCs/>
                <w:sz w:val="20"/>
                <w:szCs w:val="20"/>
              </w:rPr>
            </w:pPr>
            <w:r w:rsidRPr="00D15C85">
              <w:rPr>
                <w:rFonts w:ascii="Times New Roman" w:hAnsi="Times New Roman"/>
                <w:b/>
                <w:bCs/>
                <w:sz w:val="20"/>
                <w:szCs w:val="20"/>
              </w:rPr>
              <w:t>% maastrichtského dlhu z HDP</w:t>
            </w:r>
          </w:p>
        </w:tc>
        <w:tc>
          <w:tcPr>
            <w:tcW w:w="1275" w:type="dxa"/>
            <w:tcBorders>
              <w:top w:val="double" w:sz="6" w:space="0" w:color="auto"/>
              <w:left w:val="single" w:sz="4" w:space="0" w:color="auto"/>
              <w:bottom w:val="single" w:sz="4" w:space="0" w:color="auto"/>
              <w:right w:val="single" w:sz="4" w:space="0" w:color="auto"/>
            </w:tcBorders>
            <w:textDirection w:val="lrTb"/>
            <w:vAlign w:val="bottom"/>
          </w:tcPr>
          <w:p w:rsidR="008E5BC6" w:rsidRPr="00D15C85" w:rsidP="00D11EC1">
            <w:pPr>
              <w:bidi w:val="0"/>
              <w:jc w:val="right"/>
              <w:rPr>
                <w:rFonts w:ascii="Times New Roman" w:hAnsi="Times New Roman"/>
                <w:b/>
                <w:bCs/>
                <w:sz w:val="20"/>
                <w:szCs w:val="20"/>
              </w:rPr>
            </w:pPr>
            <w:r w:rsidR="00D11EC1">
              <w:rPr>
                <w:rFonts w:ascii="Times New Roman" w:hAnsi="Times New Roman"/>
                <w:b/>
                <w:bCs/>
                <w:sz w:val="20"/>
                <w:szCs w:val="20"/>
              </w:rPr>
              <w:t>35,6</w:t>
            </w:r>
          </w:p>
        </w:tc>
        <w:tc>
          <w:tcPr>
            <w:tcW w:w="1418" w:type="dxa"/>
            <w:tcBorders>
              <w:top w:val="double" w:sz="6" w:space="0" w:color="auto"/>
              <w:left w:val="single" w:sz="4" w:space="0" w:color="auto"/>
              <w:bottom w:val="single" w:sz="4" w:space="0" w:color="auto"/>
              <w:right w:val="single" w:sz="4" w:space="0" w:color="auto"/>
            </w:tcBorders>
            <w:noWrap/>
            <w:textDirection w:val="lrTb"/>
            <w:vAlign w:val="bottom"/>
            <w:hideMark/>
          </w:tcPr>
          <w:p w:rsidR="008E5BC6" w:rsidRPr="00D15C85" w:rsidP="00244909">
            <w:pPr>
              <w:bidi w:val="0"/>
              <w:jc w:val="right"/>
              <w:rPr>
                <w:rFonts w:ascii="Times New Roman" w:hAnsi="Times New Roman"/>
                <w:b/>
                <w:bCs/>
                <w:sz w:val="20"/>
                <w:szCs w:val="20"/>
              </w:rPr>
            </w:pPr>
            <w:r w:rsidRPr="00D15C85">
              <w:rPr>
                <w:rFonts w:ascii="Times New Roman" w:hAnsi="Times New Roman"/>
                <w:b/>
                <w:bCs/>
                <w:sz w:val="20"/>
                <w:szCs w:val="20"/>
              </w:rPr>
              <w:t>41,1</w:t>
            </w:r>
          </w:p>
        </w:tc>
        <w:tc>
          <w:tcPr>
            <w:tcW w:w="1417"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43,3</w:t>
            </w:r>
          </w:p>
        </w:tc>
        <w:tc>
          <w:tcPr>
            <w:tcW w:w="1276" w:type="dxa"/>
            <w:tcBorders>
              <w:top w:val="double" w:sz="6" w:space="0" w:color="auto"/>
              <w:left w:val="single" w:sz="4" w:space="0" w:color="auto"/>
              <w:bottom w:val="single" w:sz="4" w:space="0" w:color="auto"/>
              <w:right w:val="single" w:sz="4" w:space="0" w:color="auto"/>
            </w:tcBorders>
            <w:noWrap/>
            <w:textDirection w:val="lrTb"/>
            <w:vAlign w:val="bottom"/>
            <w:hideMark/>
          </w:tcPr>
          <w:p w:rsidR="008E5BC6" w:rsidRPr="00D15C85" w:rsidP="00D07062">
            <w:pPr>
              <w:bidi w:val="0"/>
              <w:jc w:val="right"/>
              <w:rPr>
                <w:rFonts w:ascii="Times New Roman" w:hAnsi="Times New Roman"/>
                <w:b/>
                <w:bCs/>
                <w:sz w:val="20"/>
                <w:szCs w:val="20"/>
              </w:rPr>
            </w:pPr>
            <w:r w:rsidRPr="00D15C85">
              <w:rPr>
                <w:rFonts w:ascii="Times New Roman" w:hAnsi="Times New Roman"/>
                <w:b/>
                <w:bCs/>
                <w:sz w:val="20"/>
                <w:szCs w:val="20"/>
              </w:rPr>
              <w:t>2,2</w:t>
            </w:r>
          </w:p>
        </w:tc>
      </w:tr>
    </w:tbl>
    <w:p w:rsidR="00757BA7" w:rsidP="00757BA7">
      <w:pPr>
        <w:bidi w:val="0"/>
        <w:ind w:left="284" w:hanging="284"/>
        <w:rPr>
          <w:rFonts w:ascii="Times New Roman" w:hAnsi="Times New Roman"/>
          <w:sz w:val="20"/>
        </w:rPr>
      </w:pPr>
      <w:r>
        <w:rPr>
          <w:rFonts w:ascii="Times New Roman" w:hAnsi="Times New Roman"/>
          <w:sz w:val="20"/>
        </w:rPr>
        <w:t>1)</w:t>
      </w:r>
      <w:r>
        <w:rPr>
          <w:rFonts w:ascii="Times New Roman" w:hAnsi="Times New Roman"/>
          <w:sz w:val="20"/>
          <w:szCs w:val="20"/>
        </w:rPr>
        <w:tab/>
      </w:r>
      <w:r w:rsidRPr="00D11EC1">
        <w:rPr>
          <w:rFonts w:ascii="Times New Roman" w:hAnsi="Times New Roman"/>
          <w:sz w:val="20"/>
          <w:szCs w:val="20"/>
        </w:rPr>
        <w:t>Bez záväzkov ARDAL-u voči Štátnej pokladnici</w:t>
      </w:r>
      <w:r>
        <w:rPr>
          <w:rFonts w:ascii="Times New Roman" w:hAnsi="Times New Roman"/>
          <w:sz w:val="20"/>
          <w:szCs w:val="20"/>
        </w:rPr>
        <w:t xml:space="preserve">              </w:t>
      </w:r>
      <w:r w:rsidRPr="00D11EC1">
        <w:rPr>
          <w:rFonts w:ascii="Times New Roman" w:hAnsi="Times New Roman"/>
          <w:sz w:val="20"/>
          <w:szCs w:val="20"/>
        </w:rPr>
        <w:t xml:space="preserve">         </w:t>
      </w:r>
      <w:r>
        <w:rPr>
          <w:rFonts w:ascii="Times New Roman" w:hAnsi="Times New Roman"/>
          <w:sz w:val="20"/>
          <w:szCs w:val="20"/>
        </w:rPr>
        <w:t xml:space="preserve">    </w:t>
      </w:r>
      <w:r w:rsidR="00196628">
        <w:rPr>
          <w:rFonts w:ascii="Times New Roman" w:hAnsi="Times New Roman"/>
          <w:sz w:val="20"/>
          <w:szCs w:val="20"/>
        </w:rPr>
        <w:t xml:space="preserve">   </w:t>
      </w:r>
      <w:r>
        <w:rPr>
          <w:rFonts w:ascii="Times New Roman" w:hAnsi="Times New Roman"/>
          <w:sz w:val="20"/>
          <w:szCs w:val="20"/>
        </w:rPr>
        <w:t xml:space="preserve">         </w:t>
      </w:r>
      <w:r w:rsidRPr="00D11EC1">
        <w:rPr>
          <w:rFonts w:ascii="Times New Roman" w:hAnsi="Times New Roman"/>
          <w:sz w:val="20"/>
          <w:szCs w:val="20"/>
        </w:rPr>
        <w:t xml:space="preserve">3 801 960      </w:t>
      </w:r>
      <w:r>
        <w:rPr>
          <w:rFonts w:ascii="Times New Roman" w:hAnsi="Times New Roman"/>
          <w:sz w:val="20"/>
          <w:szCs w:val="20"/>
        </w:rPr>
        <w:t xml:space="preserve">    </w:t>
      </w:r>
      <w:r w:rsidRPr="00D11EC1">
        <w:rPr>
          <w:rFonts w:ascii="Times New Roman" w:hAnsi="Times New Roman"/>
          <w:sz w:val="20"/>
          <w:szCs w:val="20"/>
        </w:rPr>
        <w:t xml:space="preserve">  3 570</w:t>
      </w:r>
      <w:r>
        <w:rPr>
          <w:rFonts w:ascii="Times New Roman" w:hAnsi="Times New Roman"/>
          <w:sz w:val="20"/>
          <w:szCs w:val="20"/>
        </w:rPr>
        <w:t> </w:t>
      </w:r>
      <w:r w:rsidRPr="00D11EC1">
        <w:rPr>
          <w:rFonts w:ascii="Times New Roman" w:hAnsi="Times New Roman"/>
          <w:sz w:val="20"/>
          <w:szCs w:val="20"/>
        </w:rPr>
        <w:t>708</w:t>
      </w:r>
      <w:r>
        <w:rPr>
          <w:rFonts w:ascii="Times New Roman" w:hAnsi="Times New Roman"/>
          <w:sz w:val="20"/>
          <w:szCs w:val="20"/>
        </w:rPr>
        <w:t xml:space="preserve">     </w:t>
      </w:r>
      <w:r w:rsidR="00196628">
        <w:rPr>
          <w:rFonts w:ascii="Times New Roman" w:hAnsi="Times New Roman"/>
          <w:sz w:val="20"/>
          <w:szCs w:val="20"/>
        </w:rPr>
        <w:t xml:space="preserve"> </w:t>
      </w:r>
      <w:r w:rsidRPr="005C61C0">
        <w:rPr>
          <w:rFonts w:ascii="Times New Roman" w:hAnsi="Times New Roman"/>
          <w:sz w:val="20"/>
          <w:szCs w:val="20"/>
        </w:rPr>
        <w:t>231 252</w:t>
      </w:r>
    </w:p>
    <w:p w:rsidR="00757BA7" w:rsidP="00757BA7">
      <w:pPr>
        <w:bidi w:val="0"/>
        <w:ind w:left="284" w:hanging="284"/>
        <w:rPr>
          <w:rFonts w:ascii="Times New Roman" w:hAnsi="Times New Roman"/>
          <w:sz w:val="20"/>
        </w:rPr>
      </w:pPr>
      <w:r>
        <w:rPr>
          <w:rFonts w:ascii="Times New Roman" w:hAnsi="Times New Roman"/>
          <w:sz w:val="20"/>
        </w:rPr>
        <w:tab/>
      </w:r>
      <w:r w:rsidRPr="005C61C0">
        <w:rPr>
          <w:rFonts w:ascii="Times New Roman" w:hAnsi="Times New Roman"/>
          <w:sz w:val="20"/>
          <w:szCs w:val="20"/>
        </w:rPr>
        <w:t>Bez záväzkov z vkladov verejnej správy v Št. pokladnici</w:t>
      </w:r>
      <w:r>
        <w:rPr>
          <w:rFonts w:ascii="Times New Roman" w:hAnsi="Times New Roman"/>
          <w:sz w:val="20"/>
          <w:szCs w:val="20"/>
        </w:rPr>
        <w:t xml:space="preserve">    </w:t>
      </w:r>
      <w:r w:rsidRPr="005C61C0">
        <w:rPr>
          <w:rFonts w:ascii="Times New Roman" w:hAnsi="Times New Roman"/>
          <w:sz w:val="20"/>
          <w:szCs w:val="20"/>
        </w:rPr>
        <w:t xml:space="preserve"> </w:t>
      </w:r>
      <w:r>
        <w:rPr>
          <w:rFonts w:ascii="Times New Roman" w:hAnsi="Times New Roman"/>
          <w:sz w:val="20"/>
          <w:szCs w:val="20"/>
        </w:rPr>
        <w:t xml:space="preserve">     </w:t>
      </w:r>
      <w:r w:rsidRPr="005C61C0">
        <w:rPr>
          <w:rFonts w:ascii="Times New Roman" w:hAnsi="Times New Roman"/>
          <w:sz w:val="20"/>
          <w:szCs w:val="20"/>
        </w:rPr>
        <w:t xml:space="preserve">    </w:t>
      </w:r>
      <w:r>
        <w:rPr>
          <w:rFonts w:ascii="Times New Roman" w:hAnsi="Times New Roman"/>
          <w:sz w:val="20"/>
          <w:szCs w:val="20"/>
        </w:rPr>
        <w:t xml:space="preserve">       </w:t>
      </w:r>
      <w:r w:rsidRPr="005C61C0">
        <w:rPr>
          <w:rFonts w:ascii="Times New Roman" w:hAnsi="Times New Roman"/>
          <w:sz w:val="20"/>
          <w:szCs w:val="20"/>
        </w:rPr>
        <w:t xml:space="preserve">      2 110</w:t>
      </w:r>
      <w:r>
        <w:rPr>
          <w:rFonts w:ascii="Times New Roman" w:hAnsi="Times New Roman"/>
          <w:sz w:val="20"/>
          <w:szCs w:val="20"/>
        </w:rPr>
        <w:t> </w:t>
      </w:r>
      <w:r w:rsidRPr="005C61C0">
        <w:rPr>
          <w:rFonts w:ascii="Times New Roman" w:hAnsi="Times New Roman"/>
          <w:sz w:val="20"/>
          <w:szCs w:val="20"/>
        </w:rPr>
        <w:t>529</w:t>
      </w:r>
      <w:r>
        <w:rPr>
          <w:rFonts w:ascii="Times New Roman" w:hAnsi="Times New Roman"/>
          <w:sz w:val="20"/>
          <w:szCs w:val="20"/>
        </w:rPr>
        <w:t xml:space="preserve">       </w:t>
      </w:r>
      <w:r w:rsidRPr="005C61C0">
        <w:rPr>
          <w:rFonts w:ascii="Times New Roman" w:hAnsi="Times New Roman"/>
          <w:sz w:val="20"/>
          <w:szCs w:val="20"/>
        </w:rPr>
        <w:t xml:space="preserve">      2 242</w:t>
      </w:r>
      <w:r>
        <w:rPr>
          <w:rFonts w:ascii="Times New Roman" w:hAnsi="Times New Roman"/>
          <w:sz w:val="20"/>
          <w:szCs w:val="20"/>
        </w:rPr>
        <w:t> </w:t>
      </w:r>
      <w:r w:rsidRPr="005C61C0">
        <w:rPr>
          <w:rFonts w:ascii="Times New Roman" w:hAnsi="Times New Roman"/>
          <w:sz w:val="20"/>
          <w:szCs w:val="20"/>
        </w:rPr>
        <w:t>816</w:t>
      </w:r>
      <w:r>
        <w:rPr>
          <w:rFonts w:ascii="Times New Roman" w:hAnsi="Times New Roman"/>
          <w:sz w:val="20"/>
          <w:szCs w:val="20"/>
        </w:rPr>
        <w:t xml:space="preserve">     </w:t>
      </w:r>
      <w:r w:rsidRPr="005C61C0">
        <w:rPr>
          <w:rFonts w:ascii="Times New Roman" w:hAnsi="Times New Roman"/>
          <w:sz w:val="20"/>
          <w:szCs w:val="20"/>
        </w:rPr>
        <w:t>132 287</w:t>
      </w:r>
    </w:p>
    <w:p w:rsidR="00D07062" w:rsidRPr="004217D1" w:rsidP="00757BA7">
      <w:pPr>
        <w:bidi w:val="0"/>
        <w:ind w:left="284" w:hanging="284"/>
        <w:rPr>
          <w:rFonts w:ascii="Times New Roman" w:hAnsi="Times New Roman"/>
          <w:sz w:val="20"/>
        </w:rPr>
      </w:pPr>
      <w:r w:rsidR="00244909">
        <w:rPr>
          <w:rFonts w:ascii="Times New Roman" w:hAnsi="Times New Roman"/>
          <w:sz w:val="20"/>
        </w:rPr>
        <w:t>2)</w:t>
      </w:r>
      <w:r w:rsidR="00D11EC1">
        <w:rPr>
          <w:rFonts w:ascii="Times New Roman" w:hAnsi="Times New Roman"/>
          <w:sz w:val="20"/>
        </w:rPr>
        <w:tab/>
      </w:r>
      <w:r w:rsidRPr="004217D1">
        <w:rPr>
          <w:rFonts w:ascii="Times New Roman" w:hAnsi="Times New Roman"/>
          <w:sz w:val="20"/>
        </w:rPr>
        <w:t>Konsolidácia predstavuje nesplatené návratné finančné výpomoci poskytnuté zo štátnych finančných aktív mestu Žilina (</w:t>
      </w:r>
      <w:r>
        <w:rPr>
          <w:rFonts w:ascii="Times New Roman" w:hAnsi="Times New Roman"/>
          <w:sz w:val="20"/>
        </w:rPr>
        <w:t>17 573 tis. eur</w:t>
      </w:r>
      <w:r w:rsidRPr="004217D1">
        <w:rPr>
          <w:rFonts w:ascii="Times New Roman" w:hAnsi="Times New Roman"/>
          <w:sz w:val="20"/>
        </w:rPr>
        <w:t>), Bratislavskému samosprávnemu kraju (4 813 tis. eur), pôžička Ministerstva pôdohospodárstva a rozvoja vidieka Agentúre pre rozvoj vidieka (</w:t>
      </w:r>
      <w:r>
        <w:rPr>
          <w:rFonts w:ascii="Times New Roman" w:hAnsi="Times New Roman"/>
          <w:sz w:val="20"/>
        </w:rPr>
        <w:t>328</w:t>
      </w:r>
      <w:r w:rsidRPr="004217D1">
        <w:rPr>
          <w:rFonts w:ascii="Times New Roman" w:hAnsi="Times New Roman"/>
          <w:sz w:val="20"/>
        </w:rPr>
        <w:t xml:space="preserve"> tis. eur)</w:t>
      </w:r>
      <w:r>
        <w:rPr>
          <w:rFonts w:ascii="Times New Roman" w:hAnsi="Times New Roman"/>
          <w:sz w:val="20"/>
        </w:rPr>
        <w:t>,</w:t>
      </w:r>
      <w:r w:rsidRPr="004217D1">
        <w:rPr>
          <w:rFonts w:ascii="Times New Roman" w:hAnsi="Times New Roman"/>
          <w:sz w:val="20"/>
        </w:rPr>
        <w:t> pôžičky zo Štátneho fondu rozvoja bývania obciam (</w:t>
      </w:r>
      <w:r>
        <w:rPr>
          <w:rFonts w:ascii="Times New Roman" w:hAnsi="Times New Roman"/>
          <w:sz w:val="20"/>
        </w:rPr>
        <w:t>667 055 tis. eur) a pôžičky obciam od subjektov verejnej správy (2 051 tis. eur).</w:t>
      </w:r>
    </w:p>
    <w:p w:rsidR="00D07062" w:rsidRPr="004217D1" w:rsidP="00757BA7">
      <w:pPr>
        <w:tabs>
          <w:tab w:val="left" w:pos="6277"/>
          <w:tab w:val="left" w:pos="7497"/>
          <w:tab w:val="left" w:pos="8717"/>
        </w:tabs>
        <w:bidi w:val="0"/>
        <w:ind w:left="55"/>
        <w:rPr>
          <w:rFonts w:ascii="Times New Roman" w:hAnsi="Times New Roman"/>
          <w:sz w:val="20"/>
        </w:rPr>
      </w:pPr>
      <w:r w:rsidRPr="004217D1">
        <w:rPr>
          <w:rFonts w:ascii="Times New Roman" w:hAnsi="Times New Roman"/>
          <w:sz w:val="20"/>
        </w:rPr>
        <w:t>3) HDP v roku 201</w:t>
      </w:r>
      <w:r>
        <w:rPr>
          <w:rFonts w:ascii="Times New Roman" w:hAnsi="Times New Roman"/>
          <w:sz w:val="20"/>
        </w:rPr>
        <w:t>1</w:t>
      </w:r>
      <w:r w:rsidRPr="004217D1">
        <w:rPr>
          <w:rFonts w:ascii="Times New Roman" w:hAnsi="Times New Roman"/>
          <w:sz w:val="20"/>
        </w:rPr>
        <w:t xml:space="preserve"> predstavuje odhad Štatistického úradu SR.</w:t>
      </w:r>
    </w:p>
    <w:p w:rsidR="00D07062" w:rsidRPr="004217D1" w:rsidP="00757BA7">
      <w:pPr>
        <w:tabs>
          <w:tab w:val="left" w:pos="6277"/>
          <w:tab w:val="left" w:pos="7497"/>
          <w:tab w:val="left" w:pos="8717"/>
        </w:tabs>
        <w:bidi w:val="0"/>
        <w:ind w:left="55"/>
        <w:rPr>
          <w:rFonts w:ascii="Times New Roman" w:hAnsi="Times New Roman"/>
          <w:sz w:val="20"/>
        </w:rPr>
      </w:pPr>
      <w:r w:rsidR="00C36624">
        <w:rPr>
          <w:rFonts w:ascii="Times New Roman" w:hAnsi="Times New Roman"/>
          <w:sz w:val="20"/>
        </w:rPr>
        <w:t xml:space="preserve">4) Ostatné, tu neuvedené, </w:t>
      </w:r>
      <w:r w:rsidR="0042166B">
        <w:rPr>
          <w:rFonts w:ascii="Times New Roman" w:hAnsi="Times New Roman"/>
          <w:sz w:val="20"/>
        </w:rPr>
        <w:t xml:space="preserve">subjekty </w:t>
      </w:r>
      <w:r w:rsidRPr="004217D1">
        <w:rPr>
          <w:rFonts w:ascii="Times New Roman" w:hAnsi="Times New Roman"/>
          <w:sz w:val="20"/>
        </w:rPr>
        <w:t>verejnej správy v rokoch 20</w:t>
      </w:r>
      <w:r>
        <w:rPr>
          <w:rFonts w:ascii="Times New Roman" w:hAnsi="Times New Roman"/>
          <w:sz w:val="20"/>
        </w:rPr>
        <w:t>10</w:t>
      </w:r>
      <w:r w:rsidRPr="004217D1">
        <w:rPr>
          <w:rFonts w:ascii="Times New Roman" w:hAnsi="Times New Roman"/>
          <w:sz w:val="20"/>
        </w:rPr>
        <w:t xml:space="preserve"> a 201</w:t>
      </w:r>
      <w:r>
        <w:rPr>
          <w:rFonts w:ascii="Times New Roman" w:hAnsi="Times New Roman"/>
          <w:sz w:val="20"/>
        </w:rPr>
        <w:t>1</w:t>
      </w:r>
      <w:r w:rsidRPr="004217D1">
        <w:rPr>
          <w:rFonts w:ascii="Times New Roman" w:hAnsi="Times New Roman"/>
          <w:sz w:val="20"/>
        </w:rPr>
        <w:t xml:space="preserve"> nemali dlh.</w:t>
      </w:r>
    </w:p>
    <w:p w:rsidR="00D07062" w:rsidRPr="004217D1" w:rsidP="00757BA7">
      <w:pPr>
        <w:bidi w:val="0"/>
        <w:spacing w:before="120" w:after="120" w:line="360" w:lineRule="auto"/>
        <w:jc w:val="both"/>
        <w:rPr>
          <w:rFonts w:ascii="Times New Roman" w:hAnsi="Times New Roman"/>
        </w:rPr>
      </w:pPr>
      <w:r>
        <w:rPr>
          <w:rFonts w:ascii="Times New Roman" w:hAnsi="Times New Roman"/>
        </w:rPr>
        <w:t xml:space="preserve">Zvýšenie </w:t>
      </w:r>
      <w:r w:rsidRPr="004217D1">
        <w:rPr>
          <w:rFonts w:ascii="Times New Roman" w:hAnsi="Times New Roman"/>
        </w:rPr>
        <w:t>maastrichtského dlhu v roku 201</w:t>
      </w:r>
      <w:r>
        <w:rPr>
          <w:rFonts w:ascii="Times New Roman" w:hAnsi="Times New Roman"/>
        </w:rPr>
        <w:t>1</w:t>
      </w:r>
      <w:r w:rsidRPr="004217D1">
        <w:rPr>
          <w:rFonts w:ascii="Times New Roman" w:hAnsi="Times New Roman"/>
        </w:rPr>
        <w:t xml:space="preserve"> </w:t>
      </w:r>
      <w:r w:rsidRPr="00FE1A17">
        <w:rPr>
          <w:rFonts w:ascii="Times New Roman" w:hAnsi="Times New Roman"/>
          <w:b/>
        </w:rPr>
        <w:t xml:space="preserve">negatívne </w:t>
      </w:r>
      <w:r w:rsidRPr="004217D1">
        <w:rPr>
          <w:rFonts w:ascii="Times New Roman" w:hAnsi="Times New Roman"/>
        </w:rPr>
        <w:t>ovplyvnili najmä tieto skutočnosti:</w:t>
      </w:r>
    </w:p>
    <w:p w:rsidR="00D07062" w:rsidP="00244909">
      <w:pPr>
        <w:numPr>
          <w:numId w:val="15"/>
        </w:numPr>
        <w:bidi w:val="0"/>
        <w:spacing w:line="360" w:lineRule="auto"/>
        <w:jc w:val="both"/>
        <w:rPr>
          <w:rFonts w:ascii="Times New Roman" w:hAnsi="Times New Roman"/>
        </w:rPr>
      </w:pPr>
      <w:r w:rsidRPr="004217D1">
        <w:rPr>
          <w:rFonts w:ascii="Times New Roman" w:hAnsi="Times New Roman"/>
        </w:rPr>
        <w:t xml:space="preserve">schodok štátneho rozpočtu na hotovostnej báze a ďalšie požiadavky na cudzie zdroje vyplývajúce z riadenia dlhu a likvidity v priebehu uplynulého roka, ktoré vyvolali potrebu emitovať štátne pokladničné poukážky v menovitej hodnote </w:t>
      </w:r>
      <w:r>
        <w:rPr>
          <w:rFonts w:ascii="Times New Roman" w:hAnsi="Times New Roman"/>
        </w:rPr>
        <w:t>1 328 829</w:t>
      </w:r>
      <w:r w:rsidR="00244909">
        <w:rPr>
          <w:rFonts w:ascii="Times New Roman" w:hAnsi="Times New Roman"/>
        </w:rPr>
        <w:t xml:space="preserve"> tis. eur a </w:t>
      </w:r>
      <w:r w:rsidRPr="004217D1">
        <w:rPr>
          <w:rFonts w:ascii="Times New Roman" w:hAnsi="Times New Roman"/>
        </w:rPr>
        <w:t xml:space="preserve">emitovať štátne dlhopisy v menovitej hodnote </w:t>
      </w:r>
      <w:r>
        <w:rPr>
          <w:rFonts w:ascii="Times New Roman" w:hAnsi="Times New Roman"/>
        </w:rPr>
        <w:t>4 662 157</w:t>
      </w:r>
      <w:r w:rsidRPr="004217D1">
        <w:rPr>
          <w:rFonts w:ascii="Times New Roman" w:hAnsi="Times New Roman"/>
        </w:rPr>
        <w:t xml:space="preserve"> tis. eur,</w:t>
      </w:r>
    </w:p>
    <w:p w:rsidR="00D07062" w:rsidRPr="008C52A2" w:rsidP="008D2C83">
      <w:pPr>
        <w:pStyle w:val="ListParagraph"/>
        <w:numPr>
          <w:numId w:val="15"/>
        </w:numPr>
        <w:bidi w:val="0"/>
        <w:spacing w:after="0" w:line="360" w:lineRule="auto"/>
        <w:jc w:val="both"/>
        <w:rPr>
          <w:rFonts w:ascii="Times New Roman" w:hAnsi="Times New Roman"/>
          <w:sz w:val="24"/>
          <w:szCs w:val="24"/>
        </w:rPr>
      </w:pPr>
      <w:r w:rsidRPr="008C52A2">
        <w:rPr>
          <w:rFonts w:ascii="Times New Roman" w:hAnsi="Times New Roman"/>
          <w:sz w:val="24"/>
          <w:szCs w:val="24"/>
        </w:rPr>
        <w:t>prijaté bankové úvery do štátneho dlhu vo výške 1 862 880 tis. eur,</w:t>
      </w:r>
    </w:p>
    <w:p w:rsidR="008D2C83" w:rsidP="008D2C83">
      <w:pPr>
        <w:numPr>
          <w:numId w:val="15"/>
        </w:numPr>
        <w:bidi w:val="0"/>
        <w:spacing w:line="360" w:lineRule="auto"/>
        <w:jc w:val="both"/>
        <w:rPr>
          <w:rFonts w:ascii="Times New Roman" w:hAnsi="Times New Roman"/>
        </w:rPr>
      </w:pPr>
      <w:r>
        <w:rPr>
          <w:rFonts w:ascii="Times New Roman" w:hAnsi="Times New Roman"/>
        </w:rPr>
        <w:t>prevzatie záväzkov z EFSF vo výške 172 613 tis. eur,</w:t>
      </w:r>
    </w:p>
    <w:p w:rsidR="008D2C83" w:rsidRPr="004217D1" w:rsidP="008D2C83">
      <w:pPr>
        <w:numPr>
          <w:numId w:val="15"/>
        </w:numPr>
        <w:bidi w:val="0"/>
        <w:spacing w:line="360" w:lineRule="auto"/>
        <w:jc w:val="both"/>
        <w:rPr>
          <w:rFonts w:ascii="Times New Roman" w:hAnsi="Times New Roman"/>
        </w:rPr>
      </w:pPr>
      <w:r>
        <w:rPr>
          <w:rFonts w:ascii="Times New Roman" w:hAnsi="Times New Roman"/>
        </w:rPr>
        <w:t>prevzatie záväzkov nemocníc vo výške 100 338 tis. eur,</w:t>
      </w:r>
    </w:p>
    <w:p w:rsidR="00D07062" w:rsidP="008D2C83">
      <w:pPr>
        <w:numPr>
          <w:numId w:val="15"/>
        </w:numPr>
        <w:bidi w:val="0"/>
        <w:spacing w:line="360" w:lineRule="auto"/>
        <w:jc w:val="both"/>
        <w:rPr>
          <w:rFonts w:ascii="Times New Roman" w:hAnsi="Times New Roman"/>
        </w:rPr>
      </w:pPr>
      <w:r>
        <w:rPr>
          <w:rFonts w:ascii="Times New Roman" w:hAnsi="Times New Roman"/>
        </w:rPr>
        <w:t>používanie</w:t>
      </w:r>
      <w:r w:rsidRPr="004217D1">
        <w:rPr>
          <w:rFonts w:ascii="Times New Roman" w:hAnsi="Times New Roman"/>
        </w:rPr>
        <w:t xml:space="preserve"> vkladov na účtoch tých klientov Štátnej pokladnice SR, ktorí nepatria do sektora ve</w:t>
      </w:r>
      <w:r>
        <w:rPr>
          <w:rFonts w:ascii="Times New Roman" w:hAnsi="Times New Roman"/>
        </w:rPr>
        <w:t>rejnej sp</w:t>
      </w:r>
      <w:r w:rsidR="00C36624">
        <w:rPr>
          <w:rFonts w:ascii="Times New Roman" w:hAnsi="Times New Roman"/>
        </w:rPr>
        <w:t xml:space="preserve">rávy </w:t>
      </w:r>
      <w:r w:rsidR="001650C9">
        <w:rPr>
          <w:rFonts w:ascii="Times New Roman" w:hAnsi="Times New Roman"/>
        </w:rPr>
        <w:t>v hodnote 29 739 tis. eur,</w:t>
      </w:r>
      <w:r w:rsidRPr="004217D1">
        <w:rPr>
          <w:rFonts w:ascii="Times New Roman" w:hAnsi="Times New Roman"/>
        </w:rPr>
        <w:t xml:space="preserve"> </w:t>
      </w:r>
    </w:p>
    <w:p w:rsidR="008D2C83" w:rsidRPr="004217D1" w:rsidP="008D2C83">
      <w:pPr>
        <w:numPr>
          <w:numId w:val="15"/>
        </w:numPr>
        <w:bidi w:val="0"/>
        <w:spacing w:line="360" w:lineRule="auto"/>
        <w:jc w:val="both"/>
        <w:rPr>
          <w:rFonts w:ascii="Times New Roman" w:hAnsi="Times New Roman"/>
        </w:rPr>
      </w:pPr>
      <w:r w:rsidRPr="004217D1">
        <w:rPr>
          <w:rFonts w:ascii="Times New Roman" w:hAnsi="Times New Roman"/>
        </w:rPr>
        <w:t>zvýšenie konsolidovaného dlhu vyšších územných celkov o</w:t>
      </w:r>
      <w:r>
        <w:rPr>
          <w:rFonts w:ascii="Times New Roman" w:hAnsi="Times New Roman"/>
        </w:rPr>
        <w:t> 18 246</w:t>
      </w:r>
      <w:r w:rsidRPr="004217D1">
        <w:rPr>
          <w:rFonts w:ascii="Times New Roman" w:hAnsi="Times New Roman"/>
        </w:rPr>
        <w:t xml:space="preserve"> tis. eur,</w:t>
      </w:r>
    </w:p>
    <w:p w:rsidR="00D07062" w:rsidRPr="004217D1" w:rsidP="008D2C83">
      <w:pPr>
        <w:numPr>
          <w:numId w:val="15"/>
        </w:numPr>
        <w:bidi w:val="0"/>
        <w:spacing w:line="360" w:lineRule="auto"/>
        <w:jc w:val="both"/>
        <w:rPr>
          <w:rFonts w:ascii="Times New Roman" w:hAnsi="Times New Roman"/>
        </w:rPr>
      </w:pPr>
      <w:r w:rsidRPr="004217D1">
        <w:rPr>
          <w:rFonts w:ascii="Times New Roman" w:hAnsi="Times New Roman"/>
        </w:rPr>
        <w:t>vývoj kurzu eura, ktorý spôsobil zvýšenie hodnoty štátneho dlhu o</w:t>
      </w:r>
      <w:r>
        <w:rPr>
          <w:rFonts w:ascii="Times New Roman" w:hAnsi="Times New Roman"/>
        </w:rPr>
        <w:t> 5 819</w:t>
      </w:r>
      <w:r w:rsidRPr="004217D1">
        <w:rPr>
          <w:rFonts w:ascii="Times New Roman" w:hAnsi="Times New Roman"/>
        </w:rPr>
        <w:t xml:space="preserve"> tis. eur,</w:t>
      </w:r>
    </w:p>
    <w:p w:rsidR="00D07062" w:rsidRPr="004217D1" w:rsidP="008D2C83">
      <w:pPr>
        <w:numPr>
          <w:numId w:val="15"/>
        </w:numPr>
        <w:bidi w:val="0"/>
        <w:spacing w:line="360" w:lineRule="auto"/>
        <w:jc w:val="both"/>
        <w:rPr>
          <w:rFonts w:ascii="Times New Roman" w:hAnsi="Times New Roman"/>
        </w:rPr>
      </w:pPr>
      <w:r w:rsidRPr="004217D1">
        <w:rPr>
          <w:rFonts w:ascii="Times New Roman" w:hAnsi="Times New Roman"/>
        </w:rPr>
        <w:t xml:space="preserve">zvýšenie konsolidovaného dlhu ostatných </w:t>
      </w:r>
      <w:r w:rsidR="0022337B">
        <w:rPr>
          <w:rFonts w:ascii="Times New Roman" w:hAnsi="Times New Roman"/>
        </w:rPr>
        <w:t>subjektov</w:t>
      </w:r>
      <w:r w:rsidRPr="004217D1">
        <w:rPr>
          <w:rFonts w:ascii="Times New Roman" w:hAnsi="Times New Roman"/>
        </w:rPr>
        <w:t xml:space="preserve"> verejnej správy o </w:t>
      </w:r>
      <w:r>
        <w:rPr>
          <w:rFonts w:ascii="Times New Roman" w:hAnsi="Times New Roman"/>
        </w:rPr>
        <w:t>23</w:t>
      </w:r>
      <w:r w:rsidRPr="004217D1">
        <w:rPr>
          <w:rFonts w:ascii="Times New Roman" w:hAnsi="Times New Roman"/>
        </w:rPr>
        <w:t xml:space="preserve"> tis. eur. </w:t>
      </w:r>
    </w:p>
    <w:p w:rsidR="00D07062" w:rsidRPr="004217D1" w:rsidP="00D07062">
      <w:pPr>
        <w:bidi w:val="0"/>
        <w:spacing w:before="120" w:after="120" w:line="360" w:lineRule="auto"/>
        <w:jc w:val="both"/>
        <w:rPr>
          <w:rFonts w:ascii="Times New Roman" w:hAnsi="Times New Roman"/>
        </w:rPr>
      </w:pPr>
      <w:r w:rsidRPr="008D2C83">
        <w:rPr>
          <w:rFonts w:ascii="Times New Roman" w:hAnsi="Times New Roman"/>
          <w:b/>
        </w:rPr>
        <w:t>Pozitívny</w:t>
      </w:r>
      <w:r w:rsidRPr="004217D1">
        <w:rPr>
          <w:rFonts w:ascii="Times New Roman" w:hAnsi="Times New Roman"/>
        </w:rPr>
        <w:t xml:space="preserve"> vplyv na vývoj maastrichtského dlhu </w:t>
      </w:r>
      <w:r>
        <w:rPr>
          <w:rFonts w:ascii="Times New Roman" w:hAnsi="Times New Roman"/>
        </w:rPr>
        <w:t xml:space="preserve">oproti jeho stavu v roku 2010 </w:t>
      </w:r>
      <w:r w:rsidRPr="004217D1">
        <w:rPr>
          <w:rFonts w:ascii="Times New Roman" w:hAnsi="Times New Roman"/>
        </w:rPr>
        <w:t>mali najmä tieto skutočnosti:</w:t>
      </w:r>
    </w:p>
    <w:p w:rsidR="008D2C83" w:rsidRPr="004217D1" w:rsidP="008D2C83">
      <w:pPr>
        <w:numPr>
          <w:numId w:val="16"/>
        </w:numPr>
        <w:tabs>
          <w:tab w:val="num" w:pos="567"/>
          <w:tab w:val="clear" w:pos="945"/>
        </w:tabs>
        <w:bidi w:val="0"/>
        <w:spacing w:line="360" w:lineRule="auto"/>
        <w:ind w:hanging="661"/>
        <w:jc w:val="both"/>
        <w:rPr>
          <w:rFonts w:ascii="Times New Roman" w:hAnsi="Times New Roman"/>
        </w:rPr>
      </w:pPr>
      <w:r w:rsidRPr="004217D1">
        <w:rPr>
          <w:rFonts w:ascii="Times New Roman" w:hAnsi="Times New Roman"/>
        </w:rPr>
        <w:t>splátky záväzkov zo štátnych dlhopisov v menovitej hodnote 2</w:t>
      </w:r>
      <w:r>
        <w:rPr>
          <w:rFonts w:ascii="Times New Roman" w:hAnsi="Times New Roman"/>
        </w:rPr>
        <w:t> 414 450</w:t>
      </w:r>
      <w:r w:rsidRPr="004217D1">
        <w:rPr>
          <w:rFonts w:ascii="Times New Roman" w:hAnsi="Times New Roman"/>
        </w:rPr>
        <w:t xml:space="preserve"> tis. eur,</w:t>
      </w:r>
    </w:p>
    <w:p w:rsidR="00D07062" w:rsidRPr="004217D1" w:rsidP="00BB78E6">
      <w:pPr>
        <w:numPr>
          <w:numId w:val="16"/>
        </w:numPr>
        <w:tabs>
          <w:tab w:val="num" w:pos="567"/>
          <w:tab w:val="clear" w:pos="945"/>
        </w:tabs>
        <w:bidi w:val="0"/>
        <w:spacing w:line="360" w:lineRule="auto"/>
        <w:ind w:left="567" w:hanging="283"/>
        <w:jc w:val="both"/>
        <w:rPr>
          <w:rFonts w:ascii="Times New Roman" w:hAnsi="Times New Roman"/>
        </w:rPr>
      </w:pPr>
      <w:r w:rsidRPr="004217D1">
        <w:rPr>
          <w:rFonts w:ascii="Times New Roman" w:hAnsi="Times New Roman"/>
        </w:rPr>
        <w:t xml:space="preserve">splátky záväzkov zo štátnych pokladničných poukážok v menovitej hodnote </w:t>
        <w:br/>
      </w:r>
      <w:r>
        <w:rPr>
          <w:rFonts w:ascii="Times New Roman" w:hAnsi="Times New Roman"/>
        </w:rPr>
        <w:t>1 461 725</w:t>
      </w:r>
      <w:r w:rsidRPr="004217D1">
        <w:rPr>
          <w:rFonts w:ascii="Times New Roman" w:hAnsi="Times New Roman"/>
        </w:rPr>
        <w:t xml:space="preserve"> tis. eur,</w:t>
      </w:r>
    </w:p>
    <w:p w:rsidR="00D07062" w:rsidP="008D2C83">
      <w:pPr>
        <w:numPr>
          <w:numId w:val="16"/>
        </w:numPr>
        <w:tabs>
          <w:tab w:val="num" w:pos="567"/>
          <w:tab w:val="clear" w:pos="945"/>
        </w:tabs>
        <w:bidi w:val="0"/>
        <w:spacing w:line="360" w:lineRule="auto"/>
        <w:ind w:hanging="661"/>
        <w:jc w:val="both"/>
        <w:rPr>
          <w:rFonts w:ascii="Times New Roman" w:hAnsi="Times New Roman"/>
        </w:rPr>
      </w:pPr>
      <w:r w:rsidRPr="004217D1">
        <w:rPr>
          <w:rFonts w:ascii="Times New Roman" w:hAnsi="Times New Roman"/>
        </w:rPr>
        <w:t xml:space="preserve">splátky úverov v štátnom dlhu v hodnote </w:t>
      </w:r>
      <w:r>
        <w:rPr>
          <w:rFonts w:ascii="Times New Roman" w:hAnsi="Times New Roman"/>
        </w:rPr>
        <w:t>1 339 547</w:t>
      </w:r>
      <w:r w:rsidRPr="004217D1">
        <w:rPr>
          <w:rFonts w:ascii="Times New Roman" w:hAnsi="Times New Roman"/>
        </w:rPr>
        <w:t xml:space="preserve"> tis. eur, </w:t>
      </w:r>
    </w:p>
    <w:p w:rsidR="00D07062" w:rsidRPr="004217D1" w:rsidP="008D2C83">
      <w:pPr>
        <w:numPr>
          <w:numId w:val="16"/>
        </w:numPr>
        <w:tabs>
          <w:tab w:val="num" w:pos="567"/>
          <w:tab w:val="clear" w:pos="945"/>
        </w:tabs>
        <w:bidi w:val="0"/>
        <w:spacing w:line="360" w:lineRule="auto"/>
        <w:ind w:hanging="661"/>
        <w:jc w:val="both"/>
        <w:rPr>
          <w:rFonts w:ascii="Times New Roman" w:hAnsi="Times New Roman"/>
        </w:rPr>
      </w:pPr>
      <w:r>
        <w:rPr>
          <w:rFonts w:ascii="Times New Roman" w:hAnsi="Times New Roman"/>
        </w:rPr>
        <w:t>zníženie</w:t>
      </w:r>
      <w:r w:rsidRPr="004217D1">
        <w:rPr>
          <w:rFonts w:ascii="Times New Roman" w:hAnsi="Times New Roman"/>
        </w:rPr>
        <w:t xml:space="preserve"> konsolidovaného dlhu obcí o</w:t>
      </w:r>
      <w:r>
        <w:rPr>
          <w:rFonts w:ascii="Times New Roman" w:hAnsi="Times New Roman"/>
        </w:rPr>
        <w:t> 52 038</w:t>
      </w:r>
      <w:r w:rsidRPr="004217D1">
        <w:rPr>
          <w:rFonts w:ascii="Times New Roman" w:hAnsi="Times New Roman"/>
        </w:rPr>
        <w:t xml:space="preserve"> tis. eur</w:t>
      </w:r>
      <w:r>
        <w:rPr>
          <w:rFonts w:ascii="Times New Roman" w:hAnsi="Times New Roman"/>
        </w:rPr>
        <w:t>.</w:t>
      </w:r>
      <w:r w:rsidRPr="004217D1">
        <w:rPr>
          <w:rFonts w:ascii="Times New Roman" w:hAnsi="Times New Roman"/>
        </w:rPr>
        <w:t xml:space="preserve"> </w:t>
      </w:r>
    </w:p>
    <w:p w:rsidR="00D07062" w:rsidRPr="004217D1" w:rsidP="00B52084">
      <w:pPr>
        <w:bidi w:val="0"/>
        <w:spacing w:before="120" w:after="120" w:line="360" w:lineRule="auto"/>
        <w:jc w:val="both"/>
        <w:rPr>
          <w:rFonts w:ascii="Times New Roman" w:hAnsi="Times New Roman"/>
        </w:rPr>
      </w:pPr>
      <w:r w:rsidRPr="008D2C83">
        <w:rPr>
          <w:rFonts w:ascii="Times New Roman" w:hAnsi="Times New Roman"/>
          <w:b/>
        </w:rPr>
        <w:t>Maastrichtský dlh bol k 31. 12. 2011 financovaný</w:t>
      </w:r>
      <w:r w:rsidRPr="004217D1">
        <w:rPr>
          <w:rFonts w:ascii="Times New Roman" w:hAnsi="Times New Roman"/>
        </w:rPr>
        <w:t xml:space="preserve"> predovšetkým </w:t>
      </w:r>
      <w:r>
        <w:rPr>
          <w:rFonts w:ascii="Times New Roman" w:hAnsi="Times New Roman"/>
        </w:rPr>
        <w:t xml:space="preserve">dlhovými </w:t>
      </w:r>
      <w:r w:rsidRPr="004217D1">
        <w:rPr>
          <w:rFonts w:ascii="Times New Roman" w:hAnsi="Times New Roman"/>
        </w:rPr>
        <w:t xml:space="preserve">cennými papiermi v menovitej hodnote </w:t>
      </w:r>
      <w:r>
        <w:rPr>
          <w:rFonts w:ascii="Times New Roman" w:hAnsi="Times New Roman"/>
        </w:rPr>
        <w:t>27 052 154</w:t>
      </w:r>
      <w:r w:rsidRPr="004217D1">
        <w:rPr>
          <w:rFonts w:ascii="Times New Roman" w:hAnsi="Times New Roman"/>
        </w:rPr>
        <w:t xml:space="preserve"> tis. eur (</w:t>
      </w:r>
      <w:r>
        <w:rPr>
          <w:rFonts w:ascii="Times New Roman" w:hAnsi="Times New Roman"/>
        </w:rPr>
        <w:t xml:space="preserve">90,4 </w:t>
      </w:r>
      <w:r w:rsidRPr="004217D1">
        <w:rPr>
          <w:rFonts w:ascii="Times New Roman" w:hAnsi="Times New Roman"/>
        </w:rPr>
        <w:t xml:space="preserve">%). Z toho podstatnú časť tvorili </w:t>
      </w:r>
      <w:r>
        <w:rPr>
          <w:rFonts w:ascii="Times New Roman" w:hAnsi="Times New Roman"/>
        </w:rPr>
        <w:t xml:space="preserve">štátne </w:t>
      </w:r>
      <w:r w:rsidRPr="004217D1">
        <w:rPr>
          <w:rFonts w:ascii="Times New Roman" w:hAnsi="Times New Roman"/>
        </w:rPr>
        <w:t xml:space="preserve">dlhopisy v menovitej hodnote </w:t>
      </w:r>
      <w:r>
        <w:rPr>
          <w:rFonts w:ascii="Times New Roman" w:hAnsi="Times New Roman"/>
        </w:rPr>
        <w:t>25 915 254</w:t>
      </w:r>
      <w:r w:rsidRPr="004217D1">
        <w:rPr>
          <w:rFonts w:ascii="Times New Roman" w:hAnsi="Times New Roman"/>
        </w:rPr>
        <w:t xml:space="preserve"> tis. eur a štátne pokladničné poukážky v menovitej hodnote </w:t>
      </w:r>
      <w:r w:rsidR="001650C9">
        <w:rPr>
          <w:rFonts w:ascii="Times New Roman" w:hAnsi="Times New Roman"/>
        </w:rPr>
        <w:br/>
      </w:r>
      <w:r w:rsidRPr="004217D1">
        <w:rPr>
          <w:rFonts w:ascii="Times New Roman" w:hAnsi="Times New Roman"/>
        </w:rPr>
        <w:t>1</w:t>
      </w:r>
      <w:r>
        <w:rPr>
          <w:rFonts w:ascii="Times New Roman" w:hAnsi="Times New Roman"/>
        </w:rPr>
        <w:t> 136 900</w:t>
      </w:r>
      <w:r w:rsidRPr="004217D1">
        <w:rPr>
          <w:rFonts w:ascii="Times New Roman" w:hAnsi="Times New Roman"/>
        </w:rPr>
        <w:t xml:space="preserve"> tis. eur. Bankové úvery a </w:t>
      </w:r>
      <w:r>
        <w:rPr>
          <w:rFonts w:ascii="Times New Roman" w:hAnsi="Times New Roman"/>
        </w:rPr>
        <w:t>iné</w:t>
      </w:r>
      <w:r w:rsidRPr="004217D1">
        <w:rPr>
          <w:rFonts w:ascii="Times New Roman" w:hAnsi="Times New Roman"/>
        </w:rPr>
        <w:t xml:space="preserve"> </w:t>
      </w:r>
      <w:r>
        <w:rPr>
          <w:rFonts w:ascii="Times New Roman" w:hAnsi="Times New Roman"/>
        </w:rPr>
        <w:t>záväzky</w:t>
      </w:r>
      <w:r w:rsidRPr="004217D1">
        <w:rPr>
          <w:rFonts w:ascii="Times New Roman" w:hAnsi="Times New Roman"/>
        </w:rPr>
        <w:t xml:space="preserve"> dosiahli hodnotu </w:t>
      </w:r>
      <w:r>
        <w:rPr>
          <w:rFonts w:ascii="Times New Roman" w:hAnsi="Times New Roman"/>
        </w:rPr>
        <w:t>2 758 319</w:t>
      </w:r>
      <w:r w:rsidRPr="004217D1">
        <w:rPr>
          <w:rFonts w:ascii="Times New Roman" w:hAnsi="Times New Roman"/>
        </w:rPr>
        <w:t xml:space="preserve"> tis. eur (</w:t>
      </w:r>
      <w:r>
        <w:rPr>
          <w:rFonts w:ascii="Times New Roman" w:hAnsi="Times New Roman"/>
        </w:rPr>
        <w:t xml:space="preserve">9,2 </w:t>
      </w:r>
      <w:r w:rsidRPr="004217D1">
        <w:rPr>
          <w:rFonts w:ascii="Times New Roman" w:hAnsi="Times New Roman"/>
        </w:rPr>
        <w:t>%), z</w:t>
      </w:r>
      <w:r>
        <w:rPr>
          <w:rFonts w:ascii="Times New Roman" w:hAnsi="Times New Roman"/>
        </w:rPr>
        <w:t> ktorých 172 613 tis. eur predstavuje záväzok pripadajúci na Slovenskú republiky z EFSF a 100 338 tis. eur záväzky nemocníc prevzaté v rámci vládou schváleného postupu ich oddlžovania. Osobitnou súčasťou maastrichtského dlhu sú z</w:t>
      </w:r>
      <w:r w:rsidRPr="004217D1">
        <w:rPr>
          <w:rFonts w:ascii="Times New Roman" w:hAnsi="Times New Roman"/>
        </w:rPr>
        <w:t>áväzky</w:t>
      </w:r>
      <w:r>
        <w:rPr>
          <w:rFonts w:ascii="Times New Roman" w:hAnsi="Times New Roman"/>
        </w:rPr>
        <w:t>, ktoré vyplývajú</w:t>
      </w:r>
      <w:r w:rsidRPr="004217D1">
        <w:rPr>
          <w:rFonts w:ascii="Times New Roman" w:hAnsi="Times New Roman"/>
        </w:rPr>
        <w:t xml:space="preserve"> z vkladov </w:t>
      </w:r>
      <w:r>
        <w:rPr>
          <w:rFonts w:ascii="Times New Roman" w:hAnsi="Times New Roman"/>
        </w:rPr>
        <w:t xml:space="preserve">peňažných prostriedkov v Štátnej pokladnici tých </w:t>
      </w:r>
      <w:r w:rsidRPr="004217D1">
        <w:rPr>
          <w:rFonts w:ascii="Times New Roman" w:hAnsi="Times New Roman"/>
        </w:rPr>
        <w:t>klientov, ktorí nie sú súčasťou verejnej správy</w:t>
      </w:r>
      <w:r w:rsidR="0092126C">
        <w:rPr>
          <w:rFonts w:ascii="Times New Roman" w:hAnsi="Times New Roman"/>
        </w:rPr>
        <w:t>.</w:t>
      </w:r>
      <w:r>
        <w:rPr>
          <w:rFonts w:ascii="Times New Roman" w:hAnsi="Times New Roman"/>
        </w:rPr>
        <w:t xml:space="preserve"> </w:t>
      </w:r>
      <w:r w:rsidR="0092126C">
        <w:rPr>
          <w:rFonts w:ascii="Times New Roman" w:hAnsi="Times New Roman"/>
        </w:rPr>
        <w:t>T</w:t>
      </w:r>
      <w:r>
        <w:rPr>
          <w:rFonts w:ascii="Times New Roman" w:hAnsi="Times New Roman"/>
        </w:rPr>
        <w:t>ieto záväzky</w:t>
      </w:r>
      <w:r w:rsidRPr="004217D1">
        <w:rPr>
          <w:rFonts w:ascii="Times New Roman" w:hAnsi="Times New Roman"/>
        </w:rPr>
        <w:t xml:space="preserve"> dosiahli </w:t>
      </w:r>
      <w:r>
        <w:rPr>
          <w:rFonts w:ascii="Times New Roman" w:hAnsi="Times New Roman"/>
        </w:rPr>
        <w:t>hodnotu 100 789</w:t>
      </w:r>
      <w:r w:rsidRPr="004217D1">
        <w:rPr>
          <w:rFonts w:ascii="Times New Roman" w:hAnsi="Times New Roman"/>
        </w:rPr>
        <w:t xml:space="preserve"> tis. eur (0,</w:t>
      </w:r>
      <w:r w:rsidR="0092126C">
        <w:rPr>
          <w:rFonts w:ascii="Times New Roman" w:hAnsi="Times New Roman"/>
        </w:rPr>
        <w:t xml:space="preserve">4 </w:t>
      </w:r>
      <w:r w:rsidRPr="004217D1">
        <w:rPr>
          <w:rFonts w:ascii="Times New Roman" w:hAnsi="Times New Roman"/>
        </w:rPr>
        <w:t xml:space="preserve">%). </w:t>
      </w:r>
    </w:p>
    <w:p w:rsidR="0092126C" w:rsidP="00B52084">
      <w:pPr>
        <w:bidi w:val="0"/>
        <w:spacing w:before="120" w:after="120" w:line="360" w:lineRule="auto"/>
        <w:jc w:val="both"/>
        <w:rPr>
          <w:rFonts w:ascii="Times New Roman" w:hAnsi="Times New Roman"/>
        </w:rPr>
      </w:pPr>
      <w:r w:rsidRPr="008D2C83" w:rsidR="00D07062">
        <w:rPr>
          <w:rFonts w:ascii="Times New Roman" w:hAnsi="Times New Roman"/>
          <w:b/>
        </w:rPr>
        <w:t>Z hľadiska meny bol maastrichtský dlh</w:t>
      </w:r>
      <w:r w:rsidRPr="004217D1" w:rsidR="00D07062">
        <w:rPr>
          <w:rFonts w:ascii="Times New Roman" w:hAnsi="Times New Roman"/>
        </w:rPr>
        <w:t xml:space="preserve"> v roku 201</w:t>
      </w:r>
      <w:r w:rsidR="00D07062">
        <w:rPr>
          <w:rFonts w:ascii="Times New Roman" w:hAnsi="Times New Roman"/>
        </w:rPr>
        <w:t>1</w:t>
      </w:r>
      <w:r w:rsidRPr="004217D1" w:rsidR="00D07062">
        <w:rPr>
          <w:rFonts w:ascii="Times New Roman" w:hAnsi="Times New Roman"/>
        </w:rPr>
        <w:t xml:space="preserve"> tvorený z 99,7 % dlhom v eurách a len 0,3 % dlhu pripadlo na iné meny (japonské jeny, USD, švajčiarske franky). </w:t>
      </w:r>
    </w:p>
    <w:p w:rsidR="0092126C" w:rsidP="00B52084">
      <w:pPr>
        <w:bidi w:val="0"/>
        <w:spacing w:before="120" w:after="120" w:line="360" w:lineRule="auto"/>
        <w:jc w:val="both"/>
        <w:rPr>
          <w:rFonts w:ascii="Times New Roman" w:hAnsi="Times New Roman"/>
        </w:rPr>
      </w:pPr>
      <w:r w:rsidRPr="0092126C" w:rsidR="00D07062">
        <w:rPr>
          <w:rFonts w:ascii="Times New Roman" w:hAnsi="Times New Roman"/>
          <w:b/>
        </w:rPr>
        <w:t>Z hľadiska pôvodnej splatnosti</w:t>
      </w:r>
      <w:r w:rsidRPr="004217D1" w:rsidR="00D07062">
        <w:rPr>
          <w:rFonts w:ascii="Times New Roman" w:hAnsi="Times New Roman"/>
        </w:rPr>
        <w:t xml:space="preserve"> je maastrichtský dlh tvorený krátkodobým dlhom vo výške </w:t>
      </w:r>
      <w:r w:rsidR="00D07062">
        <w:rPr>
          <w:rFonts w:ascii="Times New Roman" w:hAnsi="Times New Roman"/>
        </w:rPr>
        <w:t>1 353 953</w:t>
      </w:r>
      <w:r w:rsidRPr="004217D1" w:rsidR="00D07062">
        <w:rPr>
          <w:rFonts w:ascii="Times New Roman" w:hAnsi="Times New Roman"/>
        </w:rPr>
        <w:t xml:space="preserve"> tis. eur (</w:t>
      </w:r>
      <w:r w:rsidR="00D07062">
        <w:rPr>
          <w:rFonts w:ascii="Times New Roman" w:hAnsi="Times New Roman"/>
        </w:rPr>
        <w:t xml:space="preserve">4,5 </w:t>
      </w:r>
      <w:r w:rsidRPr="004217D1" w:rsidR="00D07062">
        <w:rPr>
          <w:rFonts w:ascii="Times New Roman" w:hAnsi="Times New Roman"/>
        </w:rPr>
        <w:t xml:space="preserve">%) a dlhodobým dlhom vo výške </w:t>
      </w:r>
      <w:r w:rsidR="00D07062">
        <w:rPr>
          <w:rFonts w:ascii="Times New Roman" w:hAnsi="Times New Roman"/>
        </w:rPr>
        <w:t>28 557 309</w:t>
      </w:r>
      <w:r w:rsidRPr="004217D1" w:rsidR="00D07062">
        <w:rPr>
          <w:rFonts w:ascii="Times New Roman" w:hAnsi="Times New Roman"/>
        </w:rPr>
        <w:t xml:space="preserve"> tis. eur (</w:t>
      </w:r>
      <w:r w:rsidR="00D07062">
        <w:rPr>
          <w:rFonts w:ascii="Times New Roman" w:hAnsi="Times New Roman"/>
        </w:rPr>
        <w:t xml:space="preserve">95,5 </w:t>
      </w:r>
      <w:r w:rsidRPr="004217D1" w:rsidR="00D07062">
        <w:rPr>
          <w:rFonts w:ascii="Times New Roman" w:hAnsi="Times New Roman"/>
        </w:rPr>
        <w:t xml:space="preserve">%). </w:t>
      </w:r>
    </w:p>
    <w:p w:rsidR="00D07062" w:rsidRPr="00D07062" w:rsidP="00B52084">
      <w:pPr>
        <w:bidi w:val="0"/>
        <w:spacing w:before="120" w:after="120" w:line="360" w:lineRule="auto"/>
        <w:jc w:val="both"/>
        <w:rPr>
          <w:rFonts w:ascii="Times New Roman" w:hAnsi="Times New Roman"/>
          <w:bCs/>
        </w:rPr>
      </w:pPr>
      <w:r w:rsidRPr="0092126C">
        <w:rPr>
          <w:rFonts w:ascii="Times New Roman" w:hAnsi="Times New Roman"/>
          <w:b/>
        </w:rPr>
        <w:t>Z hľadiska teritoriálnej štruktúry</w:t>
      </w:r>
      <w:r w:rsidRPr="00D07062">
        <w:rPr>
          <w:rFonts w:ascii="Times New Roman" w:hAnsi="Times New Roman"/>
        </w:rPr>
        <w:t xml:space="preserve"> pripadá na tuzemských veriteľov </w:t>
      </w:r>
      <w:r w:rsidRPr="00D07062">
        <w:rPr>
          <w:rFonts w:ascii="Times New Roman" w:hAnsi="Times New Roman"/>
          <w:bCs/>
        </w:rPr>
        <w:t>17 902 631 tis. eur</w:t>
      </w:r>
      <w:r w:rsidRPr="00D07062">
        <w:rPr>
          <w:rFonts w:ascii="Times New Roman" w:hAnsi="Times New Roman"/>
        </w:rPr>
        <w:t xml:space="preserve"> (59,9 %) a na zahraničných veriteľov </w:t>
      </w:r>
      <w:r w:rsidRPr="00D07062">
        <w:rPr>
          <w:rFonts w:ascii="Times New Roman" w:hAnsi="Times New Roman"/>
          <w:bCs/>
        </w:rPr>
        <w:t>12 008 631 tis. eur (40,1 %) z celkového dlhu.</w:t>
      </w:r>
    </w:p>
    <w:p w:rsidR="00D07062" w:rsidRPr="00D07062" w:rsidP="00491E04">
      <w:pPr>
        <w:pStyle w:val="Heading3"/>
        <w:bidi w:val="0"/>
        <w:spacing w:before="100" w:beforeAutospacing="1" w:after="100" w:afterAutospacing="1" w:line="360" w:lineRule="auto"/>
        <w:jc w:val="center"/>
        <w:rPr>
          <w:rFonts w:ascii="Times New Roman" w:hAnsi="Times New Roman"/>
          <w:color w:val="auto"/>
        </w:rPr>
      </w:pPr>
      <w:bookmarkStart w:id="16" w:name="_Toc322614749"/>
      <w:r w:rsidRPr="00D07062">
        <w:rPr>
          <w:rFonts w:ascii="Times New Roman" w:hAnsi="Times New Roman"/>
          <w:color w:val="auto"/>
        </w:rPr>
        <w:t xml:space="preserve">2.2.1. </w:t>
      </w:r>
      <w:r w:rsidR="008D2C83">
        <w:rPr>
          <w:rFonts w:ascii="Times New Roman" w:hAnsi="Times New Roman"/>
          <w:color w:val="auto"/>
        </w:rPr>
        <w:t>Maastrichtský d</w:t>
      </w:r>
      <w:r w:rsidRPr="00D07062">
        <w:rPr>
          <w:rFonts w:ascii="Times New Roman" w:hAnsi="Times New Roman"/>
          <w:color w:val="auto"/>
        </w:rPr>
        <w:t>lh štátnych rozpočtových organizácií</w:t>
      </w:r>
      <w:bookmarkEnd w:id="16"/>
    </w:p>
    <w:p w:rsidR="00D07062" w:rsidP="004C1F8C">
      <w:pPr>
        <w:bidi w:val="0"/>
        <w:spacing w:before="120" w:after="120" w:line="360" w:lineRule="auto"/>
        <w:ind w:firstLine="708"/>
        <w:jc w:val="both"/>
        <w:rPr>
          <w:rFonts w:ascii="Times New Roman" w:hAnsi="Times New Roman"/>
        </w:rPr>
      </w:pPr>
      <w:r w:rsidRPr="004217D1">
        <w:rPr>
          <w:rFonts w:ascii="Times New Roman" w:hAnsi="Times New Roman"/>
        </w:rPr>
        <w:t xml:space="preserve">Dlh, ktorého nositeľom sú </w:t>
      </w:r>
      <w:r>
        <w:rPr>
          <w:rFonts w:ascii="Times New Roman" w:hAnsi="Times New Roman"/>
          <w:b/>
        </w:rPr>
        <w:t>štátne</w:t>
      </w:r>
      <w:r w:rsidRPr="004217D1">
        <w:rPr>
          <w:rFonts w:ascii="Times New Roman" w:hAnsi="Times New Roman"/>
          <w:b/>
        </w:rPr>
        <w:t xml:space="preserve"> rozpočtové</w:t>
      </w:r>
      <w:r w:rsidRPr="004217D1">
        <w:rPr>
          <w:rFonts w:ascii="Times New Roman" w:hAnsi="Times New Roman"/>
        </w:rPr>
        <w:t xml:space="preserve"> </w:t>
      </w:r>
      <w:r w:rsidRPr="004217D1">
        <w:rPr>
          <w:rFonts w:ascii="Times New Roman" w:hAnsi="Times New Roman"/>
          <w:b/>
        </w:rPr>
        <w:t xml:space="preserve">organizácie, </w:t>
      </w:r>
      <w:r w:rsidRPr="004217D1">
        <w:rPr>
          <w:rFonts w:ascii="Times New Roman" w:hAnsi="Times New Roman"/>
        </w:rPr>
        <w:t>a ktorý je v sp</w:t>
      </w:r>
      <w:r w:rsidR="00C36624">
        <w:rPr>
          <w:rFonts w:ascii="Times New Roman" w:hAnsi="Times New Roman"/>
        </w:rPr>
        <w:t xml:space="preserve">ráve Ministerstva financií SR, </w:t>
      </w:r>
      <w:r w:rsidRPr="004217D1">
        <w:rPr>
          <w:rFonts w:ascii="Times New Roman" w:hAnsi="Times New Roman"/>
        </w:rPr>
        <w:t>dosiahol ku koncu roka 201</w:t>
      </w:r>
      <w:r>
        <w:rPr>
          <w:rFonts w:ascii="Times New Roman" w:hAnsi="Times New Roman"/>
        </w:rPr>
        <w:t>1</w:t>
      </w:r>
      <w:r w:rsidRPr="004217D1">
        <w:rPr>
          <w:rFonts w:ascii="Times New Roman" w:hAnsi="Times New Roman"/>
        </w:rPr>
        <w:t xml:space="preserve"> menovitú hodnotu </w:t>
      </w:r>
      <w:r>
        <w:rPr>
          <w:rFonts w:ascii="Times New Roman" w:hAnsi="Times New Roman"/>
        </w:rPr>
        <w:t>28 771 698</w:t>
      </w:r>
      <w:r w:rsidRPr="004217D1">
        <w:rPr>
          <w:rFonts w:ascii="Times New Roman" w:hAnsi="Times New Roman"/>
        </w:rPr>
        <w:t xml:space="preserve"> tis. eur</w:t>
      </w:r>
      <w:r>
        <w:rPr>
          <w:rFonts w:ascii="Times New Roman" w:hAnsi="Times New Roman"/>
        </w:rPr>
        <w:t xml:space="preserve">. </w:t>
      </w:r>
      <w:r w:rsidRPr="004217D1">
        <w:rPr>
          <w:rFonts w:ascii="Times New Roman" w:hAnsi="Times New Roman"/>
        </w:rPr>
        <w:t>V porovnaní s rokom 20</w:t>
      </w:r>
      <w:r>
        <w:rPr>
          <w:rFonts w:ascii="Times New Roman" w:hAnsi="Times New Roman"/>
        </w:rPr>
        <w:t>10</w:t>
      </w:r>
      <w:r w:rsidRPr="004217D1">
        <w:rPr>
          <w:rFonts w:ascii="Times New Roman" w:hAnsi="Times New Roman"/>
        </w:rPr>
        <w:t xml:space="preserve"> sa zvýšil o</w:t>
      </w:r>
      <w:r>
        <w:rPr>
          <w:rFonts w:ascii="Times New Roman" w:hAnsi="Times New Roman"/>
        </w:rPr>
        <w:t> 2 946 653 tis. eur (o 11,4</w:t>
      </w:r>
      <w:r w:rsidRPr="004217D1">
        <w:rPr>
          <w:rFonts w:ascii="Times New Roman" w:hAnsi="Times New Roman"/>
        </w:rPr>
        <w:t xml:space="preserve"> %</w:t>
      </w:r>
      <w:r>
        <w:rPr>
          <w:rFonts w:ascii="Times New Roman" w:hAnsi="Times New Roman"/>
        </w:rPr>
        <w:t>)</w:t>
      </w:r>
      <w:r w:rsidRPr="004217D1">
        <w:rPr>
          <w:rFonts w:ascii="Times New Roman" w:hAnsi="Times New Roman"/>
        </w:rPr>
        <w:t>. Hlavnou príčinou výrazného zvýšenia dlhu bol schodok štátneho rozpočtu</w:t>
      </w:r>
      <w:r>
        <w:rPr>
          <w:rFonts w:ascii="Times New Roman" w:hAnsi="Times New Roman"/>
        </w:rPr>
        <w:t>.</w:t>
      </w:r>
      <w:r w:rsidRPr="004217D1">
        <w:rPr>
          <w:rFonts w:ascii="Times New Roman" w:hAnsi="Times New Roman"/>
        </w:rPr>
        <w:t xml:space="preserve"> </w:t>
      </w:r>
      <w:r w:rsidRPr="00A64F43">
        <w:rPr>
          <w:rFonts w:ascii="Times New Roman" w:hAnsi="Times New Roman"/>
        </w:rPr>
        <w:t xml:space="preserve">Keďže </w:t>
      </w:r>
      <w:r>
        <w:rPr>
          <w:rFonts w:ascii="Times New Roman" w:hAnsi="Times New Roman"/>
        </w:rPr>
        <w:t xml:space="preserve">dlh štátnych rozpočtových organizácií </w:t>
      </w:r>
      <w:r w:rsidRPr="004217D1">
        <w:rPr>
          <w:rFonts w:ascii="Times New Roman" w:hAnsi="Times New Roman"/>
        </w:rPr>
        <w:t xml:space="preserve">predstavuje </w:t>
      </w:r>
      <w:r>
        <w:rPr>
          <w:rFonts w:ascii="Times New Roman" w:hAnsi="Times New Roman"/>
        </w:rPr>
        <w:t>až 94 % dlhu celej verejnej správy, sú pozitívne a negatívne vplyvy uvedené vyššie pri hodnotení maastrichtského dlhu celej verejnej správy (v časti 2.2.) a previazané so štátnym dlhom platné aj pre vysvetlenie medziročnej zmeny tohto dlhu.</w:t>
      </w:r>
    </w:p>
    <w:p w:rsidR="00D07062" w:rsidRPr="007319BE" w:rsidP="00B52084">
      <w:pPr>
        <w:bidi w:val="0"/>
        <w:spacing w:before="120" w:after="120" w:line="360" w:lineRule="auto"/>
        <w:jc w:val="both"/>
        <w:rPr>
          <w:rFonts w:ascii="Times New Roman" w:hAnsi="Times New Roman"/>
        </w:rPr>
      </w:pPr>
      <w:r w:rsidRPr="0092126C">
        <w:rPr>
          <w:rFonts w:ascii="Times New Roman" w:hAnsi="Times New Roman"/>
          <w:b/>
        </w:rPr>
        <w:t>Z hľadiska dlhových nástrojov</w:t>
      </w:r>
      <w:r>
        <w:rPr>
          <w:rFonts w:ascii="Times New Roman" w:hAnsi="Times New Roman"/>
        </w:rPr>
        <w:t xml:space="preserve"> je dlh štátnych rozpočtových organizácií tvorený v rozhodujúcej miere záväzkami z emisie štátnych dlhopisov, ktorých podiel na celkovom dlhu predstavuje </w:t>
      </w:r>
      <w:r w:rsidR="001650C9">
        <w:rPr>
          <w:rFonts w:ascii="Times New Roman" w:hAnsi="Times New Roman"/>
        </w:rPr>
        <w:br/>
      </w:r>
      <w:r>
        <w:rPr>
          <w:rFonts w:ascii="Times New Roman" w:hAnsi="Times New Roman"/>
        </w:rPr>
        <w:t>90,1 %. Údaje o ostatných dlhových nástrojoch poskytuje nasledujúci prehľad.</w:t>
      </w:r>
    </w:p>
    <w:p w:rsidR="006F3414" w:rsidP="00D07062">
      <w:pPr>
        <w:bidi w:val="0"/>
        <w:spacing w:before="120" w:after="120" w:line="360" w:lineRule="auto"/>
        <w:jc w:val="both"/>
        <w:rPr>
          <w:rFonts w:ascii="Times New Roman" w:hAnsi="Times New Roman"/>
        </w:rPr>
      </w:pPr>
      <w:r w:rsidRPr="00171DEE" w:rsidR="00D07062">
        <w:rPr>
          <w:rFonts w:ascii="Times New Roman" w:hAnsi="Times New Roman"/>
        </w:rPr>
        <w:t xml:space="preserve">Štruktúra dlhu štátnych rozpočtových organizácií podľa </w:t>
      </w:r>
      <w:r w:rsidR="008D391B">
        <w:rPr>
          <w:rFonts w:ascii="Times New Roman" w:hAnsi="Times New Roman"/>
        </w:rPr>
        <w:t xml:space="preserve">dlhových </w:t>
      </w:r>
      <w:r w:rsidRPr="00171DEE" w:rsidR="00D07062">
        <w:rPr>
          <w:rFonts w:ascii="Times New Roman" w:hAnsi="Times New Roman"/>
        </w:rPr>
        <w:t>nástrojov</w:t>
      </w:r>
      <w:r>
        <w:rPr>
          <w:rFonts w:ascii="Times New Roman" w:hAnsi="Times New Roman"/>
        </w:rPr>
        <w:t>:</w:t>
      </w:r>
    </w:p>
    <w:tbl>
      <w:tblPr>
        <w:tblStyle w:val="TableNormal"/>
        <w:tblW w:w="9353"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686"/>
        <w:gridCol w:w="1415"/>
        <w:gridCol w:w="1417"/>
        <w:gridCol w:w="1418"/>
        <w:gridCol w:w="1417"/>
      </w:tblGrid>
      <w:tr>
        <w:tblPrEx>
          <w:tblW w:w="9353"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rPr>
          <w:trHeight w:val="559"/>
          <w:jc w:val="center"/>
        </w:trPr>
        <w:tc>
          <w:tcPr>
            <w:tcW w:w="368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bottom"/>
          </w:tcPr>
          <w:p w:rsidR="005A405D" w:rsidRPr="008C52A2" w:rsidP="00633951">
            <w:pPr>
              <w:bidi w:val="0"/>
              <w:spacing w:line="276" w:lineRule="auto"/>
              <w:jc w:val="center"/>
              <w:rPr>
                <w:rFonts w:ascii="Times New Roman" w:hAnsi="Times New Roman"/>
                <w:b/>
                <w:sz w:val="20"/>
                <w:szCs w:val="20"/>
              </w:rPr>
            </w:pPr>
            <w:r w:rsidRPr="008C52A2">
              <w:rPr>
                <w:rFonts w:ascii="Times New Roman" w:hAnsi="Times New Roman"/>
                <w:b/>
                <w:sz w:val="20"/>
                <w:szCs w:val="20"/>
              </w:rPr>
              <w:t>Dlhový nástroj</w:t>
            </w:r>
          </w:p>
          <w:p w:rsidR="005A405D" w:rsidRPr="008C52A2" w:rsidP="00633951">
            <w:pPr>
              <w:bidi w:val="0"/>
              <w:spacing w:line="276" w:lineRule="auto"/>
              <w:rPr>
                <w:rFonts w:ascii="Times New Roman" w:hAnsi="Times New Roman"/>
                <w:b/>
                <w:sz w:val="20"/>
                <w:szCs w:val="20"/>
              </w:rPr>
            </w:pPr>
            <w:r w:rsidRPr="008C52A2">
              <w:rPr>
                <w:rFonts w:ascii="Times New Roman" w:hAnsi="Times New Roman"/>
                <w:b/>
                <w:sz w:val="20"/>
                <w:szCs w:val="20"/>
              </w:rPr>
              <w:t>(v tis. eur)</w:t>
            </w:r>
          </w:p>
        </w:tc>
        <w:tc>
          <w:tcPr>
            <w:tcW w:w="141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A405D" w:rsidRPr="008C52A2" w:rsidP="005A405D">
            <w:pPr>
              <w:bidi w:val="0"/>
              <w:spacing w:line="360" w:lineRule="auto"/>
              <w:jc w:val="center"/>
              <w:rPr>
                <w:rFonts w:ascii="Times New Roman" w:hAnsi="Times New Roman"/>
                <w:b/>
                <w:sz w:val="20"/>
                <w:szCs w:val="20"/>
              </w:rPr>
            </w:pPr>
            <w:r>
              <w:rPr>
                <w:rFonts w:ascii="Times New Roman" w:hAnsi="Times New Roman"/>
                <w:b/>
                <w:sz w:val="20"/>
                <w:szCs w:val="20"/>
              </w:rPr>
              <w:t>31. 12. 2009</w:t>
            </w:r>
          </w:p>
        </w:tc>
        <w:tc>
          <w:tcPr>
            <w:tcW w:w="1417"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A405D" w:rsidRPr="008C52A2" w:rsidP="007F245A">
            <w:pPr>
              <w:bidi w:val="0"/>
              <w:spacing w:line="360" w:lineRule="auto"/>
              <w:jc w:val="center"/>
              <w:rPr>
                <w:rFonts w:ascii="Times New Roman" w:hAnsi="Times New Roman"/>
                <w:b/>
                <w:sz w:val="20"/>
                <w:szCs w:val="20"/>
              </w:rPr>
            </w:pPr>
            <w:r w:rsidRPr="008C52A2">
              <w:rPr>
                <w:rFonts w:ascii="Times New Roman" w:hAnsi="Times New Roman"/>
                <w:b/>
                <w:sz w:val="20"/>
                <w:szCs w:val="20"/>
              </w:rPr>
              <w:t>31. 12. 2010</w:t>
            </w:r>
          </w:p>
        </w:tc>
        <w:tc>
          <w:tcPr>
            <w:tcW w:w="14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A405D" w:rsidRPr="008C52A2" w:rsidP="007F245A">
            <w:pPr>
              <w:bidi w:val="0"/>
              <w:spacing w:line="360" w:lineRule="auto"/>
              <w:jc w:val="center"/>
              <w:rPr>
                <w:rFonts w:ascii="Times New Roman" w:hAnsi="Times New Roman"/>
                <w:b/>
                <w:sz w:val="20"/>
                <w:szCs w:val="20"/>
              </w:rPr>
            </w:pPr>
            <w:r w:rsidRPr="008C52A2">
              <w:rPr>
                <w:rFonts w:ascii="Times New Roman" w:hAnsi="Times New Roman"/>
                <w:b/>
                <w:sz w:val="20"/>
                <w:szCs w:val="20"/>
              </w:rPr>
              <w:t>31. 12. 2011</w:t>
            </w:r>
          </w:p>
        </w:tc>
        <w:tc>
          <w:tcPr>
            <w:tcW w:w="1417"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A405D" w:rsidP="007F245A">
            <w:pPr>
              <w:bidi w:val="0"/>
              <w:spacing w:line="360" w:lineRule="auto"/>
              <w:jc w:val="center"/>
              <w:rPr>
                <w:rFonts w:ascii="Times New Roman" w:hAnsi="Times New Roman"/>
                <w:b/>
                <w:sz w:val="20"/>
                <w:szCs w:val="20"/>
              </w:rPr>
            </w:pPr>
            <w:r w:rsidRPr="008C52A2">
              <w:rPr>
                <w:rFonts w:ascii="Times New Roman" w:hAnsi="Times New Roman"/>
                <w:b/>
                <w:sz w:val="20"/>
                <w:szCs w:val="20"/>
              </w:rPr>
              <w:t xml:space="preserve">Zmena </w:t>
            </w:r>
          </w:p>
          <w:p w:rsidR="00727AA9" w:rsidRPr="008C52A2" w:rsidP="007F245A">
            <w:pPr>
              <w:bidi w:val="0"/>
              <w:spacing w:line="360" w:lineRule="auto"/>
              <w:jc w:val="center"/>
              <w:rPr>
                <w:rFonts w:ascii="Times New Roman" w:hAnsi="Times New Roman"/>
                <w:b/>
                <w:sz w:val="20"/>
                <w:szCs w:val="20"/>
              </w:rPr>
            </w:pPr>
            <w:r>
              <w:rPr>
                <w:rFonts w:ascii="Times New Roman" w:hAnsi="Times New Roman"/>
                <w:b/>
                <w:sz w:val="20"/>
                <w:szCs w:val="20"/>
              </w:rPr>
              <w:t>2011-2010</w:t>
            </w:r>
          </w:p>
        </w:tc>
      </w:tr>
      <w:tr>
        <w:tblPrEx>
          <w:tblW w:w="9353" w:type="dxa"/>
          <w:jc w:val="center"/>
          <w:tblInd w:w="229" w:type="dxa"/>
          <w:tblLayout w:type="fixed"/>
          <w:tblCellMar>
            <w:left w:w="70" w:type="dxa"/>
            <w:right w:w="70" w:type="dxa"/>
          </w:tblCellMar>
          <w:tblLook w:val="01E0"/>
        </w:tblPrEx>
        <w:trPr>
          <w:trHeight w:hRule="exact" w:val="338"/>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5A405D" w:rsidP="00C159A6">
            <w:pPr>
              <w:bidi w:val="0"/>
              <w:spacing w:before="120" w:after="120" w:line="360" w:lineRule="auto"/>
              <w:jc w:val="center"/>
              <w:rPr>
                <w:rFonts w:ascii="Times New Roman" w:hAnsi="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5A405D" w:rsidP="00C159A6">
            <w:pPr>
              <w:bidi w:val="0"/>
              <w:spacing w:before="120" w:after="120" w:line="360" w:lineRule="auto"/>
              <w:jc w:val="center"/>
              <w:rPr>
                <w:rFonts w:ascii="Times New Roman" w:hAnsi="Times New Roman"/>
                <w:b/>
                <w:sz w:val="20"/>
                <w:szCs w:val="20"/>
              </w:rPr>
            </w:pPr>
            <w:r w:rsidRPr="005A405D">
              <w:rPr>
                <w:rFonts w:ascii="Times New Roman" w:hAnsi="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5A405D" w:rsidP="00C159A6">
            <w:pPr>
              <w:bidi w:val="0"/>
              <w:spacing w:before="120" w:after="120" w:line="360" w:lineRule="auto"/>
              <w:jc w:val="center"/>
              <w:rPr>
                <w:rFonts w:ascii="Times New Roman" w:hAnsi="Times New Roman"/>
                <w:b/>
                <w:sz w:val="20"/>
                <w:szCs w:val="20"/>
              </w:rPr>
            </w:pPr>
            <w:r w:rsidRPr="005A405D">
              <w:rPr>
                <w:rFonts w:ascii="Times New Roman" w:hAnsi="Times New Roman"/>
                <w:b/>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5A405D" w:rsidP="00C159A6">
            <w:pPr>
              <w:bidi w:val="0"/>
              <w:spacing w:before="120" w:after="120" w:line="360" w:lineRule="auto"/>
              <w:jc w:val="center"/>
              <w:rPr>
                <w:rFonts w:ascii="Times New Roman" w:hAnsi="Times New Roman"/>
                <w:b/>
                <w:sz w:val="20"/>
                <w:szCs w:val="20"/>
              </w:rPr>
            </w:pPr>
            <w:r w:rsidRPr="005A405D">
              <w:rPr>
                <w:rFonts w:ascii="Times New Roman" w:hAnsi="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5A405D" w:rsidP="00C159A6">
            <w:pPr>
              <w:bidi w:val="0"/>
              <w:spacing w:before="120" w:after="120" w:line="360" w:lineRule="auto"/>
              <w:jc w:val="center"/>
              <w:rPr>
                <w:rFonts w:ascii="Times New Roman" w:hAnsi="Times New Roman"/>
                <w:b/>
                <w:sz w:val="20"/>
                <w:szCs w:val="20"/>
              </w:rPr>
            </w:pPr>
            <w:r w:rsidRPr="005A405D">
              <w:rPr>
                <w:rFonts w:ascii="Times New Roman" w:hAnsi="Times New Roman"/>
                <w:b/>
                <w:sz w:val="20"/>
                <w:szCs w:val="20"/>
              </w:rPr>
              <w:t>4=3-2</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Štátne dlhopisy</w:t>
            </w: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Pr>
                <w:rFonts w:ascii="Times New Roman" w:hAnsi="Times New Roman"/>
                <w:sz w:val="20"/>
                <w:szCs w:val="20"/>
              </w:rPr>
              <w:t>19 425 294</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23 645 515</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25 915 254</w:t>
            </w:r>
          </w:p>
          <w:p w:rsidR="005A405D" w:rsidRPr="00D07062" w:rsidP="00D07062">
            <w:pPr>
              <w:bidi w:val="0"/>
              <w:spacing w:before="120" w:after="120" w:line="36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2 269 739</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Bankové úvery a iné pôžičky</w:t>
            </w: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Pr>
                <w:rFonts w:ascii="Times New Roman" w:hAnsi="Times New Roman"/>
                <w:sz w:val="20"/>
                <w:szCs w:val="20"/>
              </w:rPr>
              <w:t>912 908</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839 561</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1 345 804</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506 243</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Štátne pokladničné poukážky</w:t>
            </w: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Pr>
                <w:rFonts w:ascii="Times New Roman" w:hAnsi="Times New Roman"/>
                <w:sz w:val="20"/>
                <w:szCs w:val="20"/>
              </w:rPr>
              <w:t>940 621</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 xml:space="preserve">1 268 919 </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1 136 900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-132 019</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Záväzky z EFSF</w:t>
            </w: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Pr>
                <w:rFonts w:ascii="Times New Roman" w:hAnsi="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172 613</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A75676">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172 613</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Záväzky z vkladov v Štátnej pokladnici SR</w:t>
            </w:r>
          </w:p>
        </w:tc>
        <w:tc>
          <w:tcPr>
            <w:tcW w:w="1415"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Pr>
                <w:rFonts w:ascii="Times New Roman" w:hAnsi="Times New Roman"/>
                <w:sz w:val="20"/>
                <w:szCs w:val="20"/>
              </w:rPr>
              <w:t>83 485</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71 050</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100 789</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29 739</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single" w:sz="4" w:space="0" w:color="auto"/>
              <w:left w:val="single" w:sz="4" w:space="0" w:color="auto"/>
              <w:bottom w:val="double" w:sz="6" w:space="0" w:color="auto"/>
              <w:right w:val="single" w:sz="4" w:space="0" w:color="auto"/>
            </w:tcBorders>
            <w:textDirection w:val="lrTb"/>
            <w:vAlign w:val="top"/>
          </w:tcPr>
          <w:p w:rsidR="005A405D" w:rsidRPr="00D07062" w:rsidP="00D07062">
            <w:pPr>
              <w:bidi w:val="0"/>
              <w:spacing w:before="120" w:after="120" w:line="360" w:lineRule="auto"/>
              <w:jc w:val="both"/>
              <w:rPr>
                <w:rFonts w:ascii="Times New Roman" w:hAnsi="Times New Roman"/>
                <w:sz w:val="20"/>
                <w:szCs w:val="20"/>
              </w:rPr>
            </w:pPr>
            <w:r w:rsidRPr="00D07062">
              <w:rPr>
                <w:rFonts w:ascii="Times New Roman" w:hAnsi="Times New Roman"/>
                <w:sz w:val="20"/>
                <w:szCs w:val="20"/>
              </w:rPr>
              <w:t>Prevzaté záväzky z nemocníc</w:t>
            </w:r>
          </w:p>
        </w:tc>
        <w:tc>
          <w:tcPr>
            <w:tcW w:w="1415" w:type="dxa"/>
            <w:tcBorders>
              <w:top w:val="single" w:sz="4" w:space="0" w:color="auto"/>
              <w:left w:val="single" w:sz="4" w:space="0" w:color="auto"/>
              <w:bottom w:val="double" w:sz="6"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Pr>
                <w:rFonts w:ascii="Times New Roman" w:hAnsi="Times New Roman"/>
                <w:sz w:val="20"/>
                <w:szCs w:val="20"/>
              </w:rPr>
              <w:t>0</w:t>
            </w:r>
          </w:p>
        </w:tc>
        <w:tc>
          <w:tcPr>
            <w:tcW w:w="1417" w:type="dxa"/>
            <w:tcBorders>
              <w:top w:val="single" w:sz="4" w:space="0" w:color="auto"/>
              <w:left w:val="single" w:sz="4" w:space="0" w:color="auto"/>
              <w:bottom w:val="double" w:sz="6"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0</w:t>
            </w:r>
          </w:p>
        </w:tc>
        <w:tc>
          <w:tcPr>
            <w:tcW w:w="1418" w:type="dxa"/>
            <w:tcBorders>
              <w:top w:val="single" w:sz="4" w:space="0" w:color="auto"/>
              <w:left w:val="single" w:sz="4" w:space="0" w:color="auto"/>
              <w:bottom w:val="double" w:sz="6" w:space="0" w:color="auto"/>
              <w:right w:val="single" w:sz="4" w:space="0" w:color="auto"/>
            </w:tcBorders>
            <w:shd w:val="clear" w:color="auto" w:fill="D9D9D9"/>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100 338</w:t>
            </w:r>
          </w:p>
        </w:tc>
        <w:tc>
          <w:tcPr>
            <w:tcW w:w="1417" w:type="dxa"/>
            <w:tcBorders>
              <w:top w:val="single" w:sz="4" w:space="0" w:color="auto"/>
              <w:left w:val="single" w:sz="4" w:space="0" w:color="auto"/>
              <w:bottom w:val="double" w:sz="6"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sz w:val="20"/>
                <w:szCs w:val="20"/>
              </w:rPr>
            </w:pPr>
            <w:r w:rsidRPr="00D07062">
              <w:rPr>
                <w:rFonts w:ascii="Times New Roman" w:hAnsi="Times New Roman"/>
                <w:sz w:val="20"/>
                <w:szCs w:val="20"/>
              </w:rPr>
              <w:t>100 338</w:t>
            </w:r>
          </w:p>
        </w:tc>
      </w:tr>
      <w:tr>
        <w:tblPrEx>
          <w:tblW w:w="9353" w:type="dxa"/>
          <w:jc w:val="center"/>
          <w:tblInd w:w="229" w:type="dxa"/>
          <w:tblLayout w:type="fixed"/>
          <w:tblCellMar>
            <w:left w:w="70" w:type="dxa"/>
            <w:right w:w="70" w:type="dxa"/>
          </w:tblCellMar>
          <w:tblLook w:val="01E0"/>
        </w:tblPrEx>
        <w:trPr>
          <w:trHeight w:hRule="exact" w:val="397"/>
          <w:jc w:val="center"/>
        </w:trPr>
        <w:tc>
          <w:tcPr>
            <w:tcW w:w="3686" w:type="dxa"/>
            <w:tcBorders>
              <w:top w:val="double" w:sz="6"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both"/>
              <w:rPr>
                <w:rFonts w:ascii="Times New Roman" w:hAnsi="Times New Roman"/>
                <w:b/>
                <w:sz w:val="20"/>
                <w:szCs w:val="20"/>
              </w:rPr>
            </w:pPr>
            <w:r w:rsidRPr="00D07062">
              <w:rPr>
                <w:rFonts w:ascii="Times New Roman" w:hAnsi="Times New Roman"/>
                <w:b/>
                <w:sz w:val="20"/>
                <w:szCs w:val="20"/>
              </w:rPr>
              <w:t xml:space="preserve">Spolu dlh </w:t>
            </w:r>
          </w:p>
        </w:tc>
        <w:tc>
          <w:tcPr>
            <w:tcW w:w="1415" w:type="dxa"/>
            <w:tcBorders>
              <w:top w:val="double" w:sz="6"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b/>
                <w:sz w:val="20"/>
                <w:szCs w:val="20"/>
              </w:rPr>
            </w:pPr>
            <w:r>
              <w:rPr>
                <w:rFonts w:ascii="Times New Roman" w:hAnsi="Times New Roman"/>
                <w:b/>
                <w:sz w:val="20"/>
                <w:szCs w:val="20"/>
              </w:rPr>
              <w:t>21 362 308</w:t>
            </w:r>
          </w:p>
        </w:tc>
        <w:tc>
          <w:tcPr>
            <w:tcW w:w="1417" w:type="dxa"/>
            <w:tcBorders>
              <w:top w:val="double" w:sz="6"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b/>
                <w:sz w:val="20"/>
                <w:szCs w:val="20"/>
              </w:rPr>
            </w:pPr>
            <w:r w:rsidRPr="00D07062">
              <w:rPr>
                <w:rFonts w:ascii="Times New Roman" w:hAnsi="Times New Roman"/>
                <w:b/>
                <w:sz w:val="20"/>
                <w:szCs w:val="20"/>
              </w:rPr>
              <w:t>25 825 045</w:t>
            </w:r>
          </w:p>
        </w:tc>
        <w:tc>
          <w:tcPr>
            <w:tcW w:w="1418" w:type="dxa"/>
            <w:tcBorders>
              <w:top w:val="double" w:sz="6" w:space="0" w:color="auto"/>
              <w:left w:val="single" w:sz="4" w:space="0" w:color="auto"/>
              <w:bottom w:val="single" w:sz="4" w:space="0" w:color="auto"/>
              <w:right w:val="single" w:sz="4" w:space="0" w:color="auto"/>
            </w:tcBorders>
            <w:shd w:val="clear" w:color="auto" w:fill="D9D9D9"/>
            <w:textDirection w:val="lrTb"/>
            <w:vAlign w:val="top"/>
          </w:tcPr>
          <w:p w:rsidR="005A405D" w:rsidRPr="00D07062" w:rsidP="00D07062">
            <w:pPr>
              <w:bidi w:val="0"/>
              <w:spacing w:before="120" w:after="120" w:line="360" w:lineRule="auto"/>
              <w:jc w:val="right"/>
              <w:rPr>
                <w:rFonts w:ascii="Times New Roman" w:hAnsi="Times New Roman"/>
                <w:b/>
                <w:sz w:val="20"/>
                <w:szCs w:val="20"/>
              </w:rPr>
            </w:pPr>
            <w:r w:rsidRPr="00D07062">
              <w:rPr>
                <w:rFonts w:ascii="Times New Roman" w:hAnsi="Times New Roman"/>
                <w:b/>
                <w:sz w:val="20"/>
                <w:szCs w:val="20"/>
              </w:rPr>
              <w:t>28 771 698</w:t>
            </w:r>
          </w:p>
        </w:tc>
        <w:tc>
          <w:tcPr>
            <w:tcW w:w="1417" w:type="dxa"/>
            <w:tcBorders>
              <w:top w:val="double" w:sz="6" w:space="0" w:color="auto"/>
              <w:left w:val="single" w:sz="4" w:space="0" w:color="auto"/>
              <w:bottom w:val="single" w:sz="4" w:space="0" w:color="auto"/>
              <w:right w:val="single" w:sz="4" w:space="0" w:color="auto"/>
            </w:tcBorders>
            <w:textDirection w:val="lrTb"/>
            <w:vAlign w:val="top"/>
          </w:tcPr>
          <w:p w:rsidR="005A405D" w:rsidRPr="00D07062" w:rsidP="00D07062">
            <w:pPr>
              <w:bidi w:val="0"/>
              <w:spacing w:before="120" w:after="120" w:line="360" w:lineRule="auto"/>
              <w:jc w:val="right"/>
              <w:rPr>
                <w:rFonts w:ascii="Times New Roman" w:hAnsi="Times New Roman"/>
                <w:b/>
                <w:sz w:val="20"/>
                <w:szCs w:val="20"/>
              </w:rPr>
            </w:pPr>
            <w:r w:rsidRPr="00D07062">
              <w:rPr>
                <w:rFonts w:ascii="Times New Roman" w:hAnsi="Times New Roman"/>
                <w:b/>
                <w:sz w:val="20"/>
                <w:szCs w:val="20"/>
              </w:rPr>
              <w:t>2 946 653</w:t>
            </w:r>
          </w:p>
        </w:tc>
      </w:tr>
    </w:tbl>
    <w:p w:rsidR="00D07062" w:rsidP="00D07062">
      <w:pPr>
        <w:bidi w:val="0"/>
        <w:ind w:left="540" w:hanging="540"/>
        <w:jc w:val="both"/>
        <w:rPr>
          <w:rFonts w:ascii="Times New Roman" w:hAnsi="Times New Roman"/>
          <w:sz w:val="20"/>
        </w:rPr>
      </w:pPr>
      <w:r w:rsidRPr="004217D1">
        <w:rPr>
          <w:rFonts w:ascii="Times New Roman" w:hAnsi="Times New Roman"/>
          <w:sz w:val="20"/>
        </w:rPr>
        <w:t>Zdroj:</w:t>
      </w:r>
      <w:r w:rsidRPr="004217D1">
        <w:rPr>
          <w:rFonts w:ascii="Times New Roman" w:hAnsi="Times New Roman"/>
        </w:rPr>
        <w:t xml:space="preserve"> </w:t>
      </w:r>
      <w:r w:rsidRPr="004217D1">
        <w:rPr>
          <w:rFonts w:ascii="Times New Roman" w:hAnsi="Times New Roman"/>
          <w:sz w:val="20"/>
        </w:rPr>
        <w:t>Ministerstvo financií SR, Agentúra pre riadenie dlhu a</w:t>
      </w:r>
      <w:r>
        <w:rPr>
          <w:rFonts w:ascii="Times New Roman" w:hAnsi="Times New Roman"/>
          <w:sz w:val="20"/>
        </w:rPr>
        <w:t> </w:t>
      </w:r>
      <w:r w:rsidRPr="004217D1">
        <w:rPr>
          <w:rFonts w:ascii="Times New Roman" w:hAnsi="Times New Roman"/>
          <w:sz w:val="20"/>
        </w:rPr>
        <w:t>likvidity</w:t>
      </w:r>
    </w:p>
    <w:p w:rsidR="00D07062" w:rsidP="00D07062">
      <w:pPr>
        <w:bidi w:val="0"/>
        <w:spacing w:before="240" w:after="120" w:line="360" w:lineRule="auto"/>
        <w:jc w:val="both"/>
        <w:rPr>
          <w:rFonts w:ascii="Times New Roman" w:hAnsi="Times New Roman"/>
        </w:rPr>
      </w:pPr>
      <w:r w:rsidRPr="008D391B">
        <w:rPr>
          <w:rFonts w:ascii="Times New Roman" w:hAnsi="Times New Roman"/>
          <w:b/>
        </w:rPr>
        <w:t>Z hľadiska pôvodnej splatnosti</w:t>
      </w:r>
      <w:r>
        <w:rPr>
          <w:rFonts w:ascii="Times New Roman" w:hAnsi="Times New Roman"/>
        </w:rPr>
        <w:t xml:space="preserve"> predstavuje dlh so splatnosťou do jedného roka 1 346 027 tis. eur a dlhodobý dlh 27 425 671 tis. eur, čo je 95,3 % z celkového dlhu štátnych rozpočtových organizácií. Krátkodobý dlh tvoria štátne pokladničné poukážky v menovitej hodnote 1 136 900 tis. eur, krátkodobé pôžičky od finančných inštitúcií v hodnote 8 000 tis. eur a ostatné záväzky, do ktorých sú zaradené prevzaté záväzky nemocníc v hodnote 100 338 tis. eur a záväzky z vkladov tých klientov Štátnej pokladnice, ktorí nie sú zaradení v sektore verejnej správy v hodnote 100 789 tis. eur. Podrobnú štruktúru podľa pôvodnej splatnosti poskytuje nasledujúci prehľad v percentách (bez záväzkov z EFSF). </w:t>
      </w:r>
    </w:p>
    <w:p w:rsidR="00D07062" w:rsidP="006F3414">
      <w:pPr>
        <w:bidi w:val="0"/>
        <w:spacing w:line="360" w:lineRule="auto"/>
        <w:jc w:val="both"/>
        <w:rPr>
          <w:rFonts w:ascii="Times New Roman" w:hAnsi="Times New Roman"/>
        </w:rPr>
      </w:pPr>
      <w:r w:rsidRPr="00055164">
        <w:rPr>
          <w:rFonts w:ascii="Times New Roman" w:hAnsi="Times New Roman"/>
        </w:rPr>
        <w:t>Štruktúra dlhu štátnych rozpočtových organizácií podľa pôvodnej splatnosti v %</w:t>
      </w:r>
      <w:r>
        <w:rPr>
          <w:rFonts w:ascii="Times New Roman" w:hAnsi="Times New Roman"/>
        </w:rPr>
        <w:t>:</w:t>
      </w:r>
    </w:p>
    <w:tbl>
      <w:tblPr>
        <w:tblStyle w:val="TableNormal"/>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649"/>
        <w:gridCol w:w="1438"/>
        <w:gridCol w:w="1537"/>
        <w:gridCol w:w="1536"/>
        <w:gridCol w:w="1429"/>
      </w:tblGrid>
      <w:tr>
        <w:tblPrEx>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340"/>
          <w:jc w:val="center"/>
        </w:trPr>
        <w:tc>
          <w:tcPr>
            <w:tcW w:w="1542" w:type="pct"/>
            <w:tcBorders>
              <w:top w:val="nil"/>
              <w:left w:val="nil"/>
              <w:bottom w:val="nil"/>
              <w:right w:val="single" w:sz="4" w:space="0" w:color="FFFFFF"/>
            </w:tcBorders>
            <w:shd w:val="clear" w:color="auto" w:fill="000000"/>
            <w:textDirection w:val="lrTb"/>
            <w:vAlign w:val="top"/>
          </w:tcPr>
          <w:p w:rsidR="00D07062" w:rsidRPr="00D07062" w:rsidP="006F3414">
            <w:pPr>
              <w:bidi w:val="0"/>
              <w:jc w:val="center"/>
              <w:rPr>
                <w:rFonts w:ascii="Times New Roman" w:hAnsi="Times New Roman"/>
                <w:b/>
                <w:sz w:val="20"/>
                <w:szCs w:val="20"/>
              </w:rPr>
            </w:pPr>
            <w:r w:rsidRPr="00D07062">
              <w:rPr>
                <w:rFonts w:ascii="Times New Roman" w:hAnsi="Times New Roman"/>
                <w:b/>
                <w:sz w:val="20"/>
                <w:szCs w:val="20"/>
              </w:rPr>
              <w:t>Pôvodná splatnosť v rokoch</w:t>
            </w:r>
          </w:p>
        </w:tc>
        <w:tc>
          <w:tcPr>
            <w:tcW w:w="837" w:type="pct"/>
            <w:tcBorders>
              <w:top w:val="nil"/>
              <w:left w:val="single" w:sz="4" w:space="0" w:color="FFFFFF"/>
              <w:bottom w:val="nil"/>
              <w:right w:val="single" w:sz="4" w:space="0" w:color="FFFFFF"/>
            </w:tcBorders>
            <w:shd w:val="clear" w:color="auto" w:fill="000000"/>
            <w:textDirection w:val="lrTb"/>
            <w:vAlign w:val="top"/>
          </w:tcPr>
          <w:p w:rsidR="00D07062" w:rsidRPr="00D07062" w:rsidP="006F3414">
            <w:pPr>
              <w:bidi w:val="0"/>
              <w:jc w:val="center"/>
              <w:rPr>
                <w:rFonts w:ascii="Times New Roman" w:hAnsi="Times New Roman"/>
                <w:b/>
                <w:sz w:val="20"/>
                <w:szCs w:val="20"/>
              </w:rPr>
            </w:pPr>
            <w:r w:rsidRPr="00D07062">
              <w:rPr>
                <w:rFonts w:ascii="Times New Roman" w:hAnsi="Times New Roman"/>
                <w:b/>
                <w:sz w:val="20"/>
                <w:szCs w:val="20"/>
              </w:rPr>
              <w:t>Štátne dlhopisy a ŠPP</w:t>
            </w:r>
          </w:p>
        </w:tc>
        <w:tc>
          <w:tcPr>
            <w:tcW w:w="895" w:type="pct"/>
            <w:tcBorders>
              <w:top w:val="nil"/>
              <w:left w:val="single" w:sz="4" w:space="0" w:color="FFFFFF"/>
              <w:bottom w:val="nil"/>
              <w:right w:val="single" w:sz="4" w:space="0" w:color="FFFFFF"/>
            </w:tcBorders>
            <w:shd w:val="clear" w:color="auto" w:fill="000000"/>
            <w:textDirection w:val="lrTb"/>
            <w:vAlign w:val="top"/>
          </w:tcPr>
          <w:p w:rsidR="00D07062" w:rsidRPr="00D07062" w:rsidP="006F3414">
            <w:pPr>
              <w:bidi w:val="0"/>
              <w:jc w:val="center"/>
              <w:rPr>
                <w:rFonts w:ascii="Times New Roman" w:hAnsi="Times New Roman"/>
                <w:b/>
                <w:sz w:val="20"/>
                <w:szCs w:val="20"/>
              </w:rPr>
            </w:pPr>
            <w:r w:rsidRPr="00D07062">
              <w:rPr>
                <w:rFonts w:ascii="Times New Roman" w:hAnsi="Times New Roman"/>
                <w:b/>
                <w:sz w:val="20"/>
                <w:szCs w:val="20"/>
              </w:rPr>
              <w:t>Bankové úvery a iné pôžičky</w:t>
            </w:r>
          </w:p>
        </w:tc>
        <w:tc>
          <w:tcPr>
            <w:tcW w:w="894" w:type="pct"/>
            <w:tcBorders>
              <w:top w:val="nil"/>
              <w:left w:val="single" w:sz="4" w:space="0" w:color="FFFFFF"/>
              <w:bottom w:val="nil"/>
              <w:right w:val="single" w:sz="4" w:space="0" w:color="FFFFFF"/>
            </w:tcBorders>
            <w:shd w:val="clear" w:color="auto" w:fill="000000"/>
            <w:textDirection w:val="lrTb"/>
            <w:vAlign w:val="top"/>
          </w:tcPr>
          <w:p w:rsidR="00D07062" w:rsidRPr="00D07062" w:rsidP="006F3414">
            <w:pPr>
              <w:bidi w:val="0"/>
              <w:jc w:val="center"/>
              <w:rPr>
                <w:rFonts w:ascii="Times New Roman" w:hAnsi="Times New Roman"/>
                <w:b/>
                <w:sz w:val="20"/>
                <w:szCs w:val="20"/>
              </w:rPr>
            </w:pPr>
            <w:r w:rsidRPr="00D07062">
              <w:rPr>
                <w:rFonts w:ascii="Times New Roman" w:hAnsi="Times New Roman"/>
                <w:b/>
                <w:sz w:val="20"/>
                <w:szCs w:val="20"/>
              </w:rPr>
              <w:t>Ostatné záväzky</w:t>
            </w:r>
          </w:p>
        </w:tc>
        <w:tc>
          <w:tcPr>
            <w:tcW w:w="833" w:type="pct"/>
            <w:tcBorders>
              <w:top w:val="nil"/>
              <w:left w:val="single" w:sz="4" w:space="0" w:color="FFFFFF"/>
              <w:bottom w:val="nil"/>
              <w:right w:val="nil"/>
            </w:tcBorders>
            <w:shd w:val="clear" w:color="auto" w:fill="000000"/>
            <w:textDirection w:val="lrTb"/>
            <w:vAlign w:val="top"/>
          </w:tcPr>
          <w:p w:rsidR="00D07062" w:rsidRPr="00D07062" w:rsidP="006F3414">
            <w:pPr>
              <w:bidi w:val="0"/>
              <w:jc w:val="center"/>
              <w:rPr>
                <w:rFonts w:ascii="Times New Roman" w:hAnsi="Times New Roman"/>
                <w:b/>
                <w:sz w:val="20"/>
                <w:szCs w:val="20"/>
              </w:rPr>
            </w:pPr>
            <w:r w:rsidRPr="00D07062">
              <w:rPr>
                <w:rFonts w:ascii="Times New Roman" w:hAnsi="Times New Roman"/>
                <w:b/>
                <w:sz w:val="20"/>
                <w:szCs w:val="20"/>
              </w:rPr>
              <w:t>Spolu</w:t>
            </w:r>
          </w:p>
        </w:tc>
      </w:tr>
      <w:tr>
        <w:tblPrEx>
          <w:tblW w:w="4523" w:type="pct"/>
          <w:jc w:val="center"/>
          <w:tblCellMar>
            <w:left w:w="70" w:type="dxa"/>
            <w:right w:w="70" w:type="dxa"/>
          </w:tblCellMar>
          <w:tblLook w:val="01E0"/>
        </w:tblPrEx>
        <w:trPr>
          <w:trHeight w:hRule="exact" w:val="369"/>
          <w:jc w:val="center"/>
        </w:trPr>
        <w:tc>
          <w:tcPr>
            <w:tcW w:w="1542" w:type="pct"/>
            <w:tcBorders>
              <w:top w:val="nil"/>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 xml:space="preserve">Do 1 roka </w:t>
            </w:r>
          </w:p>
        </w:tc>
        <w:tc>
          <w:tcPr>
            <w:tcW w:w="837" w:type="pct"/>
            <w:tcBorders>
              <w:top w:val="nil"/>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4,2</w:t>
            </w:r>
          </w:p>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16,0</w:t>
            </w:r>
          </w:p>
        </w:tc>
        <w:tc>
          <w:tcPr>
            <w:tcW w:w="895" w:type="pct"/>
            <w:tcBorders>
              <w:top w:val="nil"/>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0,6</w:t>
            </w:r>
          </w:p>
        </w:tc>
        <w:tc>
          <w:tcPr>
            <w:tcW w:w="894" w:type="pct"/>
            <w:tcBorders>
              <w:top w:val="nil"/>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100,0</w:t>
            </w:r>
          </w:p>
        </w:tc>
        <w:tc>
          <w:tcPr>
            <w:tcW w:w="833" w:type="pct"/>
            <w:tcBorders>
              <w:top w:val="nil"/>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4,7</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Do 5 rokov</w:t>
            </w:r>
          </w:p>
        </w:tc>
        <w:tc>
          <w:tcPr>
            <w:tcW w:w="837"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16,0</w:t>
            </w:r>
          </w:p>
        </w:tc>
        <w:tc>
          <w:tcPr>
            <w:tcW w:w="895"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94"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15,1</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Do 7 rokov</w:t>
            </w:r>
          </w:p>
        </w:tc>
        <w:tc>
          <w:tcPr>
            <w:tcW w:w="837"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27,5</w:t>
            </w:r>
          </w:p>
        </w:tc>
        <w:tc>
          <w:tcPr>
            <w:tcW w:w="895"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94"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26,0</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Do 10 rokov</w:t>
            </w:r>
          </w:p>
        </w:tc>
        <w:tc>
          <w:tcPr>
            <w:tcW w:w="837"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31,8</w:t>
            </w:r>
          </w:p>
        </w:tc>
        <w:tc>
          <w:tcPr>
            <w:tcW w:w="895"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0,7</w:t>
            </w:r>
          </w:p>
        </w:tc>
        <w:tc>
          <w:tcPr>
            <w:tcW w:w="894"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30,1</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Do 15 rokov</w:t>
            </w:r>
          </w:p>
        </w:tc>
        <w:tc>
          <w:tcPr>
            <w:tcW w:w="837"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16,4</w:t>
            </w:r>
          </w:p>
        </w:tc>
        <w:tc>
          <w:tcPr>
            <w:tcW w:w="895"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35,7</w:t>
            </w:r>
          </w:p>
        </w:tc>
        <w:tc>
          <w:tcPr>
            <w:tcW w:w="894"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17,3</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Do 29 rokov</w:t>
            </w:r>
          </w:p>
        </w:tc>
        <w:tc>
          <w:tcPr>
            <w:tcW w:w="837"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4,1</w:t>
            </w:r>
          </w:p>
        </w:tc>
        <w:tc>
          <w:tcPr>
            <w:tcW w:w="895"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62,4</w:t>
            </w:r>
          </w:p>
        </w:tc>
        <w:tc>
          <w:tcPr>
            <w:tcW w:w="894"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6,8</w:t>
            </w:r>
          </w:p>
        </w:tc>
      </w:tr>
      <w:tr>
        <w:tblPrEx>
          <w:tblW w:w="4523" w:type="pct"/>
          <w:jc w:val="center"/>
          <w:tblCellMar>
            <w:left w:w="70" w:type="dxa"/>
            <w:right w:w="70" w:type="dxa"/>
          </w:tblCellMar>
          <w:tblLook w:val="01E0"/>
        </w:tblPrEx>
        <w:trPr>
          <w:trHeight w:hRule="exact" w:val="369"/>
          <w:jc w:val="center"/>
        </w:trPr>
        <w:tc>
          <w:tcPr>
            <w:tcW w:w="1542" w:type="pct"/>
            <w:tcBorders>
              <w:top w:val="single" w:sz="4" w:space="0" w:color="auto"/>
              <w:left w:val="single" w:sz="4" w:space="0" w:color="auto"/>
              <w:bottom w:val="double" w:sz="6"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sz w:val="20"/>
                <w:szCs w:val="20"/>
              </w:rPr>
            </w:pPr>
            <w:r w:rsidRPr="00D07062">
              <w:rPr>
                <w:rFonts w:ascii="Times New Roman" w:hAnsi="Times New Roman"/>
                <w:sz w:val="20"/>
                <w:szCs w:val="20"/>
              </w:rPr>
              <w:t>30 rokov a viac</w:t>
            </w:r>
          </w:p>
        </w:tc>
        <w:tc>
          <w:tcPr>
            <w:tcW w:w="837" w:type="pct"/>
            <w:tcBorders>
              <w:top w:val="single" w:sz="4" w:space="0" w:color="auto"/>
              <w:left w:val="single" w:sz="4" w:space="0" w:color="auto"/>
              <w:bottom w:val="double" w:sz="6"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95" w:type="pct"/>
            <w:tcBorders>
              <w:top w:val="single" w:sz="4" w:space="0" w:color="auto"/>
              <w:left w:val="single" w:sz="4" w:space="0" w:color="auto"/>
              <w:bottom w:val="double" w:sz="6"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0,6</w:t>
            </w:r>
          </w:p>
        </w:tc>
        <w:tc>
          <w:tcPr>
            <w:tcW w:w="894" w:type="pct"/>
            <w:tcBorders>
              <w:top w:val="single" w:sz="4" w:space="0" w:color="auto"/>
              <w:left w:val="single" w:sz="4" w:space="0" w:color="auto"/>
              <w:bottom w:val="double" w:sz="6"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sz w:val="20"/>
                <w:szCs w:val="20"/>
              </w:rPr>
            </w:pPr>
            <w:r w:rsidRPr="00D07062">
              <w:rPr>
                <w:rFonts w:ascii="Times New Roman" w:hAnsi="Times New Roman"/>
                <w:sz w:val="20"/>
                <w:szCs w:val="20"/>
              </w:rPr>
              <w:t>0</w:t>
            </w:r>
          </w:p>
        </w:tc>
        <w:tc>
          <w:tcPr>
            <w:tcW w:w="833" w:type="pct"/>
            <w:tcBorders>
              <w:top w:val="single" w:sz="4" w:space="0" w:color="auto"/>
              <w:left w:val="single" w:sz="4" w:space="0" w:color="auto"/>
              <w:bottom w:val="double" w:sz="6"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0</w:t>
            </w:r>
          </w:p>
        </w:tc>
      </w:tr>
      <w:tr>
        <w:tblPrEx>
          <w:tblW w:w="4523" w:type="pct"/>
          <w:jc w:val="center"/>
          <w:tblCellMar>
            <w:left w:w="70" w:type="dxa"/>
            <w:right w:w="70" w:type="dxa"/>
          </w:tblCellMar>
          <w:tblLook w:val="01E0"/>
        </w:tblPrEx>
        <w:trPr>
          <w:trHeight w:hRule="exact" w:val="369"/>
          <w:jc w:val="center"/>
        </w:trPr>
        <w:tc>
          <w:tcPr>
            <w:tcW w:w="1542" w:type="pct"/>
            <w:tcBorders>
              <w:top w:val="double" w:sz="6" w:space="0" w:color="auto"/>
              <w:left w:val="single" w:sz="4" w:space="0" w:color="auto"/>
              <w:bottom w:val="single" w:sz="4" w:space="0" w:color="auto"/>
              <w:right w:val="single" w:sz="4" w:space="0" w:color="auto"/>
            </w:tcBorders>
            <w:textDirection w:val="lrTb"/>
            <w:vAlign w:val="top"/>
          </w:tcPr>
          <w:p w:rsidR="00D07062" w:rsidRPr="00D07062" w:rsidP="00D07062">
            <w:pPr>
              <w:bidi w:val="0"/>
              <w:spacing w:before="120" w:after="120"/>
              <w:jc w:val="both"/>
              <w:rPr>
                <w:rFonts w:ascii="Times New Roman" w:hAnsi="Times New Roman"/>
                <w:b/>
                <w:sz w:val="20"/>
                <w:szCs w:val="20"/>
              </w:rPr>
            </w:pPr>
            <w:r w:rsidRPr="00D07062">
              <w:rPr>
                <w:rFonts w:ascii="Times New Roman" w:hAnsi="Times New Roman"/>
                <w:b/>
                <w:sz w:val="20"/>
                <w:szCs w:val="20"/>
              </w:rPr>
              <w:t>Spolu</w:t>
            </w:r>
          </w:p>
        </w:tc>
        <w:tc>
          <w:tcPr>
            <w:tcW w:w="837" w:type="pct"/>
            <w:tcBorders>
              <w:top w:val="double" w:sz="6"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100</w:t>
            </w:r>
          </w:p>
        </w:tc>
        <w:tc>
          <w:tcPr>
            <w:tcW w:w="895" w:type="pct"/>
            <w:tcBorders>
              <w:top w:val="double" w:sz="6"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100</w:t>
            </w:r>
          </w:p>
        </w:tc>
        <w:tc>
          <w:tcPr>
            <w:tcW w:w="894" w:type="pct"/>
            <w:tcBorders>
              <w:top w:val="double" w:sz="6"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100</w:t>
            </w:r>
          </w:p>
        </w:tc>
        <w:tc>
          <w:tcPr>
            <w:tcW w:w="833" w:type="pct"/>
            <w:tcBorders>
              <w:top w:val="double" w:sz="6" w:space="0" w:color="auto"/>
              <w:left w:val="single" w:sz="4" w:space="0" w:color="auto"/>
              <w:bottom w:val="single" w:sz="4" w:space="0" w:color="auto"/>
              <w:right w:val="single" w:sz="4" w:space="0" w:color="auto"/>
            </w:tcBorders>
            <w:textDirection w:val="lrTb"/>
            <w:vAlign w:val="top"/>
          </w:tcPr>
          <w:p w:rsidR="00D07062" w:rsidRPr="00D07062" w:rsidP="001018CC">
            <w:pPr>
              <w:bidi w:val="0"/>
              <w:spacing w:before="120" w:after="120"/>
              <w:jc w:val="right"/>
              <w:rPr>
                <w:rFonts w:ascii="Times New Roman" w:hAnsi="Times New Roman"/>
                <w:b/>
                <w:sz w:val="20"/>
                <w:szCs w:val="20"/>
              </w:rPr>
            </w:pPr>
            <w:r w:rsidRPr="00D07062">
              <w:rPr>
                <w:rFonts w:ascii="Times New Roman" w:hAnsi="Times New Roman"/>
                <w:b/>
                <w:sz w:val="20"/>
                <w:szCs w:val="20"/>
              </w:rPr>
              <w:t>100</w:t>
            </w:r>
          </w:p>
        </w:tc>
      </w:tr>
    </w:tbl>
    <w:p w:rsidR="00D07062" w:rsidP="001018CC">
      <w:pPr>
        <w:bidi w:val="0"/>
        <w:spacing w:after="120" w:line="360" w:lineRule="auto"/>
        <w:ind w:left="426"/>
        <w:jc w:val="both"/>
        <w:rPr>
          <w:rFonts w:ascii="Times New Roman" w:hAnsi="Times New Roman"/>
        </w:rPr>
      </w:pPr>
      <w:r w:rsidRPr="004217D1">
        <w:rPr>
          <w:rFonts w:ascii="Times New Roman" w:hAnsi="Times New Roman"/>
          <w:sz w:val="20"/>
        </w:rPr>
        <w:t>Zdroj:</w:t>
      </w:r>
      <w:r w:rsidRPr="004217D1">
        <w:rPr>
          <w:rFonts w:ascii="Times New Roman" w:hAnsi="Times New Roman"/>
        </w:rPr>
        <w:t xml:space="preserve"> </w:t>
      </w:r>
      <w:r w:rsidRPr="004217D1">
        <w:rPr>
          <w:rFonts w:ascii="Times New Roman" w:hAnsi="Times New Roman"/>
          <w:sz w:val="20"/>
        </w:rPr>
        <w:t>Ministerstvo financií SR</w:t>
      </w:r>
    </w:p>
    <w:p w:rsidR="00D07062" w:rsidP="00491E04">
      <w:pPr>
        <w:bidi w:val="0"/>
        <w:spacing w:before="120" w:after="120" w:line="360" w:lineRule="auto"/>
        <w:jc w:val="both"/>
        <w:rPr>
          <w:rFonts w:ascii="Times New Roman" w:hAnsi="Times New Roman"/>
        </w:rPr>
      </w:pPr>
      <w:r w:rsidRPr="001018CC">
        <w:rPr>
          <w:rFonts w:ascii="Times New Roman" w:hAnsi="Times New Roman"/>
          <w:b/>
        </w:rPr>
        <w:t>Z hľadiska teritoriálnej štruktúry</w:t>
      </w:r>
      <w:r>
        <w:rPr>
          <w:rFonts w:ascii="Times New Roman" w:hAnsi="Times New Roman"/>
        </w:rPr>
        <w:t xml:space="preserve"> dlhu štátnych rozpočtových organizácií pripadá na tuzemských veriteľov 16 863 272 tis</w:t>
      </w:r>
      <w:r w:rsidR="005A4E8D">
        <w:rPr>
          <w:rFonts w:ascii="Times New Roman" w:hAnsi="Times New Roman"/>
        </w:rPr>
        <w:t>.</w:t>
      </w:r>
      <w:r>
        <w:rPr>
          <w:rFonts w:ascii="Times New Roman" w:hAnsi="Times New Roman"/>
        </w:rPr>
        <w:t xml:space="preserve"> eur (58,6 %) a na zahraničných veriteľov 11 908 426 tis. eur (41,4 %).</w:t>
      </w:r>
    </w:p>
    <w:p w:rsidR="00D07062" w:rsidRPr="00D07062" w:rsidP="00491E04">
      <w:pPr>
        <w:pStyle w:val="Heading3"/>
        <w:bidi w:val="0"/>
        <w:spacing w:before="100" w:beforeAutospacing="1" w:after="100" w:afterAutospacing="1" w:line="360" w:lineRule="auto"/>
        <w:jc w:val="center"/>
        <w:rPr>
          <w:rFonts w:ascii="Times New Roman" w:hAnsi="Times New Roman"/>
          <w:color w:val="auto"/>
        </w:rPr>
      </w:pPr>
      <w:bookmarkStart w:id="17" w:name="_Toc322614750"/>
      <w:r w:rsidRPr="00D07062">
        <w:rPr>
          <w:rFonts w:ascii="Times New Roman" w:hAnsi="Times New Roman"/>
          <w:color w:val="auto"/>
        </w:rPr>
        <w:t xml:space="preserve">2.2.2. </w:t>
      </w:r>
      <w:r w:rsidR="00930D9F">
        <w:rPr>
          <w:rFonts w:ascii="Times New Roman" w:hAnsi="Times New Roman"/>
          <w:color w:val="auto"/>
        </w:rPr>
        <w:t>Maastrichtský d</w:t>
      </w:r>
      <w:r w:rsidRPr="00D07062">
        <w:rPr>
          <w:rFonts w:ascii="Times New Roman" w:hAnsi="Times New Roman"/>
          <w:color w:val="auto"/>
        </w:rPr>
        <w:t>lh ostatných subjektov verejnej správy</w:t>
      </w:r>
      <w:bookmarkEnd w:id="17"/>
    </w:p>
    <w:p w:rsidR="00D07062" w:rsidRPr="004217D1" w:rsidP="00491E04">
      <w:pPr>
        <w:bidi w:val="0"/>
        <w:spacing w:before="120" w:after="120" w:line="360" w:lineRule="auto"/>
        <w:ind w:firstLine="709"/>
        <w:jc w:val="both"/>
        <w:rPr>
          <w:rFonts w:ascii="Times New Roman" w:hAnsi="Times New Roman"/>
        </w:rPr>
      </w:pPr>
      <w:r w:rsidRPr="004217D1">
        <w:rPr>
          <w:rFonts w:ascii="Times New Roman" w:hAnsi="Times New Roman"/>
        </w:rPr>
        <w:t xml:space="preserve">Ostatné subjekty verejnej správy prispeli do maastrichtského dlhu sumou </w:t>
      </w:r>
      <w:r>
        <w:rPr>
          <w:rFonts w:ascii="Times New Roman" w:hAnsi="Times New Roman"/>
        </w:rPr>
        <w:t>1 139 564</w:t>
      </w:r>
      <w:r w:rsidRPr="004217D1">
        <w:rPr>
          <w:rFonts w:ascii="Times New Roman" w:hAnsi="Times New Roman"/>
        </w:rPr>
        <w:t xml:space="preserve"> tis. eur, ktorá je už znížená o</w:t>
      </w:r>
      <w:r>
        <w:rPr>
          <w:rFonts w:ascii="Times New Roman" w:hAnsi="Times New Roman"/>
        </w:rPr>
        <w:t> 691 820</w:t>
      </w:r>
      <w:r w:rsidRPr="004217D1">
        <w:rPr>
          <w:rFonts w:ascii="Times New Roman" w:hAnsi="Times New Roman"/>
        </w:rPr>
        <w:t xml:space="preserve"> tis. eur z dôvodu konsolidácie, t.j. eliminácie dlhu vzniknutého pôžičkami medzi subjektmi verejnej správy. Bez akýchkoľvek úverov a pôžičiek boli ku koncu roka 20</w:t>
      </w:r>
      <w:r>
        <w:rPr>
          <w:rFonts w:ascii="Times New Roman" w:hAnsi="Times New Roman"/>
        </w:rPr>
        <w:t>11</w:t>
      </w:r>
      <w:r w:rsidRPr="004217D1">
        <w:rPr>
          <w:rFonts w:ascii="Times New Roman" w:hAnsi="Times New Roman"/>
        </w:rPr>
        <w:t xml:space="preserve"> štátne fondy, Slovenský pozemkový fond, Slovenská konsolidačná, a.s., Úrad pre dohľad nad výkonom auditu, Úrad pre dohľad nad zdravotnou starostlivosťou, Ústav pamäti národa, Slovenské národné stredisko pre ľudské práva, Rozhlasová a televízna spoločnosť, s.r.o., Sociálna poisťovňa, zdravotné poisťovne, Tlačová agentúra SR a Audiovizuálny fond.</w:t>
      </w:r>
    </w:p>
    <w:p w:rsidR="00D07062" w:rsidP="00491E04">
      <w:pPr>
        <w:bidi w:val="0"/>
        <w:spacing w:before="120" w:after="120" w:line="360" w:lineRule="auto"/>
        <w:jc w:val="both"/>
        <w:rPr>
          <w:rFonts w:ascii="Times New Roman" w:hAnsi="Times New Roman"/>
        </w:rPr>
      </w:pPr>
      <w:r w:rsidRPr="004217D1">
        <w:rPr>
          <w:rFonts w:ascii="Times New Roman" w:hAnsi="Times New Roman"/>
        </w:rPr>
        <w:t xml:space="preserve">Dlh </w:t>
      </w:r>
      <w:r w:rsidRPr="004217D1">
        <w:rPr>
          <w:rFonts w:ascii="Times New Roman" w:hAnsi="Times New Roman"/>
          <w:b/>
        </w:rPr>
        <w:t>Fondu národného majetku</w:t>
      </w:r>
      <w:r w:rsidRPr="004217D1">
        <w:rPr>
          <w:rFonts w:ascii="Times New Roman" w:hAnsi="Times New Roman"/>
        </w:rPr>
        <w:t xml:space="preserve"> </w:t>
      </w:r>
      <w:r w:rsidRPr="004217D1">
        <w:rPr>
          <w:rFonts w:ascii="Times New Roman" w:hAnsi="Times New Roman"/>
          <w:b/>
        </w:rPr>
        <w:t xml:space="preserve">SR </w:t>
      </w:r>
      <w:r w:rsidRPr="004217D1">
        <w:rPr>
          <w:rFonts w:ascii="Times New Roman" w:hAnsi="Times New Roman"/>
        </w:rPr>
        <w:t xml:space="preserve">predstavuje </w:t>
      </w:r>
      <w:r>
        <w:rPr>
          <w:rFonts w:ascii="Times New Roman" w:hAnsi="Times New Roman"/>
        </w:rPr>
        <w:t>15 838</w:t>
      </w:r>
      <w:r w:rsidRPr="004217D1">
        <w:rPr>
          <w:rFonts w:ascii="Times New Roman" w:hAnsi="Times New Roman"/>
        </w:rPr>
        <w:t xml:space="preserve"> tis. eur, ktorý vznikol z emisie dlhopisov FNM v roku 1996. Oproti roku 20</w:t>
      </w:r>
      <w:r>
        <w:rPr>
          <w:rFonts w:ascii="Times New Roman" w:hAnsi="Times New Roman"/>
        </w:rPr>
        <w:t>10</w:t>
      </w:r>
      <w:r w:rsidRPr="004217D1">
        <w:rPr>
          <w:rFonts w:ascii="Times New Roman" w:hAnsi="Times New Roman"/>
        </w:rPr>
        <w:t xml:space="preserve"> sa dlh znížil o 1</w:t>
      </w:r>
      <w:r>
        <w:rPr>
          <w:rFonts w:ascii="Times New Roman" w:hAnsi="Times New Roman"/>
        </w:rPr>
        <w:t>93</w:t>
      </w:r>
      <w:r w:rsidRPr="004217D1">
        <w:rPr>
          <w:rFonts w:ascii="Times New Roman" w:hAnsi="Times New Roman"/>
        </w:rPr>
        <w:t xml:space="preserve"> tis. eur v dôs</w:t>
      </w:r>
      <w:r>
        <w:rPr>
          <w:rFonts w:ascii="Times New Roman" w:hAnsi="Times New Roman"/>
        </w:rPr>
        <w:t>ledku vyplatenia časti záväzkov</w:t>
      </w:r>
      <w:r w:rsidRPr="004217D1">
        <w:rPr>
          <w:rFonts w:ascii="Times New Roman" w:hAnsi="Times New Roman"/>
        </w:rPr>
        <w:t xml:space="preserve"> vyplývajúcich z dlhopisov FNM. </w:t>
      </w:r>
    </w:p>
    <w:p w:rsidR="00D07062" w:rsidP="00491E04">
      <w:pPr>
        <w:bidi w:val="0"/>
        <w:spacing w:before="120" w:after="120" w:line="360" w:lineRule="auto"/>
        <w:jc w:val="both"/>
        <w:rPr>
          <w:rFonts w:ascii="Times New Roman" w:hAnsi="Times New Roman"/>
        </w:rPr>
      </w:pPr>
      <w:r w:rsidRPr="004217D1">
        <w:rPr>
          <w:rFonts w:ascii="Times New Roman" w:hAnsi="Times New Roman"/>
        </w:rPr>
        <w:t xml:space="preserve">Dlh </w:t>
      </w:r>
      <w:r w:rsidRPr="004217D1">
        <w:rPr>
          <w:rFonts w:ascii="Times New Roman" w:hAnsi="Times New Roman"/>
          <w:b/>
        </w:rPr>
        <w:t>verejných vysokých škôl</w:t>
      </w:r>
      <w:r w:rsidRPr="004217D1">
        <w:rPr>
          <w:rFonts w:ascii="Times New Roman" w:hAnsi="Times New Roman"/>
        </w:rPr>
        <w:t xml:space="preserve"> </w:t>
      </w:r>
      <w:r>
        <w:rPr>
          <w:rFonts w:ascii="Times New Roman" w:hAnsi="Times New Roman"/>
        </w:rPr>
        <w:t>predstavuje</w:t>
      </w:r>
      <w:r w:rsidRPr="004217D1">
        <w:rPr>
          <w:rFonts w:ascii="Times New Roman" w:hAnsi="Times New Roman"/>
        </w:rPr>
        <w:t xml:space="preserve"> </w:t>
      </w:r>
      <w:r w:rsidR="00930D9F">
        <w:rPr>
          <w:rFonts w:ascii="Times New Roman" w:hAnsi="Times New Roman"/>
        </w:rPr>
        <w:t xml:space="preserve">zostatok záväzkov z </w:t>
      </w:r>
      <w:r w:rsidRPr="004217D1">
        <w:rPr>
          <w:rFonts w:ascii="Times New Roman" w:hAnsi="Times New Roman"/>
        </w:rPr>
        <w:t>finančn</w:t>
      </w:r>
      <w:r w:rsidR="00930D9F">
        <w:rPr>
          <w:rFonts w:ascii="Times New Roman" w:hAnsi="Times New Roman"/>
        </w:rPr>
        <w:t>ého</w:t>
      </w:r>
      <w:r w:rsidRPr="004217D1">
        <w:rPr>
          <w:rFonts w:ascii="Times New Roman" w:hAnsi="Times New Roman"/>
        </w:rPr>
        <w:t xml:space="preserve"> prenájm</w:t>
      </w:r>
      <w:r w:rsidR="00930D9F">
        <w:rPr>
          <w:rFonts w:ascii="Times New Roman" w:hAnsi="Times New Roman"/>
        </w:rPr>
        <w:t>u</w:t>
      </w:r>
      <w:r w:rsidRPr="004217D1">
        <w:rPr>
          <w:rFonts w:ascii="Times New Roman" w:hAnsi="Times New Roman"/>
        </w:rPr>
        <w:t xml:space="preserve"> </w:t>
      </w:r>
      <w:r w:rsidR="00930D9F">
        <w:rPr>
          <w:rFonts w:ascii="Times New Roman" w:hAnsi="Times New Roman"/>
        </w:rPr>
        <w:br/>
      </w:r>
      <w:r>
        <w:rPr>
          <w:rFonts w:ascii="Times New Roman" w:hAnsi="Times New Roman"/>
        </w:rPr>
        <w:t>10</w:t>
      </w:r>
      <w:r w:rsidRPr="004217D1">
        <w:rPr>
          <w:rFonts w:ascii="Times New Roman" w:hAnsi="Times New Roman"/>
        </w:rPr>
        <w:t xml:space="preserve"> tis. eur. Oproti stavu v roku 20</w:t>
      </w:r>
      <w:r>
        <w:rPr>
          <w:rFonts w:ascii="Times New Roman" w:hAnsi="Times New Roman"/>
        </w:rPr>
        <w:t>10</w:t>
      </w:r>
      <w:r w:rsidRPr="004217D1">
        <w:rPr>
          <w:rFonts w:ascii="Times New Roman" w:hAnsi="Times New Roman"/>
        </w:rPr>
        <w:t xml:space="preserve"> sa celkový dlh znížil o</w:t>
      </w:r>
      <w:r>
        <w:rPr>
          <w:rFonts w:ascii="Times New Roman" w:hAnsi="Times New Roman"/>
        </w:rPr>
        <w:t> 329 tis</w:t>
      </w:r>
      <w:r w:rsidR="005A4E8D">
        <w:rPr>
          <w:rFonts w:ascii="Times New Roman" w:hAnsi="Times New Roman"/>
        </w:rPr>
        <w:t>.</w:t>
      </w:r>
      <w:r>
        <w:rPr>
          <w:rFonts w:ascii="Times New Roman" w:hAnsi="Times New Roman"/>
        </w:rPr>
        <w:t xml:space="preserve"> eur</w:t>
      </w:r>
      <w:r w:rsidRPr="004217D1">
        <w:rPr>
          <w:rFonts w:ascii="Times New Roman" w:hAnsi="Times New Roman"/>
        </w:rPr>
        <w:t xml:space="preserve">. </w:t>
      </w:r>
    </w:p>
    <w:p w:rsidR="00D07062" w:rsidRPr="00E16E43" w:rsidP="00491E04">
      <w:pPr>
        <w:bidi w:val="0"/>
        <w:spacing w:before="120" w:after="120" w:line="360" w:lineRule="auto"/>
        <w:jc w:val="both"/>
        <w:rPr>
          <w:rFonts w:ascii="Times New Roman" w:hAnsi="Times New Roman"/>
        </w:rPr>
      </w:pPr>
      <w:r>
        <w:rPr>
          <w:rFonts w:ascii="Times New Roman" w:hAnsi="Times New Roman"/>
        </w:rPr>
        <w:t xml:space="preserve">Dlh </w:t>
      </w:r>
      <w:r>
        <w:rPr>
          <w:rFonts w:ascii="Times New Roman" w:hAnsi="Times New Roman"/>
          <w:b/>
        </w:rPr>
        <w:t>Rozhlasu a televízie Slovenska</w:t>
      </w:r>
      <w:r w:rsidRPr="00E16E43">
        <w:rPr>
          <w:rFonts w:ascii="Times New Roman" w:hAnsi="Times New Roman"/>
          <w:b/>
        </w:rPr>
        <w:t xml:space="preserve"> </w:t>
      </w:r>
      <w:r w:rsidRPr="0099015F">
        <w:rPr>
          <w:rFonts w:ascii="Times New Roman" w:hAnsi="Times New Roman"/>
        </w:rPr>
        <w:t>je</w:t>
      </w:r>
      <w:r>
        <w:rPr>
          <w:rFonts w:ascii="Times New Roman" w:hAnsi="Times New Roman"/>
          <w:b/>
        </w:rPr>
        <w:t xml:space="preserve"> </w:t>
      </w:r>
      <w:r>
        <w:rPr>
          <w:rFonts w:ascii="Times New Roman" w:hAnsi="Times New Roman"/>
        </w:rPr>
        <w:t xml:space="preserve">vytvorený </w:t>
      </w:r>
      <w:r w:rsidR="00930D9F">
        <w:rPr>
          <w:rFonts w:ascii="Times New Roman" w:hAnsi="Times New Roman"/>
        </w:rPr>
        <w:t xml:space="preserve">zostatkom záväzkov z </w:t>
      </w:r>
      <w:r>
        <w:rPr>
          <w:rFonts w:ascii="Times New Roman" w:hAnsi="Times New Roman"/>
        </w:rPr>
        <w:t>finančn</w:t>
      </w:r>
      <w:r w:rsidR="00930D9F">
        <w:rPr>
          <w:rFonts w:ascii="Times New Roman" w:hAnsi="Times New Roman"/>
        </w:rPr>
        <w:t>ého</w:t>
      </w:r>
      <w:r>
        <w:rPr>
          <w:rFonts w:ascii="Times New Roman" w:hAnsi="Times New Roman"/>
        </w:rPr>
        <w:t xml:space="preserve"> prenájm</w:t>
      </w:r>
      <w:r w:rsidR="00930D9F">
        <w:rPr>
          <w:rFonts w:ascii="Times New Roman" w:hAnsi="Times New Roman"/>
        </w:rPr>
        <w:t>u</w:t>
      </w:r>
      <w:r>
        <w:rPr>
          <w:rFonts w:ascii="Times New Roman" w:hAnsi="Times New Roman"/>
        </w:rPr>
        <w:t xml:space="preserve"> vo výške 104 tis. eur. </w:t>
      </w:r>
      <w:r w:rsidR="001018CC">
        <w:rPr>
          <w:rFonts w:ascii="Times New Roman" w:hAnsi="Times New Roman"/>
        </w:rPr>
        <w:t>O</w:t>
      </w:r>
      <w:r>
        <w:rPr>
          <w:rFonts w:ascii="Times New Roman" w:hAnsi="Times New Roman"/>
        </w:rPr>
        <w:t>proti roku 2010 sa znížil o 63 tis. eur.</w:t>
      </w:r>
    </w:p>
    <w:p w:rsidR="00D07062" w:rsidP="00491E04">
      <w:pPr>
        <w:bidi w:val="0"/>
        <w:spacing w:before="120" w:after="120" w:line="360" w:lineRule="auto"/>
        <w:jc w:val="both"/>
        <w:rPr>
          <w:rFonts w:ascii="Times New Roman" w:hAnsi="Times New Roman"/>
        </w:rPr>
      </w:pPr>
      <w:r w:rsidRPr="004217D1">
        <w:rPr>
          <w:rFonts w:ascii="Times New Roman" w:hAnsi="Times New Roman"/>
          <w:b/>
        </w:rPr>
        <w:t>Vyššie územné celky</w:t>
      </w:r>
      <w:r w:rsidRPr="004217D1">
        <w:rPr>
          <w:rFonts w:ascii="Times New Roman" w:hAnsi="Times New Roman"/>
        </w:rPr>
        <w:t xml:space="preserve"> vykázali dlh vo výške </w:t>
      </w:r>
      <w:r>
        <w:rPr>
          <w:rFonts w:ascii="Times New Roman" w:hAnsi="Times New Roman"/>
        </w:rPr>
        <w:t>426 847</w:t>
      </w:r>
      <w:r w:rsidRPr="004217D1">
        <w:rPr>
          <w:rFonts w:ascii="Times New Roman" w:hAnsi="Times New Roman"/>
        </w:rPr>
        <w:t xml:space="preserve"> tis. eur, z čoho 4 813 tis. eur tvorí návratná finančná výpomoc Bratislavskému samosprávnemu kraju zo štátnych finančných aktív, ktorá podlieha konsolidácii. Oproti stavu v roku 20</w:t>
      </w:r>
      <w:r>
        <w:rPr>
          <w:rFonts w:ascii="Times New Roman" w:hAnsi="Times New Roman"/>
        </w:rPr>
        <w:t>10</w:t>
      </w:r>
      <w:r w:rsidRPr="004217D1">
        <w:rPr>
          <w:rFonts w:ascii="Times New Roman" w:hAnsi="Times New Roman"/>
        </w:rPr>
        <w:t xml:space="preserve"> vzrástol dlh VÚC o</w:t>
      </w:r>
      <w:r>
        <w:rPr>
          <w:rFonts w:ascii="Times New Roman" w:hAnsi="Times New Roman"/>
        </w:rPr>
        <w:t> 18 246</w:t>
      </w:r>
      <w:r w:rsidRPr="004217D1">
        <w:rPr>
          <w:rFonts w:ascii="Times New Roman" w:hAnsi="Times New Roman"/>
        </w:rPr>
        <w:t xml:space="preserve"> tis. eur (</w:t>
      </w:r>
      <w:r>
        <w:rPr>
          <w:rFonts w:ascii="Times New Roman" w:hAnsi="Times New Roman"/>
        </w:rPr>
        <w:t>o 4,5</w:t>
      </w:r>
      <w:r w:rsidRPr="004217D1">
        <w:rPr>
          <w:rFonts w:ascii="Times New Roman" w:hAnsi="Times New Roman"/>
        </w:rPr>
        <w:t xml:space="preserve"> %). Nárast bol spôsobený zvýšením stavu bankových úverov o</w:t>
      </w:r>
      <w:r>
        <w:rPr>
          <w:rFonts w:ascii="Times New Roman" w:hAnsi="Times New Roman"/>
        </w:rPr>
        <w:t xml:space="preserve"> 15 320 tis. eur </w:t>
      </w:r>
      <w:r w:rsidRPr="004217D1">
        <w:rPr>
          <w:rFonts w:ascii="Times New Roman" w:hAnsi="Times New Roman"/>
        </w:rPr>
        <w:t xml:space="preserve">na hodnotu </w:t>
      </w:r>
      <w:r>
        <w:rPr>
          <w:rFonts w:ascii="Times New Roman" w:hAnsi="Times New Roman"/>
        </w:rPr>
        <w:t>350 057</w:t>
      </w:r>
      <w:r w:rsidRPr="004217D1">
        <w:rPr>
          <w:rFonts w:ascii="Times New Roman" w:hAnsi="Times New Roman"/>
        </w:rPr>
        <w:t xml:space="preserve"> tis. eur</w:t>
      </w:r>
      <w:r>
        <w:rPr>
          <w:rFonts w:ascii="Times New Roman" w:hAnsi="Times New Roman"/>
        </w:rPr>
        <w:t xml:space="preserve"> a investičných dodávateľských úverov o 2 926 tis. eur na hodnotu 71 977 tis. eur.</w:t>
      </w:r>
    </w:p>
    <w:p w:rsidR="006F3414" w:rsidP="00D07062">
      <w:pPr>
        <w:bidi w:val="0"/>
        <w:spacing w:before="120"/>
        <w:jc w:val="both"/>
        <w:rPr>
          <w:rFonts w:ascii="Times New Roman" w:hAnsi="Times New Roman"/>
        </w:rPr>
      </w:pPr>
      <w:r w:rsidRPr="00D23BF5" w:rsidR="00D07062">
        <w:rPr>
          <w:rFonts w:ascii="Times New Roman" w:hAnsi="Times New Roman"/>
        </w:rPr>
        <w:t>Rozloženie dlhu VÚC podľa samosprávnych krajov</w:t>
      </w:r>
      <w:r w:rsidR="00F8582D">
        <w:rPr>
          <w:rFonts w:ascii="Times New Roman" w:hAnsi="Times New Roman"/>
        </w:rPr>
        <w:t>:</w:t>
      </w:r>
    </w:p>
    <w:p w:rsidR="00D07062" w:rsidRPr="006F3414" w:rsidP="006F3414">
      <w:pPr>
        <w:bidi w:val="0"/>
        <w:ind w:left="7788" w:firstLine="708"/>
        <w:jc w:val="both"/>
        <w:rPr>
          <w:rFonts w:ascii="Times New Roman" w:hAnsi="Times New Roman"/>
          <w:sz w:val="20"/>
          <w:szCs w:val="20"/>
        </w:rPr>
      </w:pPr>
    </w:p>
    <w:tbl>
      <w:tblPr>
        <w:tblStyle w:val="TableNormal"/>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738"/>
        <w:gridCol w:w="1844"/>
        <w:gridCol w:w="1842"/>
        <w:gridCol w:w="1762"/>
      </w:tblGrid>
      <w:tr>
        <w:tblPrEx>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7"/>
          <w:jc w:val="center"/>
        </w:trPr>
        <w:tc>
          <w:tcPr>
            <w:tcW w:w="1052" w:type="pct"/>
            <w:tcBorders>
              <w:top w:val="nil"/>
              <w:left w:val="nil"/>
              <w:bottom w:val="nil"/>
              <w:right w:val="single" w:sz="4" w:space="0" w:color="FFFFFF"/>
            </w:tcBorders>
            <w:shd w:val="clear" w:color="auto" w:fill="000000"/>
            <w:textDirection w:val="lrTb"/>
            <w:vAlign w:val="center"/>
          </w:tcPr>
          <w:p w:rsidR="00D07062" w:rsidRPr="005D5335" w:rsidP="007F245A">
            <w:pPr>
              <w:bidi w:val="0"/>
              <w:jc w:val="center"/>
              <w:rPr>
                <w:rFonts w:ascii="Times New Roman" w:hAnsi="Times New Roman"/>
                <w:b/>
                <w:sz w:val="20"/>
                <w:szCs w:val="20"/>
              </w:rPr>
            </w:pPr>
            <w:r w:rsidRPr="005D5335">
              <w:rPr>
                <w:rFonts w:ascii="Times New Roman" w:hAnsi="Times New Roman"/>
                <w:b/>
                <w:sz w:val="20"/>
                <w:szCs w:val="20"/>
              </w:rPr>
              <w:t>Samosprávny kraj</w:t>
            </w:r>
          </w:p>
          <w:p w:rsidR="00A92219" w:rsidRPr="005D5335" w:rsidP="007F245A">
            <w:pPr>
              <w:bidi w:val="0"/>
              <w:jc w:val="center"/>
              <w:rPr>
                <w:rFonts w:ascii="Times New Roman" w:hAnsi="Times New Roman"/>
                <w:b/>
                <w:sz w:val="20"/>
                <w:szCs w:val="20"/>
              </w:rPr>
            </w:pPr>
          </w:p>
          <w:p w:rsidR="00A92219" w:rsidRPr="005D5335" w:rsidP="00A92219">
            <w:pPr>
              <w:bidi w:val="0"/>
              <w:rPr>
                <w:rFonts w:ascii="Times New Roman" w:hAnsi="Times New Roman"/>
                <w:b/>
                <w:sz w:val="20"/>
                <w:szCs w:val="20"/>
              </w:rPr>
            </w:pPr>
            <w:r w:rsidRPr="005D5335">
              <w:rPr>
                <w:rFonts w:ascii="Times New Roman" w:hAnsi="Times New Roman"/>
                <w:b/>
                <w:sz w:val="20"/>
                <w:szCs w:val="20"/>
              </w:rPr>
              <w:t>(v tis.</w:t>
            </w:r>
            <w:r w:rsidR="005D5335">
              <w:rPr>
                <w:rFonts w:ascii="Times New Roman" w:hAnsi="Times New Roman"/>
                <w:b/>
                <w:sz w:val="20"/>
                <w:szCs w:val="20"/>
              </w:rPr>
              <w:t xml:space="preserve"> </w:t>
            </w:r>
            <w:r w:rsidRPr="005D5335">
              <w:rPr>
                <w:rFonts w:ascii="Times New Roman" w:hAnsi="Times New Roman"/>
                <w:b/>
                <w:sz w:val="20"/>
                <w:szCs w:val="20"/>
              </w:rPr>
              <w:t>eur)</w:t>
            </w:r>
          </w:p>
        </w:tc>
        <w:tc>
          <w:tcPr>
            <w:tcW w:w="955" w:type="pct"/>
            <w:tcBorders>
              <w:top w:val="nil"/>
              <w:left w:val="single" w:sz="4" w:space="0" w:color="FFFFFF"/>
              <w:bottom w:val="nil"/>
              <w:right w:val="single" w:sz="4" w:space="0" w:color="FFFFFF"/>
            </w:tcBorders>
            <w:shd w:val="clear" w:color="auto" w:fill="000000"/>
            <w:textDirection w:val="lrTb"/>
            <w:vAlign w:val="center"/>
          </w:tcPr>
          <w:p w:rsidR="00D07062" w:rsidRPr="005D5335" w:rsidP="007F245A">
            <w:pPr>
              <w:bidi w:val="0"/>
              <w:jc w:val="center"/>
              <w:rPr>
                <w:rFonts w:ascii="Times New Roman" w:hAnsi="Times New Roman"/>
                <w:b/>
                <w:sz w:val="20"/>
                <w:szCs w:val="20"/>
              </w:rPr>
            </w:pPr>
            <w:r w:rsidRPr="005D5335">
              <w:rPr>
                <w:rFonts w:ascii="Times New Roman" w:hAnsi="Times New Roman"/>
                <w:b/>
                <w:sz w:val="20"/>
                <w:szCs w:val="20"/>
              </w:rPr>
              <w:t>Bankové úvery</w:t>
            </w:r>
          </w:p>
        </w:tc>
        <w:tc>
          <w:tcPr>
            <w:tcW w:w="1013" w:type="pct"/>
            <w:tcBorders>
              <w:top w:val="nil"/>
              <w:left w:val="single" w:sz="4" w:space="0" w:color="FFFFFF"/>
              <w:bottom w:val="nil"/>
              <w:right w:val="single" w:sz="4" w:space="0" w:color="FFFFFF"/>
            </w:tcBorders>
            <w:shd w:val="clear" w:color="auto" w:fill="000000"/>
            <w:textDirection w:val="lrTb"/>
            <w:vAlign w:val="center"/>
          </w:tcPr>
          <w:p w:rsidR="00D07062" w:rsidRPr="005D5335" w:rsidP="007F245A">
            <w:pPr>
              <w:bidi w:val="0"/>
              <w:jc w:val="center"/>
              <w:rPr>
                <w:rFonts w:ascii="Times New Roman" w:hAnsi="Times New Roman"/>
                <w:b/>
                <w:sz w:val="20"/>
                <w:szCs w:val="20"/>
              </w:rPr>
            </w:pPr>
            <w:r w:rsidRPr="005D5335">
              <w:rPr>
                <w:rFonts w:ascii="Times New Roman" w:hAnsi="Times New Roman"/>
                <w:b/>
                <w:sz w:val="20"/>
                <w:szCs w:val="20"/>
              </w:rPr>
              <w:t>Investičné dodávateľské úvery</w:t>
            </w:r>
          </w:p>
        </w:tc>
        <w:tc>
          <w:tcPr>
            <w:tcW w:w="1012" w:type="pct"/>
            <w:tcBorders>
              <w:top w:val="nil"/>
              <w:left w:val="single" w:sz="4" w:space="0" w:color="FFFFFF"/>
              <w:bottom w:val="nil"/>
              <w:right w:val="single" w:sz="4" w:space="0" w:color="FFFFFF"/>
            </w:tcBorders>
            <w:shd w:val="clear" w:color="auto" w:fill="000000"/>
            <w:textDirection w:val="lrTb"/>
            <w:vAlign w:val="center"/>
          </w:tcPr>
          <w:p w:rsidR="00D07062" w:rsidRPr="005D5335" w:rsidP="007F245A">
            <w:pPr>
              <w:bidi w:val="0"/>
              <w:jc w:val="center"/>
              <w:rPr>
                <w:rFonts w:ascii="Times New Roman" w:hAnsi="Times New Roman"/>
                <w:b/>
                <w:sz w:val="20"/>
                <w:szCs w:val="20"/>
              </w:rPr>
            </w:pPr>
            <w:r w:rsidRPr="005D5335">
              <w:rPr>
                <w:rFonts w:ascii="Times New Roman" w:hAnsi="Times New Roman"/>
                <w:b/>
                <w:sz w:val="20"/>
                <w:szCs w:val="20"/>
              </w:rPr>
              <w:t>Návratné finančné výpomoci</w:t>
            </w:r>
          </w:p>
        </w:tc>
        <w:tc>
          <w:tcPr>
            <w:tcW w:w="968" w:type="pct"/>
            <w:tcBorders>
              <w:top w:val="nil"/>
              <w:left w:val="single" w:sz="4" w:space="0" w:color="FFFFFF"/>
              <w:bottom w:val="nil"/>
              <w:right w:val="nil"/>
            </w:tcBorders>
            <w:shd w:val="clear" w:color="auto" w:fill="000000"/>
            <w:textDirection w:val="lrTb"/>
            <w:vAlign w:val="center"/>
          </w:tcPr>
          <w:p w:rsidR="00D07062" w:rsidRPr="005D5335" w:rsidP="007F245A">
            <w:pPr>
              <w:bidi w:val="0"/>
              <w:jc w:val="center"/>
              <w:rPr>
                <w:rFonts w:ascii="Times New Roman" w:hAnsi="Times New Roman"/>
                <w:b/>
                <w:sz w:val="20"/>
                <w:szCs w:val="20"/>
              </w:rPr>
            </w:pPr>
            <w:r w:rsidRPr="005D5335">
              <w:rPr>
                <w:rFonts w:ascii="Times New Roman" w:hAnsi="Times New Roman"/>
                <w:b/>
                <w:sz w:val="20"/>
                <w:szCs w:val="20"/>
              </w:rPr>
              <w:t>Spolu</w:t>
            </w:r>
          </w:p>
        </w:tc>
      </w:tr>
      <w:tr>
        <w:tblPrEx>
          <w:tblW w:w="4754" w:type="pct"/>
          <w:jc w:val="center"/>
          <w:tblLook w:val="04A0"/>
        </w:tblPrEx>
        <w:trPr>
          <w:trHeight w:hRule="exact" w:val="369"/>
          <w:jc w:val="center"/>
        </w:trPr>
        <w:tc>
          <w:tcPr>
            <w:tcW w:w="1052" w:type="pct"/>
            <w:tcBorders>
              <w:top w:val="nil"/>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Bratislavský</w:t>
            </w:r>
          </w:p>
        </w:tc>
        <w:tc>
          <w:tcPr>
            <w:tcW w:w="955" w:type="pct"/>
            <w:tcBorders>
              <w:top w:val="nil"/>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32 521</w:t>
            </w:r>
          </w:p>
        </w:tc>
        <w:tc>
          <w:tcPr>
            <w:tcW w:w="1013" w:type="pct"/>
            <w:tcBorders>
              <w:top w:val="nil"/>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1012" w:type="pct"/>
            <w:tcBorders>
              <w:top w:val="nil"/>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4 813</w:t>
            </w:r>
          </w:p>
        </w:tc>
        <w:tc>
          <w:tcPr>
            <w:tcW w:w="968" w:type="pct"/>
            <w:tcBorders>
              <w:top w:val="nil"/>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37 334</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Trnavský</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54 076</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54 076</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Nitriansky</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54 735</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54 735</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Trenčiansky</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39 985</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39 985</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Žilinský</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44 204</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10 621</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54 825</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Banskobystrický</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30 848</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20 424</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51 272</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Košický</w:t>
            </w:r>
          </w:p>
        </w:tc>
        <w:tc>
          <w:tcPr>
            <w:tcW w:w="955"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46 172</w:t>
            </w:r>
          </w:p>
        </w:tc>
        <w:tc>
          <w:tcPr>
            <w:tcW w:w="1013"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28 697</w:t>
            </w:r>
          </w:p>
        </w:tc>
        <w:tc>
          <w:tcPr>
            <w:tcW w:w="1012"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74 869</w:t>
            </w:r>
          </w:p>
        </w:tc>
      </w:tr>
      <w:tr>
        <w:tblPrEx>
          <w:tblW w:w="4754" w:type="pct"/>
          <w:jc w:val="center"/>
          <w:tblLook w:val="04A0"/>
        </w:tblPrEx>
        <w:trPr>
          <w:trHeight w:hRule="exact" w:val="369"/>
          <w:jc w:val="center"/>
        </w:trPr>
        <w:tc>
          <w:tcPr>
            <w:tcW w:w="1052" w:type="pct"/>
            <w:tcBorders>
              <w:top w:val="single" w:sz="4" w:space="0" w:color="auto"/>
              <w:left w:val="single" w:sz="4" w:space="0" w:color="auto"/>
              <w:bottom w:val="double" w:sz="6"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sz w:val="20"/>
                <w:szCs w:val="20"/>
              </w:rPr>
            </w:pPr>
            <w:r w:rsidRPr="00FB5C08">
              <w:rPr>
                <w:rFonts w:ascii="Times New Roman" w:hAnsi="Times New Roman"/>
                <w:sz w:val="20"/>
                <w:szCs w:val="20"/>
              </w:rPr>
              <w:t>Prešovský</w:t>
            </w:r>
          </w:p>
        </w:tc>
        <w:tc>
          <w:tcPr>
            <w:tcW w:w="955" w:type="pct"/>
            <w:tcBorders>
              <w:top w:val="single" w:sz="4" w:space="0" w:color="auto"/>
              <w:left w:val="single" w:sz="4" w:space="0" w:color="auto"/>
              <w:bottom w:val="double" w:sz="6"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47 516</w:t>
            </w:r>
          </w:p>
        </w:tc>
        <w:tc>
          <w:tcPr>
            <w:tcW w:w="1013" w:type="pct"/>
            <w:tcBorders>
              <w:top w:val="single" w:sz="4" w:space="0" w:color="auto"/>
              <w:left w:val="single" w:sz="4" w:space="0" w:color="auto"/>
              <w:bottom w:val="double" w:sz="6"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12 235</w:t>
            </w:r>
          </w:p>
        </w:tc>
        <w:tc>
          <w:tcPr>
            <w:tcW w:w="1012" w:type="pct"/>
            <w:tcBorders>
              <w:top w:val="single" w:sz="4" w:space="0" w:color="auto"/>
              <w:left w:val="single" w:sz="4" w:space="0" w:color="auto"/>
              <w:bottom w:val="double" w:sz="6"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0</w:t>
            </w:r>
          </w:p>
        </w:tc>
        <w:tc>
          <w:tcPr>
            <w:tcW w:w="968" w:type="pct"/>
            <w:tcBorders>
              <w:top w:val="single" w:sz="4" w:space="0" w:color="auto"/>
              <w:left w:val="single" w:sz="4" w:space="0" w:color="auto"/>
              <w:bottom w:val="double" w:sz="6"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sz w:val="20"/>
                <w:szCs w:val="20"/>
              </w:rPr>
            </w:pPr>
            <w:r w:rsidRPr="00FB5C08">
              <w:rPr>
                <w:rFonts w:ascii="Times New Roman" w:hAnsi="Times New Roman"/>
                <w:sz w:val="20"/>
                <w:szCs w:val="20"/>
              </w:rPr>
              <w:t>59 751</w:t>
            </w:r>
          </w:p>
        </w:tc>
      </w:tr>
      <w:tr>
        <w:tblPrEx>
          <w:tblW w:w="4754" w:type="pct"/>
          <w:jc w:val="center"/>
          <w:tblLook w:val="04A0"/>
        </w:tblPrEx>
        <w:trPr>
          <w:trHeight w:hRule="exact" w:val="369"/>
          <w:jc w:val="center"/>
        </w:trPr>
        <w:tc>
          <w:tcPr>
            <w:tcW w:w="1052" w:type="pct"/>
            <w:tcBorders>
              <w:top w:val="double" w:sz="6"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both"/>
              <w:rPr>
                <w:rFonts w:ascii="Times New Roman" w:hAnsi="Times New Roman"/>
                <w:b/>
                <w:sz w:val="20"/>
                <w:szCs w:val="20"/>
              </w:rPr>
            </w:pPr>
            <w:r w:rsidRPr="00FB5C08">
              <w:rPr>
                <w:rFonts w:ascii="Times New Roman" w:hAnsi="Times New Roman"/>
                <w:b/>
                <w:sz w:val="20"/>
                <w:szCs w:val="20"/>
              </w:rPr>
              <w:t>Spolu VÚC</w:t>
            </w:r>
          </w:p>
        </w:tc>
        <w:tc>
          <w:tcPr>
            <w:tcW w:w="955" w:type="pct"/>
            <w:tcBorders>
              <w:top w:val="double" w:sz="6"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b/>
                <w:sz w:val="20"/>
                <w:szCs w:val="20"/>
              </w:rPr>
            </w:pPr>
            <w:r w:rsidRPr="00FB5C08">
              <w:rPr>
                <w:rFonts w:ascii="Times New Roman" w:hAnsi="Times New Roman"/>
                <w:b/>
                <w:sz w:val="20"/>
                <w:szCs w:val="20"/>
              </w:rPr>
              <w:t>350 057</w:t>
            </w:r>
          </w:p>
        </w:tc>
        <w:tc>
          <w:tcPr>
            <w:tcW w:w="1013" w:type="pct"/>
            <w:tcBorders>
              <w:top w:val="double" w:sz="6"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b/>
                <w:sz w:val="20"/>
                <w:szCs w:val="20"/>
              </w:rPr>
            </w:pPr>
            <w:r w:rsidRPr="00FB5C08">
              <w:rPr>
                <w:rFonts w:ascii="Times New Roman" w:hAnsi="Times New Roman"/>
                <w:b/>
                <w:sz w:val="20"/>
                <w:szCs w:val="20"/>
              </w:rPr>
              <w:t>71 977</w:t>
            </w:r>
          </w:p>
        </w:tc>
        <w:tc>
          <w:tcPr>
            <w:tcW w:w="1012" w:type="pct"/>
            <w:tcBorders>
              <w:top w:val="double" w:sz="6"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b/>
                <w:sz w:val="20"/>
                <w:szCs w:val="20"/>
              </w:rPr>
            </w:pPr>
            <w:r w:rsidRPr="00FB5C08">
              <w:rPr>
                <w:rFonts w:ascii="Times New Roman" w:hAnsi="Times New Roman"/>
                <w:b/>
                <w:sz w:val="20"/>
                <w:szCs w:val="20"/>
              </w:rPr>
              <w:t xml:space="preserve">4 813 </w:t>
            </w:r>
          </w:p>
        </w:tc>
        <w:tc>
          <w:tcPr>
            <w:tcW w:w="968" w:type="pct"/>
            <w:tcBorders>
              <w:top w:val="double" w:sz="6" w:space="0" w:color="auto"/>
              <w:left w:val="single" w:sz="4" w:space="0" w:color="auto"/>
              <w:bottom w:val="single" w:sz="4" w:space="0" w:color="auto"/>
              <w:right w:val="single" w:sz="4" w:space="0" w:color="auto"/>
            </w:tcBorders>
            <w:textDirection w:val="lrTb"/>
            <w:vAlign w:val="top"/>
          </w:tcPr>
          <w:p w:rsidR="00D07062" w:rsidRPr="00FB5C08" w:rsidP="00FB5C08">
            <w:pPr>
              <w:bidi w:val="0"/>
              <w:spacing w:before="120" w:after="120"/>
              <w:jc w:val="right"/>
              <w:rPr>
                <w:rFonts w:ascii="Times New Roman" w:hAnsi="Times New Roman"/>
                <w:b/>
                <w:sz w:val="20"/>
                <w:szCs w:val="20"/>
              </w:rPr>
            </w:pPr>
            <w:r w:rsidRPr="00FB5C08">
              <w:rPr>
                <w:rFonts w:ascii="Times New Roman" w:hAnsi="Times New Roman"/>
                <w:b/>
                <w:sz w:val="20"/>
                <w:szCs w:val="20"/>
              </w:rPr>
              <w:t>426 847</w:t>
            </w:r>
          </w:p>
        </w:tc>
      </w:tr>
    </w:tbl>
    <w:p w:rsidR="00D07062" w:rsidP="00D07062">
      <w:pPr>
        <w:bidi w:val="0"/>
        <w:spacing w:before="120" w:after="120" w:line="360" w:lineRule="auto"/>
        <w:jc w:val="both"/>
        <w:rPr>
          <w:rFonts w:ascii="Times New Roman" w:hAnsi="Times New Roman"/>
          <w:sz w:val="20"/>
        </w:rPr>
      </w:pPr>
      <w:r w:rsidR="00A14038">
        <w:rPr>
          <w:rFonts w:ascii="Times New Roman" w:hAnsi="Times New Roman"/>
          <w:sz w:val="20"/>
        </w:rPr>
        <w:t xml:space="preserve">   </w:t>
      </w:r>
      <w:r w:rsidRPr="004217D1">
        <w:rPr>
          <w:rFonts w:ascii="Times New Roman" w:hAnsi="Times New Roman"/>
          <w:sz w:val="20"/>
        </w:rPr>
        <w:t>Zdroj:</w:t>
      </w:r>
      <w:r w:rsidRPr="004217D1">
        <w:rPr>
          <w:rFonts w:ascii="Times New Roman" w:hAnsi="Times New Roman"/>
        </w:rPr>
        <w:t xml:space="preserve"> </w:t>
      </w:r>
      <w:r w:rsidRPr="004217D1">
        <w:rPr>
          <w:rFonts w:ascii="Times New Roman" w:hAnsi="Times New Roman"/>
          <w:sz w:val="20"/>
        </w:rPr>
        <w:t>Ministerstvo financií SR</w:t>
      </w:r>
    </w:p>
    <w:p w:rsidR="00D07062" w:rsidP="00D07062">
      <w:pPr>
        <w:bidi w:val="0"/>
        <w:spacing w:before="120" w:after="120" w:line="360" w:lineRule="auto"/>
        <w:jc w:val="both"/>
        <w:rPr>
          <w:rFonts w:ascii="Times New Roman" w:hAnsi="Times New Roman"/>
        </w:rPr>
      </w:pPr>
      <w:r>
        <w:rPr>
          <w:rFonts w:ascii="Times New Roman" w:hAnsi="Times New Roman"/>
        </w:rPr>
        <w:t>Z celkového dlhu predstavujú domáci veritelia 326 641 tis. eur a zahraniční veritelia 100 206 tis. eur (Bratislavský kraj 16 361 tis. eur, Prešovský kraj 40 425 tis. eur a Košický kraj 43 420 tis. eur). Z hľadiska pôvodnej splatnosti je dlh VÚC tvorený len dlhodobými záväzkami.</w:t>
      </w:r>
    </w:p>
    <w:p w:rsidR="00D07062" w:rsidP="00491E04">
      <w:pPr>
        <w:bidi w:val="0"/>
        <w:spacing w:before="120" w:after="120" w:line="360" w:lineRule="auto"/>
        <w:jc w:val="both"/>
        <w:rPr>
          <w:rFonts w:ascii="Times New Roman" w:hAnsi="Times New Roman"/>
        </w:rPr>
      </w:pPr>
      <w:r w:rsidRPr="004217D1">
        <w:rPr>
          <w:rFonts w:ascii="Times New Roman" w:hAnsi="Times New Roman"/>
        </w:rPr>
        <w:t xml:space="preserve">Dlh </w:t>
      </w:r>
      <w:r w:rsidRPr="004217D1">
        <w:rPr>
          <w:rFonts w:ascii="Times New Roman" w:hAnsi="Times New Roman"/>
          <w:b/>
        </w:rPr>
        <w:t>obcí</w:t>
      </w:r>
      <w:r w:rsidRPr="004217D1">
        <w:rPr>
          <w:rFonts w:ascii="Times New Roman" w:hAnsi="Times New Roman"/>
        </w:rPr>
        <w:t xml:space="preserve"> dosiahol </w:t>
      </w:r>
      <w:r>
        <w:rPr>
          <w:rFonts w:ascii="Times New Roman" w:hAnsi="Times New Roman"/>
        </w:rPr>
        <w:t>1 386 431</w:t>
      </w:r>
      <w:r w:rsidRPr="004217D1">
        <w:rPr>
          <w:rFonts w:ascii="Times New Roman" w:hAnsi="Times New Roman"/>
        </w:rPr>
        <w:t xml:space="preserve"> tis. eur a oproti stavu v roku 20</w:t>
      </w:r>
      <w:r>
        <w:rPr>
          <w:rFonts w:ascii="Times New Roman" w:hAnsi="Times New Roman"/>
        </w:rPr>
        <w:t>10</w:t>
      </w:r>
      <w:r w:rsidRPr="004217D1">
        <w:rPr>
          <w:rFonts w:ascii="Times New Roman" w:hAnsi="Times New Roman"/>
        </w:rPr>
        <w:t xml:space="preserve"> sa </w:t>
      </w:r>
      <w:r>
        <w:rPr>
          <w:rFonts w:ascii="Times New Roman" w:hAnsi="Times New Roman"/>
        </w:rPr>
        <w:t>znížil o 4 488 tis. eur</w:t>
      </w:r>
      <w:r w:rsidRPr="004217D1">
        <w:rPr>
          <w:rFonts w:ascii="Times New Roman" w:hAnsi="Times New Roman"/>
        </w:rPr>
        <w:t xml:space="preserve">. Rozhodujúcu časť dlhu obcí tvoria bankové úvery a iné pôžičky vo výške </w:t>
      </w:r>
      <w:r>
        <w:rPr>
          <w:rFonts w:ascii="Times New Roman" w:hAnsi="Times New Roman"/>
        </w:rPr>
        <w:t>1 379 485</w:t>
      </w:r>
      <w:r w:rsidRPr="004217D1">
        <w:rPr>
          <w:rFonts w:ascii="Times New Roman" w:hAnsi="Times New Roman"/>
        </w:rPr>
        <w:t xml:space="preserve"> tis. eur, pričom </w:t>
      </w:r>
      <w:r>
        <w:rPr>
          <w:rFonts w:ascii="Times New Roman" w:hAnsi="Times New Roman"/>
        </w:rPr>
        <w:t>667 055</w:t>
      </w:r>
      <w:r w:rsidRPr="004217D1">
        <w:rPr>
          <w:rFonts w:ascii="Times New Roman" w:hAnsi="Times New Roman"/>
        </w:rPr>
        <w:t xml:space="preserve"> tis. eur poskytol Štátny fond rozvoja bývania a </w:t>
      </w:r>
      <w:r>
        <w:rPr>
          <w:rFonts w:ascii="Times New Roman" w:hAnsi="Times New Roman"/>
        </w:rPr>
        <w:t>17 573</w:t>
      </w:r>
      <w:r w:rsidRPr="004217D1">
        <w:rPr>
          <w:rFonts w:ascii="Times New Roman" w:hAnsi="Times New Roman"/>
        </w:rPr>
        <w:t xml:space="preserve"> tis. eur štátny rozpočet mestu Žilina vo forme návratnej finančnej výpomoci v súvislosti s výstavbou automobilky KIA a podporou vlády SR pri budovaní infraštruktúry. Zostávajúcich </w:t>
      </w:r>
      <w:r>
        <w:rPr>
          <w:rFonts w:ascii="Times New Roman" w:hAnsi="Times New Roman"/>
        </w:rPr>
        <w:t>6 946</w:t>
      </w:r>
      <w:r w:rsidRPr="004217D1">
        <w:rPr>
          <w:rFonts w:ascii="Times New Roman" w:hAnsi="Times New Roman"/>
        </w:rPr>
        <w:t xml:space="preserve"> tis. eur predstavujú krátkodobé a dlhodobé zmenky. Úvery poskytnuté zo Štátneho fondu rozvoja bývania a zo štátneho rozpočtu podliehajú konsolidácii. Z hľadiska splatnosti má dlh obcí prevažne dlhodobý charakter (</w:t>
      </w:r>
      <w:r>
        <w:rPr>
          <w:rFonts w:ascii="Times New Roman" w:hAnsi="Times New Roman"/>
        </w:rPr>
        <w:t>93,5</w:t>
      </w:r>
      <w:r w:rsidRPr="004217D1">
        <w:rPr>
          <w:rFonts w:ascii="Times New Roman" w:hAnsi="Times New Roman"/>
        </w:rPr>
        <w:t xml:space="preserve"> %)</w:t>
      </w:r>
      <w:r>
        <w:rPr>
          <w:rStyle w:val="FootnoteReference"/>
          <w:rFonts w:ascii="Times New Roman" w:hAnsi="Times New Roman"/>
          <w:rtl w:val="0"/>
        </w:rPr>
        <w:footnoteReference w:customMarkFollows="1" w:id="7"/>
        <w:t xml:space="preserve">6</w:t>
      </w:r>
      <w:r w:rsidR="00930D9F">
        <w:rPr>
          <w:rStyle w:val="FootnoteReference"/>
          <w:rFonts w:ascii="Times New Roman" w:hAnsi="Times New Roman"/>
        </w:rPr>
        <w:t>)</w:t>
      </w:r>
      <w:r w:rsidRPr="004217D1">
        <w:rPr>
          <w:rFonts w:ascii="Times New Roman" w:hAnsi="Times New Roman"/>
        </w:rPr>
        <w:t>.</w:t>
      </w:r>
    </w:p>
    <w:p w:rsidR="00D07062" w:rsidRPr="004217D1" w:rsidP="00491E04">
      <w:pPr>
        <w:bidi w:val="0"/>
        <w:spacing w:before="120" w:after="120" w:line="360" w:lineRule="auto"/>
        <w:jc w:val="both"/>
        <w:rPr>
          <w:rFonts w:ascii="Times New Roman" w:hAnsi="Times New Roman"/>
        </w:rPr>
      </w:pPr>
      <w:r w:rsidRPr="004217D1">
        <w:rPr>
          <w:rFonts w:ascii="Times New Roman" w:hAnsi="Times New Roman"/>
        </w:rPr>
        <w:t xml:space="preserve">Dlh </w:t>
      </w:r>
      <w:r w:rsidRPr="004217D1">
        <w:rPr>
          <w:rFonts w:ascii="Times New Roman" w:hAnsi="Times New Roman"/>
          <w:b/>
        </w:rPr>
        <w:t xml:space="preserve">štátnych príspevkových organizácií </w:t>
      </w:r>
      <w:r w:rsidRPr="00766E39">
        <w:rPr>
          <w:rFonts w:ascii="Times New Roman" w:hAnsi="Times New Roman"/>
        </w:rPr>
        <w:t>v hodnote 803 tis. eur</w:t>
      </w:r>
      <w:r>
        <w:rPr>
          <w:rFonts w:ascii="Times New Roman" w:hAnsi="Times New Roman"/>
          <w:b/>
        </w:rPr>
        <w:t xml:space="preserve"> </w:t>
      </w:r>
      <w:r w:rsidRPr="004217D1">
        <w:rPr>
          <w:rFonts w:ascii="Times New Roman" w:hAnsi="Times New Roman"/>
        </w:rPr>
        <w:t>je tvorený návratn</w:t>
      </w:r>
      <w:r>
        <w:rPr>
          <w:rFonts w:ascii="Times New Roman" w:hAnsi="Times New Roman"/>
        </w:rPr>
        <w:t>ými</w:t>
      </w:r>
      <w:r w:rsidRPr="004217D1">
        <w:rPr>
          <w:rFonts w:ascii="Times New Roman" w:hAnsi="Times New Roman"/>
        </w:rPr>
        <w:t xml:space="preserve"> finančn</w:t>
      </w:r>
      <w:r>
        <w:rPr>
          <w:rFonts w:ascii="Times New Roman" w:hAnsi="Times New Roman"/>
        </w:rPr>
        <w:t>ými</w:t>
      </w:r>
      <w:r w:rsidRPr="004217D1">
        <w:rPr>
          <w:rFonts w:ascii="Times New Roman" w:hAnsi="Times New Roman"/>
        </w:rPr>
        <w:t xml:space="preserve"> výpomoc</w:t>
      </w:r>
      <w:r>
        <w:rPr>
          <w:rFonts w:ascii="Times New Roman" w:hAnsi="Times New Roman"/>
        </w:rPr>
        <w:t>ami</w:t>
      </w:r>
      <w:r w:rsidRPr="004217D1">
        <w:rPr>
          <w:rFonts w:ascii="Times New Roman" w:hAnsi="Times New Roman"/>
        </w:rPr>
        <w:t>, ktor</w:t>
      </w:r>
      <w:r>
        <w:rPr>
          <w:rFonts w:ascii="Times New Roman" w:hAnsi="Times New Roman"/>
        </w:rPr>
        <w:t>é boli zo štátneho rozpočtu poskytnuté príspevkovým organizáciám vo výške</w:t>
      </w:r>
      <w:r w:rsidRPr="004217D1">
        <w:rPr>
          <w:rFonts w:ascii="Times New Roman" w:hAnsi="Times New Roman"/>
        </w:rPr>
        <w:t xml:space="preserve"> </w:t>
      </w:r>
      <w:r>
        <w:rPr>
          <w:rFonts w:ascii="Times New Roman" w:hAnsi="Times New Roman"/>
        </w:rPr>
        <w:t>328 tis. eur a finančným prenájmom vo výške 475 tis. eur.</w:t>
      </w:r>
    </w:p>
    <w:p w:rsidR="00D07062" w:rsidRPr="004217D1" w:rsidP="00491E04">
      <w:pPr>
        <w:bidi w:val="0"/>
        <w:spacing w:before="120" w:after="120" w:line="360" w:lineRule="auto"/>
        <w:jc w:val="both"/>
        <w:rPr>
          <w:rFonts w:ascii="Times New Roman" w:hAnsi="Times New Roman"/>
        </w:rPr>
      </w:pPr>
      <w:r w:rsidRPr="004217D1">
        <w:rPr>
          <w:rFonts w:ascii="Times New Roman" w:hAnsi="Times New Roman"/>
        </w:rPr>
        <w:t xml:space="preserve">Dlh </w:t>
      </w:r>
      <w:r w:rsidRPr="004217D1">
        <w:rPr>
          <w:rFonts w:ascii="Times New Roman" w:hAnsi="Times New Roman"/>
          <w:b/>
        </w:rPr>
        <w:t>príspevkových organizácií VÚC</w:t>
      </w:r>
      <w:r w:rsidRPr="004217D1">
        <w:rPr>
          <w:rFonts w:ascii="Times New Roman" w:hAnsi="Times New Roman"/>
        </w:rPr>
        <w:t xml:space="preserve"> je tvorený v plnej výške </w:t>
      </w:r>
      <w:r>
        <w:rPr>
          <w:rFonts w:ascii="Times New Roman" w:hAnsi="Times New Roman"/>
        </w:rPr>
        <w:t>116</w:t>
      </w:r>
      <w:r w:rsidRPr="004217D1">
        <w:rPr>
          <w:rFonts w:ascii="Times New Roman" w:hAnsi="Times New Roman"/>
        </w:rPr>
        <w:t xml:space="preserve"> tis. eur finančným prenájmom.</w:t>
      </w:r>
      <w:r>
        <w:rPr>
          <w:rFonts w:ascii="Times New Roman" w:hAnsi="Times New Roman"/>
        </w:rPr>
        <w:t xml:space="preserve"> Oproti roku 2010 poklesol o 13 tis. eur.</w:t>
      </w:r>
    </w:p>
    <w:p w:rsidR="00D07062" w:rsidRPr="004217D1" w:rsidP="00491E04">
      <w:pPr>
        <w:bidi w:val="0"/>
        <w:spacing w:before="120" w:after="120" w:line="360" w:lineRule="auto"/>
        <w:jc w:val="both"/>
        <w:rPr>
          <w:rFonts w:ascii="Times New Roman" w:hAnsi="Times New Roman"/>
        </w:rPr>
      </w:pPr>
      <w:r w:rsidRPr="004217D1">
        <w:rPr>
          <w:rFonts w:ascii="Times New Roman" w:hAnsi="Times New Roman"/>
        </w:rPr>
        <w:t xml:space="preserve">Na dlhu </w:t>
      </w:r>
      <w:r w:rsidRPr="004217D1">
        <w:rPr>
          <w:rFonts w:ascii="Times New Roman" w:hAnsi="Times New Roman"/>
          <w:b/>
        </w:rPr>
        <w:t xml:space="preserve">príspevkových organizácií obcí </w:t>
      </w:r>
      <w:r>
        <w:rPr>
          <w:rFonts w:ascii="Times New Roman" w:hAnsi="Times New Roman"/>
        </w:rPr>
        <w:t>1 146</w:t>
      </w:r>
      <w:r w:rsidRPr="004217D1">
        <w:rPr>
          <w:rFonts w:ascii="Times New Roman" w:hAnsi="Times New Roman"/>
        </w:rPr>
        <w:t xml:space="preserve"> tis. eur</w:t>
      </w:r>
      <w:r w:rsidRPr="004217D1">
        <w:rPr>
          <w:rFonts w:ascii="Times New Roman" w:hAnsi="Times New Roman"/>
          <w:b/>
        </w:rPr>
        <w:t xml:space="preserve"> </w:t>
      </w:r>
      <w:r w:rsidRPr="004217D1">
        <w:rPr>
          <w:rFonts w:ascii="Times New Roman" w:hAnsi="Times New Roman"/>
        </w:rPr>
        <w:t xml:space="preserve">sa z väčšej časti podieľa finančný prenájom </w:t>
      </w:r>
      <w:r>
        <w:rPr>
          <w:rFonts w:ascii="Times New Roman" w:hAnsi="Times New Roman"/>
        </w:rPr>
        <w:t xml:space="preserve">900 </w:t>
      </w:r>
      <w:r w:rsidRPr="004217D1">
        <w:rPr>
          <w:rFonts w:ascii="Times New Roman" w:hAnsi="Times New Roman"/>
        </w:rPr>
        <w:t xml:space="preserve">tis. eur, zvyšok tvoria </w:t>
      </w:r>
      <w:r>
        <w:rPr>
          <w:rFonts w:ascii="Times New Roman" w:hAnsi="Times New Roman"/>
        </w:rPr>
        <w:t>iné</w:t>
      </w:r>
      <w:r w:rsidRPr="004217D1">
        <w:rPr>
          <w:rFonts w:ascii="Times New Roman" w:hAnsi="Times New Roman"/>
        </w:rPr>
        <w:t xml:space="preserve"> pôžičky vo výške </w:t>
      </w:r>
      <w:r>
        <w:rPr>
          <w:rFonts w:ascii="Times New Roman" w:hAnsi="Times New Roman"/>
        </w:rPr>
        <w:t>246</w:t>
      </w:r>
      <w:r w:rsidRPr="004217D1">
        <w:rPr>
          <w:rFonts w:ascii="Times New Roman" w:hAnsi="Times New Roman"/>
        </w:rPr>
        <w:t xml:space="preserve"> tis. eur.</w:t>
      </w:r>
    </w:p>
    <w:p w:rsidR="00D07062" w:rsidRPr="00D07062" w:rsidP="00491E04">
      <w:pPr>
        <w:bidi w:val="0"/>
        <w:spacing w:before="120" w:after="120" w:line="360" w:lineRule="auto"/>
        <w:jc w:val="both"/>
        <w:rPr>
          <w:rFonts w:ascii="Times New Roman" w:hAnsi="Times New Roman"/>
        </w:rPr>
      </w:pPr>
      <w:r w:rsidRPr="00D07062">
        <w:rPr>
          <w:rFonts w:ascii="Times New Roman" w:hAnsi="Times New Roman"/>
        </w:rPr>
        <w:t xml:space="preserve">Dlh </w:t>
      </w:r>
      <w:r w:rsidRPr="00D07062">
        <w:rPr>
          <w:rFonts w:ascii="Times New Roman" w:hAnsi="Times New Roman"/>
          <w:b/>
        </w:rPr>
        <w:t xml:space="preserve">neziskových organizácií obcí </w:t>
      </w:r>
      <w:r w:rsidRPr="00D07062">
        <w:rPr>
          <w:rFonts w:ascii="Times New Roman" w:hAnsi="Times New Roman"/>
        </w:rPr>
        <w:t>v hodnote 89 tis. eur</w:t>
      </w:r>
      <w:r w:rsidRPr="00D07062">
        <w:rPr>
          <w:rFonts w:ascii="Times New Roman" w:hAnsi="Times New Roman"/>
          <w:b/>
        </w:rPr>
        <w:t xml:space="preserve"> </w:t>
      </w:r>
      <w:r w:rsidRPr="00D07062">
        <w:rPr>
          <w:rFonts w:ascii="Times New Roman" w:hAnsi="Times New Roman"/>
        </w:rPr>
        <w:t>je tvorený</w:t>
      </w:r>
      <w:r w:rsidRPr="00D07062">
        <w:rPr>
          <w:rFonts w:ascii="Times New Roman" w:hAnsi="Times New Roman"/>
          <w:b/>
        </w:rPr>
        <w:t xml:space="preserve"> </w:t>
      </w:r>
      <w:r w:rsidRPr="00D07062">
        <w:rPr>
          <w:rFonts w:ascii="Times New Roman" w:hAnsi="Times New Roman"/>
        </w:rPr>
        <w:t>nebankovými pôžičkami. Oproti roku 2010 poklesol o 325 tis. eur.</w:t>
      </w:r>
    </w:p>
    <w:p w:rsidR="00B07DEC" w:rsidP="0017400C">
      <w:pPr>
        <w:pStyle w:val="Heading1"/>
        <w:bidi w:val="0"/>
        <w:spacing w:before="100" w:beforeAutospacing="1" w:after="100" w:afterAutospacing="1"/>
        <w:jc w:val="center"/>
        <w:rPr>
          <w:rFonts w:ascii="Times New Roman" w:hAnsi="Times New Roman"/>
          <w:color w:val="auto"/>
          <w:sz w:val="24"/>
          <w:szCs w:val="24"/>
        </w:rPr>
      </w:pPr>
      <w:r w:rsidR="00930D9F">
        <w:rPr>
          <w:rFonts w:ascii="Times New Roman" w:hAnsi="Times New Roman"/>
          <w:color w:val="auto"/>
          <w:sz w:val="24"/>
          <w:szCs w:val="24"/>
        </w:rPr>
        <w:br w:type="page"/>
      </w:r>
      <w:bookmarkStart w:id="18" w:name="_Toc322614751"/>
      <w:r w:rsidRPr="00D07062">
        <w:rPr>
          <w:rFonts w:ascii="Times New Roman" w:hAnsi="Times New Roman"/>
          <w:color w:val="auto"/>
          <w:sz w:val="24"/>
          <w:szCs w:val="24"/>
        </w:rPr>
        <w:t>3. Výsledky hospodár</w:t>
      </w:r>
      <w:r w:rsidRPr="00B07DEC">
        <w:rPr>
          <w:rFonts w:ascii="Times New Roman" w:hAnsi="Times New Roman"/>
          <w:color w:val="auto"/>
          <w:sz w:val="24"/>
          <w:szCs w:val="24"/>
        </w:rPr>
        <w:t>enia štátneho rozpočtu na hotovostnej báze</w:t>
      </w:r>
      <w:bookmarkEnd w:id="18"/>
    </w:p>
    <w:p w:rsidR="00F8582D" w:rsidP="004C1F8C">
      <w:pPr>
        <w:pStyle w:val="ListParagraph"/>
        <w:bidi w:val="0"/>
        <w:spacing w:before="100" w:beforeAutospacing="1" w:after="100" w:afterAutospacing="1" w:line="360" w:lineRule="auto"/>
        <w:ind w:left="0" w:firstLine="708"/>
        <w:jc w:val="both"/>
        <w:rPr>
          <w:rFonts w:ascii="Times New Roman" w:hAnsi="Times New Roman"/>
          <w:sz w:val="24"/>
          <w:szCs w:val="24"/>
        </w:rPr>
      </w:pPr>
      <w:r w:rsidRPr="00397A04">
        <w:rPr>
          <w:rFonts w:ascii="Times New Roman" w:hAnsi="Times New Roman"/>
          <w:sz w:val="24"/>
          <w:szCs w:val="24"/>
        </w:rPr>
        <w:t>V </w:t>
      </w:r>
      <w:r w:rsidR="001018CC">
        <w:rPr>
          <w:rFonts w:ascii="Times New Roman" w:hAnsi="Times New Roman"/>
          <w:sz w:val="24"/>
          <w:szCs w:val="24"/>
        </w:rPr>
        <w:t>nasledujúcom</w:t>
      </w:r>
      <w:r w:rsidRPr="00397A04">
        <w:rPr>
          <w:rFonts w:ascii="Times New Roman" w:hAnsi="Times New Roman"/>
          <w:sz w:val="24"/>
          <w:szCs w:val="24"/>
        </w:rPr>
        <w:t xml:space="preserve"> texte sa v </w:t>
      </w:r>
      <w:r w:rsidR="008361DF">
        <w:rPr>
          <w:rFonts w:ascii="Times New Roman" w:hAnsi="Times New Roman"/>
          <w:sz w:val="24"/>
          <w:szCs w:val="24"/>
        </w:rPr>
        <w:t xml:space="preserve">súlade s § 29 ods. 2 písm. c) a </w:t>
      </w:r>
      <w:r w:rsidRPr="00397A04">
        <w:rPr>
          <w:rFonts w:ascii="Times New Roman" w:hAnsi="Times New Roman"/>
          <w:sz w:val="24"/>
          <w:szCs w:val="24"/>
        </w:rPr>
        <w:t>d) zákona o rozpočtových pravidlách verejnej správy hodnotí plnenie štátneho rozpočtu na hotovostnom princípe. Ide o plnenie rozpočtovaných príjmov, výdavkov a výsledku rozpočtového</w:t>
      </w:r>
      <w:r w:rsidR="00930D9F">
        <w:rPr>
          <w:rFonts w:ascii="Times New Roman" w:hAnsi="Times New Roman"/>
          <w:sz w:val="24"/>
          <w:szCs w:val="24"/>
        </w:rPr>
        <w:t xml:space="preserve"> hospodárenia štátneho rozpočtu</w:t>
      </w:r>
      <w:r w:rsidRPr="00397A04">
        <w:rPr>
          <w:rFonts w:ascii="Times New Roman" w:hAnsi="Times New Roman"/>
          <w:sz w:val="24"/>
          <w:szCs w:val="24"/>
        </w:rPr>
        <w:t xml:space="preserve"> tak</w:t>
      </w:r>
      <w:r w:rsidR="00930D9F">
        <w:rPr>
          <w:rFonts w:ascii="Times New Roman" w:hAnsi="Times New Roman"/>
          <w:sz w:val="24"/>
          <w:szCs w:val="24"/>
        </w:rPr>
        <w:t>,</w:t>
      </w:r>
      <w:r w:rsidRPr="00397A04">
        <w:rPr>
          <w:rFonts w:ascii="Times New Roman" w:hAnsi="Times New Roman"/>
          <w:sz w:val="24"/>
          <w:szCs w:val="24"/>
        </w:rPr>
        <w:t xml:space="preserve"> ako sa prejavili na príjmových a výdavkových účtoch kapitol štátneho rozpočtu, ako aj ďalšie údaje o ich finančných vzťahoch k in</w:t>
      </w:r>
      <w:r w:rsidR="00A94EA0">
        <w:rPr>
          <w:rFonts w:ascii="Times New Roman" w:hAnsi="Times New Roman"/>
          <w:sz w:val="24"/>
          <w:szCs w:val="24"/>
        </w:rPr>
        <w:t>ým subjektom verejnej správy (</w:t>
      </w:r>
      <w:r w:rsidRPr="00397A04">
        <w:rPr>
          <w:rFonts w:ascii="Times New Roman" w:hAnsi="Times New Roman"/>
          <w:sz w:val="24"/>
          <w:szCs w:val="24"/>
        </w:rPr>
        <w:t>príspevkov</w:t>
      </w:r>
      <w:r w:rsidR="00A94EA0">
        <w:rPr>
          <w:rFonts w:ascii="Times New Roman" w:hAnsi="Times New Roman"/>
          <w:sz w:val="24"/>
          <w:szCs w:val="24"/>
        </w:rPr>
        <w:t>é</w:t>
      </w:r>
      <w:r w:rsidRPr="00397A04">
        <w:rPr>
          <w:rFonts w:ascii="Times New Roman" w:hAnsi="Times New Roman"/>
          <w:sz w:val="24"/>
          <w:szCs w:val="24"/>
        </w:rPr>
        <w:t xml:space="preserve"> organizáci</w:t>
      </w:r>
      <w:r w:rsidR="00A94EA0">
        <w:rPr>
          <w:rFonts w:ascii="Times New Roman" w:hAnsi="Times New Roman"/>
          <w:sz w:val="24"/>
          <w:szCs w:val="24"/>
        </w:rPr>
        <w:t>e</w:t>
      </w:r>
      <w:r w:rsidRPr="00397A04">
        <w:rPr>
          <w:rFonts w:ascii="Times New Roman" w:hAnsi="Times New Roman"/>
          <w:sz w:val="24"/>
          <w:szCs w:val="24"/>
        </w:rPr>
        <w:t>, územn</w:t>
      </w:r>
      <w:r w:rsidR="00A94EA0">
        <w:rPr>
          <w:rFonts w:ascii="Times New Roman" w:hAnsi="Times New Roman"/>
          <w:sz w:val="24"/>
          <w:szCs w:val="24"/>
        </w:rPr>
        <w:t>á</w:t>
      </w:r>
      <w:r w:rsidRPr="00397A04">
        <w:rPr>
          <w:rFonts w:ascii="Times New Roman" w:hAnsi="Times New Roman"/>
          <w:sz w:val="24"/>
          <w:szCs w:val="24"/>
        </w:rPr>
        <w:t xml:space="preserve"> samospráv</w:t>
      </w:r>
      <w:r w:rsidR="00A94EA0">
        <w:rPr>
          <w:rFonts w:ascii="Times New Roman" w:hAnsi="Times New Roman"/>
          <w:sz w:val="24"/>
          <w:szCs w:val="24"/>
        </w:rPr>
        <w:t>a</w:t>
      </w:r>
      <w:r w:rsidRPr="00397A04">
        <w:rPr>
          <w:rFonts w:ascii="Times New Roman" w:hAnsi="Times New Roman"/>
          <w:sz w:val="24"/>
          <w:szCs w:val="24"/>
        </w:rPr>
        <w:t xml:space="preserve"> a</w:t>
      </w:r>
      <w:r w:rsidR="00A94EA0">
        <w:rPr>
          <w:rFonts w:ascii="Times New Roman" w:hAnsi="Times New Roman"/>
          <w:sz w:val="24"/>
          <w:szCs w:val="24"/>
        </w:rPr>
        <w:t> </w:t>
      </w:r>
      <w:r w:rsidRPr="00397A04">
        <w:rPr>
          <w:rFonts w:ascii="Times New Roman" w:hAnsi="Times New Roman"/>
          <w:sz w:val="24"/>
          <w:szCs w:val="24"/>
        </w:rPr>
        <w:t>pod</w:t>
      </w:r>
      <w:r w:rsidR="00A94EA0">
        <w:rPr>
          <w:rFonts w:ascii="Times New Roman" w:hAnsi="Times New Roman"/>
          <w:sz w:val="24"/>
          <w:szCs w:val="24"/>
        </w:rPr>
        <w:t>.)</w:t>
      </w:r>
      <w:r w:rsidR="001650C9">
        <w:rPr>
          <w:rFonts w:ascii="Times New Roman" w:hAnsi="Times New Roman"/>
          <w:sz w:val="24"/>
          <w:szCs w:val="24"/>
        </w:rPr>
        <w:t xml:space="preserve"> aj mimo verejnej správy</w:t>
      </w:r>
      <w:r w:rsidR="00A94EA0">
        <w:rPr>
          <w:rFonts w:ascii="Times New Roman" w:hAnsi="Times New Roman"/>
          <w:sz w:val="24"/>
          <w:szCs w:val="24"/>
        </w:rPr>
        <w:t xml:space="preserve"> (občania, neziskové organizácie a pod.</w:t>
      </w:r>
      <w:r w:rsidRPr="00397A04">
        <w:rPr>
          <w:rFonts w:ascii="Times New Roman" w:hAnsi="Times New Roman"/>
          <w:sz w:val="24"/>
          <w:szCs w:val="24"/>
        </w:rPr>
        <w:t xml:space="preserve">). </w:t>
      </w:r>
    </w:p>
    <w:p w:rsidR="00F8582D" w:rsidRPr="00D559E8" w:rsidP="0017400C">
      <w:pPr>
        <w:pStyle w:val="Heading2"/>
        <w:bidi w:val="0"/>
        <w:spacing w:before="100" w:beforeAutospacing="1" w:after="100" w:afterAutospacing="1"/>
        <w:jc w:val="center"/>
        <w:rPr>
          <w:rFonts w:ascii="Times New Roman" w:hAnsi="Times New Roman"/>
          <w:color w:val="auto"/>
          <w:sz w:val="24"/>
          <w:szCs w:val="24"/>
        </w:rPr>
      </w:pPr>
      <w:bookmarkStart w:id="19" w:name="_Toc322614752"/>
      <w:r>
        <w:rPr>
          <w:rFonts w:ascii="Times New Roman" w:hAnsi="Times New Roman"/>
          <w:color w:val="auto"/>
          <w:sz w:val="24"/>
          <w:szCs w:val="24"/>
        </w:rPr>
        <w:t>3.1</w:t>
      </w:r>
      <w:r w:rsidR="001018CC">
        <w:rPr>
          <w:rFonts w:ascii="Times New Roman" w:hAnsi="Times New Roman"/>
          <w:color w:val="auto"/>
          <w:sz w:val="24"/>
          <w:szCs w:val="24"/>
        </w:rPr>
        <w:t xml:space="preserve">. </w:t>
      </w:r>
      <w:r w:rsidRPr="00D559E8">
        <w:rPr>
          <w:rFonts w:ascii="Times New Roman" w:hAnsi="Times New Roman"/>
          <w:color w:val="auto"/>
          <w:sz w:val="24"/>
          <w:szCs w:val="24"/>
        </w:rPr>
        <w:t>Zámery, ciele a opatrenia rozpočtovej politiky v roku 2011</w:t>
      </w:r>
      <w:bookmarkEnd w:id="19"/>
    </w:p>
    <w:p w:rsidR="00F8582D" w:rsidRPr="00645EC8" w:rsidP="00491E04">
      <w:pPr>
        <w:bidi w:val="0"/>
        <w:spacing w:before="120" w:after="120" w:line="360" w:lineRule="auto"/>
        <w:ind w:firstLine="709"/>
        <w:jc w:val="both"/>
        <w:rPr>
          <w:rFonts w:ascii="Times New Roman" w:hAnsi="Times New Roman"/>
        </w:rPr>
      </w:pPr>
      <w:r w:rsidRPr="00645EC8">
        <w:rPr>
          <w:rFonts w:ascii="Times New Roman" w:hAnsi="Times New Roman"/>
        </w:rPr>
        <w:t>Schválený rozpočet verejnej správy na roky 2011 až 2013 bol zostavený v súlade s programovým vyhlásením vlády SR</w:t>
      </w:r>
      <w:r>
        <w:rPr>
          <w:rStyle w:val="FootnoteReference"/>
          <w:rFonts w:ascii="Times New Roman" w:hAnsi="Times New Roman"/>
          <w:rtl w:val="0"/>
        </w:rPr>
        <w:footnoteReference w:customMarkFollows="1" w:id="8"/>
        <w:t xml:space="preserve">7</w:t>
      </w:r>
      <w:r w:rsidR="00930D9F">
        <w:rPr>
          <w:rStyle w:val="FootnoteReference"/>
          <w:rFonts w:ascii="Times New Roman" w:hAnsi="Times New Roman"/>
        </w:rPr>
        <w:t>)</w:t>
      </w:r>
      <w:r w:rsidRPr="00645EC8">
        <w:rPr>
          <w:rFonts w:ascii="Times New Roman" w:hAnsi="Times New Roman"/>
        </w:rPr>
        <w:t xml:space="preserve">, v ktorom </w:t>
      </w:r>
      <w:r>
        <w:rPr>
          <w:rFonts w:ascii="Times New Roman" w:hAnsi="Times New Roman"/>
        </w:rPr>
        <w:t>bola</w:t>
      </w:r>
      <w:r w:rsidRPr="00645EC8">
        <w:rPr>
          <w:rFonts w:ascii="Times New Roman" w:hAnsi="Times New Roman"/>
        </w:rPr>
        <w:t xml:space="preserve"> uvedená ako kľúčová priorita ozdravenie verejných financií </w:t>
      </w:r>
      <w:r w:rsidRPr="00930D9F">
        <w:rPr>
          <w:rFonts w:ascii="Times New Roman" w:hAnsi="Times New Roman"/>
          <w:b/>
        </w:rPr>
        <w:t>s cieľom zníženia deficitu verejných financií pod úroveň 3 % HDP v roku 2013</w:t>
      </w:r>
      <w:r w:rsidRPr="00645EC8">
        <w:rPr>
          <w:rFonts w:ascii="Times New Roman" w:hAnsi="Times New Roman"/>
        </w:rPr>
        <w:t xml:space="preserve"> tak, aby Slovensko dodržalo svoje záväzky voči Európskej únii vyplývajúce z Paktu stability a rastu.</w:t>
      </w:r>
    </w:p>
    <w:p w:rsidR="00F8582D" w:rsidP="00491E04">
      <w:pPr>
        <w:bidi w:val="0"/>
        <w:spacing w:before="120" w:after="120" w:line="360" w:lineRule="auto"/>
        <w:jc w:val="both"/>
        <w:rPr>
          <w:rFonts w:ascii="Times New Roman" w:hAnsi="Times New Roman"/>
        </w:rPr>
      </w:pPr>
      <w:r w:rsidRPr="00645EC8">
        <w:rPr>
          <w:rFonts w:ascii="Times New Roman" w:hAnsi="Times New Roman"/>
        </w:rPr>
        <w:t xml:space="preserve">Vláda SR sa rozhodla pre ozdravenie verejných financií z dvoch hlavných dôvodov. Prvým bol fakt, že v roku 2011 si Slovensko potrebovalo na finančnom trhu požičať 8 mld. eur, inak by nebolo schopné plniť svoje záväzky. Na získanie takýchto obrovských zdrojov bola nevyhnutná dôvera finančných trhov. Hoci celková úroveň verejného dlhu </w:t>
      </w:r>
      <w:r w:rsidR="00930D9F">
        <w:rPr>
          <w:rFonts w:ascii="Times New Roman" w:hAnsi="Times New Roman"/>
        </w:rPr>
        <w:t xml:space="preserve">SR </w:t>
      </w:r>
      <w:r w:rsidRPr="00645EC8">
        <w:rPr>
          <w:rFonts w:ascii="Times New Roman" w:hAnsi="Times New Roman"/>
        </w:rPr>
        <w:t xml:space="preserve">nie je v porovnaní s inými štátmi vysoká, </w:t>
      </w:r>
      <w:r w:rsidR="00930D9F">
        <w:rPr>
          <w:rFonts w:ascii="Times New Roman" w:hAnsi="Times New Roman"/>
        </w:rPr>
        <w:t>SR je</w:t>
      </w:r>
      <w:r w:rsidRPr="00645EC8">
        <w:rPr>
          <w:rFonts w:ascii="Times New Roman" w:hAnsi="Times New Roman"/>
        </w:rPr>
        <w:t xml:space="preserve"> omnoho zraniteľnejš</w:t>
      </w:r>
      <w:r w:rsidR="00930D9F">
        <w:rPr>
          <w:rFonts w:ascii="Times New Roman" w:hAnsi="Times New Roman"/>
        </w:rPr>
        <w:t>ia</w:t>
      </w:r>
      <w:r w:rsidRPr="00645EC8">
        <w:rPr>
          <w:rFonts w:ascii="Times New Roman" w:hAnsi="Times New Roman"/>
        </w:rPr>
        <w:t xml:space="preserve"> ako napríklad Japonsko alebo Veľká Británia. </w:t>
      </w:r>
      <w:r w:rsidR="00885228">
        <w:rPr>
          <w:rFonts w:ascii="Times New Roman" w:hAnsi="Times New Roman"/>
        </w:rPr>
        <w:br/>
      </w:r>
      <w:r w:rsidRPr="00645EC8">
        <w:rPr>
          <w:rFonts w:ascii="Times New Roman" w:hAnsi="Times New Roman"/>
        </w:rPr>
        <w:t xml:space="preserve">Na rozdiel od týchto veľkých štátov so silným domácim finančným sektorom je totiž Slovensko malou krajinou s otvorenou ekonomikou a relatívne malým objemom domácich úspor. </w:t>
      </w:r>
    </w:p>
    <w:p w:rsidR="00F8582D" w:rsidRPr="00645EC8" w:rsidP="00491E04">
      <w:pPr>
        <w:bidi w:val="0"/>
        <w:spacing w:before="120" w:after="120" w:line="360" w:lineRule="auto"/>
        <w:jc w:val="both"/>
        <w:rPr>
          <w:rFonts w:ascii="Times New Roman" w:hAnsi="Times New Roman"/>
        </w:rPr>
      </w:pPr>
      <w:r w:rsidRPr="00645EC8">
        <w:rPr>
          <w:rFonts w:ascii="Times New Roman" w:hAnsi="Times New Roman"/>
        </w:rPr>
        <w:t xml:space="preserve">Druhým dôvodom ozdravovania verejných financií bolo to, že vláda považovala prudké zadlžovanie budúcich generácií za nespravodlivé. Vysoký verejný dlh v kombinácii </w:t>
      </w:r>
      <w:r>
        <w:rPr>
          <w:rFonts w:ascii="Times New Roman" w:hAnsi="Times New Roman"/>
        </w:rPr>
        <w:br/>
      </w:r>
      <w:r w:rsidRPr="00645EC8">
        <w:rPr>
          <w:rFonts w:ascii="Times New Roman" w:hAnsi="Times New Roman"/>
        </w:rPr>
        <w:t xml:space="preserve">so starnutím populácie vytvára pre budúce generácie príliš vysokú záťaž a ohrozuje dlhodobú udržateľnosť verejných financií a rastu životnej úrovne na Slovensku. </w:t>
      </w:r>
    </w:p>
    <w:p w:rsidR="00F8582D" w:rsidRPr="00E06F2E" w:rsidP="00491E04">
      <w:pPr>
        <w:bidi w:val="0"/>
        <w:spacing w:before="120" w:after="120" w:line="360" w:lineRule="auto"/>
        <w:jc w:val="both"/>
        <w:rPr>
          <w:rFonts w:ascii="Times New Roman" w:hAnsi="Times New Roman"/>
        </w:rPr>
      </w:pPr>
      <w:r w:rsidRPr="00645EC8">
        <w:rPr>
          <w:rFonts w:ascii="Times New Roman" w:hAnsi="Times New Roman"/>
        </w:rPr>
        <w:t>V záujme ozdravenia verejných financií bol</w:t>
      </w:r>
      <w:r>
        <w:rPr>
          <w:rFonts w:ascii="Times New Roman" w:hAnsi="Times New Roman"/>
        </w:rPr>
        <w:t>a</w:t>
      </w:r>
      <w:r w:rsidRPr="00645EC8">
        <w:rPr>
          <w:rFonts w:ascii="Times New Roman" w:hAnsi="Times New Roman"/>
        </w:rPr>
        <w:t xml:space="preserve"> na jednej strane </w:t>
      </w:r>
      <w:r>
        <w:rPr>
          <w:rFonts w:ascii="Times New Roman" w:hAnsi="Times New Roman"/>
        </w:rPr>
        <w:t>snaha</w:t>
      </w:r>
      <w:r w:rsidRPr="00645EC8">
        <w:rPr>
          <w:rFonts w:ascii="Times New Roman" w:hAnsi="Times New Roman"/>
        </w:rPr>
        <w:t xml:space="preserve"> o jednoznačné zníženie deficitu, ktoré presvedčí finančné </w:t>
      </w:r>
      <w:r w:rsidR="008361DF">
        <w:rPr>
          <w:rFonts w:ascii="Times New Roman" w:hAnsi="Times New Roman"/>
        </w:rPr>
        <w:t>trhy o dôveryhodnosti Slovenska,</w:t>
      </w:r>
      <w:r w:rsidRPr="00645EC8">
        <w:rPr>
          <w:rFonts w:ascii="Times New Roman" w:hAnsi="Times New Roman"/>
        </w:rPr>
        <w:t xml:space="preserve"> </w:t>
      </w:r>
      <w:r w:rsidR="00930D9F">
        <w:rPr>
          <w:rFonts w:ascii="Times New Roman" w:hAnsi="Times New Roman"/>
        </w:rPr>
        <w:t>n</w:t>
      </w:r>
      <w:r w:rsidRPr="00645EC8">
        <w:rPr>
          <w:rFonts w:ascii="Times New Roman" w:hAnsi="Times New Roman"/>
        </w:rPr>
        <w:t xml:space="preserve">a strane druhej </w:t>
      </w:r>
      <w:r w:rsidRPr="00E06F2E">
        <w:rPr>
          <w:rFonts w:ascii="Times New Roman" w:hAnsi="Times New Roman"/>
        </w:rPr>
        <w:t>bola</w:t>
      </w:r>
      <w:r w:rsidRPr="00E06F2E">
        <w:rPr>
          <w:rFonts w:ascii="Times New Roman" w:hAnsi="Times New Roman"/>
          <w:bCs/>
        </w:rPr>
        <w:t xml:space="preserve"> snaha, aby opatrenia nezasiahli príliš tvrdo domácu ekonomiku s negatívnym dopadom na jej rast.</w:t>
      </w:r>
      <w:r>
        <w:rPr>
          <w:rFonts w:ascii="Times New Roman" w:hAnsi="Times New Roman"/>
          <w:bCs/>
        </w:rPr>
        <w:t xml:space="preserve"> </w:t>
      </w:r>
      <w:r w:rsidRPr="00E06F2E">
        <w:rPr>
          <w:rFonts w:ascii="Times New Roman" w:hAnsi="Times New Roman"/>
          <w:bCs/>
        </w:rPr>
        <w:t>Z deficitu verejných financií na úrovni 7,8 % HDP v roku 2010 bola ú</w:t>
      </w:r>
      <w:r w:rsidRPr="00E06F2E">
        <w:rPr>
          <w:rFonts w:ascii="Times New Roman" w:hAnsi="Times New Roman"/>
        </w:rPr>
        <w:t xml:space="preserve">roveň rozpočtovaného deficitu pre rok 2011 nastavená na 4,9 % HDP. </w:t>
      </w:r>
      <w:r>
        <w:rPr>
          <w:rFonts w:ascii="Times New Roman" w:hAnsi="Times New Roman"/>
        </w:rPr>
        <w:t>Pritom, a</w:t>
      </w:r>
      <w:r w:rsidRPr="00E06F2E">
        <w:rPr>
          <w:rFonts w:ascii="Times New Roman" w:hAnsi="Times New Roman"/>
        </w:rPr>
        <w:t>k b</w:t>
      </w:r>
      <w:r w:rsidRPr="00E06F2E">
        <w:rPr>
          <w:rFonts w:ascii="Times New Roman" w:hAnsi="Times New Roman"/>
          <w:bCs/>
        </w:rPr>
        <w:t>y vláda nerobila podstat</w:t>
      </w:r>
      <w:r w:rsidR="00930D9F">
        <w:rPr>
          <w:rFonts w:ascii="Times New Roman" w:hAnsi="Times New Roman"/>
          <w:bCs/>
        </w:rPr>
        <w:t>né zmeny v rozpočtovej politike a</w:t>
      </w:r>
      <w:r w:rsidRPr="00E06F2E">
        <w:rPr>
          <w:rFonts w:ascii="Times New Roman" w:hAnsi="Times New Roman"/>
          <w:bCs/>
        </w:rPr>
        <w:t xml:space="preserve"> ponechala </w:t>
      </w:r>
      <w:r w:rsidR="00930D9F">
        <w:rPr>
          <w:rFonts w:ascii="Times New Roman" w:hAnsi="Times New Roman"/>
          <w:bCs/>
        </w:rPr>
        <w:t xml:space="preserve">by len </w:t>
      </w:r>
      <w:r w:rsidRPr="00E06F2E">
        <w:rPr>
          <w:rFonts w:ascii="Times New Roman" w:hAnsi="Times New Roman"/>
          <w:bCs/>
        </w:rPr>
        <w:t xml:space="preserve">príjmy aj výdavky na ich „prirodzený“ vývoj, deficit by dosiahol približne 7,4 % HDP. </w:t>
      </w:r>
    </w:p>
    <w:p w:rsidR="00F8582D" w:rsidRPr="00645EC8" w:rsidP="00491E04">
      <w:pPr>
        <w:bidi w:val="0"/>
        <w:spacing w:before="120" w:after="120" w:line="360" w:lineRule="auto"/>
        <w:jc w:val="both"/>
        <w:rPr>
          <w:rFonts w:ascii="Times New Roman" w:hAnsi="Times New Roman"/>
          <w:bCs/>
        </w:rPr>
      </w:pPr>
      <w:r w:rsidRPr="00645EC8">
        <w:rPr>
          <w:rFonts w:ascii="Times New Roman" w:hAnsi="Times New Roman"/>
        </w:rPr>
        <w:t xml:space="preserve">Ambiciózne nastavenie </w:t>
      </w:r>
      <w:r w:rsidR="00930D9F">
        <w:rPr>
          <w:rFonts w:ascii="Times New Roman" w:hAnsi="Times New Roman"/>
        </w:rPr>
        <w:t xml:space="preserve">rozpočtovaného </w:t>
      </w:r>
      <w:r w:rsidRPr="00645EC8">
        <w:rPr>
          <w:rFonts w:ascii="Times New Roman" w:hAnsi="Times New Roman"/>
        </w:rPr>
        <w:t xml:space="preserve">deficitu bolo </w:t>
      </w:r>
      <w:r>
        <w:rPr>
          <w:rFonts w:ascii="Times New Roman" w:hAnsi="Times New Roman"/>
        </w:rPr>
        <w:t xml:space="preserve">však </w:t>
      </w:r>
      <w:r w:rsidRPr="00645EC8">
        <w:rPr>
          <w:rFonts w:ascii="Times New Roman" w:hAnsi="Times New Roman"/>
        </w:rPr>
        <w:t>podporené pl</w:t>
      </w:r>
      <w:r w:rsidRPr="00645EC8">
        <w:rPr>
          <w:rFonts w:ascii="Times New Roman" w:hAnsi="Times New Roman"/>
          <w:bCs/>
        </w:rPr>
        <w:t>ánovanými ozdravnými opatreniami v objeme 2,5 % HDP, teda 1,75 mld. eur.</w:t>
      </w:r>
      <w:r w:rsidRPr="00645EC8">
        <w:rPr>
          <w:rFonts w:ascii="Times New Roman" w:hAnsi="Times New Roman"/>
        </w:rPr>
        <w:t xml:space="preserve"> T</w:t>
      </w:r>
      <w:r w:rsidRPr="00645EC8">
        <w:rPr>
          <w:rFonts w:ascii="Times New Roman" w:hAnsi="Times New Roman"/>
          <w:bCs/>
        </w:rPr>
        <w:t xml:space="preserve">akmer pol percentom </w:t>
      </w:r>
      <w:r>
        <w:rPr>
          <w:rFonts w:ascii="Times New Roman" w:hAnsi="Times New Roman"/>
          <w:bCs/>
        </w:rPr>
        <w:t xml:space="preserve">mal </w:t>
      </w:r>
      <w:r w:rsidRPr="00645EC8">
        <w:rPr>
          <w:rFonts w:ascii="Times New Roman" w:hAnsi="Times New Roman"/>
          <w:bCs/>
        </w:rPr>
        <w:t xml:space="preserve">k zníženiu deficitu </w:t>
      </w:r>
      <w:r>
        <w:rPr>
          <w:rFonts w:ascii="Times New Roman" w:hAnsi="Times New Roman"/>
          <w:bCs/>
        </w:rPr>
        <w:t xml:space="preserve">prispieť </w:t>
      </w:r>
      <w:r w:rsidRPr="00645EC8">
        <w:rPr>
          <w:rFonts w:ascii="Times New Roman" w:hAnsi="Times New Roman"/>
          <w:bCs/>
        </w:rPr>
        <w:t>aj prognózovaný rast ekonomiky. Menšia časť ozdravných opatrení bola navrhnutá na strane príjmov verejných financií. Išlo o </w:t>
      </w:r>
      <w:r>
        <w:rPr>
          <w:rFonts w:ascii="Times New Roman" w:hAnsi="Times New Roman"/>
          <w:bCs/>
        </w:rPr>
        <w:t>súbor</w:t>
      </w:r>
      <w:r w:rsidRPr="00645EC8">
        <w:rPr>
          <w:rFonts w:ascii="Times New Roman" w:hAnsi="Times New Roman"/>
          <w:bCs/>
        </w:rPr>
        <w:t xml:space="preserve"> krokov v oblasti DPH, spotrebných daní, nedaňových príjmov, ale aj dane z príjmov a odvodov. Týmito opatreniami sa predpokladalo medziročné zvýšenie daňovo-odvodového zaťaženia na 28,6 % HDP, stále však bolo pod úrovňou roku 2008 (28,9 % HDP) a v priebehu rokov 2012 a 2013 by opäť mal</w:t>
      </w:r>
      <w:r>
        <w:rPr>
          <w:rFonts w:ascii="Times New Roman" w:hAnsi="Times New Roman"/>
          <w:bCs/>
        </w:rPr>
        <w:t>o</w:t>
      </w:r>
      <w:r w:rsidRPr="00645EC8">
        <w:rPr>
          <w:rFonts w:ascii="Times New Roman" w:hAnsi="Times New Roman"/>
          <w:bCs/>
        </w:rPr>
        <w:t xml:space="preserve"> klesnúť pod 28 % HDP. </w:t>
      </w:r>
    </w:p>
    <w:p w:rsidR="00F8582D" w:rsidRPr="00645EC8" w:rsidP="00491E04">
      <w:pPr>
        <w:bidi w:val="0"/>
        <w:spacing w:before="120" w:after="120" w:line="360" w:lineRule="auto"/>
        <w:jc w:val="both"/>
        <w:rPr>
          <w:rFonts w:ascii="Times New Roman" w:hAnsi="Times New Roman"/>
          <w:bCs/>
        </w:rPr>
      </w:pPr>
      <w:r w:rsidRPr="00645EC8">
        <w:rPr>
          <w:rFonts w:ascii="Times New Roman" w:hAnsi="Times New Roman"/>
          <w:bCs/>
        </w:rPr>
        <w:t>Väčšia časť ozdravenia verejných financií sa navrhla na strane výdavkov. Pri tvorbe rozpočtu na rok 2011 sa využili najmä plošné škrty mzdových a prevádzkových výdavkov v kombinácii s individuálnym znižovaním kapitálových výdavkov (napríklad národný futbalový šta</w:t>
      </w:r>
      <w:r w:rsidR="00C36624">
        <w:rPr>
          <w:rFonts w:ascii="Times New Roman" w:hAnsi="Times New Roman"/>
          <w:bCs/>
        </w:rPr>
        <w:t xml:space="preserve">dión) a niektorých konkrétnych </w:t>
      </w:r>
      <w:r w:rsidRPr="00645EC8">
        <w:rPr>
          <w:rFonts w:ascii="Times New Roman" w:hAnsi="Times New Roman"/>
          <w:bCs/>
        </w:rPr>
        <w:t xml:space="preserve">transferov (napríklad národný doplatok k priamym platbám pre farmárov). </w:t>
      </w:r>
    </w:p>
    <w:p w:rsidR="00F8582D" w:rsidRPr="00645EC8" w:rsidP="00491E04">
      <w:pPr>
        <w:bidi w:val="0"/>
        <w:spacing w:before="120" w:after="120" w:line="360" w:lineRule="auto"/>
        <w:jc w:val="both"/>
        <w:rPr>
          <w:rFonts w:ascii="Times New Roman" w:hAnsi="Times New Roman"/>
        </w:rPr>
      </w:pPr>
      <w:r w:rsidRPr="00645EC8">
        <w:rPr>
          <w:rFonts w:ascii="Times New Roman" w:hAnsi="Times New Roman"/>
          <w:bCs/>
        </w:rPr>
        <w:t>Výraznejšie systémové zmeny smerujúce k znižovaniu výdavkov, ako je napríklad reforma sociálneho alebo dôchodkového systému boli súčasťou rozpočtov na nasledujúce roky.</w:t>
      </w:r>
      <w:r>
        <w:rPr>
          <w:rFonts w:ascii="Times New Roman" w:hAnsi="Times New Roman"/>
          <w:bCs/>
        </w:rPr>
        <w:t xml:space="preserve"> </w:t>
      </w:r>
      <w:r w:rsidRPr="00645EC8">
        <w:rPr>
          <w:rFonts w:ascii="Times New Roman" w:hAnsi="Times New Roman"/>
          <w:bCs/>
        </w:rPr>
        <w:t>Plánované bolo o</w:t>
      </w:r>
      <w:r w:rsidRPr="00645EC8">
        <w:rPr>
          <w:rFonts w:ascii="Times New Roman" w:hAnsi="Times New Roman"/>
        </w:rPr>
        <w:t xml:space="preserve">zdravovanie verejných financií aj v nasledujúcich dvoch rokoch tak, aby v roku 2013 klesol deficit Slovenska pod 3 % HDP. </w:t>
      </w:r>
    </w:p>
    <w:p w:rsidR="00F8582D" w:rsidRPr="00645EC8" w:rsidP="00491E04">
      <w:pPr>
        <w:bidi w:val="0"/>
        <w:spacing w:before="120" w:after="120" w:line="360" w:lineRule="auto"/>
        <w:jc w:val="both"/>
        <w:rPr>
          <w:rFonts w:ascii="Times New Roman" w:hAnsi="Times New Roman"/>
        </w:rPr>
      </w:pPr>
      <w:r w:rsidRPr="00645EC8">
        <w:rPr>
          <w:rFonts w:ascii="Times New Roman" w:hAnsi="Times New Roman"/>
        </w:rPr>
        <w:t xml:space="preserve">Navrhované tempo ozdravenia bolo konsenzuálne prijaté </w:t>
      </w:r>
      <w:r>
        <w:rPr>
          <w:rFonts w:ascii="Times New Roman" w:hAnsi="Times New Roman"/>
        </w:rPr>
        <w:t xml:space="preserve">nielen </w:t>
      </w:r>
      <w:r w:rsidRPr="00645EC8">
        <w:rPr>
          <w:rFonts w:ascii="Times New Roman" w:hAnsi="Times New Roman"/>
        </w:rPr>
        <w:t>zo strany politických strán na Slovensku, vrátane opozície, ale aj medzinárodných inštitúcií a odbornej verejnosti.</w:t>
      </w:r>
      <w:r w:rsidRPr="00645EC8">
        <w:rPr>
          <w:rFonts w:ascii="Times New Roman" w:hAnsi="Times New Roman"/>
          <w:bCs/>
        </w:rPr>
        <w:t xml:space="preserve"> </w:t>
      </w:r>
    </w:p>
    <w:p w:rsidR="00F8582D" w:rsidRPr="00645EC8" w:rsidP="00491E04">
      <w:pPr>
        <w:pStyle w:val="BodyText"/>
        <w:bidi w:val="0"/>
        <w:spacing w:before="120" w:line="360" w:lineRule="auto"/>
        <w:jc w:val="both"/>
        <w:rPr>
          <w:rFonts w:ascii="Times New Roman" w:hAnsi="Times New Roman"/>
          <w:color w:val="000000"/>
          <w:lang w:val="x-none" w:eastAsia="sk-SK"/>
        </w:rPr>
      </w:pPr>
      <w:r>
        <w:rPr>
          <w:rFonts w:ascii="Times New Roman" w:hAnsi="Times New Roman"/>
        </w:rPr>
        <w:t xml:space="preserve">S cieľom </w:t>
      </w:r>
      <w:r w:rsidRPr="00645EC8">
        <w:rPr>
          <w:rFonts w:ascii="Times New Roman" w:hAnsi="Times New Roman"/>
        </w:rPr>
        <w:t>sledova</w:t>
      </w:r>
      <w:r>
        <w:rPr>
          <w:rFonts w:ascii="Times New Roman" w:hAnsi="Times New Roman"/>
        </w:rPr>
        <w:t>ť</w:t>
      </w:r>
      <w:r w:rsidRPr="00645EC8">
        <w:rPr>
          <w:rFonts w:ascii="Times New Roman" w:hAnsi="Times New Roman"/>
        </w:rPr>
        <w:t xml:space="preserve"> vývoj plnenia rozpočtu verejnej správy v priebehu roka 2011 prebiehalo pravidelné monitorovanie. V </w:t>
      </w:r>
      <w:r w:rsidRPr="00645EC8">
        <w:rPr>
          <w:rFonts w:ascii="Times New Roman" w:hAnsi="Times New Roman"/>
          <w:color w:val="000000"/>
          <w:lang w:val="x-none" w:eastAsia="sk-SK"/>
        </w:rPr>
        <w:t xml:space="preserve">prvých dvoch mesiacoch roku 2011 bol vývoj rozpočtového hospodárenia monitorovaný prostredníctvom mesačných hodnotiacich správ o plnení štátneho rozpočtu na hotovostnej báze. Počnúc marcom Ministerstvo financií SR pristúpilo </w:t>
      </w:r>
      <w:r w:rsidR="00A94EA0">
        <w:rPr>
          <w:rFonts w:ascii="Times New Roman" w:hAnsi="Times New Roman"/>
          <w:color w:val="000000"/>
          <w:lang w:val="sk-SK" w:eastAsia="sk-SK"/>
        </w:rPr>
        <w:br/>
      </w:r>
      <w:r w:rsidRPr="00645EC8">
        <w:rPr>
          <w:rFonts w:ascii="Times New Roman" w:hAnsi="Times New Roman"/>
          <w:color w:val="000000"/>
          <w:lang w:val="x-none" w:eastAsia="sk-SK"/>
        </w:rPr>
        <w:t xml:space="preserve">k </w:t>
      </w:r>
      <w:r w:rsidRPr="00645EC8">
        <w:rPr>
          <w:rFonts w:ascii="Times New Roman" w:hAnsi="Times New Roman"/>
          <w:lang w:val="x-none" w:eastAsia="sk-SK"/>
        </w:rPr>
        <w:t>monitorovaniu</w:t>
      </w:r>
      <w:r w:rsidRPr="00645EC8">
        <w:rPr>
          <w:rFonts w:ascii="Times New Roman" w:hAnsi="Times New Roman"/>
          <w:color w:val="000000"/>
          <w:lang w:val="x-none" w:eastAsia="sk-SK"/>
        </w:rPr>
        <w:t xml:space="preserve"> vývoja </w:t>
      </w:r>
      <w:r w:rsidRPr="00645EC8">
        <w:rPr>
          <w:rFonts w:ascii="Times New Roman" w:hAnsi="Times New Roman"/>
          <w:lang w:val="x-none" w:eastAsia="sk-SK"/>
        </w:rPr>
        <w:t xml:space="preserve">v širšom rámci </w:t>
      </w:r>
      <w:r w:rsidRPr="00645EC8">
        <w:rPr>
          <w:rFonts w:ascii="Times New Roman" w:hAnsi="Times New Roman"/>
          <w:color w:val="000000"/>
          <w:lang w:val="x-none" w:eastAsia="sk-SK"/>
        </w:rPr>
        <w:t xml:space="preserve">celých verejných financií formou pravidelného vypracovávania predpokladov vývoja verejných financií v metodike ESA 95 na mesačnej báze. </w:t>
      </w:r>
      <w:r w:rsidRPr="00645EC8">
        <w:rPr>
          <w:rFonts w:ascii="Times New Roman" w:hAnsi="Times New Roman"/>
          <w:lang w:val="x-none" w:eastAsia="sk-SK"/>
        </w:rPr>
        <w:t>Tieto</w:t>
      </w:r>
      <w:r w:rsidR="008361DF">
        <w:rPr>
          <w:rFonts w:ascii="Times New Roman" w:hAnsi="Times New Roman"/>
          <w:lang w:val="sk-SK" w:eastAsia="sk-SK"/>
        </w:rPr>
        <w:t>,</w:t>
      </w:r>
      <w:r w:rsidRPr="00645EC8">
        <w:rPr>
          <w:rFonts w:ascii="Times New Roman" w:hAnsi="Times New Roman"/>
          <w:lang w:val="x-none" w:eastAsia="sk-SK"/>
        </w:rPr>
        <w:t xml:space="preserve"> na základe aktuálne dostupných údajov o dosiahnutej skutočnosti</w:t>
      </w:r>
      <w:r w:rsidRPr="00645EC8">
        <w:rPr>
          <w:rFonts w:ascii="Times New Roman" w:hAnsi="Times New Roman"/>
        </w:rPr>
        <w:t xml:space="preserve"> a predpokladanom vývoji príjmov a výdavkov rozpočtu verejnej správy</w:t>
      </w:r>
      <w:r w:rsidR="008361DF">
        <w:rPr>
          <w:rFonts w:ascii="Times New Roman" w:hAnsi="Times New Roman"/>
          <w:lang w:val="sk-SK" w:eastAsia="x-none"/>
        </w:rPr>
        <w:t>,</w:t>
      </w:r>
      <w:r w:rsidRPr="00645EC8">
        <w:rPr>
          <w:rFonts w:ascii="Times New Roman" w:hAnsi="Times New Roman"/>
        </w:rPr>
        <w:t xml:space="preserve"> kvantifikovali očakávané zmeny v hospodárení jednotlivých subjektov rozpočtu verejnej správy oproti schválenému rozpočtu na rok 2011.</w:t>
      </w:r>
    </w:p>
    <w:p w:rsidR="00F8582D" w:rsidRPr="00645EC8" w:rsidP="00491E04">
      <w:pPr>
        <w:autoSpaceDE w:val="0"/>
        <w:autoSpaceDN w:val="0"/>
        <w:bidi w:val="0"/>
        <w:adjustRightInd w:val="0"/>
        <w:spacing w:before="120" w:after="120" w:line="360" w:lineRule="auto"/>
        <w:jc w:val="both"/>
        <w:rPr>
          <w:rFonts w:ascii="Times New Roman" w:hAnsi="Times New Roman"/>
        </w:rPr>
      </w:pPr>
      <w:r w:rsidRPr="00645EC8">
        <w:rPr>
          <w:rFonts w:ascii="Times New Roman" w:hAnsi="Times New Roman"/>
        </w:rPr>
        <w:t>Predpoklady vývoja verejných financií vychádzali z najnovších analýz a prognóz makroekonomického a fiškálneho vývoja a ich výsledky sa využívali na hodnotenie možných rizík plnenia rozpočtu v roku 2011. Zameriavali sa najmä na monitoring a analýzu faktorov, ktoré mohli potenciálne spôsobiť najväčší odklon hospodárenia jednotlivých subjektov verejnej správy od schváleného rozpočtu na rok 2011, a tak najviac ovplyvniť úspešnosť dosiahnutia plánovaného cieľa vlády pre rok 2011.</w:t>
      </w:r>
    </w:p>
    <w:p w:rsidR="00F8582D" w:rsidRPr="00645EC8" w:rsidP="00491E04">
      <w:pPr>
        <w:autoSpaceDE w:val="0"/>
        <w:autoSpaceDN w:val="0"/>
        <w:bidi w:val="0"/>
        <w:adjustRightInd w:val="0"/>
        <w:spacing w:before="120" w:after="120" w:line="360" w:lineRule="auto"/>
        <w:jc w:val="both"/>
        <w:rPr>
          <w:rFonts w:ascii="Times New Roman" w:hAnsi="Times New Roman"/>
        </w:rPr>
      </w:pPr>
      <w:r w:rsidRPr="00645EC8">
        <w:rPr>
          <w:rFonts w:ascii="Times New Roman" w:hAnsi="Times New Roman"/>
        </w:rPr>
        <w:t>Predpoklady vývoja verejných financií na štvrťročnej báze boli súčasťou správ</w:t>
      </w:r>
      <w:r>
        <w:rPr>
          <w:rStyle w:val="FootnoteReference"/>
          <w:rFonts w:ascii="Times New Roman" w:hAnsi="Times New Roman"/>
          <w:rtl w:val="0"/>
        </w:rPr>
        <w:footnoteReference w:customMarkFollows="1" w:id="9"/>
        <w:t xml:space="preserve">8</w:t>
      </w:r>
      <w:r w:rsidR="00A94EA0">
        <w:rPr>
          <w:rStyle w:val="FootnoteReference"/>
          <w:rFonts w:ascii="Times New Roman" w:hAnsi="Times New Roman"/>
        </w:rPr>
        <w:t>)</w:t>
      </w:r>
      <w:r w:rsidRPr="00645EC8">
        <w:rPr>
          <w:rFonts w:ascii="Times New Roman" w:hAnsi="Times New Roman"/>
        </w:rPr>
        <w:t xml:space="preserve">, ktoré Ministerstvo financií SR pripravuje v </w:t>
      </w:r>
      <w:r w:rsidRPr="00D559E8">
        <w:rPr>
          <w:rFonts w:ascii="Times New Roman" w:hAnsi="Times New Roman"/>
        </w:rPr>
        <w:t>pravidelných</w:t>
      </w:r>
      <w:r w:rsidRPr="00645EC8">
        <w:rPr>
          <w:rFonts w:ascii="Times New Roman" w:hAnsi="Times New Roman"/>
        </w:rPr>
        <w:t xml:space="preserve"> intervaloch na rokovanie vlády s cieľom analyzovať a posúdiť skutočný vývoj s rozpočtovaným cieľom v oblasti schodku verejnej správy. </w:t>
      </w:r>
    </w:p>
    <w:p w:rsidR="00B07DEC" w:rsidRPr="00B07DEC" w:rsidP="00DD509A">
      <w:pPr>
        <w:pStyle w:val="Heading2"/>
        <w:bidi w:val="0"/>
        <w:spacing w:before="100" w:beforeAutospacing="1" w:after="100" w:afterAutospacing="1" w:line="360" w:lineRule="auto"/>
        <w:jc w:val="center"/>
        <w:rPr>
          <w:rFonts w:ascii="Times New Roman" w:hAnsi="Times New Roman"/>
          <w:color w:val="auto"/>
          <w:sz w:val="24"/>
          <w:szCs w:val="24"/>
        </w:rPr>
      </w:pPr>
      <w:bookmarkStart w:id="20" w:name="_Toc322614753"/>
      <w:r w:rsidR="00F8582D">
        <w:rPr>
          <w:rFonts w:ascii="Times New Roman" w:hAnsi="Times New Roman"/>
          <w:color w:val="auto"/>
          <w:sz w:val="24"/>
          <w:szCs w:val="24"/>
        </w:rPr>
        <w:t>3.2</w:t>
      </w:r>
      <w:r w:rsidRPr="00B07DEC">
        <w:rPr>
          <w:rFonts w:ascii="Times New Roman" w:hAnsi="Times New Roman"/>
          <w:color w:val="auto"/>
          <w:sz w:val="24"/>
          <w:szCs w:val="24"/>
        </w:rPr>
        <w:t>. Základné rozpočtové ukazovatele</w:t>
      </w:r>
      <w:bookmarkEnd w:id="20"/>
    </w:p>
    <w:p w:rsidR="00B07DEC" w:rsidRPr="00870857" w:rsidP="009839C3">
      <w:pPr>
        <w:pStyle w:val="ListParagraph"/>
        <w:bidi w:val="0"/>
        <w:spacing w:before="100" w:beforeAutospacing="1" w:after="100" w:afterAutospacing="1" w:line="360" w:lineRule="auto"/>
        <w:ind w:left="0" w:firstLine="709"/>
        <w:jc w:val="both"/>
        <w:rPr>
          <w:rFonts w:ascii="Times New Roman" w:hAnsi="Times New Roman"/>
          <w:sz w:val="24"/>
          <w:szCs w:val="24"/>
        </w:rPr>
      </w:pPr>
      <w:r>
        <w:rPr>
          <w:rFonts w:ascii="Times New Roman" w:hAnsi="Times New Roman"/>
          <w:sz w:val="24"/>
          <w:szCs w:val="24"/>
        </w:rPr>
        <w:t>Na základe zákona č. 498/2010 Z. z. o štátnom rozpočte na rok 2011 sa príjmy štátneho rozpočtu rozpočtovali sumou 13 147 834 tis. eur, výdavky boli určené sumou 16 957 773 tis. eur a schodok štátneho rozpočtu sumou 3 809 939 tis. eur. Súhrnný prehľad o rozpočtovaných a skutočne dosiahnutých základných rozpočtových ukazovateľov v roku 2011 a v predchádzajúcich dvoch rokoch poskytujú nasledovné údaje:</w:t>
      </w:r>
    </w:p>
    <w:tbl>
      <w:tblPr>
        <w:tblStyle w:val="TableNormal"/>
        <w:tblW w:w="91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gridCol w:w="1382"/>
        <w:gridCol w:w="1149"/>
        <w:gridCol w:w="1210"/>
        <w:gridCol w:w="1134"/>
        <w:gridCol w:w="1193"/>
        <w:gridCol w:w="1182"/>
      </w:tblGrid>
      <w:tr>
        <w:tblPrEx>
          <w:tblW w:w="91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340"/>
          <w:jc w:val="center"/>
        </w:trPr>
        <w:tc>
          <w:tcPr>
            <w:tcW w:w="1929"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B07DEC" w:rsidRPr="005D5335"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5D5335">
              <w:rPr>
                <w:rFonts w:ascii="Times New Roman" w:hAnsi="Times New Roman"/>
                <w:b/>
                <w:sz w:val="20"/>
                <w:szCs w:val="20"/>
              </w:rPr>
              <w:t>Ukazovateľ</w:t>
            </w:r>
          </w:p>
          <w:p w:rsidR="00870857" w:rsidRPr="005D5335"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p>
          <w:p w:rsidR="00870857" w:rsidRPr="005D5335" w:rsidP="00870857">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b/>
                <w:sz w:val="20"/>
                <w:szCs w:val="20"/>
              </w:rPr>
            </w:pPr>
            <w:r w:rsidRPr="005D5335">
              <w:rPr>
                <w:rFonts w:ascii="Times New Roman" w:hAnsi="Times New Roman"/>
                <w:b/>
                <w:sz w:val="20"/>
                <w:szCs w:val="20"/>
              </w:rPr>
              <w:t>(v tis.</w:t>
            </w:r>
            <w:r w:rsidRPr="005D5335" w:rsidR="00633951">
              <w:rPr>
                <w:rFonts w:ascii="Times New Roman" w:hAnsi="Times New Roman"/>
                <w:b/>
                <w:sz w:val="20"/>
                <w:szCs w:val="20"/>
              </w:rPr>
              <w:t xml:space="preserve"> </w:t>
            </w:r>
            <w:r w:rsidRPr="005D5335">
              <w:rPr>
                <w:rFonts w:ascii="Times New Roman" w:hAnsi="Times New Roman"/>
                <w:b/>
                <w:sz w:val="20"/>
                <w:szCs w:val="20"/>
              </w:rPr>
              <w:t>eur)</w:t>
            </w:r>
          </w:p>
        </w:tc>
        <w:tc>
          <w:tcPr>
            <w:tcW w:w="2531"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B07DEC" w:rsidRPr="005D5335"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5D5335">
              <w:rPr>
                <w:rFonts w:ascii="Times New Roman" w:hAnsi="Times New Roman"/>
                <w:b/>
                <w:sz w:val="20"/>
                <w:szCs w:val="20"/>
              </w:rPr>
              <w:t>Rozpočet 2011</w:t>
            </w:r>
          </w:p>
        </w:tc>
        <w:tc>
          <w:tcPr>
            <w:tcW w:w="3537"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B07DEC" w:rsidRPr="005D5335"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5D5335">
              <w:rPr>
                <w:rFonts w:ascii="Times New Roman" w:hAnsi="Times New Roman"/>
                <w:b/>
                <w:sz w:val="20"/>
                <w:szCs w:val="20"/>
              </w:rPr>
              <w:t>Skutočnosť</w:t>
            </w:r>
          </w:p>
        </w:tc>
        <w:tc>
          <w:tcPr>
            <w:tcW w:w="1182"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B07DEC" w:rsidRPr="005D5335"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5D5335">
              <w:rPr>
                <w:rFonts w:ascii="Times New Roman" w:hAnsi="Times New Roman"/>
                <w:b/>
                <w:sz w:val="20"/>
                <w:szCs w:val="20"/>
              </w:rPr>
              <w:t>Rozdiel</w:t>
            </w:r>
          </w:p>
        </w:tc>
      </w:tr>
      <w:tr>
        <w:tblPrEx>
          <w:tblW w:w="9179" w:type="dxa"/>
          <w:jc w:val="center"/>
          <w:tblInd w:w="108" w:type="dxa"/>
          <w:tblLayout w:type="fixed"/>
          <w:tblLook w:val="04A0"/>
        </w:tblPrEx>
        <w:trPr>
          <w:trHeight w:hRule="exact" w:val="340"/>
          <w:jc w:val="center"/>
        </w:trPr>
        <w:tc>
          <w:tcPr>
            <w:tcW w:w="1929"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p>
        </w:tc>
        <w:tc>
          <w:tcPr>
            <w:tcW w:w="138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017808">
              <w:rPr>
                <w:rFonts w:ascii="Times New Roman" w:hAnsi="Times New Roman"/>
                <w:b/>
                <w:sz w:val="20"/>
                <w:szCs w:val="20"/>
              </w:rPr>
              <w:t>schválený</w:t>
            </w:r>
          </w:p>
        </w:tc>
        <w:tc>
          <w:tcPr>
            <w:tcW w:w="1149"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017808">
              <w:rPr>
                <w:rFonts w:ascii="Times New Roman" w:hAnsi="Times New Roman"/>
                <w:b/>
                <w:sz w:val="20"/>
                <w:szCs w:val="20"/>
              </w:rPr>
              <w:t>upravený</w:t>
            </w:r>
          </w:p>
        </w:tc>
        <w:tc>
          <w:tcPr>
            <w:tcW w:w="1210"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017808">
              <w:rPr>
                <w:rFonts w:ascii="Times New Roman" w:hAnsi="Times New Roman"/>
                <w:b/>
                <w:sz w:val="20"/>
                <w:szCs w:val="20"/>
              </w:rPr>
              <w:t>2011</w:t>
            </w:r>
          </w:p>
        </w:tc>
        <w:tc>
          <w:tcPr>
            <w:tcW w:w="113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017808">
              <w:rPr>
                <w:rFonts w:ascii="Times New Roman" w:hAnsi="Times New Roman"/>
                <w:b/>
                <w:sz w:val="20"/>
                <w:szCs w:val="20"/>
              </w:rPr>
              <w:t>2010</w:t>
            </w:r>
          </w:p>
        </w:tc>
        <w:tc>
          <w:tcPr>
            <w:tcW w:w="1193"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r w:rsidRPr="00017808">
              <w:rPr>
                <w:rFonts w:ascii="Times New Roman" w:hAnsi="Times New Roman"/>
                <w:b/>
                <w:sz w:val="20"/>
                <w:szCs w:val="20"/>
              </w:rPr>
              <w:t>2009</w:t>
            </w:r>
          </w:p>
        </w:tc>
        <w:tc>
          <w:tcPr>
            <w:tcW w:w="1182"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line="240" w:lineRule="auto"/>
              <w:ind w:left="0"/>
              <w:jc w:val="center"/>
              <w:textAlignment w:val="baseline"/>
              <w:rPr>
                <w:rFonts w:ascii="Times New Roman" w:hAnsi="Times New Roman"/>
                <w:b/>
                <w:sz w:val="20"/>
                <w:szCs w:val="20"/>
              </w:rPr>
            </w:pP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A92219">
              <w:rPr>
                <w:rFonts w:ascii="Times New Roman" w:hAnsi="Times New Roman"/>
                <w:b/>
                <w:sz w:val="20"/>
                <w:szCs w:val="20"/>
              </w:rPr>
              <w:t>1</w:t>
            </w:r>
          </w:p>
        </w:tc>
        <w:tc>
          <w:tcPr>
            <w:tcW w:w="114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A92219">
              <w:rPr>
                <w:rFonts w:ascii="Times New Roman" w:hAnsi="Times New Roman"/>
                <w:b/>
                <w:sz w:val="20"/>
                <w:szCs w:val="20"/>
              </w:rPr>
              <w:t>2</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A92219">
              <w:rPr>
                <w:rFonts w:ascii="Times New Roman" w:hAnsi="Times New Roman"/>
                <w:b/>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A92219">
              <w:rPr>
                <w:rFonts w:ascii="Times New Roman" w:hAnsi="Times New Roman"/>
                <w:b/>
                <w:sz w:val="20"/>
                <w:szCs w:val="20"/>
              </w:rPr>
              <w:t>4</w:t>
            </w:r>
          </w:p>
        </w:tc>
        <w:tc>
          <w:tcPr>
            <w:tcW w:w="119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A92219">
              <w:rPr>
                <w:rFonts w:ascii="Times New Roman" w:hAnsi="Times New Roman"/>
                <w:b/>
                <w:sz w:val="20"/>
                <w:szCs w:val="20"/>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A92219" w:rsidP="00812D93">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00812D93">
              <w:rPr>
                <w:rFonts w:ascii="Times New Roman" w:hAnsi="Times New Roman"/>
                <w:b/>
                <w:sz w:val="20"/>
                <w:szCs w:val="20"/>
              </w:rPr>
              <w:t>6 =</w:t>
            </w:r>
            <w:r w:rsidRPr="00A92219">
              <w:rPr>
                <w:rFonts w:ascii="Times New Roman" w:hAnsi="Times New Roman"/>
                <w:b/>
                <w:sz w:val="20"/>
                <w:szCs w:val="20"/>
              </w:rPr>
              <w:t>3</w:t>
            </w:r>
            <w:r w:rsidR="00812D93">
              <w:rPr>
                <w:rFonts w:ascii="Times New Roman" w:hAnsi="Times New Roman"/>
                <w:b/>
                <w:sz w:val="20"/>
                <w:szCs w:val="20"/>
              </w:rPr>
              <w:t>-</w:t>
            </w:r>
            <w:r w:rsidRPr="00A92219">
              <w:rPr>
                <w:rFonts w:ascii="Times New Roman" w:hAnsi="Times New Roman"/>
                <w:b/>
                <w:sz w:val="20"/>
                <w:szCs w:val="20"/>
              </w:rPr>
              <w:t>2</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b/>
                <w:sz w:val="20"/>
                <w:szCs w:val="20"/>
              </w:rPr>
            </w:pPr>
            <w:r w:rsidRPr="00017808">
              <w:rPr>
                <w:rFonts w:ascii="Times New Roman" w:hAnsi="Times New Roman"/>
                <w:b/>
                <w:sz w:val="20"/>
                <w:szCs w:val="20"/>
              </w:rPr>
              <w:t>Príjmy spolu</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CC6584"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CC6584">
              <w:rPr>
                <w:rFonts w:ascii="Times New Roman" w:hAnsi="Times New Roman"/>
                <w:b/>
                <w:sz w:val="20"/>
                <w:szCs w:val="20"/>
              </w:rPr>
              <w:t>13 147 834</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CC6584"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CC6584">
              <w:rPr>
                <w:rFonts w:ascii="Times New Roman" w:hAnsi="Times New Roman"/>
                <w:b/>
                <w:sz w:val="20"/>
                <w:szCs w:val="20"/>
              </w:rPr>
              <w:t>13 768 32</w:t>
            </w:r>
            <w:r w:rsidR="001D2FF8">
              <w:rPr>
                <w:rFonts w:ascii="Times New Roman" w:hAnsi="Times New Roman"/>
                <w:b/>
                <w:sz w:val="20"/>
                <w:szCs w:val="20"/>
              </w:rPr>
              <w:t>7</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CC6584"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CC6584">
              <w:rPr>
                <w:rFonts w:ascii="Times New Roman" w:hAnsi="Times New Roman"/>
                <w:b/>
                <w:sz w:val="20"/>
                <w:szCs w:val="20"/>
              </w:rPr>
              <w:t>12 002 326</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CC6584"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CC6584">
              <w:rPr>
                <w:rFonts w:ascii="Times New Roman" w:hAnsi="Times New Roman"/>
                <w:b/>
                <w:sz w:val="20"/>
                <w:szCs w:val="20"/>
              </w:rPr>
              <w:t>10 900 863</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CC6584"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CC6584">
              <w:rPr>
                <w:rFonts w:ascii="Times New Roman" w:hAnsi="Times New Roman"/>
                <w:b/>
                <w:sz w:val="20"/>
                <w:szCs w:val="20"/>
              </w:rPr>
              <w:t>10 540 796</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CC6584"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Pr>
                <w:rFonts w:ascii="Times New Roman" w:hAnsi="Times New Roman"/>
                <w:b/>
                <w:sz w:val="20"/>
                <w:szCs w:val="20"/>
              </w:rPr>
              <w:t>- 1 766 00</w:t>
            </w:r>
            <w:r w:rsidR="001D2FF8">
              <w:rPr>
                <w:rFonts w:ascii="Times New Roman" w:hAnsi="Times New Roman"/>
                <w:b/>
                <w:sz w:val="20"/>
                <w:szCs w:val="20"/>
              </w:rPr>
              <w:t>1</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sz w:val="20"/>
                <w:szCs w:val="20"/>
              </w:rPr>
            </w:pPr>
            <w:r>
              <w:rPr>
                <w:rFonts w:ascii="Times New Roman" w:hAnsi="Times New Roman"/>
                <w:sz w:val="20"/>
                <w:szCs w:val="20"/>
              </w:rPr>
              <w:t>v tom:</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017808"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i/>
                <w:sz w:val="20"/>
                <w:szCs w:val="20"/>
              </w:rPr>
            </w:pPr>
            <w:r w:rsidRPr="00AE516C">
              <w:rPr>
                <w:rFonts w:ascii="Times New Roman" w:hAnsi="Times New Roman"/>
                <w:i/>
                <w:sz w:val="20"/>
                <w:szCs w:val="20"/>
              </w:rPr>
              <w:t>- daňové príjmy</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8 786 829</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8 786 829</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8 700 09</w:t>
            </w:r>
            <w:r w:rsidR="001D2FF8">
              <w:rPr>
                <w:rFonts w:ascii="Times New Roman" w:hAnsi="Times New Roman"/>
                <w:i/>
                <w:sz w:val="20"/>
                <w:szCs w:val="20"/>
              </w:rPr>
              <w:t>7</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 xml:space="preserve"> 7 962 242</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8 024 303</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- 86 73</w:t>
            </w:r>
            <w:r w:rsidR="001D2FF8">
              <w:rPr>
                <w:rFonts w:ascii="Times New Roman" w:hAnsi="Times New Roman"/>
                <w:i/>
                <w:sz w:val="20"/>
                <w:szCs w:val="20"/>
              </w:rPr>
              <w:t>2</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i/>
                <w:sz w:val="20"/>
                <w:szCs w:val="20"/>
              </w:rPr>
            </w:pPr>
            <w:r w:rsidRPr="00AE516C">
              <w:rPr>
                <w:rFonts w:ascii="Times New Roman" w:hAnsi="Times New Roman"/>
                <w:i/>
                <w:sz w:val="20"/>
                <w:szCs w:val="20"/>
              </w:rPr>
              <w:t>- nedaňové príjmy</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703 08</w:t>
            </w:r>
            <w:r w:rsidR="001D2FF8">
              <w:rPr>
                <w:rFonts w:ascii="Times New Roman" w:hAnsi="Times New Roman"/>
                <w:i/>
                <w:sz w:val="20"/>
                <w:szCs w:val="20"/>
              </w:rPr>
              <w:t>2</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689 939</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861 26</w:t>
            </w:r>
            <w:r w:rsidR="001D2FF8">
              <w:rPr>
                <w:rFonts w:ascii="Times New Roman" w:hAnsi="Times New Roman"/>
                <w:i/>
                <w:sz w:val="20"/>
                <w:szCs w:val="20"/>
              </w:rPr>
              <w:t>4</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692 872</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838 462</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171 32</w:t>
            </w:r>
            <w:r w:rsidR="001D2FF8">
              <w:rPr>
                <w:rFonts w:ascii="Times New Roman" w:hAnsi="Times New Roman"/>
                <w:i/>
                <w:sz w:val="20"/>
                <w:szCs w:val="20"/>
              </w:rPr>
              <w:t>5</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i/>
                <w:sz w:val="20"/>
                <w:szCs w:val="20"/>
              </w:rPr>
            </w:pPr>
            <w:r w:rsidRPr="00AE516C">
              <w:rPr>
                <w:rFonts w:ascii="Times New Roman" w:hAnsi="Times New Roman"/>
                <w:i/>
                <w:sz w:val="20"/>
                <w:szCs w:val="20"/>
              </w:rPr>
              <w:t>- granty a transfery</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3 657 92</w:t>
            </w:r>
            <w:r w:rsidR="001D2FF8">
              <w:rPr>
                <w:rFonts w:ascii="Times New Roman" w:hAnsi="Times New Roman"/>
                <w:i/>
                <w:sz w:val="20"/>
                <w:szCs w:val="20"/>
              </w:rPr>
              <w:t>3</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4 291 55</w:t>
            </w:r>
            <w:r w:rsidR="001D2FF8">
              <w:rPr>
                <w:rFonts w:ascii="Times New Roman" w:hAnsi="Times New Roman"/>
                <w:i/>
                <w:sz w:val="20"/>
                <w:szCs w:val="20"/>
              </w:rPr>
              <w:t>9</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2 440 965</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2 245 749</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1 678 031</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- 1 850 59</w:t>
            </w:r>
            <w:r w:rsidR="001D2FF8">
              <w:rPr>
                <w:rFonts w:ascii="Times New Roman" w:hAnsi="Times New Roman"/>
                <w:i/>
                <w:sz w:val="20"/>
                <w:szCs w:val="20"/>
              </w:rPr>
              <w:t>4</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b/>
                <w:sz w:val="20"/>
                <w:szCs w:val="20"/>
              </w:rPr>
            </w:pPr>
            <w:r w:rsidRPr="009839C3">
              <w:rPr>
                <w:rFonts w:ascii="Times New Roman" w:hAnsi="Times New Roman"/>
                <w:b/>
                <w:sz w:val="20"/>
                <w:szCs w:val="20"/>
              </w:rPr>
              <w:t>Výdavky spolu</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16 957 773</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18 097 267</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15 278 042</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15 337 011</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13 332 047</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- 2 819 225</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sz w:val="20"/>
                <w:szCs w:val="20"/>
              </w:rPr>
            </w:pPr>
            <w:r w:rsidRPr="009839C3">
              <w:rPr>
                <w:rFonts w:ascii="Times New Roman" w:hAnsi="Times New Roman"/>
                <w:sz w:val="20"/>
                <w:szCs w:val="20"/>
              </w:rPr>
              <w:t>v tom:</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i/>
                <w:sz w:val="20"/>
                <w:szCs w:val="20"/>
              </w:rPr>
            </w:pPr>
            <w:r w:rsidRPr="00AE516C">
              <w:rPr>
                <w:rFonts w:ascii="Times New Roman" w:hAnsi="Times New Roman"/>
                <w:i/>
                <w:sz w:val="20"/>
                <w:szCs w:val="20"/>
              </w:rPr>
              <w:t>- bežné výdavky</w:t>
            </w:r>
          </w:p>
        </w:tc>
        <w:tc>
          <w:tcPr>
            <w:tcW w:w="13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14 066 186</w:t>
            </w:r>
          </w:p>
        </w:tc>
        <w:tc>
          <w:tcPr>
            <w:tcW w:w="1149"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14 381 898</w:t>
            </w:r>
          </w:p>
        </w:tc>
        <w:tc>
          <w:tcPr>
            <w:tcW w:w="121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12 782 847</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12 968 403</w:t>
            </w:r>
          </w:p>
        </w:tc>
        <w:tc>
          <w:tcPr>
            <w:tcW w:w="1193"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11 172 701</w:t>
            </w:r>
          </w:p>
        </w:tc>
        <w:tc>
          <w:tcPr>
            <w:tcW w:w="1182" w:type="dxa"/>
            <w:tcBorders>
              <w:top w:val="single" w:sz="4" w:space="0" w:color="auto"/>
              <w:left w:val="single" w:sz="4" w:space="0" w:color="auto"/>
              <w:bottom w:val="single" w:sz="4"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- 1 599 051</w:t>
            </w:r>
          </w:p>
        </w:tc>
      </w:tr>
      <w:tr>
        <w:tblPrEx>
          <w:tblW w:w="9179" w:type="dxa"/>
          <w:jc w:val="center"/>
          <w:tblInd w:w="108" w:type="dxa"/>
          <w:tblLayout w:type="fixed"/>
          <w:tblLook w:val="04A0"/>
        </w:tblPrEx>
        <w:trPr>
          <w:trHeight w:hRule="exact" w:val="340"/>
          <w:jc w:val="center"/>
        </w:trPr>
        <w:tc>
          <w:tcPr>
            <w:tcW w:w="1929" w:type="dxa"/>
            <w:tcBorders>
              <w:top w:val="single" w:sz="4" w:space="0" w:color="auto"/>
              <w:left w:val="single" w:sz="4" w:space="0" w:color="auto"/>
              <w:bottom w:val="double" w:sz="6" w:space="0" w:color="auto"/>
              <w:right w:val="single" w:sz="4" w:space="0" w:color="auto"/>
            </w:tcBorders>
            <w:tcMar>
              <w:left w:w="57" w:type="dxa"/>
              <w:right w:w="57" w:type="dxa"/>
            </w:tcMar>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i/>
                <w:sz w:val="20"/>
                <w:szCs w:val="20"/>
              </w:rPr>
            </w:pPr>
            <w:r w:rsidRPr="00AE516C">
              <w:rPr>
                <w:rFonts w:ascii="Times New Roman" w:hAnsi="Times New Roman"/>
                <w:i/>
                <w:sz w:val="20"/>
                <w:szCs w:val="20"/>
              </w:rPr>
              <w:t>- kapitálové výdavky</w:t>
            </w:r>
          </w:p>
        </w:tc>
        <w:tc>
          <w:tcPr>
            <w:tcW w:w="1382" w:type="dxa"/>
            <w:tcBorders>
              <w:top w:val="single" w:sz="4" w:space="0" w:color="auto"/>
              <w:left w:val="single" w:sz="4" w:space="0" w:color="auto"/>
              <w:bottom w:val="double" w:sz="6"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2 891 587</w:t>
            </w:r>
          </w:p>
        </w:tc>
        <w:tc>
          <w:tcPr>
            <w:tcW w:w="1149" w:type="dxa"/>
            <w:tcBorders>
              <w:top w:val="single" w:sz="4" w:space="0" w:color="auto"/>
              <w:left w:val="single" w:sz="4" w:space="0" w:color="auto"/>
              <w:bottom w:val="double" w:sz="6"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3 715 369</w:t>
            </w:r>
          </w:p>
        </w:tc>
        <w:tc>
          <w:tcPr>
            <w:tcW w:w="1210" w:type="dxa"/>
            <w:tcBorders>
              <w:top w:val="single" w:sz="4" w:space="0" w:color="auto"/>
              <w:left w:val="single" w:sz="4" w:space="0" w:color="auto"/>
              <w:bottom w:val="double" w:sz="6" w:space="0" w:color="auto"/>
              <w:right w:val="single" w:sz="4" w:space="0" w:color="auto"/>
            </w:tcBorders>
            <w:shd w:val="clear" w:color="auto" w:fill="D9D9D9"/>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2 495 195</w:t>
            </w:r>
          </w:p>
        </w:tc>
        <w:tc>
          <w:tcPr>
            <w:tcW w:w="1134" w:type="dxa"/>
            <w:tcBorders>
              <w:top w:val="single" w:sz="4" w:space="0" w:color="auto"/>
              <w:left w:val="single" w:sz="4" w:space="0" w:color="auto"/>
              <w:bottom w:val="double" w:sz="6"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2 368 608</w:t>
            </w:r>
          </w:p>
        </w:tc>
        <w:tc>
          <w:tcPr>
            <w:tcW w:w="1193" w:type="dxa"/>
            <w:tcBorders>
              <w:top w:val="single" w:sz="4" w:space="0" w:color="auto"/>
              <w:left w:val="single" w:sz="4" w:space="0" w:color="auto"/>
              <w:bottom w:val="double" w:sz="6"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2 159 346</w:t>
            </w:r>
          </w:p>
        </w:tc>
        <w:tc>
          <w:tcPr>
            <w:tcW w:w="1182" w:type="dxa"/>
            <w:tcBorders>
              <w:top w:val="single" w:sz="4" w:space="0" w:color="auto"/>
              <w:left w:val="single" w:sz="4" w:space="0" w:color="auto"/>
              <w:bottom w:val="double" w:sz="6" w:space="0" w:color="auto"/>
              <w:right w:val="single" w:sz="4" w:space="0" w:color="auto"/>
            </w:tcBorders>
            <w:textDirection w:val="lrTb"/>
            <w:vAlign w:val="center"/>
          </w:tcPr>
          <w:p w:rsidR="00B07DEC" w:rsidRPr="00AE516C"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i/>
                <w:sz w:val="20"/>
                <w:szCs w:val="20"/>
              </w:rPr>
            </w:pPr>
            <w:r w:rsidRPr="00AE516C">
              <w:rPr>
                <w:rFonts w:ascii="Times New Roman" w:hAnsi="Times New Roman"/>
                <w:i/>
                <w:sz w:val="20"/>
                <w:szCs w:val="20"/>
              </w:rPr>
              <w:t>- 1 220 174</w:t>
            </w:r>
          </w:p>
        </w:tc>
      </w:tr>
      <w:tr>
        <w:tblPrEx>
          <w:tblW w:w="9179" w:type="dxa"/>
          <w:jc w:val="center"/>
          <w:tblInd w:w="108" w:type="dxa"/>
          <w:tblLayout w:type="fixed"/>
          <w:tblLook w:val="04A0"/>
        </w:tblPrEx>
        <w:trPr>
          <w:trHeight w:hRule="exact" w:val="340"/>
          <w:jc w:val="center"/>
        </w:trPr>
        <w:tc>
          <w:tcPr>
            <w:tcW w:w="1929" w:type="dxa"/>
            <w:tcBorders>
              <w:top w:val="double" w:sz="6" w:space="0" w:color="auto"/>
              <w:left w:val="single" w:sz="4" w:space="0" w:color="auto"/>
              <w:bottom w:val="single" w:sz="4" w:space="0" w:color="auto"/>
              <w:right w:val="single" w:sz="4" w:space="0" w:color="auto"/>
            </w:tcBorders>
            <w:tcMar>
              <w:left w:w="57" w:type="dxa"/>
              <w:right w:w="57" w:type="dxa"/>
            </w:tcMar>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b/>
                <w:sz w:val="20"/>
                <w:szCs w:val="20"/>
              </w:rPr>
            </w:pPr>
            <w:r w:rsidRPr="009839C3">
              <w:rPr>
                <w:rFonts w:ascii="Times New Roman" w:hAnsi="Times New Roman"/>
                <w:b/>
                <w:sz w:val="20"/>
                <w:szCs w:val="20"/>
              </w:rPr>
              <w:t>Schodok (-)</w:t>
            </w:r>
          </w:p>
        </w:tc>
        <w:tc>
          <w:tcPr>
            <w:tcW w:w="1382" w:type="dxa"/>
            <w:tcBorders>
              <w:top w:val="double" w:sz="6"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- 3 809 939</w:t>
            </w:r>
          </w:p>
        </w:tc>
        <w:tc>
          <w:tcPr>
            <w:tcW w:w="1149" w:type="dxa"/>
            <w:tcBorders>
              <w:top w:val="double" w:sz="6" w:space="0" w:color="auto"/>
              <w:left w:val="single" w:sz="4" w:space="0" w:color="auto"/>
              <w:bottom w:val="single" w:sz="4" w:space="0" w:color="auto"/>
              <w:right w:val="single" w:sz="4" w:space="0" w:color="auto"/>
            </w:tcBorders>
            <w:textDirection w:val="lrTb"/>
            <w:vAlign w:val="center"/>
          </w:tcPr>
          <w:p w:rsidR="00B07DEC" w:rsidRPr="009839C3"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- 4 328 94</w:t>
            </w:r>
            <w:r w:rsidR="001D2FF8">
              <w:rPr>
                <w:rFonts w:ascii="Times New Roman" w:hAnsi="Times New Roman"/>
                <w:b/>
                <w:sz w:val="20"/>
                <w:szCs w:val="20"/>
              </w:rPr>
              <w:t>0</w:t>
            </w:r>
          </w:p>
        </w:tc>
        <w:tc>
          <w:tcPr>
            <w:tcW w:w="1210" w:type="dxa"/>
            <w:tcBorders>
              <w:top w:val="double" w:sz="6" w:space="0" w:color="auto"/>
              <w:left w:val="single" w:sz="4" w:space="0" w:color="auto"/>
              <w:bottom w:val="single" w:sz="4" w:space="0" w:color="auto"/>
              <w:right w:val="single" w:sz="4" w:space="0" w:color="auto"/>
            </w:tcBorders>
            <w:shd w:val="clear" w:color="auto" w:fill="D9D9D9"/>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- 3 275 716</w:t>
            </w:r>
          </w:p>
        </w:tc>
        <w:tc>
          <w:tcPr>
            <w:tcW w:w="1134" w:type="dxa"/>
            <w:tcBorders>
              <w:top w:val="double" w:sz="6"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textAlignment w:val="baseline"/>
              <w:rPr>
                <w:rFonts w:ascii="Times New Roman" w:hAnsi="Times New Roman"/>
                <w:b/>
                <w:sz w:val="20"/>
                <w:szCs w:val="20"/>
              </w:rPr>
            </w:pPr>
            <w:r w:rsidRPr="009839C3">
              <w:rPr>
                <w:rFonts w:ascii="Times New Roman" w:hAnsi="Times New Roman"/>
                <w:b/>
                <w:sz w:val="20"/>
                <w:szCs w:val="20"/>
              </w:rPr>
              <w:t>- 4 436 148</w:t>
            </w:r>
          </w:p>
        </w:tc>
        <w:tc>
          <w:tcPr>
            <w:tcW w:w="1193" w:type="dxa"/>
            <w:tcBorders>
              <w:top w:val="double" w:sz="6" w:space="0" w:color="auto"/>
              <w:left w:val="single" w:sz="4" w:space="0" w:color="auto"/>
              <w:bottom w:val="single" w:sz="4" w:space="0" w:color="auto"/>
              <w:right w:val="single" w:sz="4" w:space="0" w:color="auto"/>
            </w:tcBorders>
            <w:textDirection w:val="lrTb"/>
            <w:vAlign w:val="center"/>
          </w:tcPr>
          <w:p w:rsidR="00B07DEC" w:rsidRPr="009839C3"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- 2 791 251</w:t>
            </w:r>
          </w:p>
        </w:tc>
        <w:tc>
          <w:tcPr>
            <w:tcW w:w="1182" w:type="dxa"/>
            <w:tcBorders>
              <w:top w:val="double" w:sz="6" w:space="0" w:color="auto"/>
              <w:left w:val="single" w:sz="4" w:space="0" w:color="auto"/>
              <w:bottom w:val="single" w:sz="4" w:space="0" w:color="auto"/>
              <w:right w:val="single" w:sz="4" w:space="0" w:color="auto"/>
            </w:tcBorders>
            <w:textDirection w:val="lrTb"/>
            <w:vAlign w:val="center"/>
          </w:tcPr>
          <w:p w:rsidR="00B07DEC" w:rsidRPr="009839C3" w:rsidP="001D2FF8">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b/>
                <w:sz w:val="20"/>
                <w:szCs w:val="20"/>
              </w:rPr>
            </w:pPr>
            <w:r w:rsidRPr="009839C3">
              <w:rPr>
                <w:rFonts w:ascii="Times New Roman" w:hAnsi="Times New Roman"/>
                <w:b/>
                <w:sz w:val="20"/>
                <w:szCs w:val="20"/>
              </w:rPr>
              <w:t>1 053 22</w:t>
            </w:r>
            <w:r w:rsidR="001D2FF8">
              <w:rPr>
                <w:rFonts w:ascii="Times New Roman" w:hAnsi="Times New Roman"/>
                <w:b/>
                <w:sz w:val="20"/>
                <w:szCs w:val="20"/>
              </w:rPr>
              <w:t>4</w:t>
            </w:r>
          </w:p>
        </w:tc>
      </w:tr>
    </w:tbl>
    <w:p w:rsidR="00B07DEC" w:rsidRPr="004E04C1" w:rsidP="004E04C1">
      <w:pPr>
        <w:bidi w:val="0"/>
        <w:spacing w:line="360" w:lineRule="auto"/>
        <w:rPr>
          <w:rFonts w:ascii="Times New Roman" w:hAnsi="Times New Roman"/>
          <w:sz w:val="20"/>
          <w:szCs w:val="20"/>
        </w:rPr>
      </w:pPr>
      <w:r w:rsidR="00A14038">
        <w:rPr>
          <w:rFonts w:ascii="Times New Roman" w:hAnsi="Times New Roman"/>
          <w:sz w:val="20"/>
          <w:szCs w:val="20"/>
        </w:rPr>
        <w:t xml:space="preserve">  </w:t>
      </w:r>
      <w:r w:rsidRPr="004E04C1">
        <w:rPr>
          <w:rFonts w:ascii="Times New Roman" w:hAnsi="Times New Roman"/>
          <w:sz w:val="20"/>
          <w:szCs w:val="20"/>
        </w:rPr>
        <w:t>Zdroj: Ministerstvo financií SR</w:t>
      </w:r>
    </w:p>
    <w:p w:rsidR="00B07DEC" w:rsidP="00491E04">
      <w:pPr>
        <w:bidi w:val="0"/>
        <w:spacing w:before="120" w:after="120" w:line="360" w:lineRule="auto"/>
        <w:jc w:val="both"/>
        <w:rPr>
          <w:rFonts w:ascii="Times New Roman" w:hAnsi="Times New Roman"/>
        </w:rPr>
      </w:pPr>
      <w:r>
        <w:rPr>
          <w:rFonts w:ascii="Times New Roman" w:hAnsi="Times New Roman"/>
        </w:rPr>
        <w:t xml:space="preserve">Dosiahnuté </w:t>
      </w:r>
      <w:r w:rsidRPr="008F750D">
        <w:rPr>
          <w:rFonts w:ascii="Times New Roman" w:hAnsi="Times New Roman"/>
          <w:b/>
        </w:rPr>
        <w:t>príjmy štátneho rozpočtu</w:t>
      </w:r>
      <w:r>
        <w:rPr>
          <w:rFonts w:ascii="Times New Roman" w:hAnsi="Times New Roman"/>
        </w:rPr>
        <w:t xml:space="preserve"> 12 002 326 tis.</w:t>
      </w:r>
      <w:r w:rsidRPr="007755B3">
        <w:rPr>
          <w:rFonts w:ascii="Times New Roman" w:hAnsi="Times New Roman"/>
        </w:rPr>
        <w:t xml:space="preserve"> </w:t>
      </w:r>
      <w:r>
        <w:rPr>
          <w:rFonts w:ascii="Times New Roman" w:hAnsi="Times New Roman"/>
        </w:rPr>
        <w:t>eur boli nižšie, než sa rozpočtovalo v pôvodne schválenom aj upravenom rozpočte. V porovnaní s relatívne stabilným objemom v rokoch 2010 a 2009 (index 2010/2009 bol 1,03) sa oproti roku 2010 medziročne zvýšili indexom 1,1.</w:t>
      </w:r>
    </w:p>
    <w:p w:rsidR="00DD509A" w:rsidP="00491E04">
      <w:pPr>
        <w:bidi w:val="0"/>
        <w:spacing w:before="120" w:after="120" w:line="360" w:lineRule="auto"/>
        <w:jc w:val="both"/>
        <w:rPr>
          <w:rFonts w:ascii="Times New Roman" w:hAnsi="Times New Roman"/>
        </w:rPr>
      </w:pPr>
      <w:r w:rsidR="00B07DEC">
        <w:rPr>
          <w:rFonts w:ascii="Times New Roman" w:hAnsi="Times New Roman"/>
        </w:rPr>
        <w:t xml:space="preserve">Aj </w:t>
      </w:r>
      <w:r w:rsidRPr="008F750D" w:rsidR="00B07DEC">
        <w:rPr>
          <w:rFonts w:ascii="Times New Roman" w:hAnsi="Times New Roman"/>
          <w:b/>
        </w:rPr>
        <w:t>výdavky štátneho rozpočtu</w:t>
      </w:r>
      <w:r w:rsidRPr="00B52084" w:rsidR="00B07DEC">
        <w:rPr>
          <w:rFonts w:ascii="Times New Roman" w:hAnsi="Times New Roman"/>
        </w:rPr>
        <w:t xml:space="preserve"> </w:t>
      </w:r>
      <w:r w:rsidR="00B07DEC">
        <w:rPr>
          <w:rFonts w:ascii="Times New Roman" w:hAnsi="Times New Roman"/>
        </w:rPr>
        <w:t>15 278 042 tis</w:t>
      </w:r>
      <w:r w:rsidR="002B32DC">
        <w:rPr>
          <w:rFonts w:ascii="Times New Roman" w:hAnsi="Times New Roman"/>
        </w:rPr>
        <w:t xml:space="preserve"> eur</w:t>
      </w:r>
      <w:r w:rsidR="00B07DEC">
        <w:rPr>
          <w:rFonts w:ascii="Times New Roman" w:hAnsi="Times New Roman"/>
        </w:rPr>
        <w:t>. boli nižšie než v </w:t>
      </w:r>
      <w:r w:rsidR="009839C3">
        <w:rPr>
          <w:rFonts w:ascii="Times New Roman" w:hAnsi="Times New Roman"/>
        </w:rPr>
        <w:t>schválenom</w:t>
      </w:r>
      <w:r w:rsidR="00B07DEC">
        <w:rPr>
          <w:rFonts w:ascii="Times New Roman" w:hAnsi="Times New Roman"/>
        </w:rPr>
        <w:t xml:space="preserve"> a ešte výrazn</w:t>
      </w:r>
      <w:r w:rsidR="00A0698B">
        <w:rPr>
          <w:rFonts w:ascii="Times New Roman" w:hAnsi="Times New Roman"/>
        </w:rPr>
        <w:t>ejšie v upravenom rozpočte (o 2 </w:t>
      </w:r>
      <w:r w:rsidR="00B07DEC">
        <w:rPr>
          <w:rFonts w:ascii="Times New Roman" w:hAnsi="Times New Roman"/>
        </w:rPr>
        <w:t>8</w:t>
      </w:r>
      <w:r w:rsidR="00A0698B">
        <w:rPr>
          <w:rFonts w:ascii="Times New Roman" w:hAnsi="Times New Roman"/>
        </w:rPr>
        <w:t>19 225</w:t>
      </w:r>
      <w:r w:rsidR="00B07DEC">
        <w:rPr>
          <w:rFonts w:ascii="Times New Roman" w:hAnsi="Times New Roman"/>
        </w:rPr>
        <w:t xml:space="preserve"> </w:t>
      </w:r>
      <w:r w:rsidR="00A0698B">
        <w:rPr>
          <w:rFonts w:ascii="Times New Roman" w:hAnsi="Times New Roman"/>
        </w:rPr>
        <w:t>tis.</w:t>
      </w:r>
      <w:r w:rsidR="00B07DEC">
        <w:rPr>
          <w:rFonts w:ascii="Times New Roman" w:hAnsi="Times New Roman"/>
        </w:rPr>
        <w:t xml:space="preserve"> eur). Medziročne zostali </w:t>
      </w:r>
      <w:r w:rsidR="008F750D">
        <w:rPr>
          <w:rFonts w:ascii="Times New Roman" w:hAnsi="Times New Roman"/>
        </w:rPr>
        <w:t xml:space="preserve">približne </w:t>
      </w:r>
      <w:r w:rsidR="00B07DEC">
        <w:rPr>
          <w:rFonts w:ascii="Times New Roman" w:hAnsi="Times New Roman"/>
        </w:rPr>
        <w:t>na úrovni roka 2010.</w:t>
      </w:r>
    </w:p>
    <w:p w:rsidR="00B07DEC" w:rsidP="00491E04">
      <w:pPr>
        <w:bidi w:val="0"/>
        <w:spacing w:before="120" w:after="120" w:line="360" w:lineRule="auto"/>
        <w:jc w:val="both"/>
        <w:rPr>
          <w:rFonts w:ascii="Times New Roman" w:hAnsi="Times New Roman"/>
        </w:rPr>
      </w:pPr>
      <w:r>
        <w:rPr>
          <w:rFonts w:ascii="Times New Roman" w:hAnsi="Times New Roman"/>
        </w:rPr>
        <w:t xml:space="preserve">V dôsledku takéhoto plnenia príjmov a výdavkov sa vykázal </w:t>
      </w:r>
      <w:r w:rsidRPr="008F750D">
        <w:rPr>
          <w:rFonts w:ascii="Times New Roman" w:hAnsi="Times New Roman"/>
          <w:b/>
        </w:rPr>
        <w:t>schodok štátneho rozpočtu</w:t>
      </w:r>
      <w:r>
        <w:rPr>
          <w:rFonts w:ascii="Times New Roman" w:hAnsi="Times New Roman"/>
        </w:rPr>
        <w:t xml:space="preserve"> 3 275 716 tis. eur, ktorý bol nižší tak vo vzťahu k pôvodne </w:t>
      </w:r>
      <w:r w:rsidR="009839C3">
        <w:rPr>
          <w:rFonts w:ascii="Times New Roman" w:hAnsi="Times New Roman"/>
        </w:rPr>
        <w:t>schválenému</w:t>
      </w:r>
      <w:r>
        <w:rPr>
          <w:rFonts w:ascii="Times New Roman" w:hAnsi="Times New Roman"/>
        </w:rPr>
        <w:t>, ako aj upravenému rozpočtu. Medziročne bol nižší o</w:t>
      </w:r>
      <w:r w:rsidR="00A0698B">
        <w:rPr>
          <w:rFonts w:ascii="Times New Roman" w:hAnsi="Times New Roman"/>
        </w:rPr>
        <w:t> </w:t>
      </w:r>
      <w:r>
        <w:rPr>
          <w:rFonts w:ascii="Times New Roman" w:hAnsi="Times New Roman"/>
        </w:rPr>
        <w:t>1</w:t>
      </w:r>
      <w:r w:rsidR="00A0698B">
        <w:rPr>
          <w:rFonts w:ascii="Times New Roman" w:hAnsi="Times New Roman"/>
        </w:rPr>
        <w:t> 053 224</w:t>
      </w:r>
      <w:r>
        <w:rPr>
          <w:rFonts w:ascii="Times New Roman" w:hAnsi="Times New Roman"/>
        </w:rPr>
        <w:t xml:space="preserve"> </w:t>
      </w:r>
      <w:r w:rsidR="00A0698B">
        <w:rPr>
          <w:rFonts w:ascii="Times New Roman" w:hAnsi="Times New Roman"/>
        </w:rPr>
        <w:t>tis</w:t>
      </w:r>
      <w:r>
        <w:rPr>
          <w:rFonts w:ascii="Times New Roman" w:hAnsi="Times New Roman"/>
        </w:rPr>
        <w:t>. eur.</w:t>
      </w:r>
    </w:p>
    <w:p w:rsidR="00961E88" w:rsidP="00491E04">
      <w:pPr>
        <w:bidi w:val="0"/>
        <w:spacing w:before="120" w:after="120" w:line="360" w:lineRule="auto"/>
        <w:jc w:val="both"/>
        <w:rPr>
          <w:rFonts w:ascii="Times New Roman" w:hAnsi="Times New Roman"/>
        </w:rPr>
      </w:pPr>
      <w:r>
        <w:rPr>
          <w:rFonts w:ascii="Times New Roman" w:hAnsi="Times New Roman"/>
        </w:rPr>
        <w:t>Súhrnná bilancia príjmov a výdavkov štátneho rozpočtu za ro</w:t>
      </w:r>
      <w:r w:rsidR="00BC20CE">
        <w:rPr>
          <w:rFonts w:ascii="Times New Roman" w:hAnsi="Times New Roman"/>
        </w:rPr>
        <w:t>k 2011 je uvedená v tabuľke č</w:t>
      </w:r>
      <w:r w:rsidR="003D5A38">
        <w:rPr>
          <w:rFonts w:ascii="Times New Roman" w:hAnsi="Times New Roman"/>
        </w:rPr>
        <w:t>.</w:t>
      </w:r>
      <w:r w:rsidR="00BC20CE">
        <w:rPr>
          <w:rFonts w:ascii="Times New Roman" w:hAnsi="Times New Roman"/>
        </w:rPr>
        <w:t xml:space="preserve"> 1,</w:t>
      </w:r>
      <w:r>
        <w:rPr>
          <w:rFonts w:ascii="Times New Roman" w:hAnsi="Times New Roman"/>
        </w:rPr>
        <w:t xml:space="preserve"> </w:t>
      </w:r>
      <w:r w:rsidR="00BC20CE">
        <w:rPr>
          <w:rFonts w:ascii="Times New Roman" w:hAnsi="Times New Roman"/>
        </w:rPr>
        <w:t>a údaje o vývoji príjmov a výdavkov štátneho rozpočtu v rokoch 2011 a 2010 v tabuľke č</w:t>
      </w:r>
      <w:r w:rsidR="003D5A38">
        <w:rPr>
          <w:rFonts w:ascii="Times New Roman" w:hAnsi="Times New Roman"/>
        </w:rPr>
        <w:t>.</w:t>
      </w:r>
      <w:r w:rsidR="00BC20CE">
        <w:rPr>
          <w:rFonts w:ascii="Times New Roman" w:hAnsi="Times New Roman"/>
        </w:rPr>
        <w:t xml:space="preserve"> 19 </w:t>
      </w:r>
      <w:r>
        <w:rPr>
          <w:rFonts w:ascii="Times New Roman" w:hAnsi="Times New Roman"/>
        </w:rPr>
        <w:t xml:space="preserve">tabuľkovej </w:t>
      </w:r>
      <w:r w:rsidR="00BC20CE">
        <w:rPr>
          <w:rFonts w:ascii="Times New Roman" w:hAnsi="Times New Roman"/>
        </w:rPr>
        <w:t>p</w:t>
      </w:r>
      <w:r w:rsidR="003D5A38">
        <w:rPr>
          <w:rFonts w:ascii="Times New Roman" w:hAnsi="Times New Roman"/>
        </w:rPr>
        <w:t>rílohy</w:t>
      </w:r>
      <w:r>
        <w:rPr>
          <w:rFonts w:ascii="Times New Roman" w:hAnsi="Times New Roman"/>
        </w:rPr>
        <w:t xml:space="preserve"> štátneho záverečného účtu.</w:t>
      </w:r>
    </w:p>
    <w:p w:rsidR="00B07DEC" w:rsidRPr="00B07DEC" w:rsidP="00DD509A">
      <w:pPr>
        <w:pStyle w:val="Heading2"/>
        <w:bidi w:val="0"/>
        <w:spacing w:before="100" w:beforeAutospacing="1" w:after="100" w:afterAutospacing="1"/>
        <w:jc w:val="center"/>
        <w:rPr>
          <w:rFonts w:ascii="Times New Roman" w:hAnsi="Times New Roman"/>
          <w:color w:val="auto"/>
          <w:sz w:val="24"/>
          <w:szCs w:val="24"/>
        </w:rPr>
      </w:pPr>
      <w:bookmarkStart w:id="21" w:name="_Toc322614754"/>
      <w:r w:rsidRPr="00B07DEC">
        <w:rPr>
          <w:rFonts w:ascii="Times New Roman" w:hAnsi="Times New Roman"/>
          <w:color w:val="auto"/>
          <w:sz w:val="24"/>
          <w:szCs w:val="24"/>
        </w:rPr>
        <w:t>3.</w:t>
      </w:r>
      <w:r w:rsidR="00F8582D">
        <w:rPr>
          <w:rFonts w:ascii="Times New Roman" w:hAnsi="Times New Roman"/>
          <w:color w:val="auto"/>
          <w:sz w:val="24"/>
          <w:szCs w:val="24"/>
        </w:rPr>
        <w:t>3</w:t>
      </w:r>
      <w:r w:rsidRPr="00B07DEC">
        <w:rPr>
          <w:rFonts w:ascii="Times New Roman" w:hAnsi="Times New Roman"/>
          <w:color w:val="auto"/>
          <w:sz w:val="24"/>
          <w:szCs w:val="24"/>
        </w:rPr>
        <w:t>. Príjmy štátneho rozpočtu</w:t>
      </w:r>
      <w:bookmarkEnd w:id="21"/>
    </w:p>
    <w:p w:rsidR="00B07DEC" w:rsidRPr="00B07DEC" w:rsidP="00DD509A">
      <w:pPr>
        <w:pStyle w:val="Heading3"/>
        <w:bidi w:val="0"/>
        <w:spacing w:before="100" w:beforeAutospacing="1" w:after="100" w:afterAutospacing="1"/>
        <w:jc w:val="center"/>
        <w:rPr>
          <w:rFonts w:ascii="Times New Roman" w:hAnsi="Times New Roman"/>
          <w:color w:val="auto"/>
        </w:rPr>
      </w:pPr>
      <w:bookmarkStart w:id="22" w:name="_Toc322614755"/>
      <w:r w:rsidRPr="00B07DEC">
        <w:rPr>
          <w:rFonts w:ascii="Times New Roman" w:hAnsi="Times New Roman"/>
          <w:color w:val="auto"/>
        </w:rPr>
        <w:t>3.</w:t>
      </w:r>
      <w:r w:rsidR="00F8582D">
        <w:rPr>
          <w:rFonts w:ascii="Times New Roman" w:hAnsi="Times New Roman"/>
          <w:color w:val="auto"/>
        </w:rPr>
        <w:t>3</w:t>
      </w:r>
      <w:r w:rsidRPr="00B07DEC">
        <w:rPr>
          <w:rFonts w:ascii="Times New Roman" w:hAnsi="Times New Roman"/>
          <w:color w:val="auto"/>
        </w:rPr>
        <w:t>.1. Daňové príjmy</w:t>
      </w:r>
      <w:bookmarkEnd w:id="22"/>
    </w:p>
    <w:p w:rsidR="004E04C1" w:rsidP="009839C3">
      <w:pPr>
        <w:bidi w:val="0"/>
        <w:spacing w:line="360" w:lineRule="auto"/>
        <w:ind w:firstLine="709"/>
        <w:jc w:val="both"/>
        <w:rPr>
          <w:rFonts w:ascii="Times New Roman" w:hAnsi="Times New Roman"/>
        </w:rPr>
      </w:pPr>
      <w:r w:rsidRPr="00164C8F" w:rsidR="00B07DEC">
        <w:rPr>
          <w:rFonts w:ascii="Times New Roman" w:hAnsi="Times New Roman"/>
        </w:rPr>
        <w:t>Daňové príj</w:t>
      </w:r>
      <w:r w:rsidR="00B07DEC">
        <w:rPr>
          <w:rFonts w:ascii="Times New Roman" w:hAnsi="Times New Roman"/>
        </w:rPr>
        <w:t>my štátneho rozpočtu na rok 2011</w:t>
      </w:r>
      <w:r w:rsidRPr="00164C8F" w:rsidR="00B07DEC">
        <w:rPr>
          <w:rFonts w:ascii="Times New Roman" w:hAnsi="Times New Roman"/>
        </w:rPr>
        <w:t xml:space="preserve"> boli rozpočtované vo výške </w:t>
      </w:r>
      <w:r w:rsidR="00B07DEC">
        <w:rPr>
          <w:rFonts w:ascii="Times New Roman" w:hAnsi="Times New Roman"/>
        </w:rPr>
        <w:t>8 786 829 tis. eur a v priebehu roka nebol rozpočet upravovaný</w:t>
      </w:r>
      <w:r w:rsidRPr="00164C8F" w:rsidR="00B07DEC">
        <w:rPr>
          <w:rFonts w:ascii="Times New Roman" w:hAnsi="Times New Roman"/>
        </w:rPr>
        <w:t xml:space="preserve">. </w:t>
      </w:r>
      <w:r w:rsidR="00B07DEC">
        <w:rPr>
          <w:rFonts w:ascii="Times New Roman" w:hAnsi="Times New Roman"/>
        </w:rPr>
        <w:t xml:space="preserve">V skutočnom plnení </w:t>
      </w:r>
      <w:r w:rsidRPr="00164C8F" w:rsidR="00B07DEC">
        <w:rPr>
          <w:rFonts w:ascii="Times New Roman" w:hAnsi="Times New Roman"/>
        </w:rPr>
        <w:t xml:space="preserve">dosiahli </w:t>
      </w:r>
      <w:r w:rsidR="00B07DEC">
        <w:rPr>
          <w:rFonts w:ascii="Times New Roman" w:hAnsi="Times New Roman"/>
        </w:rPr>
        <w:t>výšku 8 700 09</w:t>
      </w:r>
      <w:r w:rsidR="00FD1E7F">
        <w:rPr>
          <w:rFonts w:ascii="Times New Roman" w:hAnsi="Times New Roman"/>
        </w:rPr>
        <w:t>7</w:t>
      </w:r>
      <w:r w:rsidR="00B07DEC">
        <w:rPr>
          <w:rFonts w:ascii="Times New Roman" w:hAnsi="Times New Roman"/>
        </w:rPr>
        <w:t xml:space="preserve"> tis. eur</w:t>
      </w:r>
      <w:r w:rsidRPr="00164C8F" w:rsidR="00B07DEC">
        <w:rPr>
          <w:rFonts w:ascii="Times New Roman" w:hAnsi="Times New Roman"/>
        </w:rPr>
        <w:t xml:space="preserve">, čo predstavuje plnenie rozpočtu na </w:t>
      </w:r>
      <w:r w:rsidR="00B07DEC">
        <w:rPr>
          <w:rFonts w:ascii="Times New Roman" w:hAnsi="Times New Roman"/>
        </w:rPr>
        <w:t>99,0</w:t>
      </w:r>
      <w:r w:rsidRPr="00164C8F" w:rsidR="00B07DEC">
        <w:rPr>
          <w:rFonts w:ascii="Times New Roman" w:hAnsi="Times New Roman"/>
        </w:rPr>
        <w:t xml:space="preserve"> %</w:t>
      </w:r>
      <w:r w:rsidR="008F750D">
        <w:rPr>
          <w:rFonts w:ascii="Times New Roman" w:hAnsi="Times New Roman"/>
        </w:rPr>
        <w:t>,</w:t>
      </w:r>
      <w:r w:rsidR="00C36624">
        <w:rPr>
          <w:rFonts w:ascii="Times New Roman" w:hAnsi="Times New Roman"/>
        </w:rPr>
        <w:t xml:space="preserve"> avšak </w:t>
      </w:r>
      <w:r w:rsidR="00B07DEC">
        <w:rPr>
          <w:rFonts w:ascii="Times New Roman" w:hAnsi="Times New Roman"/>
        </w:rPr>
        <w:t xml:space="preserve">nárast oproti </w:t>
      </w:r>
      <w:r w:rsidR="008F750D">
        <w:rPr>
          <w:rFonts w:ascii="Times New Roman" w:hAnsi="Times New Roman"/>
        </w:rPr>
        <w:t xml:space="preserve">skutočnosti </w:t>
      </w:r>
      <w:r w:rsidR="00B07DEC">
        <w:rPr>
          <w:rFonts w:ascii="Times New Roman" w:hAnsi="Times New Roman"/>
        </w:rPr>
        <w:t>roku 2010 o 737 85</w:t>
      </w:r>
      <w:r w:rsidR="00FD1E7F">
        <w:rPr>
          <w:rFonts w:ascii="Times New Roman" w:hAnsi="Times New Roman"/>
        </w:rPr>
        <w:t>5</w:t>
      </w:r>
      <w:r w:rsidR="00B07DEC">
        <w:rPr>
          <w:rFonts w:ascii="Times New Roman" w:hAnsi="Times New Roman"/>
        </w:rPr>
        <w:t xml:space="preserve"> tis. eur, t.j. o 9,3 %.</w:t>
      </w:r>
      <w:r w:rsidRPr="00164C8F" w:rsidR="00B07DEC">
        <w:rPr>
          <w:rFonts w:ascii="Times New Roman" w:hAnsi="Times New Roman"/>
        </w:rPr>
        <w:t xml:space="preserve"> Súhrnný prehľad o plnení daňových príjmov </w:t>
      </w:r>
      <w:r w:rsidR="00B07DEC">
        <w:rPr>
          <w:rFonts w:ascii="Times New Roman" w:hAnsi="Times New Roman"/>
        </w:rPr>
        <w:t xml:space="preserve">štátneho rozpočtu </w:t>
      </w:r>
      <w:r w:rsidRPr="00164C8F" w:rsidR="00B07DEC">
        <w:rPr>
          <w:rFonts w:ascii="Times New Roman" w:hAnsi="Times New Roman"/>
        </w:rPr>
        <w:t>poskytuj</w:t>
      </w:r>
      <w:r w:rsidR="00B07DEC">
        <w:rPr>
          <w:rFonts w:ascii="Times New Roman" w:hAnsi="Times New Roman"/>
        </w:rPr>
        <w:t>e</w:t>
      </w:r>
      <w:r w:rsidRPr="00164C8F" w:rsidR="00B07DEC">
        <w:rPr>
          <w:rFonts w:ascii="Times New Roman" w:hAnsi="Times New Roman"/>
        </w:rPr>
        <w:t xml:space="preserve"> nasledovn</w:t>
      </w:r>
      <w:r w:rsidR="00B07DEC">
        <w:rPr>
          <w:rFonts w:ascii="Times New Roman" w:hAnsi="Times New Roman"/>
        </w:rPr>
        <w:t>á tabuľka</w:t>
      </w:r>
      <w:r>
        <w:rPr>
          <w:rFonts w:ascii="Times New Roman" w:hAnsi="Times New Roman"/>
        </w:rPr>
        <w:t>:</w:t>
      </w:r>
    </w:p>
    <w:tbl>
      <w:tblPr>
        <w:tblStyle w:val="TableNormal"/>
        <w:tblW w:w="9676"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503"/>
        <w:gridCol w:w="1029"/>
        <w:gridCol w:w="1055"/>
        <w:gridCol w:w="978"/>
        <w:gridCol w:w="949"/>
        <w:gridCol w:w="1024"/>
        <w:gridCol w:w="1138"/>
      </w:tblGrid>
      <w:tr>
        <w:tblPrEx>
          <w:tblW w:w="9676"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84"/>
          <w:jc w:val="center"/>
        </w:trPr>
        <w:tc>
          <w:tcPr>
            <w:tcW w:w="3503" w:type="dxa"/>
            <w:vMerge w:val="restart"/>
            <w:tcBorders>
              <w:top w:val="single" w:sz="4" w:space="0" w:color="auto"/>
              <w:left w:val="single" w:sz="4" w:space="0" w:color="auto"/>
              <w:bottom w:val="single" w:sz="4" w:space="0" w:color="auto"/>
              <w:right w:val="single" w:sz="4" w:space="0" w:color="FFFFFF"/>
            </w:tcBorders>
            <w:shd w:val="clear" w:color="auto" w:fill="000000"/>
            <w:textDirection w:val="lrTb"/>
            <w:vAlign w:val="center"/>
          </w:tcPr>
          <w:p w:rsidR="00CA1A94" w:rsidRPr="00CA1A94" w:rsidP="004E04C1">
            <w:pPr>
              <w:bidi w:val="0"/>
              <w:jc w:val="center"/>
              <w:rPr>
                <w:rFonts w:ascii="Times New Roman" w:hAnsi="Times New Roman"/>
                <w:b/>
                <w:bCs/>
                <w:sz w:val="20"/>
                <w:szCs w:val="20"/>
              </w:rPr>
            </w:pPr>
            <w:r w:rsidRPr="00CA1A94">
              <w:rPr>
                <w:rFonts w:ascii="Times New Roman" w:hAnsi="Times New Roman"/>
                <w:b/>
                <w:bCs/>
                <w:sz w:val="20"/>
                <w:szCs w:val="20"/>
              </w:rPr>
              <w:t>Ukazovateľ</w:t>
            </w:r>
          </w:p>
          <w:p w:rsidR="00CA1A94" w:rsidRPr="00CA1A94" w:rsidP="004E04C1">
            <w:pPr>
              <w:bidi w:val="0"/>
              <w:jc w:val="center"/>
              <w:rPr>
                <w:rFonts w:ascii="Times New Roman" w:hAnsi="Times New Roman"/>
                <w:b/>
                <w:bCs/>
                <w:sz w:val="20"/>
                <w:szCs w:val="20"/>
              </w:rPr>
            </w:pPr>
          </w:p>
          <w:p w:rsidR="00CA1A94" w:rsidRPr="00CA1A94" w:rsidP="00870857">
            <w:pPr>
              <w:bidi w:val="0"/>
              <w:rPr>
                <w:rFonts w:ascii="Times New Roman" w:hAnsi="Times New Roman"/>
                <w:b/>
                <w:bCs/>
                <w:sz w:val="20"/>
                <w:szCs w:val="20"/>
              </w:rPr>
            </w:pPr>
            <w:r w:rsidRPr="00CA1A94">
              <w:rPr>
                <w:rFonts w:ascii="Times New Roman" w:hAnsi="Times New Roman"/>
                <w:b/>
                <w:bCs/>
                <w:sz w:val="20"/>
                <w:szCs w:val="20"/>
              </w:rPr>
              <w:t>(v tis. eur)</w:t>
            </w:r>
          </w:p>
        </w:tc>
        <w:tc>
          <w:tcPr>
            <w:tcW w:w="2084" w:type="dxa"/>
            <w:gridSpan w:val="2"/>
            <w:tcBorders>
              <w:top w:val="single" w:sz="4" w:space="0" w:color="auto"/>
              <w:left w:val="single" w:sz="4" w:space="0" w:color="FFFFFF"/>
              <w:bottom w:val="single" w:sz="4" w:space="0" w:color="FFFFFF"/>
              <w:right w:val="single" w:sz="4" w:space="0" w:color="FFFFFF"/>
            </w:tcBorders>
            <w:shd w:val="clear" w:color="auto" w:fill="000000"/>
            <w:noWrap/>
            <w:textDirection w:val="lrTb"/>
            <w:vAlign w:val="center"/>
          </w:tcPr>
          <w:p w:rsidR="00CA1A94" w:rsidRPr="009C3082" w:rsidP="004E04C1">
            <w:pPr>
              <w:bidi w:val="0"/>
              <w:ind w:firstLine="280"/>
              <w:jc w:val="center"/>
              <w:rPr>
                <w:rFonts w:ascii="Times New Roman" w:hAnsi="Times New Roman"/>
                <w:b/>
                <w:bCs/>
                <w:sz w:val="20"/>
                <w:szCs w:val="20"/>
              </w:rPr>
            </w:pPr>
            <w:r w:rsidRPr="009C3082">
              <w:rPr>
                <w:rFonts w:ascii="Times New Roman" w:hAnsi="Times New Roman"/>
                <w:b/>
                <w:bCs/>
                <w:sz w:val="20"/>
                <w:szCs w:val="20"/>
              </w:rPr>
              <w:t>Rozpočet 2011</w:t>
            </w:r>
          </w:p>
        </w:tc>
        <w:tc>
          <w:tcPr>
            <w:tcW w:w="2951" w:type="dxa"/>
            <w:gridSpan w:val="3"/>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Skutočnosť</w:t>
            </w:r>
          </w:p>
        </w:tc>
        <w:tc>
          <w:tcPr>
            <w:tcW w:w="1138" w:type="dxa"/>
            <w:vMerge w:val="restart"/>
            <w:tcBorders>
              <w:top w:val="single" w:sz="4" w:space="0" w:color="auto"/>
              <w:left w:val="single" w:sz="4" w:space="0" w:color="FFFFFF"/>
              <w:bottom w:val="single" w:sz="4" w:space="0" w:color="FFFFFF"/>
              <w:right w:val="nil"/>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Rozdiel</w:t>
            </w:r>
          </w:p>
        </w:tc>
      </w:tr>
      <w:tr>
        <w:tblPrEx>
          <w:tblW w:w="9676" w:type="dxa"/>
          <w:jc w:val="center"/>
          <w:tblInd w:w="37" w:type="dxa"/>
          <w:tblCellMar>
            <w:left w:w="70" w:type="dxa"/>
            <w:right w:w="70" w:type="dxa"/>
          </w:tblCellMar>
        </w:tblPrEx>
        <w:trPr>
          <w:trHeight w:val="454"/>
          <w:jc w:val="center"/>
        </w:trPr>
        <w:tc>
          <w:tcPr>
            <w:tcW w:w="3503" w:type="dxa"/>
            <w:vMerge/>
            <w:tcBorders>
              <w:top w:val="single" w:sz="4" w:space="0" w:color="auto"/>
              <w:left w:val="single" w:sz="4" w:space="0" w:color="auto"/>
              <w:bottom w:val="single" w:sz="4" w:space="0" w:color="FFFFFF"/>
              <w:right w:val="single" w:sz="4" w:space="0" w:color="FFFFFF"/>
            </w:tcBorders>
            <w:shd w:val="clear" w:color="auto" w:fill="000000"/>
            <w:textDirection w:val="lrTb"/>
            <w:vAlign w:val="center"/>
          </w:tcPr>
          <w:p w:rsidR="00CA1A94" w:rsidRPr="009C3082" w:rsidP="004E04C1">
            <w:pPr>
              <w:bidi w:val="0"/>
              <w:rPr>
                <w:rFonts w:ascii="Times New Roman" w:hAnsi="Times New Roman"/>
                <w:b/>
                <w:bCs/>
                <w:sz w:val="20"/>
                <w:szCs w:val="20"/>
              </w:rPr>
            </w:pPr>
          </w:p>
        </w:tc>
        <w:tc>
          <w:tcPr>
            <w:tcW w:w="1029"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schválený</w:t>
            </w:r>
          </w:p>
        </w:tc>
        <w:tc>
          <w:tcPr>
            <w:tcW w:w="1055"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upravený</w:t>
            </w:r>
          </w:p>
        </w:tc>
        <w:tc>
          <w:tcPr>
            <w:tcW w:w="978"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2011</w:t>
            </w:r>
          </w:p>
        </w:tc>
        <w:tc>
          <w:tcPr>
            <w:tcW w:w="949"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2010</w:t>
            </w:r>
          </w:p>
        </w:tc>
        <w:tc>
          <w:tcPr>
            <w:tcW w:w="102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4E04C1">
            <w:pPr>
              <w:bidi w:val="0"/>
              <w:jc w:val="center"/>
              <w:rPr>
                <w:rFonts w:ascii="Times New Roman" w:hAnsi="Times New Roman"/>
                <w:b/>
                <w:bCs/>
                <w:sz w:val="20"/>
                <w:szCs w:val="20"/>
              </w:rPr>
            </w:pPr>
            <w:r w:rsidRPr="009C3082">
              <w:rPr>
                <w:rFonts w:ascii="Times New Roman" w:hAnsi="Times New Roman"/>
                <w:b/>
                <w:bCs/>
                <w:sz w:val="20"/>
                <w:szCs w:val="20"/>
              </w:rPr>
              <w:t>2009</w:t>
            </w:r>
          </w:p>
        </w:tc>
        <w:tc>
          <w:tcPr>
            <w:tcW w:w="1138" w:type="dxa"/>
            <w:vMerge/>
            <w:tcBorders>
              <w:top w:val="single" w:sz="4" w:space="0" w:color="FFFFFF"/>
              <w:left w:val="single" w:sz="4" w:space="0" w:color="FFFFFF"/>
              <w:bottom w:val="single" w:sz="4" w:space="0" w:color="auto"/>
              <w:right w:val="nil"/>
            </w:tcBorders>
            <w:shd w:val="clear" w:color="auto" w:fill="000000"/>
            <w:textDirection w:val="lrTb"/>
            <w:vAlign w:val="top"/>
          </w:tcPr>
          <w:p w:rsidR="00CA1A94" w:rsidRPr="009C3082" w:rsidP="004E04C1">
            <w:pPr>
              <w:bidi w:val="0"/>
              <w:jc w:val="center"/>
              <w:rPr>
                <w:rFonts w:ascii="Times New Roman" w:hAnsi="Times New Roman"/>
                <w:b/>
                <w:bCs/>
                <w:sz w:val="20"/>
                <w:szCs w:val="20"/>
              </w:rPr>
            </w:pP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B07DEC" w:rsidRPr="009C3082" w:rsidP="004E04C1">
            <w:pPr>
              <w:bidi w:val="0"/>
              <w:rPr>
                <w:rFonts w:ascii="Times New Roman" w:hAnsi="Times New Roman"/>
                <w:b/>
                <w:bCs/>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2</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3</w:t>
            </w:r>
          </w:p>
        </w:tc>
        <w:tc>
          <w:tcPr>
            <w:tcW w:w="94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4</w:t>
            </w:r>
          </w:p>
        </w:tc>
        <w:tc>
          <w:tcPr>
            <w:tcW w:w="1024"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5</w:t>
            </w:r>
          </w:p>
        </w:tc>
        <w:tc>
          <w:tcPr>
            <w:tcW w:w="1138"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07DEC" w:rsidRPr="009C3082" w:rsidP="004E04C1">
            <w:pPr>
              <w:bidi w:val="0"/>
              <w:jc w:val="center"/>
              <w:rPr>
                <w:rFonts w:ascii="Times New Roman" w:hAnsi="Times New Roman"/>
                <w:b/>
                <w:sz w:val="20"/>
                <w:szCs w:val="20"/>
              </w:rPr>
            </w:pPr>
            <w:r w:rsidRPr="009C3082">
              <w:rPr>
                <w:rFonts w:ascii="Times New Roman" w:hAnsi="Times New Roman"/>
                <w:b/>
                <w:sz w:val="20"/>
                <w:szCs w:val="20"/>
              </w:rPr>
              <w:t>6=3-2</w:t>
            </w: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rPr>
                <w:rFonts w:ascii="Times New Roman" w:hAnsi="Times New Roman"/>
                <w:bCs/>
                <w:sz w:val="20"/>
                <w:szCs w:val="20"/>
              </w:rPr>
            </w:pPr>
            <w:r w:rsidRPr="009C3082">
              <w:rPr>
                <w:rFonts w:ascii="Times New Roman" w:hAnsi="Times New Roman"/>
                <w:bCs/>
                <w:sz w:val="20"/>
                <w:szCs w:val="20"/>
              </w:rPr>
              <w:t>Dane z príjmov a kapitálového majetku</w:t>
            </w:r>
          </w:p>
        </w:tc>
        <w:tc>
          <w:tcPr>
            <w:tcW w:w="102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1 925 923</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1 925 923</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1 867 541</w:t>
            </w:r>
          </w:p>
        </w:tc>
        <w:tc>
          <w:tcPr>
            <w:tcW w:w="94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1 541 704</w:t>
            </w:r>
          </w:p>
        </w:tc>
        <w:tc>
          <w:tcPr>
            <w:tcW w:w="1024"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2 314 130</w:t>
            </w:r>
          </w:p>
        </w:tc>
        <w:tc>
          <w:tcPr>
            <w:tcW w:w="1138"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-58 382</w:t>
            </w: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rPr>
                <w:rFonts w:ascii="Times New Roman" w:hAnsi="Times New Roman"/>
                <w:bCs/>
                <w:sz w:val="20"/>
                <w:szCs w:val="20"/>
              </w:rPr>
            </w:pPr>
            <w:r w:rsidRPr="009C3082">
              <w:rPr>
                <w:rFonts w:ascii="Times New Roman" w:hAnsi="Times New Roman"/>
                <w:bCs/>
                <w:sz w:val="20"/>
                <w:szCs w:val="20"/>
              </w:rPr>
              <w:t>Dane z majetku</w:t>
            </w:r>
          </w:p>
        </w:tc>
        <w:tc>
          <w:tcPr>
            <w:tcW w:w="102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0</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0</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411E9A">
            <w:pPr>
              <w:bidi w:val="0"/>
              <w:jc w:val="right"/>
              <w:rPr>
                <w:rFonts w:ascii="Times New Roman" w:hAnsi="Times New Roman"/>
                <w:bCs/>
                <w:sz w:val="20"/>
                <w:szCs w:val="20"/>
              </w:rPr>
            </w:pPr>
            <w:r w:rsidRPr="009C3082">
              <w:rPr>
                <w:rFonts w:ascii="Times New Roman" w:hAnsi="Times New Roman"/>
                <w:bCs/>
                <w:sz w:val="20"/>
                <w:szCs w:val="20"/>
              </w:rPr>
              <w:t>15</w:t>
            </w:r>
            <w:r w:rsidR="00411E9A">
              <w:rPr>
                <w:rFonts w:ascii="Times New Roman" w:hAnsi="Times New Roman"/>
                <w:bCs/>
                <w:sz w:val="20"/>
                <w:szCs w:val="20"/>
              </w:rPr>
              <w:t>1</w:t>
            </w:r>
          </w:p>
        </w:tc>
        <w:tc>
          <w:tcPr>
            <w:tcW w:w="94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sz w:val="20"/>
                <w:szCs w:val="20"/>
              </w:rPr>
            </w:pPr>
            <w:r w:rsidRPr="009C3082">
              <w:rPr>
                <w:rFonts w:ascii="Times New Roman" w:hAnsi="Times New Roman"/>
                <w:sz w:val="20"/>
                <w:szCs w:val="20"/>
              </w:rPr>
              <w:t>362</w:t>
            </w:r>
          </w:p>
        </w:tc>
        <w:tc>
          <w:tcPr>
            <w:tcW w:w="1024"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E04C1">
            <w:pPr>
              <w:bidi w:val="0"/>
              <w:jc w:val="right"/>
              <w:rPr>
                <w:rFonts w:ascii="Times New Roman" w:hAnsi="Times New Roman"/>
                <w:sz w:val="20"/>
                <w:szCs w:val="20"/>
              </w:rPr>
            </w:pPr>
            <w:r w:rsidRPr="009C3082">
              <w:rPr>
                <w:rFonts w:ascii="Times New Roman" w:hAnsi="Times New Roman"/>
                <w:sz w:val="20"/>
                <w:szCs w:val="20"/>
              </w:rPr>
              <w:t>725</w:t>
            </w:r>
          </w:p>
        </w:tc>
        <w:tc>
          <w:tcPr>
            <w:tcW w:w="1138"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11E9A">
            <w:pPr>
              <w:bidi w:val="0"/>
              <w:jc w:val="right"/>
              <w:rPr>
                <w:rFonts w:ascii="Times New Roman" w:hAnsi="Times New Roman"/>
                <w:bCs/>
                <w:sz w:val="20"/>
                <w:szCs w:val="20"/>
              </w:rPr>
            </w:pPr>
            <w:r w:rsidRPr="009C3082">
              <w:rPr>
                <w:rFonts w:ascii="Times New Roman" w:hAnsi="Times New Roman"/>
                <w:bCs/>
                <w:sz w:val="20"/>
                <w:szCs w:val="20"/>
              </w:rPr>
              <w:t>15</w:t>
            </w:r>
            <w:r w:rsidR="00411E9A">
              <w:rPr>
                <w:rFonts w:ascii="Times New Roman" w:hAnsi="Times New Roman"/>
                <w:bCs/>
                <w:sz w:val="20"/>
                <w:szCs w:val="20"/>
              </w:rPr>
              <w:t>1</w:t>
            </w: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rPr>
                <w:rFonts w:ascii="Times New Roman" w:hAnsi="Times New Roman"/>
                <w:bCs/>
                <w:sz w:val="20"/>
                <w:szCs w:val="20"/>
              </w:rPr>
            </w:pPr>
            <w:r w:rsidRPr="009C3082">
              <w:rPr>
                <w:rFonts w:ascii="Times New Roman" w:hAnsi="Times New Roman"/>
                <w:bCs/>
                <w:sz w:val="20"/>
                <w:szCs w:val="20"/>
              </w:rPr>
              <w:t>Dane za tovary a služby</w:t>
            </w:r>
          </w:p>
        </w:tc>
        <w:tc>
          <w:tcPr>
            <w:tcW w:w="102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6 735 637</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6 735 637</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411E9A">
            <w:pPr>
              <w:bidi w:val="0"/>
              <w:jc w:val="right"/>
              <w:rPr>
                <w:rFonts w:ascii="Times New Roman" w:hAnsi="Times New Roman"/>
                <w:bCs/>
                <w:sz w:val="20"/>
                <w:szCs w:val="20"/>
              </w:rPr>
            </w:pPr>
            <w:r w:rsidRPr="009C3082">
              <w:rPr>
                <w:rFonts w:ascii="Times New Roman" w:hAnsi="Times New Roman"/>
                <w:bCs/>
                <w:sz w:val="20"/>
                <w:szCs w:val="20"/>
              </w:rPr>
              <w:t>6 742 83</w:t>
            </w:r>
            <w:r w:rsidR="00411E9A">
              <w:rPr>
                <w:rFonts w:ascii="Times New Roman" w:hAnsi="Times New Roman"/>
                <w:bCs/>
                <w:sz w:val="20"/>
                <w:szCs w:val="20"/>
              </w:rPr>
              <w:t>7</w:t>
            </w:r>
          </w:p>
        </w:tc>
        <w:tc>
          <w:tcPr>
            <w:tcW w:w="94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6 366 640</w:t>
            </w:r>
          </w:p>
        </w:tc>
        <w:tc>
          <w:tcPr>
            <w:tcW w:w="1024"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5 681 054</w:t>
            </w:r>
          </w:p>
        </w:tc>
        <w:tc>
          <w:tcPr>
            <w:tcW w:w="1138"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4E04C1">
            <w:pPr>
              <w:bidi w:val="0"/>
              <w:jc w:val="right"/>
              <w:rPr>
                <w:rFonts w:ascii="Times New Roman" w:hAnsi="Times New Roman"/>
                <w:bCs/>
                <w:sz w:val="20"/>
                <w:szCs w:val="20"/>
              </w:rPr>
            </w:pPr>
            <w:r w:rsidRPr="009C3082">
              <w:rPr>
                <w:rFonts w:ascii="Times New Roman" w:hAnsi="Times New Roman"/>
                <w:bCs/>
                <w:sz w:val="20"/>
                <w:szCs w:val="20"/>
              </w:rPr>
              <w:t>7 200</w:t>
            </w: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351C21">
            <w:pPr>
              <w:bidi w:val="0"/>
              <w:rPr>
                <w:rFonts w:ascii="Times New Roman" w:hAnsi="Times New Roman"/>
                <w:bCs/>
                <w:sz w:val="20"/>
                <w:szCs w:val="20"/>
              </w:rPr>
            </w:pPr>
            <w:r w:rsidRPr="009C3082">
              <w:rPr>
                <w:rFonts w:ascii="Times New Roman" w:hAnsi="Times New Roman"/>
                <w:bCs/>
                <w:sz w:val="20"/>
                <w:szCs w:val="20"/>
              </w:rPr>
              <w:t>Dane z medzinárodného obchodu a transakcií</w:t>
            </w:r>
          </w:p>
        </w:tc>
        <w:tc>
          <w:tcPr>
            <w:tcW w:w="102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33 908</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33 908</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38 748</w:t>
            </w:r>
          </w:p>
        </w:tc>
        <w:tc>
          <w:tcPr>
            <w:tcW w:w="94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35 394</w:t>
            </w:r>
          </w:p>
        </w:tc>
        <w:tc>
          <w:tcPr>
            <w:tcW w:w="1024"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27 187</w:t>
            </w:r>
          </w:p>
        </w:tc>
        <w:tc>
          <w:tcPr>
            <w:tcW w:w="1138"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4 840</w:t>
            </w:r>
          </w:p>
        </w:tc>
      </w:tr>
      <w:tr>
        <w:tblPrEx>
          <w:tblW w:w="9676" w:type="dxa"/>
          <w:jc w:val="center"/>
          <w:tblInd w:w="37" w:type="dxa"/>
          <w:tblCellMar>
            <w:left w:w="70" w:type="dxa"/>
            <w:right w:w="70" w:type="dxa"/>
          </w:tblCellMar>
        </w:tblPrEx>
        <w:trPr>
          <w:trHeight w:val="456"/>
          <w:jc w:val="center"/>
        </w:trPr>
        <w:tc>
          <w:tcPr>
            <w:tcW w:w="3503"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rPr>
                <w:rFonts w:ascii="Times New Roman" w:hAnsi="Times New Roman"/>
                <w:sz w:val="20"/>
                <w:szCs w:val="20"/>
              </w:rPr>
            </w:pPr>
            <w:r w:rsidRPr="009C3082">
              <w:rPr>
                <w:rFonts w:ascii="Times New Roman" w:hAnsi="Times New Roman"/>
                <w:sz w:val="20"/>
                <w:szCs w:val="20"/>
              </w:rPr>
              <w:t>Sankcie uložené v daňovom konaní</w:t>
            </w:r>
          </w:p>
        </w:tc>
        <w:tc>
          <w:tcPr>
            <w:tcW w:w="102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21 881</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21 881</w:t>
            </w:r>
          </w:p>
        </w:tc>
        <w:tc>
          <w:tcPr>
            <w:tcW w:w="97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21 382</w:t>
            </w:r>
          </w:p>
        </w:tc>
        <w:tc>
          <w:tcPr>
            <w:tcW w:w="94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18 142</w:t>
            </w:r>
          </w:p>
        </w:tc>
        <w:tc>
          <w:tcPr>
            <w:tcW w:w="1024"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1 207</w:t>
            </w:r>
          </w:p>
        </w:tc>
        <w:tc>
          <w:tcPr>
            <w:tcW w:w="1138" w:type="dxa"/>
            <w:tcBorders>
              <w:top w:val="single" w:sz="4" w:space="0" w:color="auto"/>
              <w:left w:val="single" w:sz="4" w:space="0" w:color="auto"/>
              <w:bottom w:val="single" w:sz="4" w:space="0" w:color="auto"/>
              <w:right w:val="single" w:sz="4" w:space="0" w:color="auto"/>
            </w:tcBorders>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-499</w:t>
            </w:r>
          </w:p>
        </w:tc>
      </w:tr>
      <w:tr>
        <w:tblPrEx>
          <w:tblW w:w="9676" w:type="dxa"/>
          <w:jc w:val="center"/>
          <w:tblInd w:w="37" w:type="dxa"/>
          <w:tblCellMar>
            <w:left w:w="70" w:type="dxa"/>
            <w:right w:w="70" w:type="dxa"/>
          </w:tblCellMar>
        </w:tblPrEx>
        <w:trPr>
          <w:trHeight w:val="318"/>
          <w:jc w:val="center"/>
        </w:trPr>
        <w:tc>
          <w:tcPr>
            <w:tcW w:w="3503" w:type="dxa"/>
            <w:tcBorders>
              <w:top w:val="single" w:sz="4" w:space="0" w:color="auto"/>
              <w:left w:val="single" w:sz="4" w:space="0" w:color="auto"/>
              <w:bottom w:val="double" w:sz="4" w:space="0" w:color="auto"/>
              <w:right w:val="single" w:sz="4" w:space="0" w:color="auto"/>
            </w:tcBorders>
            <w:noWrap/>
            <w:textDirection w:val="lrTb"/>
            <w:vAlign w:val="center"/>
          </w:tcPr>
          <w:p w:rsidR="00B07DEC" w:rsidRPr="009C3082" w:rsidP="00F60F5B">
            <w:pPr>
              <w:bidi w:val="0"/>
              <w:rPr>
                <w:rFonts w:ascii="Times New Roman" w:hAnsi="Times New Roman"/>
                <w:sz w:val="20"/>
                <w:szCs w:val="20"/>
              </w:rPr>
            </w:pPr>
            <w:r w:rsidRPr="009C3082">
              <w:rPr>
                <w:rFonts w:ascii="Times New Roman" w:hAnsi="Times New Roman"/>
                <w:sz w:val="20"/>
                <w:szCs w:val="20"/>
              </w:rPr>
              <w:t>Iné dane (daň z emisných kvót)</w:t>
            </w:r>
          </w:p>
        </w:tc>
        <w:tc>
          <w:tcPr>
            <w:tcW w:w="1029" w:type="dxa"/>
            <w:tcBorders>
              <w:top w:val="single" w:sz="4" w:space="0" w:color="auto"/>
              <w:left w:val="single" w:sz="4" w:space="0" w:color="auto"/>
              <w:bottom w:val="doub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69 480</w:t>
            </w:r>
          </w:p>
        </w:tc>
        <w:tc>
          <w:tcPr>
            <w:tcW w:w="1055" w:type="dxa"/>
            <w:tcBorders>
              <w:top w:val="single" w:sz="4" w:space="0" w:color="auto"/>
              <w:left w:val="single" w:sz="4" w:space="0" w:color="auto"/>
              <w:bottom w:val="doub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69 480</w:t>
            </w:r>
          </w:p>
        </w:tc>
        <w:tc>
          <w:tcPr>
            <w:tcW w:w="978" w:type="dxa"/>
            <w:tcBorders>
              <w:top w:val="single" w:sz="4" w:space="0" w:color="auto"/>
              <w:left w:val="single" w:sz="4" w:space="0" w:color="auto"/>
              <w:bottom w:val="double" w:sz="4" w:space="0" w:color="auto"/>
              <w:right w:val="single" w:sz="4" w:space="0" w:color="auto"/>
            </w:tcBorders>
            <w:shd w:val="clear" w:color="auto" w:fill="D9D9D9"/>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29 438</w:t>
            </w:r>
          </w:p>
        </w:tc>
        <w:tc>
          <w:tcPr>
            <w:tcW w:w="949" w:type="dxa"/>
            <w:tcBorders>
              <w:top w:val="single" w:sz="4" w:space="0" w:color="auto"/>
              <w:left w:val="single" w:sz="4" w:space="0" w:color="auto"/>
              <w:bottom w:val="double" w:sz="4" w:space="0" w:color="auto"/>
              <w:right w:val="single" w:sz="4" w:space="0" w:color="auto"/>
            </w:tcBorders>
            <w:noWrap/>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0</w:t>
            </w:r>
          </w:p>
        </w:tc>
        <w:tc>
          <w:tcPr>
            <w:tcW w:w="1024" w:type="dxa"/>
            <w:tcBorders>
              <w:top w:val="single" w:sz="4" w:space="0" w:color="auto"/>
              <w:left w:val="single" w:sz="4" w:space="0" w:color="auto"/>
              <w:bottom w:val="double" w:sz="4" w:space="0" w:color="auto"/>
              <w:right w:val="single" w:sz="4" w:space="0" w:color="auto"/>
            </w:tcBorders>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0</w:t>
            </w:r>
          </w:p>
        </w:tc>
        <w:tc>
          <w:tcPr>
            <w:tcW w:w="1138" w:type="dxa"/>
            <w:tcBorders>
              <w:top w:val="single" w:sz="4" w:space="0" w:color="auto"/>
              <w:left w:val="single" w:sz="4" w:space="0" w:color="auto"/>
              <w:bottom w:val="double" w:sz="4" w:space="0" w:color="auto"/>
              <w:right w:val="single" w:sz="4" w:space="0" w:color="auto"/>
            </w:tcBorders>
            <w:textDirection w:val="lrTb"/>
            <w:vAlign w:val="center"/>
          </w:tcPr>
          <w:p w:rsidR="00B07DEC" w:rsidRPr="009C3082" w:rsidP="00F60F5B">
            <w:pPr>
              <w:bidi w:val="0"/>
              <w:jc w:val="right"/>
              <w:rPr>
                <w:rFonts w:ascii="Times New Roman" w:hAnsi="Times New Roman"/>
                <w:sz w:val="20"/>
                <w:szCs w:val="20"/>
              </w:rPr>
            </w:pPr>
            <w:r w:rsidRPr="009C3082">
              <w:rPr>
                <w:rFonts w:ascii="Times New Roman" w:hAnsi="Times New Roman"/>
                <w:sz w:val="20"/>
                <w:szCs w:val="20"/>
              </w:rPr>
              <w:t>-40 042</w:t>
            </w:r>
          </w:p>
        </w:tc>
      </w:tr>
      <w:tr>
        <w:tblPrEx>
          <w:tblW w:w="9676" w:type="dxa"/>
          <w:jc w:val="center"/>
          <w:tblInd w:w="37" w:type="dxa"/>
          <w:tblCellMar>
            <w:left w:w="70" w:type="dxa"/>
            <w:right w:w="70" w:type="dxa"/>
          </w:tblCellMar>
        </w:tblPrEx>
        <w:trPr>
          <w:trHeight w:val="318"/>
          <w:jc w:val="center"/>
        </w:trPr>
        <w:tc>
          <w:tcPr>
            <w:tcW w:w="3503" w:type="dxa"/>
            <w:tcBorders>
              <w:top w:val="doub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rPr>
                <w:rFonts w:ascii="Times New Roman" w:hAnsi="Times New Roman"/>
                <w:b/>
                <w:bCs/>
                <w:sz w:val="20"/>
                <w:szCs w:val="20"/>
              </w:rPr>
            </w:pPr>
            <w:r w:rsidRPr="009C3082">
              <w:rPr>
                <w:rFonts w:ascii="Times New Roman" w:hAnsi="Times New Roman"/>
                <w:b/>
                <w:bCs/>
                <w:sz w:val="20"/>
                <w:szCs w:val="20"/>
              </w:rPr>
              <w:t>Daňové príjmy spolu</w:t>
            </w:r>
          </w:p>
        </w:tc>
        <w:tc>
          <w:tcPr>
            <w:tcW w:w="1029" w:type="dxa"/>
            <w:tcBorders>
              <w:top w:val="doub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b/>
                <w:bCs/>
                <w:sz w:val="20"/>
                <w:szCs w:val="20"/>
              </w:rPr>
            </w:pPr>
            <w:r w:rsidRPr="009C3082">
              <w:rPr>
                <w:rFonts w:ascii="Times New Roman" w:hAnsi="Times New Roman"/>
                <w:b/>
                <w:bCs/>
                <w:sz w:val="20"/>
                <w:szCs w:val="20"/>
              </w:rPr>
              <w:t>8 786 829</w:t>
            </w:r>
          </w:p>
        </w:tc>
        <w:tc>
          <w:tcPr>
            <w:tcW w:w="1055" w:type="dxa"/>
            <w:tcBorders>
              <w:top w:val="doub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b/>
                <w:bCs/>
                <w:sz w:val="20"/>
                <w:szCs w:val="20"/>
              </w:rPr>
            </w:pPr>
            <w:r w:rsidRPr="009C3082">
              <w:rPr>
                <w:rFonts w:ascii="Times New Roman" w:hAnsi="Times New Roman"/>
                <w:b/>
                <w:bCs/>
                <w:sz w:val="20"/>
                <w:szCs w:val="20"/>
              </w:rPr>
              <w:t>8 786 829</w:t>
            </w:r>
          </w:p>
        </w:tc>
        <w:tc>
          <w:tcPr>
            <w:tcW w:w="978" w:type="dxa"/>
            <w:tcBorders>
              <w:top w:val="double" w:sz="4" w:space="0" w:color="auto"/>
              <w:left w:val="single" w:sz="4" w:space="0" w:color="auto"/>
              <w:bottom w:val="single" w:sz="4" w:space="0" w:color="auto"/>
              <w:right w:val="single" w:sz="4" w:space="0" w:color="auto"/>
            </w:tcBorders>
            <w:shd w:val="clear" w:color="auto" w:fill="D9D9D9"/>
            <w:noWrap/>
            <w:textDirection w:val="lrTb"/>
            <w:vAlign w:val="center"/>
          </w:tcPr>
          <w:p w:rsidR="00B07DEC" w:rsidRPr="009C3082" w:rsidP="00411E9A">
            <w:pPr>
              <w:bidi w:val="0"/>
              <w:jc w:val="right"/>
              <w:rPr>
                <w:rFonts w:ascii="Times New Roman" w:hAnsi="Times New Roman"/>
                <w:b/>
                <w:bCs/>
                <w:sz w:val="20"/>
                <w:szCs w:val="20"/>
              </w:rPr>
            </w:pPr>
            <w:r w:rsidRPr="009C3082">
              <w:rPr>
                <w:rFonts w:ascii="Times New Roman" w:hAnsi="Times New Roman"/>
                <w:b/>
                <w:bCs/>
                <w:sz w:val="20"/>
                <w:szCs w:val="20"/>
              </w:rPr>
              <w:t>8 700 09</w:t>
            </w:r>
            <w:r w:rsidR="00411E9A">
              <w:rPr>
                <w:rFonts w:ascii="Times New Roman" w:hAnsi="Times New Roman"/>
                <w:b/>
                <w:bCs/>
                <w:sz w:val="20"/>
                <w:szCs w:val="20"/>
              </w:rPr>
              <w:t>7</w:t>
            </w:r>
          </w:p>
        </w:tc>
        <w:tc>
          <w:tcPr>
            <w:tcW w:w="949" w:type="dxa"/>
            <w:tcBorders>
              <w:top w:val="double" w:sz="4" w:space="0" w:color="auto"/>
              <w:left w:val="single" w:sz="4" w:space="0" w:color="auto"/>
              <w:bottom w:val="single" w:sz="4" w:space="0" w:color="auto"/>
              <w:right w:val="single" w:sz="4" w:space="0" w:color="auto"/>
            </w:tcBorders>
            <w:noWrap/>
            <w:textDirection w:val="lrTb"/>
            <w:vAlign w:val="center"/>
          </w:tcPr>
          <w:p w:rsidR="00B07DEC" w:rsidRPr="009C3082" w:rsidP="00F60F5B">
            <w:pPr>
              <w:bidi w:val="0"/>
              <w:jc w:val="right"/>
              <w:rPr>
                <w:rFonts w:ascii="Times New Roman" w:hAnsi="Times New Roman"/>
                <w:b/>
                <w:bCs/>
                <w:sz w:val="20"/>
                <w:szCs w:val="20"/>
              </w:rPr>
            </w:pPr>
            <w:r w:rsidRPr="009C3082">
              <w:rPr>
                <w:rFonts w:ascii="Times New Roman" w:hAnsi="Times New Roman"/>
                <w:b/>
                <w:bCs/>
                <w:sz w:val="20"/>
                <w:szCs w:val="20"/>
              </w:rPr>
              <w:t>7 962 242</w:t>
            </w:r>
          </w:p>
        </w:tc>
        <w:tc>
          <w:tcPr>
            <w:tcW w:w="1024" w:type="dxa"/>
            <w:tcBorders>
              <w:top w:val="double" w:sz="4" w:space="0" w:color="auto"/>
              <w:left w:val="single" w:sz="4" w:space="0" w:color="auto"/>
              <w:bottom w:val="single" w:sz="4" w:space="0" w:color="auto"/>
              <w:right w:val="single" w:sz="4" w:space="0" w:color="auto"/>
            </w:tcBorders>
            <w:textDirection w:val="lrTb"/>
            <w:vAlign w:val="center"/>
          </w:tcPr>
          <w:p w:rsidR="00B07DEC" w:rsidRPr="009C3082" w:rsidP="00F60F5B">
            <w:pPr>
              <w:bidi w:val="0"/>
              <w:jc w:val="right"/>
              <w:rPr>
                <w:rFonts w:ascii="Times New Roman" w:hAnsi="Times New Roman"/>
                <w:b/>
                <w:bCs/>
                <w:sz w:val="20"/>
                <w:szCs w:val="20"/>
              </w:rPr>
            </w:pPr>
            <w:r w:rsidRPr="009C3082">
              <w:rPr>
                <w:rFonts w:ascii="Times New Roman" w:hAnsi="Times New Roman"/>
                <w:b/>
                <w:bCs/>
                <w:sz w:val="20"/>
                <w:szCs w:val="20"/>
              </w:rPr>
              <w:t>8 024 303</w:t>
            </w:r>
          </w:p>
        </w:tc>
        <w:tc>
          <w:tcPr>
            <w:tcW w:w="1138" w:type="dxa"/>
            <w:tcBorders>
              <w:top w:val="double" w:sz="4" w:space="0" w:color="auto"/>
              <w:left w:val="single" w:sz="4" w:space="0" w:color="auto"/>
              <w:bottom w:val="single" w:sz="4" w:space="0" w:color="auto"/>
              <w:right w:val="single" w:sz="4" w:space="0" w:color="auto"/>
            </w:tcBorders>
            <w:textDirection w:val="lrTb"/>
            <w:vAlign w:val="center"/>
          </w:tcPr>
          <w:p w:rsidR="00B07DEC" w:rsidRPr="009C3082" w:rsidP="00411E9A">
            <w:pPr>
              <w:bidi w:val="0"/>
              <w:jc w:val="right"/>
              <w:rPr>
                <w:rFonts w:ascii="Times New Roman" w:hAnsi="Times New Roman"/>
                <w:b/>
                <w:bCs/>
                <w:sz w:val="20"/>
                <w:szCs w:val="20"/>
              </w:rPr>
            </w:pPr>
            <w:r w:rsidRPr="009C3082">
              <w:rPr>
                <w:rFonts w:ascii="Times New Roman" w:hAnsi="Times New Roman"/>
                <w:b/>
                <w:bCs/>
                <w:sz w:val="20"/>
                <w:szCs w:val="20"/>
              </w:rPr>
              <w:t>-86 73</w:t>
            </w:r>
            <w:r w:rsidR="00411E9A">
              <w:rPr>
                <w:rFonts w:ascii="Times New Roman" w:hAnsi="Times New Roman"/>
                <w:b/>
                <w:bCs/>
                <w:sz w:val="20"/>
                <w:szCs w:val="20"/>
              </w:rPr>
              <w:t>2</w:t>
            </w:r>
          </w:p>
        </w:tc>
      </w:tr>
    </w:tbl>
    <w:p w:rsidR="00B07DEC" w:rsidP="00F60F5B">
      <w:pPr>
        <w:bidi w:val="0"/>
        <w:spacing w:line="360" w:lineRule="auto"/>
        <w:jc w:val="both"/>
        <w:rPr>
          <w:rFonts w:ascii="Times New Roman" w:hAnsi="Times New Roman"/>
          <w:sz w:val="20"/>
          <w:szCs w:val="20"/>
        </w:rPr>
      </w:pPr>
      <w:r w:rsidRPr="00F15B64">
        <w:rPr>
          <w:rFonts w:ascii="Times New Roman" w:hAnsi="Times New Roman"/>
          <w:sz w:val="20"/>
          <w:szCs w:val="20"/>
        </w:rPr>
        <w:t>Zdroj</w:t>
      </w:r>
      <w:r>
        <w:rPr>
          <w:rFonts w:ascii="Times New Roman" w:hAnsi="Times New Roman"/>
          <w:sz w:val="20"/>
          <w:szCs w:val="20"/>
        </w:rPr>
        <w:t>:</w:t>
      </w:r>
      <w:r w:rsidRPr="00F15B64">
        <w:rPr>
          <w:rFonts w:ascii="Times New Roman" w:hAnsi="Times New Roman"/>
          <w:sz w:val="20"/>
          <w:szCs w:val="20"/>
        </w:rPr>
        <w:t xml:space="preserve"> Ministerstvo financií</w:t>
      </w:r>
      <w:r>
        <w:rPr>
          <w:rFonts w:ascii="Times New Roman" w:hAnsi="Times New Roman"/>
          <w:sz w:val="20"/>
          <w:szCs w:val="20"/>
        </w:rPr>
        <w:t xml:space="preserve"> SR</w:t>
      </w:r>
    </w:p>
    <w:p w:rsidR="00B07DEC" w:rsidRPr="006812BA" w:rsidP="00B07DEC">
      <w:pPr>
        <w:bidi w:val="0"/>
        <w:spacing w:before="120" w:after="120" w:line="360" w:lineRule="auto"/>
        <w:jc w:val="both"/>
        <w:rPr>
          <w:rFonts w:ascii="Times New Roman" w:hAnsi="Times New Roman"/>
        </w:rPr>
      </w:pPr>
      <w:r>
        <w:rPr>
          <w:rFonts w:ascii="Times New Roman" w:hAnsi="Times New Roman"/>
        </w:rPr>
        <w:t xml:space="preserve">Najvyšší podiel na plnení daňových príjmov mali dane za tovary a služby a v nich daň z pridanej hodnoty 4 741 352 tis. eur </w:t>
      </w:r>
      <w:r w:rsidR="008F750D">
        <w:rPr>
          <w:rFonts w:ascii="Times New Roman" w:hAnsi="Times New Roman"/>
        </w:rPr>
        <w:t>(2010: 4 422</w:t>
      </w:r>
      <w:r w:rsidR="004017AC">
        <w:rPr>
          <w:rFonts w:ascii="Times New Roman" w:hAnsi="Times New Roman"/>
        </w:rPr>
        <w:t> </w:t>
      </w:r>
      <w:r w:rsidR="008F750D">
        <w:rPr>
          <w:rFonts w:ascii="Times New Roman" w:hAnsi="Times New Roman"/>
        </w:rPr>
        <w:t>082</w:t>
      </w:r>
      <w:r w:rsidR="004017AC">
        <w:rPr>
          <w:rFonts w:ascii="Times New Roman" w:hAnsi="Times New Roman"/>
        </w:rPr>
        <w:t xml:space="preserve"> </w:t>
      </w:r>
      <w:r w:rsidR="008F750D">
        <w:rPr>
          <w:rFonts w:ascii="Times New Roman" w:hAnsi="Times New Roman"/>
        </w:rPr>
        <w:t xml:space="preserve">tis. eur) </w:t>
      </w:r>
      <w:r>
        <w:rPr>
          <w:rFonts w:ascii="Times New Roman" w:hAnsi="Times New Roman"/>
        </w:rPr>
        <w:t>a spotrebné dane 2 001 44</w:t>
      </w:r>
      <w:r w:rsidR="00FD1E7F">
        <w:rPr>
          <w:rFonts w:ascii="Times New Roman" w:hAnsi="Times New Roman"/>
        </w:rPr>
        <w:t>0</w:t>
      </w:r>
      <w:r>
        <w:rPr>
          <w:rFonts w:ascii="Times New Roman" w:hAnsi="Times New Roman"/>
        </w:rPr>
        <w:t xml:space="preserve"> tis</w:t>
      </w:r>
      <w:r w:rsidR="005A4E8D">
        <w:rPr>
          <w:rFonts w:ascii="Times New Roman" w:hAnsi="Times New Roman"/>
        </w:rPr>
        <w:t>.</w:t>
      </w:r>
      <w:r>
        <w:rPr>
          <w:rFonts w:ascii="Times New Roman" w:hAnsi="Times New Roman"/>
        </w:rPr>
        <w:t xml:space="preserve"> eur </w:t>
      </w:r>
      <w:r w:rsidR="009839C3">
        <w:rPr>
          <w:rFonts w:ascii="Times New Roman" w:hAnsi="Times New Roman"/>
        </w:rPr>
        <w:br/>
      </w:r>
      <w:r w:rsidR="004017AC">
        <w:rPr>
          <w:rFonts w:ascii="Times New Roman" w:hAnsi="Times New Roman"/>
        </w:rPr>
        <w:t>(2010: 1 944 62</w:t>
      </w:r>
      <w:r w:rsidR="00FD1E7F">
        <w:rPr>
          <w:rFonts w:ascii="Times New Roman" w:hAnsi="Times New Roman"/>
        </w:rPr>
        <w:t>4</w:t>
      </w:r>
      <w:r w:rsidR="004017AC">
        <w:rPr>
          <w:rFonts w:ascii="Times New Roman" w:hAnsi="Times New Roman"/>
        </w:rPr>
        <w:t xml:space="preserve"> tis. eur)</w:t>
      </w:r>
      <w:r>
        <w:rPr>
          <w:rFonts w:ascii="Times New Roman" w:hAnsi="Times New Roman"/>
        </w:rPr>
        <w:t>, a za kategóriu dane z príjmov a kapitálového majetku daň z príjmov právnických osôb 1 617 538 tis. eur</w:t>
      </w:r>
      <w:r w:rsidR="004017AC">
        <w:rPr>
          <w:rFonts w:ascii="Times New Roman" w:hAnsi="Times New Roman"/>
        </w:rPr>
        <w:t xml:space="preserve"> (2010:</w:t>
      </w:r>
      <w:r w:rsidR="009839C3">
        <w:rPr>
          <w:rFonts w:ascii="Times New Roman" w:hAnsi="Times New Roman"/>
        </w:rPr>
        <w:t xml:space="preserve"> </w:t>
      </w:r>
      <w:r w:rsidR="004017AC">
        <w:rPr>
          <w:rFonts w:ascii="Times New Roman" w:hAnsi="Times New Roman"/>
        </w:rPr>
        <w:t>1 254 796 tis. eur)</w:t>
      </w:r>
      <w:r>
        <w:rPr>
          <w:rFonts w:ascii="Times New Roman" w:hAnsi="Times New Roman"/>
        </w:rPr>
        <w:t>. Menej sa na tvorbe daňových príjmov podieľali d</w:t>
      </w:r>
      <w:r w:rsidRPr="006812BA">
        <w:rPr>
          <w:rFonts w:ascii="Times New Roman" w:hAnsi="Times New Roman"/>
        </w:rPr>
        <w:t>ane z medzinárodného obchodu a</w:t>
      </w:r>
      <w:r>
        <w:rPr>
          <w:rFonts w:ascii="Times New Roman" w:hAnsi="Times New Roman"/>
        </w:rPr>
        <w:t> </w:t>
      </w:r>
      <w:r w:rsidRPr="006812BA">
        <w:rPr>
          <w:rFonts w:ascii="Times New Roman" w:hAnsi="Times New Roman"/>
        </w:rPr>
        <w:t xml:space="preserve">transakcií, </w:t>
      </w:r>
      <w:r>
        <w:rPr>
          <w:rFonts w:ascii="Times New Roman" w:hAnsi="Times New Roman"/>
        </w:rPr>
        <w:t>i</w:t>
      </w:r>
      <w:r w:rsidRPr="006812BA">
        <w:rPr>
          <w:rFonts w:ascii="Times New Roman" w:hAnsi="Times New Roman"/>
        </w:rPr>
        <w:t>né dane</w:t>
      </w:r>
      <w:r>
        <w:rPr>
          <w:rFonts w:ascii="Times New Roman" w:hAnsi="Times New Roman"/>
          <w:b/>
          <w:sz w:val="16"/>
          <w:szCs w:val="16"/>
        </w:rPr>
        <w:t xml:space="preserve">, </w:t>
      </w:r>
      <w:r>
        <w:rPr>
          <w:rFonts w:ascii="Times New Roman" w:hAnsi="Times New Roman"/>
        </w:rPr>
        <w:t>s</w:t>
      </w:r>
      <w:r w:rsidRPr="006812BA">
        <w:rPr>
          <w:rFonts w:ascii="Times New Roman" w:hAnsi="Times New Roman"/>
        </w:rPr>
        <w:t>ankcie uložené v daňovom konaní</w:t>
      </w:r>
      <w:r>
        <w:rPr>
          <w:rFonts w:ascii="Times New Roman" w:hAnsi="Times New Roman"/>
        </w:rPr>
        <w:t xml:space="preserve"> a d</w:t>
      </w:r>
      <w:r w:rsidRPr="006812BA">
        <w:rPr>
          <w:rFonts w:ascii="Times New Roman" w:hAnsi="Times New Roman"/>
        </w:rPr>
        <w:t>ane z</w:t>
      </w:r>
      <w:r>
        <w:rPr>
          <w:rFonts w:ascii="Times New Roman" w:hAnsi="Times New Roman"/>
        </w:rPr>
        <w:t> </w:t>
      </w:r>
      <w:r w:rsidRPr="006812BA">
        <w:rPr>
          <w:rFonts w:ascii="Times New Roman" w:hAnsi="Times New Roman"/>
        </w:rPr>
        <w:t>majetku</w:t>
      </w:r>
      <w:r>
        <w:rPr>
          <w:rFonts w:ascii="Times New Roman" w:hAnsi="Times New Roman"/>
        </w:rPr>
        <w:t>.</w:t>
      </w:r>
    </w:p>
    <w:p w:rsidR="00B07DEC" w:rsidP="004017AC">
      <w:pPr>
        <w:bidi w:val="0"/>
        <w:spacing w:before="120" w:after="120" w:line="360" w:lineRule="auto"/>
        <w:jc w:val="both"/>
        <w:rPr>
          <w:rFonts w:ascii="Times New Roman" w:hAnsi="Times New Roman"/>
        </w:rPr>
      </w:pPr>
      <w:r>
        <w:rPr>
          <w:rFonts w:ascii="Times New Roman" w:hAnsi="Times New Roman"/>
        </w:rPr>
        <w:t xml:space="preserve">Plnenie daňových príjmov ovplyvnilo niekoľko faktorov. Na jednej strane bolo nižšie plnenie dane z príjmov a kapitálového majetku, ktoré bolo negatívne ovplyvnené ročným zúčtovaním prevodu výnosu samospráv v neprospech štátneho rozpočtu, ale hlavne neplnením dane z príjmov právnických osôb. Dôvodom bolo nenaplnenie hotovostného výnosu v posledných troch mesiacoch roka 2011, ale tiež mohol túto skutočnosť určitým spôsobom ovplyvniť aj termín na zaplatenie preddavkov na daň za december 2011, stanovený na január 2012. </w:t>
      </w:r>
    </w:p>
    <w:p w:rsidR="00B07DEC" w:rsidP="00E70B9F">
      <w:pPr>
        <w:bidi w:val="0"/>
        <w:spacing w:before="120" w:after="120" w:line="360" w:lineRule="auto"/>
        <w:jc w:val="both"/>
        <w:rPr>
          <w:rFonts w:ascii="Times New Roman" w:hAnsi="Times New Roman"/>
        </w:rPr>
      </w:pPr>
      <w:r>
        <w:rPr>
          <w:rFonts w:ascii="Times New Roman" w:hAnsi="Times New Roman"/>
        </w:rPr>
        <w:t>Na strane</w:t>
      </w:r>
      <w:r w:rsidR="0057157C">
        <w:rPr>
          <w:rFonts w:ascii="Times New Roman" w:hAnsi="Times New Roman"/>
        </w:rPr>
        <w:t xml:space="preserve"> druhej bolo vyššie plnenie dane</w:t>
      </w:r>
      <w:r>
        <w:rPr>
          <w:rFonts w:ascii="Times New Roman" w:hAnsi="Times New Roman"/>
        </w:rPr>
        <w:t xml:space="preserve"> za tovary a</w:t>
      </w:r>
      <w:r w:rsidR="00A475C1">
        <w:rPr>
          <w:rFonts w:ascii="Times New Roman" w:hAnsi="Times New Roman"/>
        </w:rPr>
        <w:t> </w:t>
      </w:r>
      <w:r>
        <w:rPr>
          <w:rFonts w:ascii="Times New Roman" w:hAnsi="Times New Roman"/>
        </w:rPr>
        <w:t>služby</w:t>
      </w:r>
      <w:r w:rsidR="00A475C1">
        <w:rPr>
          <w:rFonts w:ascii="Times New Roman" w:hAnsi="Times New Roman"/>
        </w:rPr>
        <w:t>,</w:t>
      </w:r>
      <w:r>
        <w:rPr>
          <w:rFonts w:ascii="Times New Roman" w:hAnsi="Times New Roman"/>
        </w:rPr>
        <w:t xml:space="preserve"> a to dane z pridanej hodnoty, ktoré bolo pozitívne ovplyvnené najmä zvýšením základnej sadzby </w:t>
      </w:r>
      <w:r w:rsidR="00C36624">
        <w:rPr>
          <w:rFonts w:ascii="Times New Roman" w:hAnsi="Times New Roman"/>
        </w:rPr>
        <w:t xml:space="preserve">dane z 19 % na 20 % a zrušením </w:t>
      </w:r>
      <w:r w:rsidR="00D56387">
        <w:rPr>
          <w:rFonts w:ascii="Times New Roman" w:hAnsi="Times New Roman"/>
        </w:rPr>
        <w:br/>
      </w:r>
      <w:r>
        <w:rPr>
          <w:rFonts w:ascii="Times New Roman" w:hAnsi="Times New Roman"/>
        </w:rPr>
        <w:t>6 %-nej sadzby dane na tovary „ predaja z dvora“ od 1. januára 2011</w:t>
      </w:r>
      <w:r w:rsidR="001D1A01">
        <w:rPr>
          <w:rFonts w:ascii="Times New Roman" w:hAnsi="Times New Roman"/>
        </w:rPr>
        <w:t xml:space="preserve"> a zaplatením dane vo výške 173 </w:t>
      </w:r>
      <w:r>
        <w:rPr>
          <w:rFonts w:ascii="Times New Roman" w:hAnsi="Times New Roman"/>
        </w:rPr>
        <w:t>6</w:t>
      </w:r>
      <w:r w:rsidR="001D1A01">
        <w:rPr>
          <w:rFonts w:ascii="Times New Roman" w:hAnsi="Times New Roman"/>
        </w:rPr>
        <w:t>39</w:t>
      </w:r>
      <w:r>
        <w:rPr>
          <w:rFonts w:ascii="Times New Roman" w:hAnsi="Times New Roman"/>
        </w:rPr>
        <w:t xml:space="preserve"> </w:t>
      </w:r>
      <w:r w:rsidR="001D1A01">
        <w:rPr>
          <w:rFonts w:ascii="Times New Roman" w:hAnsi="Times New Roman"/>
        </w:rPr>
        <w:t>tis</w:t>
      </w:r>
      <w:r>
        <w:rPr>
          <w:rFonts w:ascii="Times New Roman" w:hAnsi="Times New Roman"/>
        </w:rPr>
        <w:t>. eur, ktorú štát zaplatil za úseky cestných komunikácií (PPP projekty), ktoré boli v roku 2011 odovzdané do užívania, resp. dostali kolaudačné rozhodnutia. Táto transakcia však nemá pozitívny vplyv na deficit, keďže sa objavuje na strane príjmov, ale v rovnakej výške aj na strane vý</w:t>
      </w:r>
      <w:r w:rsidR="00C36624">
        <w:rPr>
          <w:rFonts w:ascii="Times New Roman" w:hAnsi="Times New Roman"/>
        </w:rPr>
        <w:t>davkov.</w:t>
      </w:r>
    </w:p>
    <w:p w:rsidR="00B07DEC" w:rsidP="00E70B9F">
      <w:pPr>
        <w:bidi w:val="0"/>
        <w:spacing w:before="120" w:after="120" w:line="360" w:lineRule="auto"/>
        <w:jc w:val="both"/>
        <w:rPr>
          <w:rFonts w:ascii="Times New Roman" w:hAnsi="Times New Roman"/>
        </w:rPr>
      </w:pPr>
      <w:r>
        <w:rPr>
          <w:rFonts w:ascii="Times New Roman" w:hAnsi="Times New Roman"/>
        </w:rPr>
        <w:t>V časti iných daní bol zaznamen</w:t>
      </w:r>
      <w:r w:rsidR="00A475C1">
        <w:rPr>
          <w:rFonts w:ascii="Times New Roman" w:hAnsi="Times New Roman"/>
        </w:rPr>
        <w:t>aný pokles dane z emisných kvót</w:t>
      </w:r>
      <w:r>
        <w:rPr>
          <w:rFonts w:ascii="Times New Roman" w:hAnsi="Times New Roman"/>
        </w:rPr>
        <w:t xml:space="preserve"> spôsobený faktom, že firmy neplatili daň z emisie, ktorú ušetrili vďaka investíciám do technológií, ďalej pokles spôsobilo zníženie reálnej ceny povoleniek v priebehu roka 2011, ale i neplatenie tejto dane zo strany jednotlivých subjektov. </w:t>
      </w:r>
    </w:p>
    <w:p w:rsidR="00E576A5" w:rsidP="00E576A5">
      <w:pPr>
        <w:bidi w:val="0"/>
        <w:spacing w:line="360" w:lineRule="auto"/>
        <w:jc w:val="both"/>
        <w:rPr>
          <w:rFonts w:ascii="Times New Roman" w:hAnsi="Times New Roman"/>
        </w:rPr>
      </w:pPr>
      <w:r>
        <w:rPr>
          <w:rFonts w:ascii="Times New Roman" w:hAnsi="Times New Roman"/>
        </w:rPr>
        <w:t>Nižšie plnenie dane z príjmov právnických osôb a fy</w:t>
      </w:r>
      <w:r w:rsidR="0057157C">
        <w:rPr>
          <w:rFonts w:ascii="Times New Roman" w:hAnsi="Times New Roman"/>
        </w:rPr>
        <w:t>zických osôb za rok 2010 sa prejavilo aj na</w:t>
      </w:r>
      <w:r>
        <w:rPr>
          <w:rFonts w:ascii="Times New Roman" w:hAnsi="Times New Roman"/>
        </w:rPr>
        <w:t> nižšom prevode podielu (2 %) dane z príjmov fyzických a právnických osôb na verejnoprospešný účel</w:t>
      </w:r>
      <w:r w:rsidRPr="0057157C" w:rsidR="0057157C">
        <w:rPr>
          <w:rFonts w:ascii="Times New Roman" w:hAnsi="Times New Roman"/>
        </w:rPr>
        <w:t xml:space="preserve"> </w:t>
      </w:r>
      <w:r w:rsidR="0057157C">
        <w:rPr>
          <w:rFonts w:ascii="Times New Roman" w:hAnsi="Times New Roman"/>
        </w:rPr>
        <w:t>v roku 2011</w:t>
      </w:r>
      <w:r>
        <w:rPr>
          <w:rFonts w:ascii="Times New Roman" w:hAnsi="Times New Roman"/>
        </w:rPr>
        <w:t>. V nasledujúcej tabuľke je premietnutý vývoj prevodu po</w:t>
      </w:r>
      <w:r w:rsidR="00545E0E">
        <w:rPr>
          <w:rFonts w:ascii="Times New Roman" w:hAnsi="Times New Roman"/>
        </w:rPr>
        <w:t>dielu dane za posledné tri roky pričom,</w:t>
      </w:r>
      <w:r>
        <w:rPr>
          <w:rFonts w:ascii="Times New Roman" w:hAnsi="Times New Roman"/>
        </w:rPr>
        <w:t xml:space="preserve"> suma prevodu sa nerozpočtuje. </w:t>
      </w:r>
    </w:p>
    <w:tbl>
      <w:tblPr>
        <w:tblStyle w:val="TableNormal"/>
        <w:tblW w:w="8747" w:type="dxa"/>
        <w:jc w:val="center"/>
        <w:tblInd w:w="41" w:type="dxa"/>
        <w:tblCellMar>
          <w:left w:w="70" w:type="dxa"/>
          <w:right w:w="70" w:type="dxa"/>
        </w:tblCellMar>
      </w:tblPr>
      <w:tblGrid>
        <w:gridCol w:w="4558"/>
        <w:gridCol w:w="1345"/>
        <w:gridCol w:w="1373"/>
        <w:gridCol w:w="1471"/>
      </w:tblGrid>
      <w:tr>
        <w:tblPrEx>
          <w:tblW w:w="8747" w:type="dxa"/>
          <w:jc w:val="center"/>
          <w:tblInd w:w="41" w:type="dxa"/>
          <w:tblCellMar>
            <w:left w:w="70" w:type="dxa"/>
            <w:right w:w="70" w:type="dxa"/>
          </w:tblCellMar>
        </w:tblPrEx>
        <w:trPr>
          <w:trHeight w:val="221"/>
          <w:jc w:val="center"/>
        </w:trPr>
        <w:tc>
          <w:tcPr>
            <w:tcW w:w="4558" w:type="dxa"/>
            <w:vMerge w:val="restart"/>
            <w:tcBorders>
              <w:top w:val="single" w:sz="4" w:space="0" w:color="FFFFFF"/>
              <w:left w:val="single" w:sz="4" w:space="0" w:color="FFFFFF"/>
              <w:bottom w:val="none" w:sz="0" w:space="0" w:color="auto"/>
              <w:right w:val="single" w:sz="4" w:space="0" w:color="FFFFFF"/>
            </w:tcBorders>
            <w:shd w:val="clear" w:color="auto" w:fill="000000"/>
            <w:textDirection w:val="lrTb"/>
            <w:vAlign w:val="center"/>
          </w:tcPr>
          <w:p w:rsidR="00E576A5" w:rsidRPr="00CA1A94" w:rsidP="003463D4">
            <w:pPr>
              <w:bidi w:val="0"/>
              <w:jc w:val="center"/>
              <w:rPr>
                <w:rFonts w:ascii="Times New Roman" w:hAnsi="Times New Roman"/>
                <w:b/>
                <w:bCs/>
                <w:color w:val="FFFFFF"/>
                <w:sz w:val="20"/>
                <w:szCs w:val="20"/>
              </w:rPr>
            </w:pPr>
            <w:r w:rsidRPr="00CA1A94">
              <w:rPr>
                <w:rFonts w:ascii="Times New Roman" w:hAnsi="Times New Roman"/>
                <w:b/>
                <w:bCs/>
                <w:color w:val="FFFFFF"/>
                <w:sz w:val="20"/>
                <w:szCs w:val="20"/>
              </w:rPr>
              <w:t>Ukazovateľ</w:t>
            </w:r>
          </w:p>
          <w:p w:rsidR="00E576A5" w:rsidRPr="00633951" w:rsidP="003463D4">
            <w:pPr>
              <w:bidi w:val="0"/>
              <w:rPr>
                <w:rFonts w:ascii="Times New Roman" w:hAnsi="Times New Roman"/>
                <w:b/>
                <w:bCs/>
                <w:color w:val="FFFFFF"/>
                <w:sz w:val="16"/>
                <w:szCs w:val="16"/>
              </w:rPr>
            </w:pPr>
            <w:r w:rsidRPr="00CA1A94">
              <w:rPr>
                <w:rFonts w:ascii="Times New Roman" w:hAnsi="Times New Roman"/>
                <w:b/>
                <w:bCs/>
                <w:color w:val="FFFFFF"/>
                <w:sz w:val="20"/>
                <w:szCs w:val="20"/>
              </w:rPr>
              <w:t>(v tis. eur)</w:t>
            </w:r>
          </w:p>
        </w:tc>
        <w:tc>
          <w:tcPr>
            <w:tcW w:w="4189"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E576A5" w:rsidRPr="004B18B6" w:rsidP="003463D4">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Skutočnosť</w:t>
            </w:r>
          </w:p>
        </w:tc>
      </w:tr>
      <w:tr>
        <w:tblPrEx>
          <w:tblW w:w="8747" w:type="dxa"/>
          <w:jc w:val="center"/>
          <w:tblInd w:w="41" w:type="dxa"/>
          <w:tblCellMar>
            <w:left w:w="70" w:type="dxa"/>
            <w:right w:w="70" w:type="dxa"/>
          </w:tblCellMar>
        </w:tblPrEx>
        <w:trPr>
          <w:trHeight w:val="269"/>
          <w:jc w:val="center"/>
        </w:trPr>
        <w:tc>
          <w:tcPr>
            <w:tcW w:w="4558" w:type="dxa"/>
            <w:vMerge/>
            <w:tcBorders>
              <w:top w:val="none" w:sz="0" w:space="0" w:color="auto"/>
              <w:left w:val="single" w:sz="4" w:space="0" w:color="FFFFFF"/>
              <w:bottom w:val="single" w:sz="4" w:space="0" w:color="FFFFFF"/>
              <w:right w:val="single" w:sz="4" w:space="0" w:color="FFFFFF"/>
            </w:tcBorders>
            <w:shd w:val="clear" w:color="auto" w:fill="000000"/>
            <w:textDirection w:val="lrTb"/>
            <w:vAlign w:val="center"/>
          </w:tcPr>
          <w:p w:rsidR="00E576A5" w:rsidRPr="004B18B6" w:rsidP="003463D4">
            <w:pPr>
              <w:bidi w:val="0"/>
              <w:rPr>
                <w:rFonts w:ascii="Times New Roman" w:hAnsi="Times New Roman"/>
                <w:b/>
                <w:bCs/>
                <w:color w:val="FFFFFF"/>
                <w:sz w:val="20"/>
                <w:szCs w:val="20"/>
              </w:rPr>
            </w:pPr>
          </w:p>
        </w:tc>
        <w:tc>
          <w:tcPr>
            <w:tcW w:w="134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E576A5" w:rsidRPr="004B18B6" w:rsidP="003463D4">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2011</w:t>
            </w:r>
          </w:p>
        </w:tc>
        <w:tc>
          <w:tcPr>
            <w:tcW w:w="1373"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E576A5" w:rsidRPr="004B18B6" w:rsidP="003463D4">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2010</w:t>
            </w:r>
          </w:p>
        </w:tc>
        <w:tc>
          <w:tcPr>
            <w:tcW w:w="1471"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E576A5" w:rsidRPr="004B18B6" w:rsidP="003463D4">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2009</w:t>
            </w:r>
          </w:p>
        </w:tc>
      </w:tr>
      <w:tr>
        <w:tblPrEx>
          <w:tblW w:w="8747" w:type="dxa"/>
          <w:jc w:val="center"/>
          <w:tblInd w:w="41" w:type="dxa"/>
          <w:tblCellMar>
            <w:left w:w="70" w:type="dxa"/>
            <w:right w:w="70" w:type="dxa"/>
          </w:tblCellMar>
        </w:tblPrEx>
        <w:trPr>
          <w:trHeight w:val="263"/>
          <w:jc w:val="center"/>
        </w:trPr>
        <w:tc>
          <w:tcPr>
            <w:tcW w:w="4558"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E576A5" w:rsidRPr="004B18B6" w:rsidP="003463D4">
            <w:pPr>
              <w:bidi w:val="0"/>
              <w:rPr>
                <w:rFonts w:ascii="Times New Roman" w:hAnsi="Times New Roman"/>
                <w:b/>
                <w:bCs/>
                <w:color w:val="FFFFFF"/>
                <w:sz w:val="20"/>
                <w:szCs w:val="20"/>
              </w:rPr>
            </w:pPr>
          </w:p>
        </w:tc>
        <w:tc>
          <w:tcPr>
            <w:tcW w:w="1345" w:type="dxa"/>
            <w:tcBorders>
              <w:top w:val="single" w:sz="4" w:space="0" w:color="FFFFFF"/>
              <w:left w:val="single" w:sz="4" w:space="0" w:color="auto"/>
              <w:bottom w:val="single" w:sz="4" w:space="0" w:color="auto"/>
              <w:right w:val="single" w:sz="4" w:space="0" w:color="auto"/>
            </w:tcBorders>
            <w:shd w:val="clear" w:color="auto" w:fill="D9D9D9"/>
            <w:noWrap/>
            <w:textDirection w:val="lrTb"/>
            <w:vAlign w:val="center"/>
          </w:tcPr>
          <w:p w:rsidR="00E576A5" w:rsidRPr="00870857" w:rsidP="003463D4">
            <w:pPr>
              <w:bidi w:val="0"/>
              <w:jc w:val="center"/>
              <w:rPr>
                <w:rFonts w:ascii="Times New Roman" w:hAnsi="Times New Roman"/>
                <w:b/>
                <w:sz w:val="20"/>
                <w:szCs w:val="20"/>
              </w:rPr>
            </w:pPr>
            <w:r w:rsidRPr="00870857">
              <w:rPr>
                <w:rFonts w:ascii="Times New Roman" w:hAnsi="Times New Roman"/>
                <w:b/>
                <w:sz w:val="20"/>
                <w:szCs w:val="20"/>
              </w:rPr>
              <w:t>1</w:t>
            </w:r>
          </w:p>
        </w:tc>
        <w:tc>
          <w:tcPr>
            <w:tcW w:w="1373" w:type="dxa"/>
            <w:tcBorders>
              <w:top w:val="single" w:sz="4" w:space="0" w:color="FFFFFF"/>
              <w:left w:val="single" w:sz="4" w:space="0" w:color="auto"/>
              <w:bottom w:val="single" w:sz="4" w:space="0" w:color="auto"/>
              <w:right w:val="single" w:sz="4" w:space="0" w:color="auto"/>
            </w:tcBorders>
            <w:shd w:val="clear" w:color="auto" w:fill="FFFFFF"/>
            <w:noWrap/>
            <w:textDirection w:val="lrTb"/>
            <w:vAlign w:val="center"/>
          </w:tcPr>
          <w:p w:rsidR="00E576A5" w:rsidRPr="00870857" w:rsidP="003463D4">
            <w:pPr>
              <w:bidi w:val="0"/>
              <w:jc w:val="center"/>
              <w:rPr>
                <w:rFonts w:ascii="Times New Roman" w:hAnsi="Times New Roman"/>
                <w:b/>
                <w:sz w:val="20"/>
                <w:szCs w:val="20"/>
              </w:rPr>
            </w:pPr>
            <w:r w:rsidRPr="00870857">
              <w:rPr>
                <w:rFonts w:ascii="Times New Roman" w:hAnsi="Times New Roman"/>
                <w:b/>
                <w:sz w:val="20"/>
                <w:szCs w:val="20"/>
              </w:rPr>
              <w:t>2</w:t>
            </w:r>
          </w:p>
        </w:tc>
        <w:tc>
          <w:tcPr>
            <w:tcW w:w="1471"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E576A5" w:rsidRPr="00870857" w:rsidP="003463D4">
            <w:pPr>
              <w:bidi w:val="0"/>
              <w:jc w:val="center"/>
              <w:rPr>
                <w:rFonts w:ascii="Times New Roman" w:hAnsi="Times New Roman"/>
                <w:b/>
                <w:sz w:val="20"/>
                <w:szCs w:val="20"/>
              </w:rPr>
            </w:pPr>
            <w:r w:rsidRPr="00870857">
              <w:rPr>
                <w:rFonts w:ascii="Times New Roman" w:hAnsi="Times New Roman"/>
                <w:b/>
                <w:sz w:val="20"/>
                <w:szCs w:val="20"/>
              </w:rPr>
              <w:t>3</w:t>
            </w:r>
          </w:p>
        </w:tc>
      </w:tr>
      <w:tr>
        <w:tblPrEx>
          <w:tblW w:w="8747" w:type="dxa"/>
          <w:jc w:val="center"/>
          <w:tblInd w:w="41" w:type="dxa"/>
          <w:tblCellMar>
            <w:left w:w="70" w:type="dxa"/>
            <w:right w:w="70" w:type="dxa"/>
          </w:tblCellMar>
        </w:tblPrEx>
        <w:trPr>
          <w:trHeight w:val="394"/>
          <w:jc w:val="center"/>
        </w:trPr>
        <w:tc>
          <w:tcPr>
            <w:tcW w:w="4558" w:type="dxa"/>
            <w:tcBorders>
              <w:top w:val="single" w:sz="4" w:space="0" w:color="auto"/>
              <w:left w:val="single" w:sz="4" w:space="0" w:color="auto"/>
              <w:bottom w:val="single" w:sz="4" w:space="0" w:color="auto"/>
              <w:right w:val="single" w:sz="4" w:space="0" w:color="auto"/>
            </w:tcBorders>
            <w:noWrap/>
            <w:textDirection w:val="lrTb"/>
            <w:vAlign w:val="center"/>
          </w:tcPr>
          <w:p w:rsidR="00E576A5" w:rsidRPr="009C3082" w:rsidP="003463D4">
            <w:pPr>
              <w:bidi w:val="0"/>
              <w:rPr>
                <w:rFonts w:ascii="Times New Roman" w:hAnsi="Times New Roman"/>
                <w:bCs/>
                <w:sz w:val="20"/>
                <w:szCs w:val="20"/>
              </w:rPr>
            </w:pPr>
            <w:r w:rsidRPr="009C3082">
              <w:rPr>
                <w:rFonts w:ascii="Times New Roman" w:hAnsi="Times New Roman"/>
                <w:bCs/>
                <w:sz w:val="20"/>
                <w:szCs w:val="20"/>
              </w:rPr>
              <w:t>Prevod podielu dane z príjmov FO na osobitný účel</w:t>
            </w:r>
          </w:p>
        </w:tc>
        <w:tc>
          <w:tcPr>
            <w:tcW w:w="1345" w:type="dxa"/>
            <w:tcBorders>
              <w:top w:val="single" w:sz="4" w:space="0" w:color="auto"/>
              <w:left w:val="nil"/>
              <w:bottom w:val="single" w:sz="4" w:space="0" w:color="auto"/>
              <w:right w:val="single" w:sz="4" w:space="0" w:color="auto"/>
            </w:tcBorders>
            <w:shd w:val="clear" w:color="auto" w:fill="D9D9D9"/>
            <w:noWrap/>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16 526</w:t>
            </w:r>
          </w:p>
        </w:tc>
        <w:tc>
          <w:tcPr>
            <w:tcW w:w="1373" w:type="dxa"/>
            <w:tcBorders>
              <w:top w:val="single" w:sz="4" w:space="0" w:color="auto"/>
              <w:left w:val="nil"/>
              <w:bottom w:val="single" w:sz="4" w:space="0" w:color="auto"/>
              <w:right w:val="single" w:sz="4" w:space="0" w:color="auto"/>
            </w:tcBorders>
            <w:noWrap/>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15 553</w:t>
            </w:r>
          </w:p>
        </w:tc>
        <w:tc>
          <w:tcPr>
            <w:tcW w:w="1471" w:type="dxa"/>
            <w:tcBorders>
              <w:top w:val="single" w:sz="4" w:space="0" w:color="auto"/>
              <w:left w:val="nil"/>
              <w:bottom w:val="single" w:sz="4" w:space="0" w:color="auto"/>
              <w:right w:val="single" w:sz="4" w:space="0" w:color="auto"/>
            </w:tcBorders>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17 684</w:t>
            </w:r>
          </w:p>
        </w:tc>
      </w:tr>
      <w:tr>
        <w:tblPrEx>
          <w:tblW w:w="8747" w:type="dxa"/>
          <w:jc w:val="center"/>
          <w:tblInd w:w="41" w:type="dxa"/>
          <w:tblCellMar>
            <w:left w:w="70" w:type="dxa"/>
            <w:right w:w="70" w:type="dxa"/>
          </w:tblCellMar>
        </w:tblPrEx>
        <w:trPr>
          <w:trHeight w:val="394"/>
          <w:jc w:val="center"/>
        </w:trPr>
        <w:tc>
          <w:tcPr>
            <w:tcW w:w="4558" w:type="dxa"/>
            <w:tcBorders>
              <w:top w:val="single" w:sz="4" w:space="0" w:color="auto"/>
              <w:left w:val="single" w:sz="4" w:space="0" w:color="auto"/>
              <w:bottom w:val="double" w:sz="4" w:space="0" w:color="auto"/>
              <w:right w:val="single" w:sz="4" w:space="0" w:color="auto"/>
            </w:tcBorders>
            <w:noWrap/>
            <w:textDirection w:val="lrTb"/>
            <w:vAlign w:val="center"/>
          </w:tcPr>
          <w:p w:rsidR="00E576A5" w:rsidRPr="009C3082" w:rsidP="003463D4">
            <w:pPr>
              <w:bidi w:val="0"/>
              <w:rPr>
                <w:rFonts w:ascii="Times New Roman" w:hAnsi="Times New Roman"/>
                <w:bCs/>
                <w:sz w:val="20"/>
                <w:szCs w:val="20"/>
              </w:rPr>
            </w:pPr>
            <w:r w:rsidR="00C36624">
              <w:rPr>
                <w:rFonts w:ascii="Times New Roman" w:hAnsi="Times New Roman"/>
                <w:bCs/>
                <w:sz w:val="20"/>
                <w:szCs w:val="20"/>
              </w:rPr>
              <w:t xml:space="preserve">Prevod podielu dane z príjmov </w:t>
            </w:r>
            <w:r w:rsidRPr="009C3082">
              <w:rPr>
                <w:rFonts w:ascii="Times New Roman" w:hAnsi="Times New Roman"/>
                <w:bCs/>
                <w:sz w:val="20"/>
                <w:szCs w:val="20"/>
              </w:rPr>
              <w:t>PO na osobitný účel</w:t>
            </w:r>
          </w:p>
        </w:tc>
        <w:tc>
          <w:tcPr>
            <w:tcW w:w="1345" w:type="dxa"/>
            <w:tcBorders>
              <w:top w:val="single" w:sz="4" w:space="0" w:color="auto"/>
              <w:left w:val="nil"/>
              <w:bottom w:val="double" w:sz="4" w:space="0" w:color="auto"/>
              <w:right w:val="single" w:sz="4" w:space="0" w:color="auto"/>
            </w:tcBorders>
            <w:shd w:val="clear" w:color="auto" w:fill="D9D9D9"/>
            <w:noWrap/>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25 444</w:t>
            </w:r>
          </w:p>
        </w:tc>
        <w:tc>
          <w:tcPr>
            <w:tcW w:w="1373" w:type="dxa"/>
            <w:tcBorders>
              <w:top w:val="single" w:sz="4" w:space="0" w:color="auto"/>
              <w:left w:val="nil"/>
              <w:bottom w:val="double" w:sz="4" w:space="0" w:color="auto"/>
              <w:right w:val="single" w:sz="4" w:space="0" w:color="auto"/>
            </w:tcBorders>
            <w:noWrap/>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28 592</w:t>
            </w:r>
          </w:p>
        </w:tc>
        <w:tc>
          <w:tcPr>
            <w:tcW w:w="1471" w:type="dxa"/>
            <w:tcBorders>
              <w:top w:val="single" w:sz="4" w:space="0" w:color="auto"/>
              <w:left w:val="nil"/>
              <w:bottom w:val="double" w:sz="4" w:space="0" w:color="auto"/>
              <w:right w:val="single" w:sz="4" w:space="0" w:color="auto"/>
            </w:tcBorders>
            <w:textDirection w:val="lrTb"/>
            <w:vAlign w:val="center"/>
          </w:tcPr>
          <w:p w:rsidR="00E576A5" w:rsidRPr="009C3082" w:rsidP="003463D4">
            <w:pPr>
              <w:bidi w:val="0"/>
              <w:jc w:val="right"/>
              <w:rPr>
                <w:rFonts w:ascii="Times New Roman" w:hAnsi="Times New Roman"/>
                <w:bCs/>
                <w:sz w:val="20"/>
                <w:szCs w:val="20"/>
              </w:rPr>
            </w:pPr>
            <w:r w:rsidRPr="009C3082">
              <w:rPr>
                <w:rFonts w:ascii="Times New Roman" w:hAnsi="Times New Roman"/>
                <w:bCs/>
                <w:sz w:val="20"/>
                <w:szCs w:val="20"/>
              </w:rPr>
              <w:t>37 496</w:t>
            </w:r>
          </w:p>
        </w:tc>
      </w:tr>
      <w:tr>
        <w:tblPrEx>
          <w:tblW w:w="8747" w:type="dxa"/>
          <w:jc w:val="center"/>
          <w:tblInd w:w="41" w:type="dxa"/>
          <w:tblCellMar>
            <w:left w:w="70" w:type="dxa"/>
            <w:right w:w="70" w:type="dxa"/>
          </w:tblCellMar>
        </w:tblPrEx>
        <w:trPr>
          <w:trHeight w:val="394"/>
          <w:jc w:val="center"/>
        </w:trPr>
        <w:tc>
          <w:tcPr>
            <w:tcW w:w="4558" w:type="dxa"/>
            <w:tcBorders>
              <w:top w:val="double" w:sz="4" w:space="0" w:color="auto"/>
              <w:left w:val="single" w:sz="4" w:space="0" w:color="auto"/>
              <w:bottom w:val="single" w:sz="4" w:space="0" w:color="auto"/>
              <w:right w:val="single" w:sz="4" w:space="0" w:color="auto"/>
            </w:tcBorders>
            <w:noWrap/>
            <w:textDirection w:val="lrTb"/>
            <w:vAlign w:val="center"/>
          </w:tcPr>
          <w:p w:rsidR="00E576A5" w:rsidRPr="009C3082" w:rsidP="003463D4">
            <w:pPr>
              <w:bidi w:val="0"/>
              <w:rPr>
                <w:rFonts w:ascii="Times New Roman" w:hAnsi="Times New Roman"/>
                <w:b/>
                <w:bCs/>
                <w:sz w:val="20"/>
                <w:szCs w:val="20"/>
              </w:rPr>
            </w:pPr>
            <w:r w:rsidRPr="009C3082">
              <w:rPr>
                <w:rFonts w:ascii="Times New Roman" w:hAnsi="Times New Roman"/>
                <w:b/>
                <w:bCs/>
                <w:sz w:val="20"/>
                <w:szCs w:val="20"/>
              </w:rPr>
              <w:t>Spolu</w:t>
            </w:r>
          </w:p>
        </w:tc>
        <w:tc>
          <w:tcPr>
            <w:tcW w:w="1345" w:type="dxa"/>
            <w:tcBorders>
              <w:top w:val="double" w:sz="4" w:space="0" w:color="auto"/>
              <w:left w:val="nil"/>
              <w:bottom w:val="single" w:sz="4" w:space="0" w:color="auto"/>
              <w:right w:val="single" w:sz="4" w:space="0" w:color="auto"/>
            </w:tcBorders>
            <w:shd w:val="clear" w:color="auto" w:fill="D9D9D9"/>
            <w:noWrap/>
            <w:textDirection w:val="lrTb"/>
            <w:vAlign w:val="center"/>
          </w:tcPr>
          <w:p w:rsidR="00E576A5" w:rsidRPr="009C3082" w:rsidP="003463D4">
            <w:pPr>
              <w:bidi w:val="0"/>
              <w:jc w:val="right"/>
              <w:rPr>
                <w:rFonts w:ascii="Times New Roman" w:hAnsi="Times New Roman"/>
                <w:b/>
                <w:bCs/>
                <w:sz w:val="20"/>
                <w:szCs w:val="20"/>
              </w:rPr>
            </w:pPr>
            <w:r w:rsidRPr="009C3082">
              <w:rPr>
                <w:rFonts w:ascii="Times New Roman" w:hAnsi="Times New Roman"/>
                <w:b/>
                <w:bCs/>
                <w:sz w:val="20"/>
                <w:szCs w:val="20"/>
              </w:rPr>
              <w:t>41 970</w:t>
            </w:r>
          </w:p>
        </w:tc>
        <w:tc>
          <w:tcPr>
            <w:tcW w:w="1373" w:type="dxa"/>
            <w:tcBorders>
              <w:top w:val="double" w:sz="4" w:space="0" w:color="auto"/>
              <w:left w:val="nil"/>
              <w:bottom w:val="single" w:sz="4" w:space="0" w:color="auto"/>
              <w:right w:val="single" w:sz="4" w:space="0" w:color="auto"/>
            </w:tcBorders>
            <w:noWrap/>
            <w:textDirection w:val="lrTb"/>
            <w:vAlign w:val="center"/>
          </w:tcPr>
          <w:p w:rsidR="00E576A5" w:rsidRPr="009C3082" w:rsidP="003463D4">
            <w:pPr>
              <w:bidi w:val="0"/>
              <w:jc w:val="right"/>
              <w:rPr>
                <w:rFonts w:ascii="Times New Roman" w:hAnsi="Times New Roman"/>
                <w:b/>
                <w:bCs/>
                <w:sz w:val="20"/>
                <w:szCs w:val="20"/>
              </w:rPr>
            </w:pPr>
            <w:r w:rsidRPr="009C3082">
              <w:rPr>
                <w:rFonts w:ascii="Times New Roman" w:hAnsi="Times New Roman"/>
                <w:b/>
                <w:bCs/>
                <w:sz w:val="20"/>
                <w:szCs w:val="20"/>
              </w:rPr>
              <w:t>44 145</w:t>
            </w:r>
          </w:p>
        </w:tc>
        <w:tc>
          <w:tcPr>
            <w:tcW w:w="1471" w:type="dxa"/>
            <w:tcBorders>
              <w:top w:val="double" w:sz="4" w:space="0" w:color="auto"/>
              <w:left w:val="nil"/>
              <w:bottom w:val="single" w:sz="4" w:space="0" w:color="auto"/>
              <w:right w:val="single" w:sz="4" w:space="0" w:color="auto"/>
            </w:tcBorders>
            <w:textDirection w:val="lrTb"/>
            <w:vAlign w:val="center"/>
          </w:tcPr>
          <w:p w:rsidR="00E576A5" w:rsidRPr="009C3082" w:rsidP="003463D4">
            <w:pPr>
              <w:bidi w:val="0"/>
              <w:jc w:val="right"/>
              <w:rPr>
                <w:rFonts w:ascii="Times New Roman" w:hAnsi="Times New Roman"/>
                <w:b/>
                <w:bCs/>
                <w:sz w:val="20"/>
                <w:szCs w:val="20"/>
              </w:rPr>
            </w:pPr>
            <w:r w:rsidRPr="009C3082">
              <w:rPr>
                <w:rFonts w:ascii="Times New Roman" w:hAnsi="Times New Roman"/>
                <w:b/>
                <w:bCs/>
                <w:sz w:val="20"/>
                <w:szCs w:val="20"/>
              </w:rPr>
              <w:t>55 180</w:t>
            </w:r>
          </w:p>
        </w:tc>
      </w:tr>
    </w:tbl>
    <w:p w:rsidR="00E576A5" w:rsidP="00E576A5">
      <w:pPr>
        <w:bidi w:val="0"/>
        <w:spacing w:before="120" w:line="360" w:lineRule="auto"/>
        <w:ind w:left="-284" w:firstLine="568"/>
        <w:jc w:val="both"/>
        <w:rPr>
          <w:rFonts w:ascii="Times New Roman" w:hAnsi="Times New Roman"/>
          <w:sz w:val="20"/>
          <w:szCs w:val="20"/>
        </w:rPr>
      </w:pPr>
      <w:r w:rsidRPr="00F15B64">
        <w:rPr>
          <w:rFonts w:ascii="Times New Roman" w:hAnsi="Times New Roman"/>
          <w:sz w:val="20"/>
          <w:szCs w:val="20"/>
        </w:rPr>
        <w:t>Zdroj</w:t>
      </w:r>
      <w:r>
        <w:rPr>
          <w:rFonts w:ascii="Times New Roman" w:hAnsi="Times New Roman"/>
          <w:sz w:val="20"/>
          <w:szCs w:val="20"/>
        </w:rPr>
        <w:t>:</w:t>
      </w:r>
      <w:r w:rsidRPr="00F15B64">
        <w:rPr>
          <w:rFonts w:ascii="Times New Roman" w:hAnsi="Times New Roman"/>
          <w:sz w:val="20"/>
          <w:szCs w:val="20"/>
        </w:rPr>
        <w:t xml:space="preserve"> Ministerstvo financií</w:t>
      </w:r>
      <w:r>
        <w:rPr>
          <w:rFonts w:ascii="Times New Roman" w:hAnsi="Times New Roman"/>
          <w:sz w:val="20"/>
          <w:szCs w:val="20"/>
        </w:rPr>
        <w:t xml:space="preserve"> SR</w:t>
      </w:r>
    </w:p>
    <w:p w:rsidR="00961E88" w:rsidRPr="00C60745" w:rsidP="00E70B9F">
      <w:pPr>
        <w:bidi w:val="0"/>
        <w:spacing w:before="120" w:after="120" w:line="360" w:lineRule="auto"/>
        <w:jc w:val="both"/>
        <w:rPr>
          <w:rFonts w:ascii="Times New Roman" w:hAnsi="Times New Roman"/>
        </w:rPr>
      </w:pPr>
      <w:r>
        <w:rPr>
          <w:rFonts w:ascii="Times New Roman" w:hAnsi="Times New Roman"/>
        </w:rPr>
        <w:t xml:space="preserve">Podrobné údaje o plnení daňových príjmov štátneho rozpočtu 2011 sú uvedené v tab. </w:t>
      </w:r>
      <w:r w:rsidR="00757BA7">
        <w:rPr>
          <w:rFonts w:ascii="Times New Roman" w:hAnsi="Times New Roman"/>
        </w:rPr>
        <w:t>č</w:t>
      </w:r>
      <w:r w:rsidR="00FE426E">
        <w:rPr>
          <w:rFonts w:ascii="Times New Roman" w:hAnsi="Times New Roman"/>
        </w:rPr>
        <w:t>.</w:t>
      </w:r>
      <w:r>
        <w:rPr>
          <w:rFonts w:ascii="Times New Roman" w:hAnsi="Times New Roman"/>
        </w:rPr>
        <w:t xml:space="preserve"> 2 tabuľkovej </w:t>
      </w:r>
      <w:r w:rsidR="00FE426E">
        <w:rPr>
          <w:rFonts w:ascii="Times New Roman" w:hAnsi="Times New Roman"/>
        </w:rPr>
        <w:t>prílohy</w:t>
      </w:r>
      <w:r>
        <w:rPr>
          <w:rFonts w:ascii="Times New Roman" w:hAnsi="Times New Roman"/>
        </w:rPr>
        <w:t xml:space="preserve"> štátneho záverečného účtu</w:t>
      </w:r>
      <w:r w:rsidR="00545E0E">
        <w:rPr>
          <w:rFonts w:ascii="Times New Roman" w:hAnsi="Times New Roman"/>
        </w:rPr>
        <w:t>.</w:t>
      </w:r>
    </w:p>
    <w:p w:rsidR="00B07DEC" w:rsidP="00E70B9F">
      <w:pPr>
        <w:bidi w:val="0"/>
        <w:spacing w:before="120" w:after="120" w:line="360" w:lineRule="auto"/>
        <w:jc w:val="both"/>
        <w:rPr>
          <w:rFonts w:ascii="Times New Roman" w:hAnsi="Times New Roman"/>
        </w:rPr>
      </w:pPr>
      <w:r w:rsidR="004017AC">
        <w:rPr>
          <w:rFonts w:ascii="Times New Roman" w:hAnsi="Times New Roman"/>
        </w:rPr>
        <w:t xml:space="preserve">Podľa údajov </w:t>
      </w:r>
      <w:r w:rsidRPr="00C60745" w:rsidR="004017AC">
        <w:rPr>
          <w:rFonts w:ascii="Times New Roman" w:hAnsi="Times New Roman"/>
        </w:rPr>
        <w:t>Finančného riaditeľstva SR</w:t>
      </w:r>
      <w:r w:rsidR="004017AC">
        <w:rPr>
          <w:rFonts w:ascii="Times New Roman" w:hAnsi="Times New Roman"/>
        </w:rPr>
        <w:t xml:space="preserve"> </w:t>
      </w:r>
      <w:r w:rsidRPr="004017AC" w:rsidR="004017AC">
        <w:rPr>
          <w:rFonts w:ascii="Times New Roman" w:hAnsi="Times New Roman"/>
          <w:b/>
        </w:rPr>
        <w:t>d</w:t>
      </w:r>
      <w:r w:rsidRPr="004017AC">
        <w:rPr>
          <w:rFonts w:ascii="Times New Roman" w:hAnsi="Times New Roman"/>
          <w:b/>
        </w:rPr>
        <w:t>aňová správa</w:t>
      </w:r>
      <w:r>
        <w:rPr>
          <w:rFonts w:ascii="Times New Roman" w:hAnsi="Times New Roman"/>
        </w:rPr>
        <w:t xml:space="preserve"> k 31. 12. 2011 evidovala pohľadávky po lehote splatnosti v úhrnnej výške 1 830 128 tis. eur (o 178 083 tis. eur viac ako v roku 2010). Najvyššie pohľadávky sú pri dani z pridanej hodnoty (1 161 170 tis. eur), dani z príjmov právnických osôb (230 788 tis. eur) a sankciách uložených v daňovom konaní (pohľadávky pri sankciách na dani z pridanej hodnoty 449 604 tis. eur, na dani z príjmov fyzických a právnických osôb 244 366 tis. eur).</w:t>
      </w:r>
      <w:r w:rsidR="004017AC">
        <w:rPr>
          <w:rFonts w:ascii="Times New Roman" w:hAnsi="Times New Roman"/>
        </w:rPr>
        <w:t xml:space="preserve"> Za</w:t>
      </w:r>
      <w:r w:rsidRPr="00C60745">
        <w:rPr>
          <w:rFonts w:ascii="Times New Roman" w:hAnsi="Times New Roman"/>
        </w:rPr>
        <w:t xml:space="preserve"> </w:t>
      </w:r>
      <w:r w:rsidRPr="004017AC">
        <w:rPr>
          <w:rFonts w:ascii="Times New Roman" w:hAnsi="Times New Roman"/>
          <w:b/>
        </w:rPr>
        <w:t>colnú správu</w:t>
      </w:r>
      <w:r w:rsidRPr="00C60745">
        <w:rPr>
          <w:rFonts w:ascii="Times New Roman" w:hAnsi="Times New Roman"/>
        </w:rPr>
        <w:t xml:space="preserve"> dosiahla </w:t>
      </w:r>
      <w:r w:rsidR="004017AC">
        <w:rPr>
          <w:rFonts w:ascii="Times New Roman" w:hAnsi="Times New Roman"/>
        </w:rPr>
        <w:t xml:space="preserve">celková výška pohľadávok po lehote splatnosti </w:t>
      </w:r>
      <w:r w:rsidRPr="00C60745">
        <w:rPr>
          <w:rFonts w:ascii="Times New Roman" w:hAnsi="Times New Roman"/>
        </w:rPr>
        <w:t>k 31.</w:t>
      </w:r>
      <w:r>
        <w:rPr>
          <w:rFonts w:ascii="Times New Roman" w:hAnsi="Times New Roman"/>
        </w:rPr>
        <w:t xml:space="preserve"> </w:t>
      </w:r>
      <w:r w:rsidRPr="00C60745">
        <w:rPr>
          <w:rFonts w:ascii="Times New Roman" w:hAnsi="Times New Roman"/>
        </w:rPr>
        <w:t>12.</w:t>
      </w:r>
      <w:r>
        <w:rPr>
          <w:rFonts w:ascii="Times New Roman" w:hAnsi="Times New Roman"/>
        </w:rPr>
        <w:t xml:space="preserve"> </w:t>
      </w:r>
      <w:r w:rsidR="004017AC">
        <w:rPr>
          <w:rFonts w:ascii="Times New Roman" w:hAnsi="Times New Roman"/>
        </w:rPr>
        <w:t>2011 spolu 64 301 tis. eur, čo j</w:t>
      </w:r>
      <w:r w:rsidRPr="00C60745">
        <w:rPr>
          <w:rFonts w:ascii="Times New Roman" w:hAnsi="Times New Roman"/>
        </w:rPr>
        <w:t>e o 7 684 tis. eur menej ako v roku 2010.</w:t>
      </w:r>
      <w:r>
        <w:rPr>
          <w:rFonts w:ascii="Times New Roman" w:hAnsi="Times New Roman"/>
        </w:rPr>
        <w:t xml:space="preserve"> V rozhodujúcej miere ide o pohľadávky na spotrebných daniach (31 234 tis. eur), dani z pridanej hodnoty (15 288 tis. eur) a cle (5 202 tis. eur). Naopak, rôznymi formami vymáhania pohľadávok colné orgány vymohli </w:t>
      </w:r>
      <w:r w:rsidR="004017AC">
        <w:rPr>
          <w:rFonts w:ascii="Times New Roman" w:hAnsi="Times New Roman"/>
        </w:rPr>
        <w:t xml:space="preserve">v priebehu roku 2011 </w:t>
      </w:r>
      <w:r>
        <w:rPr>
          <w:rFonts w:ascii="Times New Roman" w:hAnsi="Times New Roman"/>
        </w:rPr>
        <w:t>spolu 2 613 tis. eur.</w:t>
      </w:r>
    </w:p>
    <w:p w:rsidR="00B07DEC" w:rsidRPr="00B07DEC" w:rsidP="00DD509A">
      <w:pPr>
        <w:pStyle w:val="Heading3"/>
        <w:bidi w:val="0"/>
        <w:spacing w:before="100" w:beforeAutospacing="1" w:after="100" w:afterAutospacing="1"/>
        <w:jc w:val="center"/>
        <w:rPr>
          <w:rFonts w:ascii="Times New Roman" w:hAnsi="Times New Roman"/>
          <w:color w:val="auto"/>
        </w:rPr>
      </w:pPr>
      <w:bookmarkStart w:id="23" w:name="_Toc322614756"/>
      <w:r w:rsidRPr="00B07DEC">
        <w:rPr>
          <w:rFonts w:ascii="Times New Roman" w:hAnsi="Times New Roman"/>
          <w:color w:val="auto"/>
        </w:rPr>
        <w:t>3.</w:t>
      </w:r>
      <w:r w:rsidR="00F8582D">
        <w:rPr>
          <w:rFonts w:ascii="Times New Roman" w:hAnsi="Times New Roman"/>
          <w:color w:val="auto"/>
        </w:rPr>
        <w:t>3</w:t>
      </w:r>
      <w:r w:rsidRPr="00B07DEC">
        <w:rPr>
          <w:rFonts w:ascii="Times New Roman" w:hAnsi="Times New Roman"/>
          <w:color w:val="auto"/>
        </w:rPr>
        <w:t>.2. Nedaňové príjmy</w:t>
      </w:r>
      <w:bookmarkEnd w:id="23"/>
    </w:p>
    <w:p w:rsidR="00B07DEC" w:rsidP="004C1F8C">
      <w:pPr>
        <w:bidi w:val="0"/>
        <w:spacing w:before="100" w:beforeAutospacing="1" w:after="100" w:afterAutospacing="1" w:line="360" w:lineRule="auto"/>
        <w:ind w:firstLine="709"/>
        <w:jc w:val="both"/>
        <w:rPr>
          <w:rFonts w:ascii="Times New Roman" w:hAnsi="Times New Roman"/>
        </w:rPr>
      </w:pPr>
      <w:r>
        <w:rPr>
          <w:rFonts w:ascii="Times New Roman" w:hAnsi="Times New Roman"/>
        </w:rPr>
        <w:t xml:space="preserve">Nedaňové príjmy sa podieľali na tvorbe celkových príjmoch nižším percentom ako ostatné druhy príjmov a tvorili ich </w:t>
      </w:r>
      <w:r w:rsidRPr="00D665EA">
        <w:rPr>
          <w:rFonts w:ascii="Times New Roman" w:hAnsi="Times New Roman"/>
        </w:rPr>
        <w:t xml:space="preserve">príjmy z vlastnej činnosti rozpočtových organizácií, príjmy z podnikania, z vlastníctva majetku, z jeho predaja, z administratívnych a súdnych poplatkov, pokút a penále, </w:t>
      </w:r>
      <w:r>
        <w:rPr>
          <w:rFonts w:ascii="Times New Roman" w:hAnsi="Times New Roman"/>
        </w:rPr>
        <w:t xml:space="preserve">predaja pozemkov a kapitálových aktív, </w:t>
      </w:r>
      <w:r w:rsidRPr="00D665EA">
        <w:rPr>
          <w:rFonts w:ascii="Times New Roman" w:hAnsi="Times New Roman"/>
        </w:rPr>
        <w:t>úrokov a</w:t>
      </w:r>
      <w:r>
        <w:rPr>
          <w:rFonts w:ascii="Times New Roman" w:hAnsi="Times New Roman"/>
        </w:rPr>
        <w:t> iných nedaňových príjmov. Ich podiel na celkových príjmoch sa v priebehu roka 2011 pohyboval v rozmedzí 4 – 8 %.</w:t>
      </w:r>
    </w:p>
    <w:p w:rsidR="006F3414" w:rsidP="006F3414">
      <w:pPr>
        <w:bidi w:val="0"/>
        <w:spacing w:line="360" w:lineRule="auto"/>
        <w:jc w:val="both"/>
        <w:rPr>
          <w:rFonts w:ascii="Times New Roman" w:hAnsi="Times New Roman"/>
        </w:rPr>
      </w:pPr>
      <w:r w:rsidRPr="00D665EA" w:rsidR="00B07DEC">
        <w:rPr>
          <w:rFonts w:ascii="Times New Roman" w:hAnsi="Times New Roman"/>
        </w:rPr>
        <w:t>Súhrnný prehľad o plnení nedaňových príjmov poskytuj</w:t>
      </w:r>
      <w:r w:rsidR="009839C3">
        <w:rPr>
          <w:rFonts w:ascii="Times New Roman" w:hAnsi="Times New Roman"/>
        </w:rPr>
        <w:t>e</w:t>
      </w:r>
      <w:r w:rsidRPr="00D665EA" w:rsidR="00B07DEC">
        <w:rPr>
          <w:rFonts w:ascii="Times New Roman" w:hAnsi="Times New Roman"/>
        </w:rPr>
        <w:t xml:space="preserve"> nasledovn</w:t>
      </w:r>
      <w:r w:rsidR="009839C3">
        <w:rPr>
          <w:rFonts w:ascii="Times New Roman" w:hAnsi="Times New Roman"/>
        </w:rPr>
        <w:t>á</w:t>
      </w:r>
      <w:r w:rsidRPr="00D665EA" w:rsidR="00B07DEC">
        <w:rPr>
          <w:rFonts w:ascii="Times New Roman" w:hAnsi="Times New Roman"/>
        </w:rPr>
        <w:t xml:space="preserve"> </w:t>
      </w:r>
      <w:r w:rsidR="009839C3">
        <w:rPr>
          <w:rFonts w:ascii="Times New Roman" w:hAnsi="Times New Roman"/>
        </w:rPr>
        <w:t>tabuľka</w:t>
      </w:r>
      <w:r>
        <w:rPr>
          <w:rStyle w:val="FootnoteReference"/>
          <w:rFonts w:ascii="Times New Roman" w:hAnsi="Times New Roman"/>
          <w:rtl w:val="0"/>
        </w:rPr>
        <w:footnoteReference w:customMarkFollows="1" w:id="10"/>
        <w:t xml:space="preserve">9</w:t>
      </w:r>
      <w:r w:rsidR="00D64604">
        <w:rPr>
          <w:rStyle w:val="FootnoteReference"/>
          <w:rFonts w:ascii="Times New Roman" w:hAnsi="Times New Roman"/>
        </w:rPr>
        <w:t>)</w:t>
      </w:r>
      <w:r>
        <w:rPr>
          <w:rFonts w:ascii="Times New Roman" w:hAnsi="Times New Roman"/>
        </w:rPr>
        <w:t>:</w:t>
      </w:r>
    </w:p>
    <w:tbl>
      <w:tblPr>
        <w:tblStyle w:val="TableNormal"/>
        <w:tblW w:w="9346"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089"/>
        <w:gridCol w:w="1147"/>
        <w:gridCol w:w="1134"/>
        <w:gridCol w:w="992"/>
        <w:gridCol w:w="967"/>
        <w:gridCol w:w="26"/>
        <w:gridCol w:w="837"/>
        <w:gridCol w:w="1154"/>
      </w:tblGrid>
      <w:tr>
        <w:tblPrEx>
          <w:tblW w:w="9346"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84"/>
          <w:jc w:val="center"/>
        </w:trPr>
        <w:tc>
          <w:tcPr>
            <w:tcW w:w="3089"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4017AC" w:rsidP="002F2B2A">
            <w:pPr>
              <w:bidi w:val="0"/>
              <w:jc w:val="center"/>
              <w:rPr>
                <w:rFonts w:ascii="Times New Roman" w:hAnsi="Times New Roman"/>
                <w:b/>
                <w:bCs/>
                <w:sz w:val="20"/>
                <w:szCs w:val="20"/>
              </w:rPr>
            </w:pPr>
            <w:r w:rsidRPr="004017AC">
              <w:rPr>
                <w:rFonts w:ascii="Times New Roman" w:hAnsi="Times New Roman"/>
                <w:b/>
                <w:bCs/>
                <w:sz w:val="20"/>
                <w:szCs w:val="20"/>
              </w:rPr>
              <w:t>Ukazovateľ</w:t>
            </w:r>
          </w:p>
          <w:p w:rsidR="00CA1A94" w:rsidRPr="004017AC" w:rsidP="002F2B2A">
            <w:pPr>
              <w:bidi w:val="0"/>
              <w:jc w:val="center"/>
              <w:rPr>
                <w:rFonts w:ascii="Times New Roman" w:hAnsi="Times New Roman"/>
                <w:b/>
                <w:bCs/>
                <w:sz w:val="20"/>
                <w:szCs w:val="20"/>
              </w:rPr>
            </w:pPr>
          </w:p>
          <w:p w:rsidR="00CA1A94" w:rsidRPr="00FB4D25" w:rsidP="00FB4D25">
            <w:pPr>
              <w:bidi w:val="0"/>
              <w:rPr>
                <w:rFonts w:ascii="Times New Roman" w:hAnsi="Times New Roman"/>
                <w:b/>
                <w:bCs/>
                <w:sz w:val="16"/>
                <w:szCs w:val="16"/>
              </w:rPr>
            </w:pPr>
            <w:r w:rsidRPr="004017AC">
              <w:rPr>
                <w:rFonts w:ascii="Times New Roman" w:hAnsi="Times New Roman"/>
                <w:b/>
                <w:bCs/>
                <w:sz w:val="20"/>
                <w:szCs w:val="20"/>
              </w:rPr>
              <w:t>(v tis. eur)</w:t>
            </w:r>
          </w:p>
        </w:tc>
        <w:tc>
          <w:tcPr>
            <w:tcW w:w="2281" w:type="dxa"/>
            <w:gridSpan w:val="2"/>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CA1A94" w:rsidRPr="009C3082" w:rsidP="002F2B2A">
            <w:pPr>
              <w:bidi w:val="0"/>
              <w:ind w:firstLine="280"/>
              <w:jc w:val="center"/>
              <w:rPr>
                <w:rFonts w:ascii="Times New Roman" w:hAnsi="Times New Roman"/>
                <w:b/>
                <w:bCs/>
                <w:sz w:val="20"/>
                <w:szCs w:val="20"/>
              </w:rPr>
            </w:pPr>
            <w:r w:rsidRPr="009C3082">
              <w:rPr>
                <w:rFonts w:ascii="Times New Roman" w:hAnsi="Times New Roman"/>
                <w:b/>
                <w:bCs/>
                <w:sz w:val="20"/>
                <w:szCs w:val="20"/>
              </w:rPr>
              <w:t>Rozpočet 2011</w:t>
            </w:r>
          </w:p>
        </w:tc>
        <w:tc>
          <w:tcPr>
            <w:tcW w:w="2822"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Skutočnosť</w:t>
            </w:r>
          </w:p>
        </w:tc>
        <w:tc>
          <w:tcPr>
            <w:tcW w:w="1154"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Rozdiel</w:t>
            </w:r>
          </w:p>
        </w:tc>
      </w:tr>
      <w:tr>
        <w:tblPrEx>
          <w:tblW w:w="9346" w:type="dxa"/>
          <w:jc w:val="center"/>
          <w:tblInd w:w="121" w:type="dxa"/>
          <w:tblCellMar>
            <w:left w:w="70" w:type="dxa"/>
            <w:right w:w="70" w:type="dxa"/>
          </w:tblCellMar>
        </w:tblPrEx>
        <w:trPr>
          <w:trHeight w:val="454"/>
          <w:jc w:val="center"/>
        </w:trPr>
        <w:tc>
          <w:tcPr>
            <w:tcW w:w="3089" w:type="dxa"/>
            <w:vMerge/>
            <w:tcBorders>
              <w:top w:val="single" w:sz="4" w:space="0" w:color="auto"/>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rPr>
                <w:rFonts w:ascii="Times New Roman" w:hAnsi="Times New Roman"/>
                <w:b/>
                <w:bCs/>
                <w:sz w:val="20"/>
                <w:szCs w:val="20"/>
              </w:rPr>
            </w:pPr>
          </w:p>
        </w:tc>
        <w:tc>
          <w:tcPr>
            <w:tcW w:w="114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schválený</w:t>
            </w:r>
          </w:p>
        </w:tc>
        <w:tc>
          <w:tcPr>
            <w:tcW w:w="113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upravený</w:t>
            </w:r>
          </w:p>
        </w:tc>
        <w:tc>
          <w:tcPr>
            <w:tcW w:w="99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2011</w:t>
            </w:r>
          </w:p>
        </w:tc>
        <w:tc>
          <w:tcPr>
            <w:tcW w:w="993" w:type="dxa"/>
            <w:gridSpan w:val="2"/>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2010</w:t>
            </w:r>
          </w:p>
        </w:tc>
        <w:tc>
          <w:tcPr>
            <w:tcW w:w="83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2F2B2A">
            <w:pPr>
              <w:bidi w:val="0"/>
              <w:jc w:val="center"/>
              <w:rPr>
                <w:rFonts w:ascii="Times New Roman" w:hAnsi="Times New Roman"/>
                <w:b/>
                <w:bCs/>
                <w:sz w:val="20"/>
                <w:szCs w:val="20"/>
              </w:rPr>
            </w:pPr>
            <w:r w:rsidRPr="009C3082">
              <w:rPr>
                <w:rFonts w:ascii="Times New Roman" w:hAnsi="Times New Roman"/>
                <w:b/>
                <w:bCs/>
                <w:sz w:val="20"/>
                <w:szCs w:val="20"/>
              </w:rPr>
              <w:t>2009</w:t>
            </w:r>
          </w:p>
        </w:tc>
        <w:tc>
          <w:tcPr>
            <w:tcW w:w="1154"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top"/>
          </w:tcPr>
          <w:p w:rsidR="00CA1A94" w:rsidRPr="009C3082" w:rsidP="002F2B2A">
            <w:pPr>
              <w:bidi w:val="0"/>
              <w:jc w:val="center"/>
              <w:rPr>
                <w:rFonts w:ascii="Times New Roman" w:hAnsi="Times New Roman"/>
                <w:b/>
                <w:bCs/>
                <w:sz w:val="20"/>
                <w:szCs w:val="20"/>
              </w:rPr>
            </w:pPr>
          </w:p>
        </w:tc>
      </w:tr>
      <w:tr>
        <w:tblPrEx>
          <w:tblW w:w="9346" w:type="dxa"/>
          <w:jc w:val="center"/>
          <w:tblInd w:w="121" w:type="dxa"/>
          <w:tblCellMar>
            <w:left w:w="70" w:type="dxa"/>
            <w:right w:w="70" w:type="dxa"/>
          </w:tblCellMar>
        </w:tblPrEx>
        <w:trPr>
          <w:trHeight w:val="318"/>
          <w:jc w:val="center"/>
        </w:trPr>
        <w:tc>
          <w:tcPr>
            <w:tcW w:w="308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F2B2A" w:rsidRPr="009C3082" w:rsidP="002F2B2A">
            <w:pPr>
              <w:bidi w:val="0"/>
              <w:rPr>
                <w:rFonts w:ascii="Times New Roman" w:hAnsi="Times New Roman"/>
                <w:b/>
                <w:bCs/>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4</w:t>
            </w:r>
          </w:p>
        </w:tc>
        <w:tc>
          <w:tcPr>
            <w:tcW w:w="83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5</w:t>
            </w:r>
          </w:p>
        </w:tc>
        <w:tc>
          <w:tcPr>
            <w:tcW w:w="1154"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F2B2A" w:rsidRPr="00A92219" w:rsidP="002F2B2A">
            <w:pPr>
              <w:bidi w:val="0"/>
              <w:jc w:val="center"/>
              <w:rPr>
                <w:rFonts w:ascii="Times New Roman" w:hAnsi="Times New Roman"/>
                <w:b/>
                <w:sz w:val="20"/>
                <w:szCs w:val="20"/>
              </w:rPr>
            </w:pPr>
            <w:r w:rsidRPr="00A92219">
              <w:rPr>
                <w:rFonts w:ascii="Times New Roman" w:hAnsi="Times New Roman"/>
                <w:b/>
                <w:sz w:val="20"/>
                <w:szCs w:val="20"/>
              </w:rPr>
              <w:t>6=3-2</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single" w:sz="4" w:space="0" w:color="auto"/>
              <w:left w:val="single" w:sz="4" w:space="0" w:color="auto"/>
              <w:bottom w:val="single" w:sz="4" w:space="0" w:color="auto"/>
              <w:right w:val="single" w:sz="4" w:space="0" w:color="auto"/>
            </w:tcBorders>
            <w:noWrap/>
            <w:textDirection w:val="lrTb"/>
            <w:vAlign w:val="center"/>
          </w:tcPr>
          <w:p w:rsidR="00B07DEC" w:rsidRPr="009839C3" w:rsidP="00351C21">
            <w:pPr>
              <w:bidi w:val="0"/>
              <w:rPr>
                <w:rFonts w:ascii="Times New Roman" w:hAnsi="Times New Roman"/>
                <w:bCs/>
                <w:sz w:val="20"/>
                <w:szCs w:val="20"/>
              </w:rPr>
            </w:pPr>
            <w:r w:rsidRPr="009839C3">
              <w:rPr>
                <w:rFonts w:ascii="Times New Roman" w:hAnsi="Times New Roman"/>
                <w:bCs/>
                <w:sz w:val="20"/>
                <w:szCs w:val="20"/>
              </w:rPr>
              <w:t xml:space="preserve">Príjmy z podnikania a z vlastníctva majetku </w:t>
            </w:r>
          </w:p>
        </w:tc>
        <w:tc>
          <w:tcPr>
            <w:tcW w:w="1147" w:type="dxa"/>
            <w:tcBorders>
              <w:top w:val="single" w:sz="4" w:space="0" w:color="auto"/>
              <w:left w:val="nil"/>
              <w:bottom w:val="single" w:sz="4" w:space="0" w:color="auto"/>
              <w:right w:val="single" w:sz="4" w:space="0" w:color="auto"/>
            </w:tcBorders>
            <w:noWrap/>
            <w:textDirection w:val="lrTb"/>
            <w:vAlign w:val="center"/>
          </w:tcPr>
          <w:p w:rsidR="00B07DEC" w:rsidRPr="009839C3" w:rsidP="00FD1E7F">
            <w:pPr>
              <w:bidi w:val="0"/>
              <w:jc w:val="right"/>
              <w:rPr>
                <w:rFonts w:ascii="Times New Roman" w:hAnsi="Times New Roman"/>
                <w:bCs/>
                <w:sz w:val="20"/>
                <w:szCs w:val="20"/>
              </w:rPr>
            </w:pPr>
            <w:r w:rsidRPr="009839C3">
              <w:rPr>
                <w:rFonts w:ascii="Times New Roman" w:hAnsi="Times New Roman"/>
                <w:bCs/>
                <w:sz w:val="20"/>
                <w:szCs w:val="20"/>
              </w:rPr>
              <w:t>99 51</w:t>
            </w:r>
            <w:r w:rsidR="00FD1E7F">
              <w:rPr>
                <w:rFonts w:ascii="Times New Roman" w:hAnsi="Times New Roman"/>
                <w:bCs/>
                <w:sz w:val="20"/>
                <w:szCs w:val="20"/>
              </w:rPr>
              <w:t>4</w:t>
            </w:r>
          </w:p>
        </w:tc>
        <w:tc>
          <w:tcPr>
            <w:tcW w:w="1134" w:type="dxa"/>
            <w:tcBorders>
              <w:top w:val="single" w:sz="4" w:space="0" w:color="auto"/>
              <w:left w:val="nil"/>
              <w:bottom w:val="single" w:sz="4" w:space="0" w:color="auto"/>
              <w:right w:val="single" w:sz="4" w:space="0" w:color="auto"/>
            </w:tcBorders>
            <w:noWrap/>
            <w:textDirection w:val="lrTb"/>
            <w:vAlign w:val="center"/>
          </w:tcPr>
          <w:p w:rsidR="00B07DEC" w:rsidRPr="009839C3" w:rsidP="00FD1E7F">
            <w:pPr>
              <w:bidi w:val="0"/>
              <w:jc w:val="right"/>
              <w:rPr>
                <w:rFonts w:ascii="Times New Roman" w:hAnsi="Times New Roman"/>
                <w:bCs/>
                <w:sz w:val="20"/>
                <w:szCs w:val="20"/>
              </w:rPr>
            </w:pPr>
            <w:r w:rsidRPr="009839C3">
              <w:rPr>
                <w:rFonts w:ascii="Times New Roman" w:hAnsi="Times New Roman"/>
                <w:bCs/>
                <w:sz w:val="20"/>
                <w:szCs w:val="20"/>
              </w:rPr>
              <w:t>98 86</w:t>
            </w:r>
            <w:r w:rsidR="00FD1E7F">
              <w:rPr>
                <w:rFonts w:ascii="Times New Roman" w:hAnsi="Times New Roman"/>
                <w:bCs/>
                <w:sz w:val="20"/>
                <w:szCs w:val="20"/>
              </w:rPr>
              <w:t>8</w:t>
            </w:r>
          </w:p>
        </w:tc>
        <w:tc>
          <w:tcPr>
            <w:tcW w:w="992" w:type="dxa"/>
            <w:tcBorders>
              <w:top w:val="single" w:sz="4" w:space="0" w:color="auto"/>
              <w:left w:val="nil"/>
              <w:bottom w:val="single" w:sz="4" w:space="0" w:color="auto"/>
              <w:right w:val="single" w:sz="4" w:space="0" w:color="auto"/>
            </w:tcBorders>
            <w:shd w:val="clear" w:color="auto" w:fill="D9D9D9"/>
            <w:noWrap/>
            <w:textDirection w:val="lrTb"/>
            <w:vAlign w:val="center"/>
          </w:tcPr>
          <w:p w:rsidR="00B07DEC" w:rsidRPr="009839C3" w:rsidP="00FD1E7F">
            <w:pPr>
              <w:bidi w:val="0"/>
              <w:jc w:val="right"/>
              <w:rPr>
                <w:rFonts w:ascii="Times New Roman" w:hAnsi="Times New Roman"/>
                <w:bCs/>
                <w:sz w:val="20"/>
                <w:szCs w:val="20"/>
              </w:rPr>
            </w:pPr>
            <w:r w:rsidRPr="009839C3">
              <w:rPr>
                <w:rFonts w:ascii="Times New Roman" w:hAnsi="Times New Roman"/>
                <w:bCs/>
                <w:sz w:val="20"/>
                <w:szCs w:val="20"/>
              </w:rPr>
              <w:t>110 3</w:t>
            </w:r>
            <w:r w:rsidR="00FD1E7F">
              <w:rPr>
                <w:rFonts w:ascii="Times New Roman" w:hAnsi="Times New Roman"/>
                <w:bCs/>
                <w:sz w:val="20"/>
                <w:szCs w:val="20"/>
              </w:rPr>
              <w:t>51</w:t>
            </w:r>
          </w:p>
        </w:tc>
        <w:tc>
          <w:tcPr>
            <w:tcW w:w="967" w:type="dxa"/>
            <w:tcBorders>
              <w:top w:val="single" w:sz="4" w:space="0" w:color="auto"/>
              <w:left w:val="nil"/>
              <w:bottom w:val="single" w:sz="4" w:space="0" w:color="auto"/>
              <w:right w:val="single" w:sz="4" w:space="0" w:color="auto"/>
            </w:tcBorders>
            <w:noWrap/>
            <w:textDirection w:val="lrTb"/>
            <w:vAlign w:val="center"/>
          </w:tcPr>
          <w:p w:rsidR="00B07DEC" w:rsidRPr="009839C3" w:rsidP="00351C21">
            <w:pPr>
              <w:bidi w:val="0"/>
              <w:jc w:val="right"/>
              <w:rPr>
                <w:rFonts w:ascii="Times New Roman" w:hAnsi="Times New Roman"/>
                <w:bCs/>
                <w:sz w:val="20"/>
                <w:szCs w:val="20"/>
              </w:rPr>
            </w:pPr>
            <w:r w:rsidRPr="009839C3">
              <w:rPr>
                <w:rFonts w:ascii="Times New Roman" w:hAnsi="Times New Roman"/>
                <w:bCs/>
                <w:sz w:val="20"/>
                <w:szCs w:val="20"/>
              </w:rPr>
              <w:t xml:space="preserve"> 78 227</w:t>
            </w:r>
          </w:p>
        </w:tc>
        <w:tc>
          <w:tcPr>
            <w:tcW w:w="863" w:type="dxa"/>
            <w:gridSpan w:val="2"/>
            <w:tcBorders>
              <w:top w:val="single" w:sz="4" w:space="0" w:color="auto"/>
              <w:left w:val="nil"/>
              <w:bottom w:val="single" w:sz="4" w:space="0" w:color="auto"/>
              <w:right w:val="single" w:sz="4" w:space="0" w:color="auto"/>
            </w:tcBorders>
            <w:noWrap/>
            <w:textDirection w:val="lrTb"/>
            <w:vAlign w:val="center"/>
          </w:tcPr>
          <w:p w:rsidR="00B07DEC" w:rsidRPr="009839C3" w:rsidP="00351C21">
            <w:pPr>
              <w:bidi w:val="0"/>
              <w:jc w:val="right"/>
              <w:rPr>
                <w:rFonts w:ascii="Times New Roman" w:hAnsi="Times New Roman"/>
                <w:bCs/>
                <w:sz w:val="20"/>
                <w:szCs w:val="20"/>
              </w:rPr>
            </w:pPr>
            <w:r w:rsidRPr="009839C3">
              <w:rPr>
                <w:rFonts w:ascii="Times New Roman" w:hAnsi="Times New Roman"/>
                <w:bCs/>
                <w:sz w:val="20"/>
                <w:szCs w:val="20"/>
              </w:rPr>
              <w:t>147 092</w:t>
            </w:r>
          </w:p>
        </w:tc>
        <w:tc>
          <w:tcPr>
            <w:tcW w:w="1154" w:type="dxa"/>
            <w:tcBorders>
              <w:top w:val="single" w:sz="4" w:space="0" w:color="auto"/>
              <w:left w:val="nil"/>
              <w:bottom w:val="single" w:sz="4" w:space="0" w:color="auto"/>
              <w:right w:val="single" w:sz="4" w:space="0" w:color="auto"/>
            </w:tcBorders>
            <w:textDirection w:val="lrTb"/>
            <w:vAlign w:val="center"/>
          </w:tcPr>
          <w:p w:rsidR="00B07DEC" w:rsidRPr="009839C3" w:rsidP="00E413E7">
            <w:pPr>
              <w:bidi w:val="0"/>
              <w:jc w:val="right"/>
              <w:rPr>
                <w:rFonts w:ascii="Times New Roman" w:hAnsi="Times New Roman"/>
                <w:bCs/>
                <w:sz w:val="20"/>
                <w:szCs w:val="20"/>
              </w:rPr>
            </w:pPr>
            <w:r w:rsidRPr="009839C3">
              <w:rPr>
                <w:rFonts w:ascii="Times New Roman" w:hAnsi="Times New Roman"/>
                <w:bCs/>
                <w:sz w:val="20"/>
                <w:szCs w:val="20"/>
              </w:rPr>
              <w:t>11 48</w:t>
            </w:r>
            <w:r w:rsidR="00E413E7">
              <w:rPr>
                <w:rFonts w:ascii="Times New Roman" w:hAnsi="Times New Roman"/>
                <w:bCs/>
                <w:sz w:val="20"/>
                <w:szCs w:val="20"/>
              </w:rPr>
              <w:t>3</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nil"/>
              <w:left w:val="single" w:sz="4" w:space="0" w:color="auto"/>
              <w:bottom w:val="single" w:sz="4" w:space="0" w:color="auto"/>
              <w:right w:val="single" w:sz="4" w:space="0" w:color="auto"/>
            </w:tcBorders>
            <w:noWrap/>
            <w:textDirection w:val="lrTb"/>
            <w:vAlign w:val="center"/>
          </w:tcPr>
          <w:p w:rsidR="00B07DEC" w:rsidRPr="009C3082" w:rsidP="00351C21">
            <w:pPr>
              <w:bidi w:val="0"/>
              <w:rPr>
                <w:rFonts w:ascii="Times New Roman" w:hAnsi="Times New Roman"/>
                <w:bCs/>
                <w:sz w:val="20"/>
                <w:szCs w:val="20"/>
              </w:rPr>
            </w:pPr>
            <w:r w:rsidRPr="009C3082">
              <w:rPr>
                <w:rFonts w:ascii="Times New Roman" w:hAnsi="Times New Roman"/>
                <w:bCs/>
                <w:sz w:val="20"/>
                <w:szCs w:val="20"/>
              </w:rPr>
              <w:t>Administratívne poplatky a iné poplatky a platby</w:t>
            </w:r>
          </w:p>
        </w:tc>
        <w:tc>
          <w:tcPr>
            <w:tcW w:w="1147" w:type="dxa"/>
            <w:tcBorders>
              <w:top w:val="single" w:sz="4" w:space="0" w:color="auto"/>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290 81</w:t>
            </w:r>
            <w:r w:rsidR="00FD1E7F">
              <w:rPr>
                <w:rFonts w:ascii="Times New Roman" w:hAnsi="Times New Roman"/>
                <w:bCs/>
                <w:sz w:val="20"/>
                <w:szCs w:val="20"/>
              </w:rPr>
              <w:t>9</w:t>
            </w:r>
          </w:p>
        </w:tc>
        <w:tc>
          <w:tcPr>
            <w:tcW w:w="1134" w:type="dxa"/>
            <w:tcBorders>
              <w:top w:val="nil"/>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278 0</w:t>
            </w:r>
            <w:r w:rsidR="00FD1E7F">
              <w:rPr>
                <w:rFonts w:ascii="Times New Roman" w:hAnsi="Times New Roman"/>
                <w:bCs/>
                <w:sz w:val="20"/>
                <w:szCs w:val="20"/>
              </w:rPr>
              <w:t>09</w:t>
            </w:r>
          </w:p>
        </w:tc>
        <w:tc>
          <w:tcPr>
            <w:tcW w:w="992" w:type="dxa"/>
            <w:tcBorders>
              <w:top w:val="nil"/>
              <w:left w:val="nil"/>
              <w:bottom w:val="single" w:sz="4" w:space="0" w:color="auto"/>
              <w:right w:val="single" w:sz="4" w:space="0" w:color="auto"/>
            </w:tcBorders>
            <w:shd w:val="clear" w:color="auto" w:fill="D9D9D9"/>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367 6</w:t>
            </w:r>
            <w:r w:rsidR="00FD1E7F">
              <w:rPr>
                <w:rFonts w:ascii="Times New Roman" w:hAnsi="Times New Roman"/>
                <w:bCs/>
                <w:sz w:val="20"/>
                <w:szCs w:val="20"/>
              </w:rPr>
              <w:t>09</w:t>
            </w:r>
          </w:p>
        </w:tc>
        <w:tc>
          <w:tcPr>
            <w:tcW w:w="967" w:type="dxa"/>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279 706</w:t>
            </w:r>
          </w:p>
        </w:tc>
        <w:tc>
          <w:tcPr>
            <w:tcW w:w="863" w:type="dxa"/>
            <w:gridSpan w:val="2"/>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280 994</w:t>
            </w:r>
          </w:p>
        </w:tc>
        <w:tc>
          <w:tcPr>
            <w:tcW w:w="1154" w:type="dxa"/>
            <w:tcBorders>
              <w:top w:val="nil"/>
              <w:left w:val="nil"/>
              <w:bottom w:val="single" w:sz="4" w:space="0" w:color="auto"/>
              <w:right w:val="single" w:sz="4" w:space="0" w:color="auto"/>
            </w:tcBorders>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89 600</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nil"/>
              <w:left w:val="single" w:sz="4" w:space="0" w:color="auto"/>
              <w:bottom w:val="single" w:sz="4" w:space="0" w:color="auto"/>
              <w:right w:val="single" w:sz="4" w:space="0" w:color="auto"/>
            </w:tcBorders>
            <w:noWrap/>
            <w:textDirection w:val="lrTb"/>
            <w:vAlign w:val="center"/>
          </w:tcPr>
          <w:p w:rsidR="00B07DEC" w:rsidRPr="009C3082" w:rsidP="00351C21">
            <w:pPr>
              <w:bidi w:val="0"/>
              <w:rPr>
                <w:rFonts w:ascii="Times New Roman" w:hAnsi="Times New Roman"/>
                <w:bCs/>
                <w:sz w:val="20"/>
                <w:szCs w:val="20"/>
              </w:rPr>
            </w:pPr>
            <w:r w:rsidRPr="009C3082">
              <w:rPr>
                <w:rFonts w:ascii="Times New Roman" w:hAnsi="Times New Roman"/>
                <w:bCs/>
                <w:sz w:val="20"/>
                <w:szCs w:val="20"/>
              </w:rPr>
              <w:t>Kapitálové príjmy</w:t>
            </w:r>
          </w:p>
        </w:tc>
        <w:tc>
          <w:tcPr>
            <w:tcW w:w="1147" w:type="dxa"/>
            <w:tcBorders>
              <w:top w:val="single" w:sz="4" w:space="0" w:color="auto"/>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16 86</w:t>
            </w:r>
            <w:r w:rsidR="00FD1E7F">
              <w:rPr>
                <w:rFonts w:ascii="Times New Roman" w:hAnsi="Times New Roman"/>
                <w:bCs/>
                <w:sz w:val="20"/>
                <w:szCs w:val="20"/>
              </w:rPr>
              <w:t>2</w:t>
            </w:r>
          </w:p>
        </w:tc>
        <w:tc>
          <w:tcPr>
            <w:tcW w:w="1134" w:type="dxa"/>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15 856</w:t>
            </w:r>
          </w:p>
        </w:tc>
        <w:tc>
          <w:tcPr>
            <w:tcW w:w="992" w:type="dxa"/>
            <w:tcBorders>
              <w:top w:val="nil"/>
              <w:left w:val="nil"/>
              <w:bottom w:val="single" w:sz="4" w:space="0" w:color="auto"/>
              <w:right w:val="single" w:sz="4" w:space="0" w:color="auto"/>
            </w:tcBorders>
            <w:shd w:val="clear" w:color="auto" w:fill="D9D9D9"/>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18 2</w:t>
            </w:r>
            <w:r w:rsidR="00FD1E7F">
              <w:rPr>
                <w:rFonts w:ascii="Times New Roman" w:hAnsi="Times New Roman"/>
                <w:bCs/>
                <w:sz w:val="20"/>
                <w:szCs w:val="20"/>
              </w:rPr>
              <w:t>38</w:t>
            </w:r>
          </w:p>
        </w:tc>
        <w:tc>
          <w:tcPr>
            <w:tcW w:w="967" w:type="dxa"/>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16 346</w:t>
            </w:r>
          </w:p>
        </w:tc>
        <w:tc>
          <w:tcPr>
            <w:tcW w:w="863" w:type="dxa"/>
            <w:gridSpan w:val="2"/>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17 172</w:t>
            </w:r>
          </w:p>
        </w:tc>
        <w:tc>
          <w:tcPr>
            <w:tcW w:w="1154" w:type="dxa"/>
            <w:tcBorders>
              <w:top w:val="nil"/>
              <w:left w:val="nil"/>
              <w:bottom w:val="single" w:sz="4" w:space="0" w:color="auto"/>
              <w:right w:val="single" w:sz="4" w:space="0" w:color="auto"/>
            </w:tcBorders>
            <w:textDirection w:val="lrTb"/>
            <w:vAlign w:val="center"/>
          </w:tcPr>
          <w:p w:rsidR="00B07DEC" w:rsidRPr="009C3082" w:rsidP="00E413E7">
            <w:pPr>
              <w:bidi w:val="0"/>
              <w:jc w:val="right"/>
              <w:rPr>
                <w:rFonts w:ascii="Times New Roman" w:hAnsi="Times New Roman"/>
                <w:bCs/>
                <w:sz w:val="20"/>
                <w:szCs w:val="20"/>
              </w:rPr>
            </w:pPr>
            <w:r w:rsidRPr="009C3082">
              <w:rPr>
                <w:rFonts w:ascii="Times New Roman" w:hAnsi="Times New Roman"/>
                <w:bCs/>
                <w:sz w:val="20"/>
                <w:szCs w:val="20"/>
              </w:rPr>
              <w:t>2 38</w:t>
            </w:r>
            <w:r w:rsidR="00E413E7">
              <w:rPr>
                <w:rFonts w:ascii="Times New Roman" w:hAnsi="Times New Roman"/>
                <w:bCs/>
                <w:sz w:val="20"/>
                <w:szCs w:val="20"/>
              </w:rPr>
              <w:t>2</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nil"/>
              <w:left w:val="single" w:sz="4" w:space="0" w:color="auto"/>
              <w:bottom w:val="single" w:sz="4" w:space="0" w:color="auto"/>
              <w:right w:val="single" w:sz="4" w:space="0" w:color="auto"/>
            </w:tcBorders>
            <w:noWrap/>
            <w:textDirection w:val="lrTb"/>
            <w:vAlign w:val="center"/>
          </w:tcPr>
          <w:p w:rsidR="00B07DEC" w:rsidRPr="009C3082" w:rsidP="00351C21">
            <w:pPr>
              <w:bidi w:val="0"/>
              <w:rPr>
                <w:rFonts w:ascii="Times New Roman" w:hAnsi="Times New Roman"/>
                <w:bCs/>
                <w:sz w:val="20"/>
                <w:szCs w:val="20"/>
              </w:rPr>
            </w:pPr>
            <w:r w:rsidRPr="009C3082">
              <w:rPr>
                <w:rFonts w:ascii="Times New Roman" w:hAnsi="Times New Roman"/>
                <w:bCs/>
                <w:sz w:val="20"/>
                <w:szCs w:val="20"/>
              </w:rPr>
              <w:t>Úroky z tuzemských a zahraničných úverov, pôžičiek, NFV, vkladov a ážio</w:t>
            </w:r>
          </w:p>
        </w:tc>
        <w:tc>
          <w:tcPr>
            <w:tcW w:w="1147" w:type="dxa"/>
            <w:tcBorders>
              <w:top w:val="single" w:sz="4" w:space="0" w:color="auto"/>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79 80</w:t>
            </w:r>
            <w:r w:rsidR="00FD1E7F">
              <w:rPr>
                <w:rFonts w:ascii="Times New Roman" w:hAnsi="Times New Roman"/>
                <w:bCs/>
                <w:sz w:val="20"/>
                <w:szCs w:val="20"/>
              </w:rPr>
              <w:t>2</w:t>
            </w:r>
          </w:p>
        </w:tc>
        <w:tc>
          <w:tcPr>
            <w:tcW w:w="1134" w:type="dxa"/>
            <w:tcBorders>
              <w:top w:val="nil"/>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79 80</w:t>
            </w:r>
            <w:r w:rsidR="00FD1E7F">
              <w:rPr>
                <w:rFonts w:ascii="Times New Roman" w:hAnsi="Times New Roman"/>
                <w:bCs/>
                <w:sz w:val="20"/>
                <w:szCs w:val="20"/>
              </w:rPr>
              <w:t>0</w:t>
            </w:r>
          </w:p>
        </w:tc>
        <w:tc>
          <w:tcPr>
            <w:tcW w:w="992" w:type="dxa"/>
            <w:tcBorders>
              <w:top w:val="nil"/>
              <w:left w:val="nil"/>
              <w:bottom w:val="single" w:sz="4" w:space="0" w:color="auto"/>
              <w:right w:val="single" w:sz="4" w:space="0" w:color="auto"/>
            </w:tcBorders>
            <w:shd w:val="clear" w:color="auto" w:fill="D9D9D9"/>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55 428</w:t>
            </w:r>
          </w:p>
        </w:tc>
        <w:tc>
          <w:tcPr>
            <w:tcW w:w="967" w:type="dxa"/>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79 011</w:t>
            </w:r>
          </w:p>
        </w:tc>
        <w:tc>
          <w:tcPr>
            <w:tcW w:w="863" w:type="dxa"/>
            <w:gridSpan w:val="2"/>
            <w:tcBorders>
              <w:top w:val="nil"/>
              <w:left w:val="nil"/>
              <w:bottom w:val="sing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94 725</w:t>
            </w:r>
          </w:p>
        </w:tc>
        <w:tc>
          <w:tcPr>
            <w:tcW w:w="1154" w:type="dxa"/>
            <w:tcBorders>
              <w:top w:val="nil"/>
              <w:left w:val="nil"/>
              <w:bottom w:val="single" w:sz="4" w:space="0" w:color="auto"/>
              <w:right w:val="single" w:sz="4" w:space="0" w:color="auto"/>
            </w:tcBorders>
            <w:textDirection w:val="lrTb"/>
            <w:vAlign w:val="center"/>
          </w:tcPr>
          <w:p w:rsidR="00B07DEC" w:rsidRPr="009C3082" w:rsidP="00E413E7">
            <w:pPr>
              <w:bidi w:val="0"/>
              <w:jc w:val="right"/>
              <w:rPr>
                <w:rFonts w:ascii="Times New Roman" w:hAnsi="Times New Roman"/>
                <w:bCs/>
                <w:sz w:val="20"/>
                <w:szCs w:val="20"/>
              </w:rPr>
            </w:pPr>
            <w:r w:rsidRPr="009C3082">
              <w:rPr>
                <w:rFonts w:ascii="Times New Roman" w:hAnsi="Times New Roman"/>
                <w:bCs/>
                <w:sz w:val="20"/>
                <w:szCs w:val="20"/>
              </w:rPr>
              <w:t>-24 37</w:t>
            </w:r>
            <w:r w:rsidR="00E413E7">
              <w:rPr>
                <w:rFonts w:ascii="Times New Roman" w:hAnsi="Times New Roman"/>
                <w:bCs/>
                <w:sz w:val="20"/>
                <w:szCs w:val="20"/>
              </w:rPr>
              <w:t>2</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single" w:sz="4" w:space="0" w:color="auto"/>
              <w:left w:val="single" w:sz="4" w:space="0" w:color="auto"/>
              <w:bottom w:val="double" w:sz="4" w:space="0" w:color="auto"/>
              <w:right w:val="single" w:sz="4" w:space="0" w:color="auto"/>
            </w:tcBorders>
            <w:noWrap/>
            <w:textDirection w:val="lrTb"/>
            <w:vAlign w:val="center"/>
          </w:tcPr>
          <w:p w:rsidR="00B07DEC" w:rsidRPr="009C3082" w:rsidP="00351C21">
            <w:pPr>
              <w:bidi w:val="0"/>
              <w:rPr>
                <w:rFonts w:ascii="Times New Roman" w:hAnsi="Times New Roman"/>
                <w:bCs/>
                <w:sz w:val="20"/>
                <w:szCs w:val="20"/>
              </w:rPr>
            </w:pPr>
            <w:r w:rsidRPr="009C3082">
              <w:rPr>
                <w:rFonts w:ascii="Times New Roman" w:hAnsi="Times New Roman"/>
                <w:bCs/>
                <w:sz w:val="20"/>
                <w:szCs w:val="20"/>
              </w:rPr>
              <w:t>Iné nedaňové príjmy</w:t>
            </w:r>
          </w:p>
        </w:tc>
        <w:tc>
          <w:tcPr>
            <w:tcW w:w="1147" w:type="dxa"/>
            <w:tcBorders>
              <w:top w:val="single" w:sz="4" w:space="0" w:color="auto"/>
              <w:left w:val="nil"/>
              <w:bottom w:val="double" w:sz="4" w:space="0" w:color="auto"/>
              <w:right w:val="single" w:sz="4" w:space="0" w:color="auto"/>
            </w:tcBorders>
            <w:noWrap/>
            <w:textDirection w:val="lrTb"/>
            <w:vAlign w:val="center"/>
          </w:tcPr>
          <w:p w:rsidR="00B07DEC" w:rsidRPr="009C3082" w:rsidP="00FD1E7F">
            <w:pPr>
              <w:bidi w:val="0"/>
              <w:jc w:val="right"/>
              <w:rPr>
                <w:rFonts w:ascii="Times New Roman" w:hAnsi="Times New Roman"/>
                <w:sz w:val="20"/>
                <w:szCs w:val="20"/>
              </w:rPr>
            </w:pPr>
            <w:r w:rsidRPr="009C3082">
              <w:rPr>
                <w:rFonts w:ascii="Times New Roman" w:hAnsi="Times New Roman"/>
                <w:sz w:val="20"/>
                <w:szCs w:val="20"/>
              </w:rPr>
              <w:t>216 08</w:t>
            </w:r>
            <w:r w:rsidR="00FD1E7F">
              <w:rPr>
                <w:rFonts w:ascii="Times New Roman" w:hAnsi="Times New Roman"/>
                <w:sz w:val="20"/>
                <w:szCs w:val="20"/>
              </w:rPr>
              <w:t>5</w:t>
            </w:r>
          </w:p>
        </w:tc>
        <w:tc>
          <w:tcPr>
            <w:tcW w:w="1134" w:type="dxa"/>
            <w:tcBorders>
              <w:top w:val="single" w:sz="4" w:space="0" w:color="auto"/>
              <w:left w:val="nil"/>
              <w:bottom w:val="double" w:sz="4" w:space="0" w:color="auto"/>
              <w:right w:val="single" w:sz="4" w:space="0" w:color="auto"/>
            </w:tcBorders>
            <w:noWrap/>
            <w:textDirection w:val="lrTb"/>
            <w:vAlign w:val="center"/>
          </w:tcPr>
          <w:p w:rsidR="00B07DEC" w:rsidRPr="009C3082" w:rsidP="00FD1E7F">
            <w:pPr>
              <w:bidi w:val="0"/>
              <w:jc w:val="right"/>
              <w:rPr>
                <w:rFonts w:ascii="Times New Roman" w:hAnsi="Times New Roman"/>
                <w:sz w:val="20"/>
                <w:szCs w:val="20"/>
              </w:rPr>
            </w:pPr>
            <w:r w:rsidRPr="009C3082">
              <w:rPr>
                <w:rFonts w:ascii="Times New Roman" w:hAnsi="Times New Roman"/>
                <w:sz w:val="20"/>
                <w:szCs w:val="20"/>
              </w:rPr>
              <w:t>217 40</w:t>
            </w:r>
            <w:r w:rsidR="00FD1E7F">
              <w:rPr>
                <w:rFonts w:ascii="Times New Roman" w:hAnsi="Times New Roman"/>
                <w:sz w:val="20"/>
                <w:szCs w:val="20"/>
              </w:rPr>
              <w:t>6</w:t>
            </w:r>
          </w:p>
        </w:tc>
        <w:tc>
          <w:tcPr>
            <w:tcW w:w="992" w:type="dxa"/>
            <w:tcBorders>
              <w:top w:val="single" w:sz="4" w:space="0" w:color="auto"/>
              <w:left w:val="nil"/>
              <w:bottom w:val="double" w:sz="4" w:space="0" w:color="auto"/>
              <w:right w:val="single" w:sz="4" w:space="0" w:color="auto"/>
            </w:tcBorders>
            <w:shd w:val="clear" w:color="auto" w:fill="D9D9D9"/>
            <w:noWrap/>
            <w:textDirection w:val="lrTb"/>
            <w:vAlign w:val="center"/>
          </w:tcPr>
          <w:p w:rsidR="00B07DEC" w:rsidRPr="009C3082" w:rsidP="00FD1E7F">
            <w:pPr>
              <w:bidi w:val="0"/>
              <w:jc w:val="right"/>
              <w:rPr>
                <w:rFonts w:ascii="Times New Roman" w:hAnsi="Times New Roman"/>
                <w:bCs/>
                <w:sz w:val="20"/>
                <w:szCs w:val="20"/>
              </w:rPr>
            </w:pPr>
            <w:r w:rsidRPr="009C3082">
              <w:rPr>
                <w:rFonts w:ascii="Times New Roman" w:hAnsi="Times New Roman"/>
                <w:bCs/>
                <w:sz w:val="20"/>
                <w:szCs w:val="20"/>
              </w:rPr>
              <w:t>309 63</w:t>
            </w:r>
            <w:r w:rsidR="00FD1E7F">
              <w:rPr>
                <w:rFonts w:ascii="Times New Roman" w:hAnsi="Times New Roman"/>
                <w:bCs/>
                <w:sz w:val="20"/>
                <w:szCs w:val="20"/>
              </w:rPr>
              <w:t>8</w:t>
            </w:r>
          </w:p>
        </w:tc>
        <w:tc>
          <w:tcPr>
            <w:tcW w:w="967" w:type="dxa"/>
            <w:tcBorders>
              <w:top w:val="single" w:sz="4" w:space="0" w:color="auto"/>
              <w:left w:val="nil"/>
              <w:bottom w:val="doub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239 582</w:t>
            </w:r>
          </w:p>
        </w:tc>
        <w:tc>
          <w:tcPr>
            <w:tcW w:w="863" w:type="dxa"/>
            <w:gridSpan w:val="2"/>
            <w:tcBorders>
              <w:top w:val="single" w:sz="4" w:space="0" w:color="auto"/>
              <w:left w:val="nil"/>
              <w:bottom w:val="double" w:sz="4" w:space="0" w:color="auto"/>
              <w:right w:val="single" w:sz="4" w:space="0" w:color="auto"/>
            </w:tcBorders>
            <w:noWrap/>
            <w:textDirection w:val="lrTb"/>
            <w:vAlign w:val="center"/>
          </w:tcPr>
          <w:p w:rsidR="00B07DEC" w:rsidRPr="009C3082" w:rsidP="00351C21">
            <w:pPr>
              <w:bidi w:val="0"/>
              <w:jc w:val="right"/>
              <w:rPr>
                <w:rFonts w:ascii="Times New Roman" w:hAnsi="Times New Roman"/>
                <w:bCs/>
                <w:sz w:val="20"/>
                <w:szCs w:val="20"/>
              </w:rPr>
            </w:pPr>
            <w:r w:rsidRPr="009C3082">
              <w:rPr>
                <w:rFonts w:ascii="Times New Roman" w:hAnsi="Times New Roman"/>
                <w:bCs/>
                <w:sz w:val="20"/>
                <w:szCs w:val="20"/>
              </w:rPr>
              <w:t>298 479</w:t>
            </w:r>
          </w:p>
        </w:tc>
        <w:tc>
          <w:tcPr>
            <w:tcW w:w="1154" w:type="dxa"/>
            <w:tcBorders>
              <w:top w:val="single" w:sz="4" w:space="0" w:color="auto"/>
              <w:left w:val="nil"/>
              <w:bottom w:val="double" w:sz="4" w:space="0" w:color="auto"/>
              <w:right w:val="single" w:sz="4" w:space="0" w:color="auto"/>
            </w:tcBorders>
            <w:textDirection w:val="lrTb"/>
            <w:vAlign w:val="center"/>
          </w:tcPr>
          <w:p w:rsidR="00B07DEC" w:rsidRPr="009C3082" w:rsidP="00E413E7">
            <w:pPr>
              <w:bidi w:val="0"/>
              <w:jc w:val="right"/>
              <w:rPr>
                <w:rFonts w:ascii="Times New Roman" w:hAnsi="Times New Roman"/>
                <w:bCs/>
                <w:sz w:val="20"/>
                <w:szCs w:val="20"/>
              </w:rPr>
            </w:pPr>
            <w:r w:rsidRPr="009C3082">
              <w:rPr>
                <w:rFonts w:ascii="Times New Roman" w:hAnsi="Times New Roman"/>
                <w:bCs/>
                <w:sz w:val="20"/>
                <w:szCs w:val="20"/>
              </w:rPr>
              <w:t>92 23</w:t>
            </w:r>
            <w:r w:rsidR="00E413E7">
              <w:rPr>
                <w:rFonts w:ascii="Times New Roman" w:hAnsi="Times New Roman"/>
                <w:bCs/>
                <w:sz w:val="20"/>
                <w:szCs w:val="20"/>
              </w:rPr>
              <w:t>2</w:t>
            </w:r>
          </w:p>
        </w:tc>
      </w:tr>
      <w:tr>
        <w:tblPrEx>
          <w:tblW w:w="9346" w:type="dxa"/>
          <w:jc w:val="center"/>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jc w:val="center"/>
        </w:trPr>
        <w:tc>
          <w:tcPr>
            <w:tcW w:w="3089" w:type="dxa"/>
            <w:tcBorders>
              <w:top w:val="double" w:sz="4" w:space="0" w:color="auto"/>
              <w:left w:val="single" w:sz="4" w:space="0" w:color="auto"/>
              <w:bottom w:val="single" w:sz="4" w:space="0" w:color="auto"/>
              <w:right w:val="single" w:sz="4" w:space="0" w:color="auto"/>
            </w:tcBorders>
            <w:noWrap/>
            <w:textDirection w:val="lrTb"/>
            <w:vAlign w:val="center"/>
          </w:tcPr>
          <w:p w:rsidR="00B07DEC" w:rsidRPr="009C3082" w:rsidP="00C8769C">
            <w:pPr>
              <w:bidi w:val="0"/>
              <w:rPr>
                <w:rFonts w:ascii="Times New Roman" w:hAnsi="Times New Roman"/>
                <w:b/>
                <w:bCs/>
                <w:sz w:val="20"/>
                <w:szCs w:val="20"/>
              </w:rPr>
            </w:pPr>
            <w:r w:rsidRPr="009C3082">
              <w:rPr>
                <w:rFonts w:ascii="Times New Roman" w:hAnsi="Times New Roman"/>
                <w:b/>
                <w:bCs/>
                <w:sz w:val="20"/>
                <w:szCs w:val="20"/>
              </w:rPr>
              <w:t>Nedaňové príjmy spolu</w:t>
            </w:r>
          </w:p>
        </w:tc>
        <w:tc>
          <w:tcPr>
            <w:tcW w:w="1147" w:type="dxa"/>
            <w:tcBorders>
              <w:top w:val="double" w:sz="4" w:space="0" w:color="auto"/>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
                <w:bCs/>
                <w:sz w:val="20"/>
                <w:szCs w:val="20"/>
              </w:rPr>
            </w:pPr>
            <w:r w:rsidRPr="009C3082">
              <w:rPr>
                <w:rFonts w:ascii="Times New Roman" w:hAnsi="Times New Roman"/>
                <w:b/>
                <w:bCs/>
                <w:sz w:val="20"/>
                <w:szCs w:val="20"/>
              </w:rPr>
              <w:t>703 08</w:t>
            </w:r>
            <w:r w:rsidR="00FD1E7F">
              <w:rPr>
                <w:rFonts w:ascii="Times New Roman" w:hAnsi="Times New Roman"/>
                <w:b/>
                <w:bCs/>
                <w:sz w:val="20"/>
                <w:szCs w:val="20"/>
              </w:rPr>
              <w:t>2</w:t>
            </w:r>
          </w:p>
        </w:tc>
        <w:tc>
          <w:tcPr>
            <w:tcW w:w="1134" w:type="dxa"/>
            <w:tcBorders>
              <w:top w:val="double" w:sz="4" w:space="0" w:color="auto"/>
              <w:left w:val="nil"/>
              <w:bottom w:val="single" w:sz="4" w:space="0" w:color="auto"/>
              <w:right w:val="single" w:sz="4" w:space="0" w:color="auto"/>
            </w:tcBorders>
            <w:noWrap/>
            <w:textDirection w:val="lrTb"/>
            <w:vAlign w:val="center"/>
          </w:tcPr>
          <w:p w:rsidR="00B07DEC" w:rsidRPr="009C3082" w:rsidP="00FD1E7F">
            <w:pPr>
              <w:bidi w:val="0"/>
              <w:jc w:val="right"/>
              <w:rPr>
                <w:rFonts w:ascii="Times New Roman" w:hAnsi="Times New Roman"/>
                <w:b/>
                <w:bCs/>
                <w:sz w:val="20"/>
                <w:szCs w:val="20"/>
              </w:rPr>
            </w:pPr>
            <w:r w:rsidRPr="009C3082">
              <w:rPr>
                <w:rFonts w:ascii="Times New Roman" w:hAnsi="Times New Roman"/>
                <w:b/>
                <w:bCs/>
                <w:sz w:val="20"/>
                <w:szCs w:val="20"/>
              </w:rPr>
              <w:t>689 9</w:t>
            </w:r>
            <w:r w:rsidR="00FD1E7F">
              <w:rPr>
                <w:rFonts w:ascii="Times New Roman" w:hAnsi="Times New Roman"/>
                <w:b/>
                <w:bCs/>
                <w:sz w:val="20"/>
                <w:szCs w:val="20"/>
              </w:rPr>
              <w:t>39</w:t>
            </w:r>
          </w:p>
        </w:tc>
        <w:tc>
          <w:tcPr>
            <w:tcW w:w="992" w:type="dxa"/>
            <w:tcBorders>
              <w:top w:val="double" w:sz="4" w:space="0" w:color="auto"/>
              <w:left w:val="nil"/>
              <w:bottom w:val="single" w:sz="4" w:space="0" w:color="auto"/>
              <w:right w:val="single" w:sz="4" w:space="0" w:color="auto"/>
            </w:tcBorders>
            <w:shd w:val="clear" w:color="auto" w:fill="D9D9D9"/>
            <w:noWrap/>
            <w:textDirection w:val="lrTb"/>
            <w:vAlign w:val="center"/>
          </w:tcPr>
          <w:p w:rsidR="00B07DEC" w:rsidRPr="009C3082" w:rsidP="00FD1E7F">
            <w:pPr>
              <w:bidi w:val="0"/>
              <w:jc w:val="right"/>
              <w:rPr>
                <w:rFonts w:ascii="Times New Roman" w:hAnsi="Times New Roman"/>
                <w:b/>
                <w:bCs/>
                <w:sz w:val="20"/>
                <w:szCs w:val="20"/>
              </w:rPr>
            </w:pPr>
            <w:r w:rsidRPr="009C3082">
              <w:rPr>
                <w:rFonts w:ascii="Times New Roman" w:hAnsi="Times New Roman"/>
                <w:b/>
                <w:bCs/>
                <w:sz w:val="20"/>
                <w:szCs w:val="20"/>
              </w:rPr>
              <w:t>861 26</w:t>
            </w:r>
            <w:r w:rsidR="00FD1E7F">
              <w:rPr>
                <w:rFonts w:ascii="Times New Roman" w:hAnsi="Times New Roman"/>
                <w:b/>
                <w:bCs/>
                <w:sz w:val="20"/>
                <w:szCs w:val="20"/>
              </w:rPr>
              <w:t>4</w:t>
            </w:r>
          </w:p>
        </w:tc>
        <w:tc>
          <w:tcPr>
            <w:tcW w:w="967" w:type="dxa"/>
            <w:tcBorders>
              <w:top w:val="double" w:sz="4" w:space="0" w:color="auto"/>
              <w:left w:val="nil"/>
              <w:bottom w:val="single" w:sz="4" w:space="0" w:color="auto"/>
              <w:right w:val="single" w:sz="4" w:space="0" w:color="auto"/>
            </w:tcBorders>
            <w:noWrap/>
            <w:textDirection w:val="lrTb"/>
            <w:vAlign w:val="center"/>
          </w:tcPr>
          <w:p w:rsidR="00B07DEC" w:rsidRPr="009C3082" w:rsidP="00C8769C">
            <w:pPr>
              <w:bidi w:val="0"/>
              <w:jc w:val="right"/>
              <w:rPr>
                <w:rFonts w:ascii="Times New Roman" w:hAnsi="Times New Roman"/>
                <w:b/>
                <w:bCs/>
                <w:sz w:val="20"/>
                <w:szCs w:val="20"/>
              </w:rPr>
            </w:pPr>
            <w:r w:rsidRPr="009C3082">
              <w:rPr>
                <w:rFonts w:ascii="Times New Roman" w:hAnsi="Times New Roman"/>
                <w:b/>
                <w:bCs/>
                <w:sz w:val="20"/>
                <w:szCs w:val="20"/>
              </w:rPr>
              <w:t>692 872</w:t>
            </w:r>
          </w:p>
        </w:tc>
        <w:tc>
          <w:tcPr>
            <w:tcW w:w="863" w:type="dxa"/>
            <w:gridSpan w:val="2"/>
            <w:tcBorders>
              <w:top w:val="double" w:sz="4" w:space="0" w:color="auto"/>
              <w:left w:val="nil"/>
              <w:bottom w:val="single" w:sz="4" w:space="0" w:color="auto"/>
              <w:right w:val="single" w:sz="4" w:space="0" w:color="auto"/>
            </w:tcBorders>
            <w:noWrap/>
            <w:textDirection w:val="lrTb"/>
            <w:vAlign w:val="center"/>
          </w:tcPr>
          <w:p w:rsidR="00B07DEC" w:rsidRPr="009C3082" w:rsidP="00C8769C">
            <w:pPr>
              <w:bidi w:val="0"/>
              <w:jc w:val="right"/>
              <w:rPr>
                <w:rFonts w:ascii="Times New Roman" w:hAnsi="Times New Roman"/>
                <w:b/>
                <w:bCs/>
                <w:sz w:val="20"/>
                <w:szCs w:val="20"/>
              </w:rPr>
            </w:pPr>
            <w:r w:rsidRPr="009C3082">
              <w:rPr>
                <w:rFonts w:ascii="Times New Roman" w:hAnsi="Times New Roman"/>
                <w:b/>
                <w:bCs/>
                <w:sz w:val="20"/>
                <w:szCs w:val="20"/>
              </w:rPr>
              <w:t>838 462</w:t>
            </w:r>
          </w:p>
        </w:tc>
        <w:tc>
          <w:tcPr>
            <w:tcW w:w="1154" w:type="dxa"/>
            <w:tcBorders>
              <w:top w:val="double" w:sz="4" w:space="0" w:color="auto"/>
              <w:left w:val="nil"/>
              <w:bottom w:val="single" w:sz="4" w:space="0" w:color="auto"/>
              <w:right w:val="single" w:sz="4" w:space="0" w:color="auto"/>
            </w:tcBorders>
            <w:textDirection w:val="lrTb"/>
            <w:vAlign w:val="center"/>
          </w:tcPr>
          <w:p w:rsidR="00B07DEC" w:rsidRPr="009C3082" w:rsidP="00C8769C">
            <w:pPr>
              <w:bidi w:val="0"/>
              <w:jc w:val="right"/>
              <w:rPr>
                <w:rFonts w:ascii="Times New Roman" w:hAnsi="Times New Roman"/>
                <w:b/>
                <w:bCs/>
                <w:sz w:val="20"/>
                <w:szCs w:val="20"/>
              </w:rPr>
            </w:pPr>
            <w:r w:rsidR="00E413E7">
              <w:rPr>
                <w:rFonts w:ascii="Times New Roman" w:hAnsi="Times New Roman"/>
                <w:b/>
                <w:bCs/>
                <w:sz w:val="20"/>
                <w:szCs w:val="20"/>
              </w:rPr>
              <w:t>171 325</w:t>
            </w:r>
          </w:p>
        </w:tc>
      </w:tr>
    </w:tbl>
    <w:p w:rsidR="00B07DEC" w:rsidRPr="00D665EA" w:rsidP="00C8769C">
      <w:pPr>
        <w:bidi w:val="0"/>
        <w:spacing w:line="276" w:lineRule="auto"/>
        <w:jc w:val="both"/>
        <w:rPr>
          <w:rFonts w:ascii="Times New Roman" w:hAnsi="Times New Roman"/>
          <w:sz w:val="20"/>
          <w:szCs w:val="20"/>
        </w:rPr>
      </w:pPr>
      <w:r w:rsidRPr="00D665EA">
        <w:rPr>
          <w:rFonts w:ascii="Times New Roman" w:hAnsi="Times New Roman"/>
          <w:sz w:val="20"/>
          <w:szCs w:val="20"/>
        </w:rPr>
        <w:t>Zdroj: Ministerstvo financií SR</w:t>
      </w:r>
    </w:p>
    <w:p w:rsidR="00B07DEC" w:rsidP="00E70B9F">
      <w:pPr>
        <w:bidi w:val="0"/>
        <w:spacing w:before="120" w:after="120" w:line="360" w:lineRule="auto"/>
        <w:jc w:val="both"/>
        <w:rPr>
          <w:rFonts w:ascii="Times New Roman" w:hAnsi="Times New Roman"/>
        </w:rPr>
      </w:pPr>
      <w:r w:rsidRPr="00167FEB">
        <w:rPr>
          <w:rFonts w:ascii="Times New Roman" w:hAnsi="Times New Roman"/>
          <w:b/>
        </w:rPr>
        <w:t>V administratívnych poplatkoch a iných poplatkoch a platbách</w:t>
      </w:r>
      <w:r>
        <w:rPr>
          <w:rFonts w:ascii="Times New Roman" w:hAnsi="Times New Roman"/>
        </w:rPr>
        <w:t xml:space="preserve"> je najväčší príjem vo Všeobecnej pokladničnej správe (VPS) 142 756 tis. eur </w:t>
      </w:r>
      <w:r w:rsidR="00167FEB">
        <w:rPr>
          <w:rFonts w:ascii="Times New Roman" w:hAnsi="Times New Roman"/>
        </w:rPr>
        <w:t xml:space="preserve">(2010: 279 706 tis. eur) </w:t>
      </w:r>
      <w:r>
        <w:rPr>
          <w:rFonts w:ascii="Times New Roman" w:hAnsi="Times New Roman"/>
        </w:rPr>
        <w:t xml:space="preserve">ako tržby z predaja kolkových známok, súdne poplatky a ostatné poplatky a v Ministerstve dopravy, </w:t>
      </w:r>
      <w:r w:rsidR="00852256">
        <w:rPr>
          <w:rFonts w:ascii="Times New Roman" w:hAnsi="Times New Roman"/>
        </w:rPr>
        <w:t>výstavby a regionálneho rozvoja SR</w:t>
      </w:r>
      <w:r>
        <w:rPr>
          <w:rFonts w:ascii="Times New Roman" w:hAnsi="Times New Roman"/>
        </w:rPr>
        <w:t xml:space="preserve"> v sume 110 730 tis. eur ako príjem za prevádzkovanie rádiových zariadení pre mobilných operátorov a príjem za právo užívania frekvencií.</w:t>
      </w:r>
    </w:p>
    <w:p w:rsidR="00B07DEC" w:rsidRPr="000A55B7" w:rsidP="00E70B9F">
      <w:pPr>
        <w:bidi w:val="0"/>
        <w:spacing w:before="120" w:after="120" w:line="360" w:lineRule="auto"/>
        <w:jc w:val="both"/>
        <w:rPr>
          <w:rFonts w:ascii="Times New Roman" w:hAnsi="Times New Roman"/>
          <w:color w:val="000000"/>
        </w:rPr>
      </w:pPr>
      <w:r w:rsidRPr="000A55B7">
        <w:rPr>
          <w:rFonts w:ascii="Times New Roman" w:hAnsi="Times New Roman"/>
          <w:color w:val="000000"/>
        </w:rPr>
        <w:t xml:space="preserve">V iných príjmoch má najväčší podiel </w:t>
      </w:r>
      <w:r w:rsidR="00167FEB">
        <w:rPr>
          <w:rFonts w:ascii="Times New Roman" w:hAnsi="Times New Roman"/>
          <w:color w:val="000000"/>
        </w:rPr>
        <w:t xml:space="preserve">kapitola </w:t>
      </w:r>
      <w:r w:rsidRPr="000A55B7">
        <w:rPr>
          <w:rFonts w:ascii="Times New Roman" w:hAnsi="Times New Roman"/>
          <w:color w:val="000000"/>
        </w:rPr>
        <w:t>VPS a to ako príjmy z odvodov z hazardných hier a iných podobných hier 105 704 tis. eur</w:t>
      </w:r>
      <w:r w:rsidR="00167FEB">
        <w:rPr>
          <w:rFonts w:ascii="Times New Roman" w:hAnsi="Times New Roman"/>
          <w:color w:val="000000"/>
        </w:rPr>
        <w:t xml:space="preserve"> (2010: 123 321 tis.. eur)</w:t>
      </w:r>
      <w:r>
        <w:rPr>
          <w:rFonts w:ascii="Times New Roman" w:hAnsi="Times New Roman"/>
          <w:color w:val="000000"/>
        </w:rPr>
        <w:t xml:space="preserve">, </w:t>
      </w:r>
      <w:r w:rsidRPr="000A55B7">
        <w:rPr>
          <w:rFonts w:ascii="Times New Roman" w:hAnsi="Times New Roman"/>
          <w:color w:val="000000"/>
        </w:rPr>
        <w:t xml:space="preserve">príjem rôznych vratiek 61 488 tis. eur. a Štátne hmotné rezervy za predaj mobilizačných rezerv 70 725 tis. eur. </w:t>
      </w:r>
    </w:p>
    <w:p w:rsidR="00B07DEC" w:rsidP="00E70B9F">
      <w:pPr>
        <w:bidi w:val="0"/>
        <w:spacing w:before="120" w:after="120" w:line="360" w:lineRule="auto"/>
        <w:jc w:val="both"/>
        <w:rPr>
          <w:rFonts w:ascii="Times New Roman" w:hAnsi="Times New Roman"/>
        </w:rPr>
      </w:pPr>
      <w:r>
        <w:rPr>
          <w:rFonts w:ascii="Times New Roman" w:hAnsi="Times New Roman"/>
        </w:rPr>
        <w:t xml:space="preserve">Kategória </w:t>
      </w:r>
      <w:r w:rsidRPr="00167FEB">
        <w:rPr>
          <w:rFonts w:ascii="Times New Roman" w:hAnsi="Times New Roman"/>
          <w:b/>
        </w:rPr>
        <w:t>príjmy z podnikania a z vlastníctva majetku</w:t>
      </w:r>
      <w:r>
        <w:rPr>
          <w:rFonts w:ascii="Times New Roman" w:hAnsi="Times New Roman"/>
        </w:rPr>
        <w:t xml:space="preserve"> je takmer celá tvorená dividendami v sume 101 501 tis. eur</w:t>
      </w:r>
      <w:r w:rsidR="00167FEB">
        <w:rPr>
          <w:rFonts w:ascii="Times New Roman" w:hAnsi="Times New Roman"/>
        </w:rPr>
        <w:t xml:space="preserve"> (2010: 69 668 tis. eur)</w:t>
      </w:r>
      <w:r>
        <w:rPr>
          <w:rFonts w:ascii="Times New Roman" w:hAnsi="Times New Roman"/>
        </w:rPr>
        <w:t xml:space="preserve">, ktoré získali Ministerstvo hospodárstva SR (87 044 tis. eur), </w:t>
      </w:r>
      <w:r w:rsidRPr="00A72BC6">
        <w:rPr>
          <w:rFonts w:ascii="Times New Roman" w:hAnsi="Times New Roman"/>
        </w:rPr>
        <w:t>Ministerstvo financií SR</w:t>
      </w:r>
      <w:r>
        <w:rPr>
          <w:rFonts w:ascii="Times New Roman" w:hAnsi="Times New Roman"/>
        </w:rPr>
        <w:t xml:space="preserve"> (13 403 tis. eur)</w:t>
      </w:r>
      <w:r w:rsidRPr="00A72BC6">
        <w:rPr>
          <w:rFonts w:ascii="Times New Roman" w:hAnsi="Times New Roman"/>
        </w:rPr>
        <w:t>, Min</w:t>
      </w:r>
      <w:r>
        <w:rPr>
          <w:rFonts w:ascii="Times New Roman" w:hAnsi="Times New Roman"/>
        </w:rPr>
        <w:t xml:space="preserve">isterstvo </w:t>
      </w:r>
      <w:r w:rsidRPr="00A72BC6">
        <w:rPr>
          <w:rFonts w:ascii="Times New Roman" w:hAnsi="Times New Roman"/>
        </w:rPr>
        <w:t>dopravy, výstavby a</w:t>
      </w:r>
      <w:r>
        <w:rPr>
          <w:rFonts w:ascii="Times New Roman" w:hAnsi="Times New Roman"/>
        </w:rPr>
        <w:t> </w:t>
      </w:r>
      <w:r w:rsidRPr="00A72BC6">
        <w:rPr>
          <w:rFonts w:ascii="Times New Roman" w:hAnsi="Times New Roman"/>
        </w:rPr>
        <w:t>reg</w:t>
      </w:r>
      <w:r>
        <w:rPr>
          <w:rFonts w:ascii="Times New Roman" w:hAnsi="Times New Roman"/>
        </w:rPr>
        <w:t>ionálneho rozvoja</w:t>
      </w:r>
      <w:r w:rsidRPr="00A72BC6">
        <w:rPr>
          <w:rFonts w:ascii="Times New Roman" w:hAnsi="Times New Roman"/>
        </w:rPr>
        <w:t xml:space="preserve"> SR</w:t>
      </w:r>
      <w:r>
        <w:rPr>
          <w:rFonts w:ascii="Times New Roman" w:hAnsi="Times New Roman"/>
        </w:rPr>
        <w:t xml:space="preserve"> (926 tis. eur), </w:t>
      </w:r>
      <w:r w:rsidRPr="00A72BC6">
        <w:rPr>
          <w:rFonts w:ascii="Times New Roman" w:hAnsi="Times New Roman"/>
        </w:rPr>
        <w:t>Ministerstvo zahraničných vecí SR</w:t>
      </w:r>
      <w:r>
        <w:rPr>
          <w:rFonts w:ascii="Times New Roman" w:hAnsi="Times New Roman"/>
        </w:rPr>
        <w:t xml:space="preserve"> (105 tis. eur)</w:t>
      </w:r>
      <w:r w:rsidRPr="00A72BC6">
        <w:rPr>
          <w:rFonts w:ascii="Times New Roman" w:hAnsi="Times New Roman"/>
        </w:rPr>
        <w:t>, Min</w:t>
      </w:r>
      <w:r>
        <w:rPr>
          <w:rFonts w:ascii="Times New Roman" w:hAnsi="Times New Roman"/>
        </w:rPr>
        <w:t xml:space="preserve">isterstvo </w:t>
      </w:r>
      <w:r w:rsidRPr="00A72BC6">
        <w:rPr>
          <w:rFonts w:ascii="Times New Roman" w:hAnsi="Times New Roman"/>
        </w:rPr>
        <w:t>práce, sociálnych vecí a rodiny SR</w:t>
      </w:r>
      <w:r>
        <w:rPr>
          <w:rFonts w:ascii="Times New Roman" w:hAnsi="Times New Roman"/>
        </w:rPr>
        <w:t xml:space="preserve"> (23 tis. eur)</w:t>
      </w:r>
      <w:r w:rsidRPr="00A72BC6">
        <w:rPr>
          <w:rFonts w:ascii="Times New Roman" w:hAnsi="Times New Roman"/>
        </w:rPr>
        <w:t xml:space="preserve"> a</w:t>
      </w:r>
      <w:r w:rsidR="00C36624">
        <w:rPr>
          <w:rFonts w:ascii="Times New Roman" w:hAnsi="Times New Roman"/>
        </w:rPr>
        <w:t xml:space="preserve"> </w:t>
      </w:r>
      <w:r>
        <w:rPr>
          <w:rFonts w:ascii="Times New Roman" w:hAnsi="Times New Roman"/>
        </w:rPr>
        <w:t xml:space="preserve">z vlastníckeho podielu štátu v akciových spoločnostiach. </w:t>
      </w:r>
    </w:p>
    <w:p w:rsidR="00B07DEC" w:rsidP="00E70B9F">
      <w:pPr>
        <w:bidi w:val="0"/>
        <w:spacing w:before="120" w:after="120" w:line="360" w:lineRule="auto"/>
        <w:jc w:val="both"/>
        <w:rPr>
          <w:rFonts w:ascii="Times New Roman" w:hAnsi="Times New Roman"/>
        </w:rPr>
      </w:pPr>
      <w:r>
        <w:rPr>
          <w:rFonts w:ascii="Times New Roman" w:hAnsi="Times New Roman"/>
        </w:rPr>
        <w:t xml:space="preserve">Menší podiel predstavujú </w:t>
      </w:r>
      <w:r w:rsidRPr="00167FEB">
        <w:rPr>
          <w:rFonts w:ascii="Times New Roman" w:hAnsi="Times New Roman"/>
          <w:b/>
        </w:rPr>
        <w:t>príjmy z úrokov z vkladov</w:t>
      </w:r>
      <w:r>
        <w:rPr>
          <w:rFonts w:ascii="Times New Roman" w:hAnsi="Times New Roman"/>
        </w:rPr>
        <w:t>, z účtov finančného hospodárenia, z návratných finančných výpomocí a ostatných platieb hlavne v rozpočtovej kapitole VPS v objeme 55 267 tis. eur.</w:t>
      </w:r>
    </w:p>
    <w:p w:rsidR="00B07DEC" w:rsidP="00E70B9F">
      <w:pPr>
        <w:bidi w:val="0"/>
        <w:spacing w:before="120" w:after="120" w:line="360" w:lineRule="auto"/>
        <w:jc w:val="both"/>
        <w:rPr>
          <w:rFonts w:ascii="Times New Roman" w:hAnsi="Times New Roman"/>
        </w:rPr>
      </w:pPr>
      <w:r>
        <w:rPr>
          <w:rFonts w:ascii="Times New Roman" w:hAnsi="Times New Roman"/>
        </w:rPr>
        <w:t xml:space="preserve">Celkové nedaňové príjmy dopĺňajú </w:t>
      </w:r>
      <w:r w:rsidRPr="00167FEB">
        <w:rPr>
          <w:rFonts w:ascii="Times New Roman" w:hAnsi="Times New Roman"/>
          <w:b/>
        </w:rPr>
        <w:t>kapitálové príjmy</w:t>
      </w:r>
      <w:r>
        <w:rPr>
          <w:rFonts w:ascii="Times New Roman" w:hAnsi="Times New Roman"/>
        </w:rPr>
        <w:t xml:space="preserve"> tvorené takmer v každej rozpočtovej kapitole ako príjmy z predaja kapitálových aktív, pozemkov a pod. Najvyšší podiel na ich plnení majú tieto rozpočtové kapitoly: Ministerstvo vnútra SR (6 457 tis. eur), Ministerstvo </w:t>
      </w:r>
      <w:r w:rsidRPr="00A72BC6">
        <w:rPr>
          <w:rFonts w:ascii="Times New Roman" w:hAnsi="Times New Roman"/>
        </w:rPr>
        <w:t>zahraničných vecí SR</w:t>
      </w:r>
      <w:r>
        <w:rPr>
          <w:rFonts w:ascii="Times New Roman" w:hAnsi="Times New Roman"/>
        </w:rPr>
        <w:t xml:space="preserve"> (4 494 tis. eur), Ministerstvo obrany SR (2 650 tis. eur), Správa štátnych hmotných rezerv (1 477 tis. eur), Ministerstvo financií SR (1 241 tis. eur), Ministerstvo školstva, vedy, výskumu a športu SR (564 tis. eur), Ministerstvo dopravy, výstavby a regionálneho rozvoja SR (487 tis. eur) a pod.</w:t>
      </w:r>
    </w:p>
    <w:p w:rsidR="00B07DEC" w:rsidRPr="00B07DEC" w:rsidP="00E70B9F">
      <w:pPr>
        <w:pStyle w:val="Heading3"/>
        <w:bidi w:val="0"/>
        <w:spacing w:before="100" w:beforeAutospacing="1" w:after="100" w:afterAutospacing="1"/>
        <w:jc w:val="center"/>
        <w:rPr>
          <w:rFonts w:ascii="Times New Roman" w:hAnsi="Times New Roman"/>
          <w:color w:val="auto"/>
        </w:rPr>
      </w:pPr>
      <w:bookmarkStart w:id="24" w:name="_Toc322614757"/>
      <w:r w:rsidRPr="00B07DEC">
        <w:rPr>
          <w:rFonts w:ascii="Times New Roman" w:hAnsi="Times New Roman"/>
          <w:color w:val="auto"/>
        </w:rPr>
        <w:t>3.</w:t>
      </w:r>
      <w:r w:rsidR="00F8582D">
        <w:rPr>
          <w:rFonts w:ascii="Times New Roman" w:hAnsi="Times New Roman"/>
          <w:color w:val="auto"/>
        </w:rPr>
        <w:t>3</w:t>
      </w:r>
      <w:r w:rsidRPr="00B07DEC">
        <w:rPr>
          <w:rFonts w:ascii="Times New Roman" w:hAnsi="Times New Roman"/>
          <w:color w:val="auto"/>
        </w:rPr>
        <w:t>.3. Granty a transfery</w:t>
      </w:r>
      <w:bookmarkEnd w:id="24"/>
    </w:p>
    <w:p w:rsidR="00B07DEC" w:rsidRPr="00D665EA" w:rsidP="004C1F8C">
      <w:pPr>
        <w:bidi w:val="0"/>
        <w:spacing w:before="120" w:after="120" w:line="360" w:lineRule="auto"/>
        <w:ind w:firstLine="709"/>
        <w:jc w:val="both"/>
        <w:rPr>
          <w:rFonts w:ascii="Times New Roman" w:hAnsi="Times New Roman"/>
        </w:rPr>
      </w:pPr>
      <w:r w:rsidRPr="00D665EA">
        <w:rPr>
          <w:rFonts w:ascii="Times New Roman" w:hAnsi="Times New Roman"/>
        </w:rPr>
        <w:t>V</w:t>
      </w:r>
      <w:r>
        <w:rPr>
          <w:rFonts w:ascii="Times New Roman" w:hAnsi="Times New Roman"/>
        </w:rPr>
        <w:t> rámci grantov a transferov boli na rok 2011 rozpočtované prostriedky v sume 3 657 92</w:t>
      </w:r>
      <w:r w:rsidR="009E50B2">
        <w:rPr>
          <w:rFonts w:ascii="Times New Roman" w:hAnsi="Times New Roman"/>
        </w:rPr>
        <w:t>3</w:t>
      </w:r>
      <w:r>
        <w:rPr>
          <w:rFonts w:ascii="Times New Roman" w:hAnsi="Times New Roman"/>
        </w:rPr>
        <w:t xml:space="preserve"> tis. eur, v nich </w:t>
      </w:r>
      <w:r w:rsidRPr="00D665EA">
        <w:rPr>
          <w:rFonts w:ascii="Times New Roman" w:hAnsi="Times New Roman"/>
        </w:rPr>
        <w:t xml:space="preserve">zahraničné </w:t>
      </w:r>
      <w:r>
        <w:rPr>
          <w:rFonts w:ascii="Times New Roman" w:hAnsi="Times New Roman"/>
        </w:rPr>
        <w:t>granty a transfery 3 343 89</w:t>
      </w:r>
      <w:r w:rsidR="009E50B2">
        <w:rPr>
          <w:rFonts w:ascii="Times New Roman" w:hAnsi="Times New Roman"/>
        </w:rPr>
        <w:t>1</w:t>
      </w:r>
      <w:r w:rsidRPr="00D665EA">
        <w:rPr>
          <w:rFonts w:ascii="Times New Roman" w:hAnsi="Times New Roman"/>
        </w:rPr>
        <w:t xml:space="preserve"> tis. eur a tuzemské </w:t>
      </w:r>
      <w:r>
        <w:rPr>
          <w:rFonts w:ascii="Times New Roman" w:hAnsi="Times New Roman"/>
        </w:rPr>
        <w:t xml:space="preserve">314 032 </w:t>
      </w:r>
      <w:r w:rsidRPr="00D665EA">
        <w:rPr>
          <w:rFonts w:ascii="Times New Roman" w:hAnsi="Times New Roman"/>
        </w:rPr>
        <w:t>tis. eur</w:t>
      </w:r>
      <w:r w:rsidR="00167FEB">
        <w:rPr>
          <w:rFonts w:ascii="Times New Roman" w:hAnsi="Times New Roman"/>
        </w:rPr>
        <w:t>. V</w:t>
      </w:r>
      <w:r>
        <w:rPr>
          <w:rFonts w:ascii="Times New Roman" w:hAnsi="Times New Roman"/>
        </w:rPr>
        <w:t> rámci zahraničných grantov a transferov sú rozpočtované iba transfery,</w:t>
      </w:r>
      <w:r w:rsidRPr="00D665EA">
        <w:rPr>
          <w:rFonts w:ascii="Times New Roman" w:hAnsi="Times New Roman"/>
        </w:rPr>
        <w:t xml:space="preserve"> pretože granty sa </w:t>
      </w:r>
      <w:r>
        <w:rPr>
          <w:rFonts w:ascii="Times New Roman" w:hAnsi="Times New Roman"/>
        </w:rPr>
        <w:t>nerozpočtujú</w:t>
      </w:r>
      <w:r w:rsidRPr="00D665EA">
        <w:rPr>
          <w:rFonts w:ascii="Times New Roman" w:hAnsi="Times New Roman"/>
        </w:rPr>
        <w:t xml:space="preserve"> </w:t>
      </w:r>
      <w:r>
        <w:rPr>
          <w:rFonts w:ascii="Times New Roman" w:hAnsi="Times New Roman"/>
        </w:rPr>
        <w:t xml:space="preserve">(sú to </w:t>
      </w:r>
      <w:r w:rsidRPr="00D665EA">
        <w:rPr>
          <w:rFonts w:ascii="Times New Roman" w:hAnsi="Times New Roman"/>
        </w:rPr>
        <w:t>príspevk</w:t>
      </w:r>
      <w:r>
        <w:rPr>
          <w:rFonts w:ascii="Times New Roman" w:hAnsi="Times New Roman"/>
        </w:rPr>
        <w:t>y</w:t>
      </w:r>
      <w:r w:rsidRPr="00D665EA">
        <w:rPr>
          <w:rFonts w:ascii="Times New Roman" w:hAnsi="Times New Roman"/>
        </w:rPr>
        <w:t xml:space="preserve"> od dobrovoľných darcov</w:t>
      </w:r>
      <w:r>
        <w:rPr>
          <w:rFonts w:ascii="Times New Roman" w:hAnsi="Times New Roman"/>
        </w:rPr>
        <w:t xml:space="preserve">, </w:t>
      </w:r>
      <w:r w:rsidRPr="00D665EA">
        <w:rPr>
          <w:rFonts w:ascii="Times New Roman" w:hAnsi="Times New Roman"/>
        </w:rPr>
        <w:t>sponzorov</w:t>
      </w:r>
      <w:r>
        <w:rPr>
          <w:rFonts w:ascii="Times New Roman" w:hAnsi="Times New Roman"/>
        </w:rPr>
        <w:t xml:space="preserve"> a pod.), pretože nie</w:t>
      </w:r>
      <w:r w:rsidRPr="00D665EA">
        <w:rPr>
          <w:rFonts w:ascii="Times New Roman" w:hAnsi="Times New Roman"/>
        </w:rPr>
        <w:t xml:space="preserve"> je možné predpokladať </w:t>
      </w:r>
      <w:r>
        <w:rPr>
          <w:rFonts w:ascii="Times New Roman" w:hAnsi="Times New Roman"/>
        </w:rPr>
        <w:t>ich výšku od jednotlivých poskytovateľov. Po úprave o nenaplnené príjmy z predchádzajúcich rokov sa rozpočet grantov a transferov zvýšil na úroveň 4 291 55</w:t>
      </w:r>
      <w:r w:rsidR="009E50B2">
        <w:rPr>
          <w:rFonts w:ascii="Times New Roman" w:hAnsi="Times New Roman"/>
        </w:rPr>
        <w:t>9</w:t>
      </w:r>
      <w:r>
        <w:rPr>
          <w:rFonts w:ascii="Times New Roman" w:hAnsi="Times New Roman"/>
        </w:rPr>
        <w:t xml:space="preserve"> tis. eur,</w:t>
      </w:r>
      <w:r w:rsidRPr="00D665EA">
        <w:rPr>
          <w:rFonts w:ascii="Times New Roman" w:hAnsi="Times New Roman"/>
        </w:rPr>
        <w:t xml:space="preserve"> a to najmä v skupine zahraničných transferov </w:t>
      </w:r>
      <w:r w:rsidR="00C36624">
        <w:rPr>
          <w:rFonts w:ascii="Times New Roman" w:hAnsi="Times New Roman"/>
        </w:rPr>
        <w:t>na sumu 3 978 22</w:t>
      </w:r>
      <w:r w:rsidR="009E50B2">
        <w:rPr>
          <w:rFonts w:ascii="Times New Roman" w:hAnsi="Times New Roman"/>
        </w:rPr>
        <w:t>3</w:t>
      </w:r>
      <w:r w:rsidR="00C36624">
        <w:rPr>
          <w:rFonts w:ascii="Times New Roman" w:hAnsi="Times New Roman"/>
        </w:rPr>
        <w:t xml:space="preserve"> tis. eur. </w:t>
      </w:r>
      <w:r>
        <w:rPr>
          <w:rFonts w:ascii="Times New Roman" w:hAnsi="Times New Roman"/>
        </w:rPr>
        <w:t>V rámci zahraničných grantov a transferov tvoria takmer celú hodnotu prostriedky z rozpočtu Európskej únie.</w:t>
      </w:r>
    </w:p>
    <w:p w:rsidR="00B07DEC" w:rsidP="00E70B9F">
      <w:pPr>
        <w:bidi w:val="0"/>
        <w:spacing w:before="120" w:after="120" w:line="360" w:lineRule="auto"/>
        <w:jc w:val="both"/>
        <w:rPr>
          <w:rFonts w:ascii="Times New Roman" w:hAnsi="Times New Roman"/>
        </w:rPr>
      </w:pPr>
      <w:r w:rsidRPr="00D665EA">
        <w:rPr>
          <w:rFonts w:ascii="Times New Roman" w:hAnsi="Times New Roman"/>
        </w:rPr>
        <w:t xml:space="preserve">Skutočný príjem štátneho rozpočtu z grantov a transferov </w:t>
      </w:r>
      <w:r>
        <w:rPr>
          <w:rFonts w:ascii="Times New Roman" w:hAnsi="Times New Roman"/>
        </w:rPr>
        <w:t>dosiahol 2 440 96</w:t>
      </w:r>
      <w:r w:rsidR="00097139">
        <w:rPr>
          <w:rFonts w:ascii="Times New Roman" w:hAnsi="Times New Roman"/>
        </w:rPr>
        <w:t>5</w:t>
      </w:r>
      <w:r w:rsidRPr="00D665EA">
        <w:rPr>
          <w:rFonts w:ascii="Times New Roman" w:hAnsi="Times New Roman"/>
        </w:rPr>
        <w:t xml:space="preserve"> tis. eur</w:t>
      </w:r>
      <w:r w:rsidR="00167FEB">
        <w:rPr>
          <w:rFonts w:ascii="Times New Roman" w:hAnsi="Times New Roman"/>
        </w:rPr>
        <w:t xml:space="preserve"> </w:t>
      </w:r>
      <w:r w:rsidR="0057157C">
        <w:rPr>
          <w:rFonts w:ascii="Times New Roman" w:hAnsi="Times New Roman"/>
        </w:rPr>
        <w:br/>
      </w:r>
      <w:r w:rsidR="00167FEB">
        <w:rPr>
          <w:rFonts w:ascii="Times New Roman" w:hAnsi="Times New Roman"/>
        </w:rPr>
        <w:t>(2010: 2 245 7</w:t>
      </w:r>
      <w:r w:rsidR="00097139">
        <w:rPr>
          <w:rFonts w:ascii="Times New Roman" w:hAnsi="Times New Roman"/>
        </w:rPr>
        <w:t>50</w:t>
      </w:r>
      <w:r w:rsidR="00167FEB">
        <w:rPr>
          <w:rFonts w:ascii="Times New Roman" w:hAnsi="Times New Roman"/>
        </w:rPr>
        <w:t xml:space="preserve"> tis. eur)</w:t>
      </w:r>
      <w:r w:rsidRPr="00D665EA">
        <w:rPr>
          <w:rFonts w:ascii="Times New Roman" w:hAnsi="Times New Roman"/>
        </w:rPr>
        <w:t xml:space="preserve">, čo predstavuje plnenie upraveného rozpočtu na </w:t>
      </w:r>
      <w:r>
        <w:rPr>
          <w:rFonts w:ascii="Times New Roman" w:hAnsi="Times New Roman"/>
        </w:rPr>
        <w:t>56,9</w:t>
      </w:r>
      <w:r w:rsidRPr="00D665EA">
        <w:rPr>
          <w:rFonts w:ascii="Times New Roman" w:hAnsi="Times New Roman"/>
        </w:rPr>
        <w:t xml:space="preserve"> %</w:t>
      </w:r>
      <w:r>
        <w:rPr>
          <w:rFonts w:ascii="Times New Roman" w:hAnsi="Times New Roman"/>
        </w:rPr>
        <w:t>.</w:t>
      </w:r>
    </w:p>
    <w:p w:rsidR="00B07DEC" w:rsidRPr="00E70B9F" w:rsidP="006F3414">
      <w:pPr>
        <w:bidi w:val="0"/>
        <w:spacing w:line="276" w:lineRule="auto"/>
        <w:rPr>
          <w:rFonts w:ascii="Times New Roman" w:hAnsi="Times New Roman"/>
        </w:rPr>
      </w:pPr>
      <w:r w:rsidR="00531BD1">
        <w:rPr>
          <w:rFonts w:ascii="Times New Roman" w:hAnsi="Times New Roman"/>
        </w:rPr>
        <w:br w:type="page"/>
      </w:r>
      <w:r w:rsidRPr="00D665EA">
        <w:rPr>
          <w:rFonts w:ascii="Times New Roman" w:hAnsi="Times New Roman"/>
        </w:rPr>
        <w:t xml:space="preserve">Súhrnný prehľad o plnení </w:t>
      </w:r>
      <w:r>
        <w:rPr>
          <w:rFonts w:ascii="Times New Roman" w:hAnsi="Times New Roman"/>
        </w:rPr>
        <w:t xml:space="preserve">grantov a transferov </w:t>
      </w:r>
      <w:r w:rsidRPr="00D665EA">
        <w:rPr>
          <w:rFonts w:ascii="Times New Roman" w:hAnsi="Times New Roman"/>
        </w:rPr>
        <w:t>poskytuj</w:t>
      </w:r>
      <w:r w:rsidR="0057157C">
        <w:rPr>
          <w:rFonts w:ascii="Times New Roman" w:hAnsi="Times New Roman"/>
        </w:rPr>
        <w:t>e</w:t>
      </w:r>
      <w:r w:rsidRPr="00D665EA">
        <w:rPr>
          <w:rFonts w:ascii="Times New Roman" w:hAnsi="Times New Roman"/>
        </w:rPr>
        <w:t xml:space="preserve"> nasledovn</w:t>
      </w:r>
      <w:r w:rsidR="0057157C">
        <w:rPr>
          <w:rFonts w:ascii="Times New Roman" w:hAnsi="Times New Roman"/>
        </w:rPr>
        <w:t>á</w:t>
      </w:r>
      <w:r w:rsidRPr="00D665EA">
        <w:rPr>
          <w:rFonts w:ascii="Times New Roman" w:hAnsi="Times New Roman"/>
        </w:rPr>
        <w:t xml:space="preserve"> </w:t>
      </w:r>
      <w:r w:rsidR="0057157C">
        <w:rPr>
          <w:rFonts w:ascii="Times New Roman" w:hAnsi="Times New Roman"/>
        </w:rPr>
        <w:t>tabuľka</w:t>
      </w:r>
      <w:r w:rsidR="00E70B9F">
        <w:rPr>
          <w:rFonts w:ascii="Times New Roman" w:hAnsi="Times New Roman"/>
        </w:rPr>
        <w:t>:</w:t>
      </w:r>
    </w:p>
    <w:tbl>
      <w:tblPr>
        <w:tblStyle w:val="TableNormal"/>
        <w:tblW w:w="9368"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544"/>
        <w:gridCol w:w="6"/>
        <w:gridCol w:w="1134"/>
        <w:gridCol w:w="1127"/>
        <w:gridCol w:w="1141"/>
        <w:gridCol w:w="992"/>
        <w:gridCol w:w="1134"/>
        <w:gridCol w:w="1290"/>
      </w:tblGrid>
      <w:tr>
        <w:tblPrEx>
          <w:tblW w:w="9368"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23"/>
          <w:jc w:val="center"/>
        </w:trPr>
        <w:tc>
          <w:tcPr>
            <w:tcW w:w="2550" w:type="dxa"/>
            <w:gridSpan w:val="2"/>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167FEB" w:rsidP="00903AC8">
            <w:pPr>
              <w:bidi w:val="0"/>
              <w:jc w:val="center"/>
              <w:rPr>
                <w:rFonts w:ascii="Times New Roman" w:hAnsi="Times New Roman"/>
                <w:b/>
                <w:bCs/>
                <w:sz w:val="20"/>
                <w:szCs w:val="20"/>
              </w:rPr>
            </w:pPr>
            <w:r w:rsidRPr="00167FEB">
              <w:rPr>
                <w:rFonts w:ascii="Times New Roman" w:hAnsi="Times New Roman"/>
                <w:b/>
                <w:bCs/>
                <w:sz w:val="20"/>
                <w:szCs w:val="20"/>
              </w:rPr>
              <w:t>Ukazovateľ</w:t>
            </w:r>
          </w:p>
          <w:p w:rsidR="00CA1A94" w:rsidRPr="00167FEB" w:rsidP="00903AC8">
            <w:pPr>
              <w:bidi w:val="0"/>
              <w:jc w:val="center"/>
              <w:rPr>
                <w:rFonts w:ascii="Times New Roman" w:hAnsi="Times New Roman"/>
                <w:b/>
                <w:bCs/>
                <w:sz w:val="20"/>
                <w:szCs w:val="20"/>
              </w:rPr>
            </w:pPr>
          </w:p>
          <w:p w:rsidR="00CA1A94" w:rsidRPr="00167FEB" w:rsidP="00A92219">
            <w:pPr>
              <w:bidi w:val="0"/>
              <w:rPr>
                <w:rFonts w:ascii="Times New Roman" w:hAnsi="Times New Roman"/>
                <w:b/>
                <w:bCs/>
                <w:sz w:val="20"/>
                <w:szCs w:val="20"/>
              </w:rPr>
            </w:pPr>
            <w:r w:rsidRPr="00167FEB">
              <w:rPr>
                <w:rFonts w:ascii="Times New Roman" w:hAnsi="Times New Roman"/>
                <w:b/>
                <w:bCs/>
                <w:sz w:val="20"/>
                <w:szCs w:val="20"/>
              </w:rPr>
              <w:t>(v tis. eur)</w:t>
            </w:r>
          </w:p>
        </w:tc>
        <w:tc>
          <w:tcPr>
            <w:tcW w:w="2261" w:type="dxa"/>
            <w:gridSpan w:val="2"/>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CA1A94" w:rsidRPr="00167FEB" w:rsidP="00903AC8">
            <w:pPr>
              <w:bidi w:val="0"/>
              <w:ind w:firstLine="280"/>
              <w:jc w:val="center"/>
              <w:rPr>
                <w:rFonts w:ascii="Times New Roman" w:hAnsi="Times New Roman"/>
                <w:b/>
                <w:bCs/>
                <w:sz w:val="20"/>
                <w:szCs w:val="20"/>
              </w:rPr>
            </w:pPr>
            <w:r w:rsidRPr="00167FEB">
              <w:rPr>
                <w:rFonts w:ascii="Times New Roman" w:hAnsi="Times New Roman"/>
                <w:b/>
                <w:bCs/>
                <w:sz w:val="20"/>
                <w:szCs w:val="20"/>
              </w:rPr>
              <w:t>Rozpočet 2011</w:t>
            </w:r>
          </w:p>
        </w:tc>
        <w:tc>
          <w:tcPr>
            <w:tcW w:w="3267"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CA1A94" w:rsidRPr="00167FEB" w:rsidP="00903AC8">
            <w:pPr>
              <w:bidi w:val="0"/>
              <w:jc w:val="center"/>
              <w:rPr>
                <w:rFonts w:ascii="Times New Roman" w:hAnsi="Times New Roman"/>
                <w:b/>
                <w:bCs/>
                <w:sz w:val="20"/>
                <w:szCs w:val="20"/>
              </w:rPr>
            </w:pPr>
            <w:r w:rsidRPr="00167FEB">
              <w:rPr>
                <w:rFonts w:ascii="Times New Roman" w:hAnsi="Times New Roman"/>
                <w:b/>
                <w:bCs/>
                <w:sz w:val="20"/>
                <w:szCs w:val="20"/>
              </w:rPr>
              <w:t>Skutočnosť</w:t>
            </w:r>
          </w:p>
        </w:tc>
        <w:tc>
          <w:tcPr>
            <w:tcW w:w="1290"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CA1A94" w:rsidRPr="00167FEB" w:rsidP="00903AC8">
            <w:pPr>
              <w:bidi w:val="0"/>
              <w:jc w:val="center"/>
              <w:rPr>
                <w:rFonts w:ascii="Times New Roman" w:hAnsi="Times New Roman"/>
                <w:b/>
                <w:bCs/>
                <w:sz w:val="20"/>
                <w:szCs w:val="20"/>
              </w:rPr>
            </w:pPr>
            <w:r w:rsidRPr="00167FEB">
              <w:rPr>
                <w:rFonts w:ascii="Times New Roman" w:hAnsi="Times New Roman"/>
                <w:b/>
                <w:bCs/>
                <w:sz w:val="20"/>
                <w:szCs w:val="20"/>
              </w:rPr>
              <w:t>Rozdiel</w:t>
            </w:r>
          </w:p>
        </w:tc>
      </w:tr>
      <w:tr>
        <w:tblPrEx>
          <w:tblW w:w="9368" w:type="dxa"/>
          <w:jc w:val="center"/>
          <w:tblInd w:w="117" w:type="dxa"/>
          <w:tblCellMar>
            <w:left w:w="70" w:type="dxa"/>
            <w:right w:w="70" w:type="dxa"/>
          </w:tblCellMar>
        </w:tblPrEx>
        <w:trPr>
          <w:trHeight w:val="260"/>
          <w:jc w:val="center"/>
        </w:trPr>
        <w:tc>
          <w:tcPr>
            <w:tcW w:w="2550" w:type="dxa"/>
            <w:gridSpan w:val="2"/>
            <w:vMerge/>
            <w:tcBorders>
              <w:top w:val="single" w:sz="4" w:space="0" w:color="auto"/>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rPr>
                <w:rFonts w:ascii="Times New Roman" w:hAnsi="Times New Roman"/>
                <w:b/>
                <w:bCs/>
                <w:sz w:val="20"/>
                <w:szCs w:val="20"/>
              </w:rPr>
            </w:pPr>
          </w:p>
        </w:tc>
        <w:tc>
          <w:tcPr>
            <w:tcW w:w="113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schválený</w:t>
            </w:r>
          </w:p>
        </w:tc>
        <w:tc>
          <w:tcPr>
            <w:tcW w:w="1127"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upravený</w:t>
            </w:r>
          </w:p>
        </w:tc>
        <w:tc>
          <w:tcPr>
            <w:tcW w:w="1141"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2011</w:t>
            </w:r>
          </w:p>
        </w:tc>
        <w:tc>
          <w:tcPr>
            <w:tcW w:w="99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2010</w:t>
            </w:r>
          </w:p>
        </w:tc>
        <w:tc>
          <w:tcPr>
            <w:tcW w:w="113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CA1A94"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2009</w:t>
            </w:r>
          </w:p>
        </w:tc>
        <w:tc>
          <w:tcPr>
            <w:tcW w:w="1290"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top"/>
          </w:tcPr>
          <w:p w:rsidR="00CA1A94" w:rsidRPr="009C3082" w:rsidP="00903AC8">
            <w:pPr>
              <w:bidi w:val="0"/>
              <w:jc w:val="center"/>
              <w:rPr>
                <w:rFonts w:ascii="Times New Roman" w:hAnsi="Times New Roman"/>
                <w:b/>
                <w:bCs/>
                <w:sz w:val="20"/>
                <w:szCs w:val="20"/>
              </w:rPr>
            </w:pPr>
          </w:p>
        </w:tc>
      </w:tr>
      <w:tr>
        <w:tblPrEx>
          <w:tblW w:w="9368" w:type="dxa"/>
          <w:jc w:val="center"/>
          <w:tblInd w:w="117" w:type="dxa"/>
          <w:tblCellMar>
            <w:left w:w="70" w:type="dxa"/>
            <w:right w:w="70" w:type="dxa"/>
          </w:tblCellMar>
        </w:tblPrEx>
        <w:trPr>
          <w:trHeight w:val="318"/>
          <w:jc w:val="center"/>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183787" w:rsidRPr="009C3082" w:rsidP="00903AC8">
            <w:pPr>
              <w:bidi w:val="0"/>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83787" w:rsidRPr="00A92219" w:rsidP="00903AC8">
            <w:pPr>
              <w:bidi w:val="0"/>
              <w:jc w:val="center"/>
              <w:rPr>
                <w:rFonts w:ascii="Times New Roman" w:hAnsi="Times New Roman"/>
                <w:b/>
                <w:sz w:val="20"/>
                <w:szCs w:val="20"/>
              </w:rPr>
            </w:pPr>
            <w:r w:rsidRPr="00A92219">
              <w:rPr>
                <w:rFonts w:ascii="Times New Roman" w:hAnsi="Times New Roman"/>
                <w:b/>
                <w:sz w:val="20"/>
                <w:szCs w:val="20"/>
              </w:rPr>
              <w:t>1</w:t>
            </w:r>
          </w:p>
        </w:tc>
        <w:tc>
          <w:tcPr>
            <w:tcW w:w="112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83787" w:rsidRPr="00A92219" w:rsidP="00903AC8">
            <w:pPr>
              <w:bidi w:val="0"/>
              <w:jc w:val="center"/>
              <w:rPr>
                <w:rFonts w:ascii="Times New Roman" w:hAnsi="Times New Roman"/>
                <w:b/>
                <w:sz w:val="20"/>
                <w:szCs w:val="20"/>
              </w:rPr>
            </w:pPr>
            <w:r w:rsidRPr="00A92219">
              <w:rPr>
                <w:rFonts w:ascii="Times New Roman" w:hAnsi="Times New Roman"/>
                <w:b/>
                <w:sz w:val="20"/>
                <w:szCs w:val="20"/>
              </w:rPr>
              <w:t>2</w:t>
            </w:r>
          </w:p>
        </w:tc>
        <w:tc>
          <w:tcPr>
            <w:tcW w:w="1141"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tcPr>
          <w:p w:rsidR="00183787" w:rsidRPr="00A92219" w:rsidP="00903AC8">
            <w:pPr>
              <w:bidi w:val="0"/>
              <w:jc w:val="center"/>
              <w:rPr>
                <w:rFonts w:ascii="Times New Roman" w:hAnsi="Times New Roman"/>
                <w:b/>
                <w:sz w:val="20"/>
                <w:szCs w:val="20"/>
              </w:rPr>
            </w:pPr>
            <w:r w:rsidRPr="00A92219">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183787" w:rsidRPr="00A92219" w:rsidP="009C564F">
            <w:pPr>
              <w:bidi w:val="0"/>
              <w:jc w:val="center"/>
              <w:rPr>
                <w:rFonts w:ascii="Times New Roman" w:hAnsi="Times New Roman"/>
                <w:b/>
                <w:bCs/>
                <w:sz w:val="20"/>
                <w:szCs w:val="20"/>
              </w:rPr>
            </w:pPr>
            <w:r w:rsidRPr="00A92219">
              <w:rPr>
                <w:rFonts w:ascii="Times New Roman" w:hAnsi="Times New Roman"/>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183787" w:rsidRPr="00A92219" w:rsidP="00903AC8">
            <w:pPr>
              <w:bidi w:val="0"/>
              <w:jc w:val="center"/>
              <w:rPr>
                <w:rFonts w:ascii="Times New Roman" w:hAnsi="Times New Roman"/>
                <w:b/>
                <w:sz w:val="20"/>
                <w:szCs w:val="20"/>
              </w:rPr>
            </w:pPr>
            <w:r w:rsidRPr="00A92219">
              <w:rPr>
                <w:rFonts w:ascii="Times New Roman" w:hAnsi="Times New Roman"/>
                <w:b/>
                <w:sz w:val="20"/>
                <w:szCs w:val="20"/>
              </w:rPr>
              <w:t>5</w:t>
            </w:r>
          </w:p>
        </w:tc>
        <w:tc>
          <w:tcPr>
            <w:tcW w:w="129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183787" w:rsidRPr="00A92219" w:rsidP="00903AC8">
            <w:pPr>
              <w:bidi w:val="0"/>
              <w:jc w:val="center"/>
              <w:rPr>
                <w:rFonts w:ascii="Times New Roman" w:hAnsi="Times New Roman"/>
                <w:b/>
                <w:sz w:val="20"/>
                <w:szCs w:val="20"/>
              </w:rPr>
            </w:pPr>
            <w:r w:rsidRPr="00A92219">
              <w:rPr>
                <w:rFonts w:ascii="Times New Roman" w:hAnsi="Times New Roman"/>
                <w:b/>
                <w:sz w:val="20"/>
                <w:szCs w:val="20"/>
              </w:rPr>
              <w:t>6=3-2</w:t>
            </w:r>
          </w:p>
        </w:tc>
      </w:tr>
      <w:tr>
        <w:tblPrEx>
          <w:tblW w:w="9368" w:type="dxa"/>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7"/>
          <w:jc w:val="center"/>
        </w:trPr>
        <w:tc>
          <w:tcPr>
            <w:tcW w:w="2544" w:type="dxa"/>
            <w:tcBorders>
              <w:top w:val="single" w:sz="4" w:space="0" w:color="auto"/>
              <w:left w:val="single" w:sz="4" w:space="0" w:color="auto"/>
              <w:bottom w:val="single" w:sz="4" w:space="0" w:color="auto"/>
              <w:right w:val="single" w:sz="4" w:space="0" w:color="auto"/>
            </w:tcBorders>
            <w:noWrap/>
            <w:textDirection w:val="lrTb"/>
            <w:vAlign w:val="center"/>
          </w:tcPr>
          <w:p w:rsidR="00183787" w:rsidRPr="009C3082" w:rsidP="00351C21">
            <w:pPr>
              <w:bidi w:val="0"/>
              <w:rPr>
                <w:rFonts w:ascii="Times New Roman" w:hAnsi="Times New Roman"/>
                <w:bCs/>
                <w:sz w:val="20"/>
                <w:szCs w:val="20"/>
              </w:rPr>
            </w:pPr>
            <w:r w:rsidRPr="009C3082">
              <w:rPr>
                <w:rFonts w:ascii="Times New Roman" w:hAnsi="Times New Roman"/>
                <w:bCs/>
                <w:sz w:val="20"/>
                <w:szCs w:val="20"/>
              </w:rPr>
              <w:t>Tuzemské granty a transfery</w:t>
            </w:r>
          </w:p>
        </w:tc>
        <w:tc>
          <w:tcPr>
            <w:tcW w:w="1140" w:type="dxa"/>
            <w:gridSpan w:val="2"/>
            <w:tcBorders>
              <w:top w:val="single" w:sz="4" w:space="0" w:color="auto"/>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314 032</w:t>
            </w:r>
          </w:p>
        </w:tc>
        <w:tc>
          <w:tcPr>
            <w:tcW w:w="1127" w:type="dxa"/>
            <w:tcBorders>
              <w:top w:val="single" w:sz="4" w:space="0" w:color="auto"/>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313 336</w:t>
            </w:r>
          </w:p>
        </w:tc>
        <w:tc>
          <w:tcPr>
            <w:tcW w:w="1141" w:type="dxa"/>
            <w:tcBorders>
              <w:top w:val="single" w:sz="4" w:space="0" w:color="auto"/>
              <w:left w:val="nil"/>
              <w:bottom w:val="single" w:sz="4" w:space="0" w:color="auto"/>
              <w:right w:val="single" w:sz="4" w:space="0" w:color="auto"/>
            </w:tcBorders>
            <w:shd w:val="clear" w:color="auto" w:fill="D9D9D9"/>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399 883</w:t>
            </w:r>
          </w:p>
        </w:tc>
        <w:tc>
          <w:tcPr>
            <w:tcW w:w="992" w:type="dxa"/>
            <w:tcBorders>
              <w:top w:val="single" w:sz="4" w:space="0" w:color="auto"/>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569 236</w:t>
            </w:r>
          </w:p>
        </w:tc>
        <w:tc>
          <w:tcPr>
            <w:tcW w:w="1134" w:type="dxa"/>
            <w:tcBorders>
              <w:top w:val="single" w:sz="4" w:space="0" w:color="auto"/>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555 347</w:t>
            </w:r>
          </w:p>
        </w:tc>
        <w:tc>
          <w:tcPr>
            <w:tcW w:w="1290" w:type="dxa"/>
            <w:tcBorders>
              <w:top w:val="single" w:sz="4" w:space="0" w:color="auto"/>
              <w:left w:val="nil"/>
              <w:bottom w:val="single" w:sz="4" w:space="0" w:color="auto"/>
              <w:right w:val="single" w:sz="4" w:space="0" w:color="auto"/>
            </w:tcBorders>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86 547</w:t>
            </w:r>
          </w:p>
        </w:tc>
      </w:tr>
      <w:tr>
        <w:tblPrEx>
          <w:tblW w:w="9368" w:type="dxa"/>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7"/>
          <w:jc w:val="center"/>
        </w:trPr>
        <w:tc>
          <w:tcPr>
            <w:tcW w:w="2544" w:type="dxa"/>
            <w:tcBorders>
              <w:top w:val="nil"/>
              <w:left w:val="single" w:sz="4" w:space="0" w:color="auto"/>
              <w:bottom w:val="single" w:sz="4" w:space="0" w:color="auto"/>
              <w:right w:val="single" w:sz="4" w:space="0" w:color="auto"/>
            </w:tcBorders>
            <w:noWrap/>
            <w:textDirection w:val="lrTb"/>
            <w:vAlign w:val="center"/>
          </w:tcPr>
          <w:p w:rsidR="00183787" w:rsidRPr="009C3082" w:rsidP="00351C21">
            <w:pPr>
              <w:bidi w:val="0"/>
              <w:rPr>
                <w:rFonts w:ascii="Times New Roman" w:hAnsi="Times New Roman"/>
                <w:bCs/>
                <w:sz w:val="20"/>
                <w:szCs w:val="20"/>
              </w:rPr>
            </w:pPr>
            <w:r w:rsidRPr="009C3082">
              <w:rPr>
                <w:rFonts w:ascii="Times New Roman" w:hAnsi="Times New Roman"/>
                <w:bCs/>
                <w:sz w:val="20"/>
                <w:szCs w:val="20"/>
              </w:rPr>
              <w:t>Zahraničné granty a transfery</w:t>
            </w:r>
          </w:p>
        </w:tc>
        <w:tc>
          <w:tcPr>
            <w:tcW w:w="1140" w:type="dxa"/>
            <w:gridSpan w:val="2"/>
            <w:tcBorders>
              <w:top w:val="single" w:sz="4" w:space="0" w:color="auto"/>
              <w:left w:val="nil"/>
              <w:bottom w:val="single" w:sz="4" w:space="0" w:color="auto"/>
              <w:right w:val="single" w:sz="4" w:space="0" w:color="auto"/>
            </w:tcBorders>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3 343 89</w:t>
            </w:r>
            <w:r w:rsidR="00E413E7">
              <w:rPr>
                <w:rFonts w:ascii="Times New Roman" w:hAnsi="Times New Roman"/>
                <w:bCs/>
                <w:sz w:val="20"/>
                <w:szCs w:val="20"/>
              </w:rPr>
              <w:t>1</w:t>
            </w:r>
          </w:p>
        </w:tc>
        <w:tc>
          <w:tcPr>
            <w:tcW w:w="1127" w:type="dxa"/>
            <w:tcBorders>
              <w:top w:val="nil"/>
              <w:left w:val="nil"/>
              <w:bottom w:val="single" w:sz="4" w:space="0" w:color="auto"/>
              <w:right w:val="single" w:sz="4" w:space="0" w:color="auto"/>
            </w:tcBorders>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3 978 22</w:t>
            </w:r>
            <w:r w:rsidR="00E413E7">
              <w:rPr>
                <w:rFonts w:ascii="Times New Roman" w:hAnsi="Times New Roman"/>
                <w:bCs/>
                <w:sz w:val="20"/>
                <w:szCs w:val="20"/>
              </w:rPr>
              <w:t>3</w:t>
            </w:r>
          </w:p>
        </w:tc>
        <w:tc>
          <w:tcPr>
            <w:tcW w:w="1141" w:type="dxa"/>
            <w:tcBorders>
              <w:top w:val="nil"/>
              <w:left w:val="nil"/>
              <w:bottom w:val="single" w:sz="4" w:space="0" w:color="auto"/>
              <w:right w:val="single" w:sz="4" w:space="0" w:color="auto"/>
            </w:tcBorders>
            <w:shd w:val="clear" w:color="auto" w:fill="D9D9D9"/>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2 041 08</w:t>
            </w:r>
            <w:r w:rsidR="00E413E7">
              <w:rPr>
                <w:rFonts w:ascii="Times New Roman" w:hAnsi="Times New Roman"/>
                <w:bCs/>
                <w:sz w:val="20"/>
                <w:szCs w:val="20"/>
              </w:rPr>
              <w:t>2</w:t>
            </w:r>
          </w:p>
        </w:tc>
        <w:tc>
          <w:tcPr>
            <w:tcW w:w="992" w:type="dxa"/>
            <w:tcBorders>
              <w:top w:val="nil"/>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1 676 514</w:t>
            </w:r>
          </w:p>
        </w:tc>
        <w:tc>
          <w:tcPr>
            <w:tcW w:w="1134" w:type="dxa"/>
            <w:tcBorders>
              <w:top w:val="nil"/>
              <w:left w:val="nil"/>
              <w:bottom w:val="sing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1 122 683</w:t>
            </w:r>
          </w:p>
        </w:tc>
        <w:tc>
          <w:tcPr>
            <w:tcW w:w="1290" w:type="dxa"/>
            <w:tcBorders>
              <w:top w:val="nil"/>
              <w:left w:val="nil"/>
              <w:bottom w:val="single" w:sz="4" w:space="0" w:color="auto"/>
              <w:right w:val="single" w:sz="4" w:space="0" w:color="auto"/>
            </w:tcBorders>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-1 937 141</w:t>
            </w:r>
          </w:p>
        </w:tc>
      </w:tr>
      <w:tr>
        <w:tblPrEx>
          <w:tblW w:w="9368" w:type="dxa"/>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7"/>
          <w:jc w:val="center"/>
        </w:trPr>
        <w:tc>
          <w:tcPr>
            <w:tcW w:w="2544" w:type="dxa"/>
            <w:tcBorders>
              <w:top w:val="single" w:sz="4" w:space="0" w:color="auto"/>
              <w:left w:val="single" w:sz="4" w:space="0" w:color="auto"/>
              <w:bottom w:val="double" w:sz="4" w:space="0" w:color="auto"/>
              <w:right w:val="single" w:sz="4" w:space="0" w:color="auto"/>
            </w:tcBorders>
            <w:noWrap/>
            <w:textDirection w:val="lrTb"/>
            <w:vAlign w:val="center"/>
          </w:tcPr>
          <w:p w:rsidR="0057157C" w:rsidP="00351C21">
            <w:pPr>
              <w:bidi w:val="0"/>
              <w:rPr>
                <w:rFonts w:ascii="Times New Roman" w:hAnsi="Times New Roman"/>
                <w:bCs/>
                <w:sz w:val="20"/>
                <w:szCs w:val="20"/>
              </w:rPr>
            </w:pPr>
            <w:r w:rsidR="00C36624">
              <w:rPr>
                <w:rFonts w:ascii="Times New Roman" w:hAnsi="Times New Roman"/>
                <w:bCs/>
                <w:sz w:val="20"/>
                <w:szCs w:val="20"/>
              </w:rPr>
              <w:t xml:space="preserve">z </w:t>
            </w:r>
            <w:r w:rsidRPr="009C3082" w:rsidR="00183787">
              <w:rPr>
                <w:rFonts w:ascii="Times New Roman" w:hAnsi="Times New Roman"/>
                <w:bCs/>
                <w:sz w:val="20"/>
                <w:szCs w:val="20"/>
              </w:rPr>
              <w:t xml:space="preserve">toho: </w:t>
            </w:r>
          </w:p>
          <w:p w:rsidR="00183787" w:rsidRPr="009C3082" w:rsidP="00351C21">
            <w:pPr>
              <w:bidi w:val="0"/>
              <w:rPr>
                <w:rFonts w:ascii="Times New Roman" w:hAnsi="Times New Roman"/>
                <w:bCs/>
                <w:sz w:val="20"/>
                <w:szCs w:val="20"/>
              </w:rPr>
            </w:pPr>
            <w:r w:rsidRPr="009C3082">
              <w:rPr>
                <w:rFonts w:ascii="Times New Roman" w:hAnsi="Times New Roman"/>
                <w:bCs/>
                <w:sz w:val="20"/>
                <w:szCs w:val="20"/>
              </w:rPr>
              <w:t>prostriedky z rozpočtu EÚ</w:t>
            </w:r>
          </w:p>
        </w:tc>
        <w:tc>
          <w:tcPr>
            <w:tcW w:w="1140" w:type="dxa"/>
            <w:gridSpan w:val="2"/>
            <w:tcBorders>
              <w:top w:val="single" w:sz="4" w:space="0" w:color="auto"/>
              <w:left w:val="nil"/>
              <w:bottom w:val="double" w:sz="4" w:space="0" w:color="auto"/>
              <w:right w:val="single" w:sz="4" w:space="0" w:color="auto"/>
            </w:tcBorders>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3 343 89</w:t>
            </w:r>
            <w:r w:rsidR="00E413E7">
              <w:rPr>
                <w:rFonts w:ascii="Times New Roman" w:hAnsi="Times New Roman"/>
                <w:bCs/>
                <w:sz w:val="20"/>
                <w:szCs w:val="20"/>
              </w:rPr>
              <w:t>1</w:t>
            </w:r>
          </w:p>
        </w:tc>
        <w:tc>
          <w:tcPr>
            <w:tcW w:w="1127" w:type="dxa"/>
            <w:tcBorders>
              <w:top w:val="single" w:sz="4" w:space="0" w:color="auto"/>
              <w:left w:val="nil"/>
              <w:bottom w:val="double" w:sz="4" w:space="0" w:color="auto"/>
              <w:right w:val="single" w:sz="4" w:space="0" w:color="auto"/>
            </w:tcBorders>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3 978 22</w:t>
            </w:r>
            <w:r w:rsidR="00E413E7">
              <w:rPr>
                <w:rFonts w:ascii="Times New Roman" w:hAnsi="Times New Roman"/>
                <w:bCs/>
                <w:sz w:val="20"/>
                <w:szCs w:val="20"/>
              </w:rPr>
              <w:t>3</w:t>
            </w:r>
          </w:p>
        </w:tc>
        <w:tc>
          <w:tcPr>
            <w:tcW w:w="1141" w:type="dxa"/>
            <w:tcBorders>
              <w:top w:val="single" w:sz="4" w:space="0" w:color="auto"/>
              <w:left w:val="nil"/>
              <w:bottom w:val="double" w:sz="4" w:space="0" w:color="auto"/>
              <w:right w:val="single" w:sz="4" w:space="0" w:color="auto"/>
            </w:tcBorders>
            <w:shd w:val="clear" w:color="auto" w:fill="D9D9D9"/>
            <w:noWrap/>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2 031 34</w:t>
            </w:r>
            <w:r w:rsidR="00E413E7">
              <w:rPr>
                <w:rFonts w:ascii="Times New Roman" w:hAnsi="Times New Roman"/>
                <w:bCs/>
                <w:sz w:val="20"/>
                <w:szCs w:val="20"/>
              </w:rPr>
              <w:t>6</w:t>
            </w:r>
          </w:p>
        </w:tc>
        <w:tc>
          <w:tcPr>
            <w:tcW w:w="992" w:type="dxa"/>
            <w:tcBorders>
              <w:top w:val="single" w:sz="4" w:space="0" w:color="auto"/>
              <w:left w:val="nil"/>
              <w:bottom w:val="doub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1 663 755</w:t>
            </w:r>
          </w:p>
        </w:tc>
        <w:tc>
          <w:tcPr>
            <w:tcW w:w="1134" w:type="dxa"/>
            <w:tcBorders>
              <w:top w:val="single" w:sz="4" w:space="0" w:color="auto"/>
              <w:left w:val="nil"/>
              <w:bottom w:val="double" w:sz="4" w:space="0" w:color="auto"/>
              <w:right w:val="single" w:sz="4" w:space="0" w:color="auto"/>
            </w:tcBorders>
            <w:noWrap/>
            <w:textDirection w:val="lrTb"/>
            <w:vAlign w:val="center"/>
          </w:tcPr>
          <w:p w:rsidR="00183787" w:rsidRPr="009C3082" w:rsidP="00351C21">
            <w:pPr>
              <w:bidi w:val="0"/>
              <w:jc w:val="right"/>
              <w:rPr>
                <w:rFonts w:ascii="Times New Roman" w:hAnsi="Times New Roman"/>
                <w:bCs/>
                <w:sz w:val="20"/>
                <w:szCs w:val="20"/>
              </w:rPr>
            </w:pPr>
            <w:r w:rsidRPr="009C3082">
              <w:rPr>
                <w:rFonts w:ascii="Times New Roman" w:hAnsi="Times New Roman"/>
                <w:bCs/>
                <w:sz w:val="20"/>
                <w:szCs w:val="20"/>
              </w:rPr>
              <w:t>1 111 480</w:t>
            </w:r>
          </w:p>
        </w:tc>
        <w:tc>
          <w:tcPr>
            <w:tcW w:w="1290" w:type="dxa"/>
            <w:tcBorders>
              <w:top w:val="single" w:sz="4" w:space="0" w:color="auto"/>
              <w:left w:val="nil"/>
              <w:bottom w:val="double" w:sz="4" w:space="0" w:color="auto"/>
              <w:right w:val="single" w:sz="4" w:space="0" w:color="auto"/>
            </w:tcBorders>
            <w:textDirection w:val="lrTb"/>
            <w:vAlign w:val="center"/>
          </w:tcPr>
          <w:p w:rsidR="00183787" w:rsidRPr="009C3082" w:rsidP="00E413E7">
            <w:pPr>
              <w:bidi w:val="0"/>
              <w:jc w:val="right"/>
              <w:rPr>
                <w:rFonts w:ascii="Times New Roman" w:hAnsi="Times New Roman"/>
                <w:bCs/>
                <w:sz w:val="20"/>
                <w:szCs w:val="20"/>
              </w:rPr>
            </w:pPr>
            <w:r w:rsidRPr="009C3082">
              <w:rPr>
                <w:rFonts w:ascii="Times New Roman" w:hAnsi="Times New Roman"/>
                <w:bCs/>
                <w:sz w:val="20"/>
                <w:szCs w:val="20"/>
              </w:rPr>
              <w:t>-1 946 87</w:t>
            </w:r>
            <w:r w:rsidR="00E413E7">
              <w:rPr>
                <w:rFonts w:ascii="Times New Roman" w:hAnsi="Times New Roman"/>
                <w:bCs/>
                <w:sz w:val="20"/>
                <w:szCs w:val="20"/>
              </w:rPr>
              <w:t>7</w:t>
            </w:r>
          </w:p>
        </w:tc>
      </w:tr>
      <w:tr>
        <w:tblPrEx>
          <w:tblW w:w="9368" w:type="dxa"/>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7"/>
          <w:jc w:val="center"/>
        </w:trPr>
        <w:tc>
          <w:tcPr>
            <w:tcW w:w="2544" w:type="dxa"/>
            <w:tcBorders>
              <w:top w:val="double" w:sz="4" w:space="0" w:color="auto"/>
              <w:left w:val="single" w:sz="4" w:space="0" w:color="auto"/>
              <w:bottom w:val="single" w:sz="4" w:space="0" w:color="auto"/>
              <w:right w:val="single" w:sz="4" w:space="0" w:color="auto"/>
            </w:tcBorders>
            <w:noWrap/>
            <w:textDirection w:val="lrTb"/>
            <w:vAlign w:val="center"/>
          </w:tcPr>
          <w:p w:rsidR="00183787" w:rsidRPr="009C3082" w:rsidP="00C8769C">
            <w:pPr>
              <w:bidi w:val="0"/>
              <w:rPr>
                <w:rFonts w:ascii="Times New Roman" w:hAnsi="Times New Roman"/>
                <w:b/>
                <w:bCs/>
                <w:sz w:val="20"/>
                <w:szCs w:val="20"/>
              </w:rPr>
            </w:pPr>
            <w:r w:rsidRPr="009C3082">
              <w:rPr>
                <w:rFonts w:ascii="Times New Roman" w:hAnsi="Times New Roman"/>
                <w:b/>
                <w:bCs/>
                <w:sz w:val="20"/>
                <w:szCs w:val="20"/>
              </w:rPr>
              <w:t>Granty a transfery spolu</w:t>
            </w:r>
          </w:p>
        </w:tc>
        <w:tc>
          <w:tcPr>
            <w:tcW w:w="1140" w:type="dxa"/>
            <w:gridSpan w:val="2"/>
            <w:tcBorders>
              <w:top w:val="double" w:sz="4" w:space="0" w:color="auto"/>
              <w:left w:val="nil"/>
              <w:bottom w:val="single" w:sz="4" w:space="0" w:color="auto"/>
              <w:right w:val="single" w:sz="4" w:space="0" w:color="auto"/>
            </w:tcBorders>
            <w:noWrap/>
            <w:textDirection w:val="lrTb"/>
            <w:vAlign w:val="center"/>
          </w:tcPr>
          <w:p w:rsidR="00183787" w:rsidRPr="009C3082" w:rsidP="00E413E7">
            <w:pPr>
              <w:bidi w:val="0"/>
              <w:jc w:val="right"/>
              <w:rPr>
                <w:rFonts w:ascii="Times New Roman" w:hAnsi="Times New Roman"/>
                <w:b/>
                <w:bCs/>
                <w:sz w:val="20"/>
                <w:szCs w:val="20"/>
              </w:rPr>
            </w:pPr>
            <w:r w:rsidRPr="009C3082">
              <w:rPr>
                <w:rFonts w:ascii="Times New Roman" w:hAnsi="Times New Roman"/>
                <w:b/>
                <w:bCs/>
                <w:sz w:val="20"/>
                <w:szCs w:val="20"/>
              </w:rPr>
              <w:t>3 657 92</w:t>
            </w:r>
            <w:r w:rsidR="00E413E7">
              <w:rPr>
                <w:rFonts w:ascii="Times New Roman" w:hAnsi="Times New Roman"/>
                <w:b/>
                <w:bCs/>
                <w:sz w:val="20"/>
                <w:szCs w:val="20"/>
              </w:rPr>
              <w:t>3</w:t>
            </w:r>
          </w:p>
        </w:tc>
        <w:tc>
          <w:tcPr>
            <w:tcW w:w="1127" w:type="dxa"/>
            <w:tcBorders>
              <w:top w:val="double" w:sz="4" w:space="0" w:color="auto"/>
              <w:left w:val="nil"/>
              <w:bottom w:val="single" w:sz="4" w:space="0" w:color="auto"/>
              <w:right w:val="single" w:sz="4" w:space="0" w:color="auto"/>
            </w:tcBorders>
            <w:noWrap/>
            <w:textDirection w:val="lrTb"/>
            <w:vAlign w:val="center"/>
          </w:tcPr>
          <w:p w:rsidR="00183787" w:rsidRPr="009C3082" w:rsidP="00E413E7">
            <w:pPr>
              <w:bidi w:val="0"/>
              <w:jc w:val="right"/>
              <w:rPr>
                <w:rFonts w:ascii="Times New Roman" w:hAnsi="Times New Roman"/>
                <w:b/>
                <w:bCs/>
                <w:sz w:val="20"/>
                <w:szCs w:val="20"/>
              </w:rPr>
            </w:pPr>
            <w:r w:rsidRPr="009C3082">
              <w:rPr>
                <w:rFonts w:ascii="Times New Roman" w:hAnsi="Times New Roman"/>
                <w:b/>
                <w:bCs/>
                <w:sz w:val="20"/>
                <w:szCs w:val="20"/>
              </w:rPr>
              <w:t>4 291 55</w:t>
            </w:r>
            <w:r w:rsidR="00E413E7">
              <w:rPr>
                <w:rFonts w:ascii="Times New Roman" w:hAnsi="Times New Roman"/>
                <w:b/>
                <w:bCs/>
                <w:sz w:val="20"/>
                <w:szCs w:val="20"/>
              </w:rPr>
              <w:t>9</w:t>
            </w:r>
          </w:p>
        </w:tc>
        <w:tc>
          <w:tcPr>
            <w:tcW w:w="1141" w:type="dxa"/>
            <w:tcBorders>
              <w:top w:val="double" w:sz="4" w:space="0" w:color="auto"/>
              <w:left w:val="nil"/>
              <w:bottom w:val="single" w:sz="4" w:space="0" w:color="auto"/>
              <w:right w:val="single" w:sz="4" w:space="0" w:color="auto"/>
            </w:tcBorders>
            <w:shd w:val="clear" w:color="auto" w:fill="D9D9D9"/>
            <w:noWrap/>
            <w:textDirection w:val="lrTb"/>
            <w:vAlign w:val="center"/>
          </w:tcPr>
          <w:p w:rsidR="00183787" w:rsidRPr="009C3082" w:rsidP="00E413E7">
            <w:pPr>
              <w:bidi w:val="0"/>
              <w:jc w:val="right"/>
              <w:rPr>
                <w:rFonts w:ascii="Times New Roman" w:hAnsi="Times New Roman"/>
                <w:b/>
                <w:bCs/>
                <w:sz w:val="20"/>
                <w:szCs w:val="20"/>
              </w:rPr>
            </w:pPr>
            <w:r w:rsidRPr="009C3082">
              <w:rPr>
                <w:rFonts w:ascii="Times New Roman" w:hAnsi="Times New Roman"/>
                <w:b/>
                <w:bCs/>
                <w:sz w:val="20"/>
                <w:szCs w:val="20"/>
              </w:rPr>
              <w:t>2 440 96</w:t>
            </w:r>
            <w:r w:rsidR="00E413E7">
              <w:rPr>
                <w:rFonts w:ascii="Times New Roman" w:hAnsi="Times New Roman"/>
                <w:b/>
                <w:bCs/>
                <w:sz w:val="20"/>
                <w:szCs w:val="20"/>
              </w:rPr>
              <w:t>5</w:t>
            </w:r>
          </w:p>
        </w:tc>
        <w:tc>
          <w:tcPr>
            <w:tcW w:w="992" w:type="dxa"/>
            <w:tcBorders>
              <w:top w:val="double" w:sz="4" w:space="0" w:color="auto"/>
              <w:left w:val="nil"/>
              <w:bottom w:val="single" w:sz="4" w:space="0" w:color="auto"/>
              <w:right w:val="single" w:sz="4" w:space="0" w:color="auto"/>
            </w:tcBorders>
            <w:noWrap/>
            <w:textDirection w:val="lrTb"/>
            <w:vAlign w:val="center"/>
          </w:tcPr>
          <w:p w:rsidR="00183787" w:rsidRPr="009C3082" w:rsidP="00C8769C">
            <w:pPr>
              <w:bidi w:val="0"/>
              <w:jc w:val="right"/>
              <w:rPr>
                <w:rFonts w:ascii="Times New Roman" w:hAnsi="Times New Roman"/>
                <w:b/>
                <w:bCs/>
                <w:sz w:val="20"/>
                <w:szCs w:val="20"/>
              </w:rPr>
            </w:pPr>
            <w:r w:rsidRPr="009C3082">
              <w:rPr>
                <w:rFonts w:ascii="Times New Roman" w:hAnsi="Times New Roman"/>
                <w:b/>
                <w:bCs/>
                <w:sz w:val="20"/>
                <w:szCs w:val="20"/>
              </w:rPr>
              <w:t>2 245 750</w:t>
            </w:r>
          </w:p>
        </w:tc>
        <w:tc>
          <w:tcPr>
            <w:tcW w:w="1134" w:type="dxa"/>
            <w:tcBorders>
              <w:top w:val="double" w:sz="4" w:space="0" w:color="auto"/>
              <w:left w:val="nil"/>
              <w:bottom w:val="single" w:sz="4" w:space="0" w:color="auto"/>
              <w:right w:val="single" w:sz="4" w:space="0" w:color="auto"/>
            </w:tcBorders>
            <w:noWrap/>
            <w:textDirection w:val="lrTb"/>
            <w:vAlign w:val="center"/>
          </w:tcPr>
          <w:p w:rsidR="00183787" w:rsidRPr="009C3082" w:rsidP="00C8769C">
            <w:pPr>
              <w:bidi w:val="0"/>
              <w:jc w:val="right"/>
              <w:rPr>
                <w:rFonts w:ascii="Times New Roman" w:hAnsi="Times New Roman"/>
                <w:b/>
                <w:bCs/>
                <w:sz w:val="20"/>
                <w:szCs w:val="20"/>
              </w:rPr>
            </w:pPr>
            <w:r w:rsidRPr="009C3082">
              <w:rPr>
                <w:rFonts w:ascii="Times New Roman" w:hAnsi="Times New Roman"/>
                <w:b/>
                <w:bCs/>
                <w:sz w:val="20"/>
                <w:szCs w:val="20"/>
              </w:rPr>
              <w:t>1 678 030</w:t>
            </w:r>
          </w:p>
        </w:tc>
        <w:tc>
          <w:tcPr>
            <w:tcW w:w="1290" w:type="dxa"/>
            <w:tcBorders>
              <w:top w:val="double" w:sz="4" w:space="0" w:color="auto"/>
              <w:left w:val="nil"/>
              <w:bottom w:val="single" w:sz="4" w:space="0" w:color="auto"/>
              <w:right w:val="single" w:sz="4" w:space="0" w:color="auto"/>
            </w:tcBorders>
            <w:textDirection w:val="lrTb"/>
            <w:vAlign w:val="center"/>
          </w:tcPr>
          <w:p w:rsidR="00183787" w:rsidRPr="009C3082" w:rsidP="00C8769C">
            <w:pPr>
              <w:bidi w:val="0"/>
              <w:jc w:val="right"/>
              <w:rPr>
                <w:rFonts w:ascii="Times New Roman" w:hAnsi="Times New Roman"/>
                <w:b/>
                <w:bCs/>
                <w:sz w:val="20"/>
                <w:szCs w:val="20"/>
              </w:rPr>
            </w:pPr>
            <w:r w:rsidRPr="009C3082">
              <w:rPr>
                <w:rFonts w:ascii="Times New Roman" w:hAnsi="Times New Roman"/>
                <w:b/>
                <w:bCs/>
                <w:sz w:val="20"/>
                <w:szCs w:val="20"/>
              </w:rPr>
              <w:t>-1 850 594</w:t>
            </w:r>
          </w:p>
        </w:tc>
      </w:tr>
    </w:tbl>
    <w:p w:rsidR="00B07DEC" w:rsidP="0057157C">
      <w:pPr>
        <w:bidi w:val="0"/>
        <w:spacing w:line="360" w:lineRule="auto"/>
        <w:ind w:firstLine="142"/>
        <w:jc w:val="both"/>
        <w:rPr>
          <w:rFonts w:ascii="Times New Roman" w:hAnsi="Times New Roman"/>
        </w:rPr>
      </w:pPr>
      <w:r w:rsidRPr="00D665EA">
        <w:rPr>
          <w:rFonts w:ascii="Times New Roman" w:hAnsi="Times New Roman"/>
          <w:sz w:val="20"/>
          <w:szCs w:val="20"/>
        </w:rPr>
        <w:t>Zdroj: Ministerstvo financií SR</w:t>
      </w:r>
    </w:p>
    <w:p w:rsidR="00B07DEC" w:rsidP="003634A8">
      <w:pPr>
        <w:bidi w:val="0"/>
        <w:spacing w:before="120" w:after="120" w:line="360" w:lineRule="auto"/>
        <w:jc w:val="both"/>
        <w:rPr>
          <w:rFonts w:ascii="Times New Roman" w:hAnsi="Times New Roman"/>
        </w:rPr>
      </w:pPr>
      <w:r w:rsidRPr="00C54D55">
        <w:rPr>
          <w:rFonts w:ascii="Times New Roman" w:hAnsi="Times New Roman"/>
          <w:b/>
        </w:rPr>
        <w:t>Tuzemské granty a transfery</w:t>
      </w:r>
      <w:r>
        <w:rPr>
          <w:rFonts w:ascii="Times New Roman" w:hAnsi="Times New Roman"/>
        </w:rPr>
        <w:t xml:space="preserve"> prekročili plnením 399 883 tis. eur upravený rozpočet</w:t>
      </w:r>
      <w:r w:rsidR="003463D4">
        <w:rPr>
          <w:rFonts w:ascii="Times New Roman" w:hAnsi="Times New Roman"/>
        </w:rPr>
        <w:t xml:space="preserve"> o 86 547 tis. eur</w:t>
      </w:r>
      <w:r>
        <w:rPr>
          <w:rFonts w:ascii="Times New Roman" w:hAnsi="Times New Roman"/>
        </w:rPr>
        <w:t>. Podstatnú časť v sume 373 979 tis. eur tvoria prostriedky, ktoré Fond národného majetku Slovenskej republiky previedol na účet Ministerstva financií SR na posilnenie štátnych finančných aktív v zmysle článku 2 bod 2.1. Zmluvy o pos</w:t>
      </w:r>
      <w:r w:rsidR="00D56387">
        <w:rPr>
          <w:rFonts w:ascii="Times New Roman" w:hAnsi="Times New Roman"/>
        </w:rPr>
        <w:t>kytnutí finančných prostriedkov</w:t>
      </w:r>
      <w:r>
        <w:rPr>
          <w:rFonts w:ascii="Times New Roman" w:hAnsi="Times New Roman"/>
        </w:rPr>
        <w:t xml:space="preserve"> uzatvorenej medzi FNM SR a MF SR.</w:t>
      </w:r>
    </w:p>
    <w:p w:rsidR="00B07DEC" w:rsidP="003634A8">
      <w:pPr>
        <w:bidi w:val="0"/>
        <w:spacing w:before="120" w:after="120" w:line="360" w:lineRule="auto"/>
        <w:jc w:val="both"/>
        <w:rPr>
          <w:rFonts w:ascii="Times New Roman" w:hAnsi="Times New Roman"/>
        </w:rPr>
      </w:pPr>
      <w:r>
        <w:rPr>
          <w:rFonts w:ascii="Times New Roman" w:hAnsi="Times New Roman"/>
        </w:rPr>
        <w:t>Neplnenie sa prejavilo v </w:t>
      </w:r>
      <w:r w:rsidRPr="00C54D55">
        <w:rPr>
          <w:rFonts w:ascii="Times New Roman" w:hAnsi="Times New Roman"/>
          <w:b/>
        </w:rPr>
        <w:t>zahraničných grantoch a transferoch</w:t>
      </w:r>
      <w:r>
        <w:rPr>
          <w:rFonts w:ascii="Times New Roman" w:hAnsi="Times New Roman"/>
        </w:rPr>
        <w:t xml:space="preserve"> (plnenie 2 041 08</w:t>
      </w:r>
      <w:r w:rsidR="00097139">
        <w:rPr>
          <w:rFonts w:ascii="Times New Roman" w:hAnsi="Times New Roman"/>
        </w:rPr>
        <w:t>2</w:t>
      </w:r>
      <w:r>
        <w:rPr>
          <w:rFonts w:ascii="Times New Roman" w:hAnsi="Times New Roman"/>
        </w:rPr>
        <w:t xml:space="preserve"> tis. eur), hlavne v príjme prostriedkov z rozpočtu EÚ, ktoré dosiahli sumu 2 031 34</w:t>
      </w:r>
      <w:r w:rsidR="00097139">
        <w:rPr>
          <w:rFonts w:ascii="Times New Roman" w:hAnsi="Times New Roman"/>
        </w:rPr>
        <w:t>6</w:t>
      </w:r>
      <w:r>
        <w:rPr>
          <w:rFonts w:ascii="Times New Roman" w:hAnsi="Times New Roman"/>
        </w:rPr>
        <w:t xml:space="preserve"> tis. eur</w:t>
      </w:r>
      <w:r w:rsidRPr="00D665EA">
        <w:rPr>
          <w:rFonts w:ascii="Times New Roman" w:hAnsi="Times New Roman"/>
        </w:rPr>
        <w:t xml:space="preserve">. </w:t>
      </w:r>
      <w:r>
        <w:rPr>
          <w:rFonts w:ascii="Times New Roman" w:hAnsi="Times New Roman"/>
        </w:rPr>
        <w:t xml:space="preserve">Napriek tomu, že podstatnú časť týchto prostriedkov tvoria príjmy zo štrukturálnych fondov II. programového obdobia, </w:t>
      </w:r>
      <w:r w:rsidR="00167FEB">
        <w:rPr>
          <w:rFonts w:ascii="Times New Roman" w:hAnsi="Times New Roman"/>
        </w:rPr>
        <w:t>ide o ich</w:t>
      </w:r>
      <w:r>
        <w:rPr>
          <w:rFonts w:ascii="Times New Roman" w:hAnsi="Times New Roman"/>
        </w:rPr>
        <w:t xml:space="preserve"> najvyšší výpadok oproti rozpočtu. V plnení príjmov za štrukturálne operácie sa prejavuje časový nesúlad medzi </w:t>
      </w:r>
      <w:r w:rsidRPr="005D370E">
        <w:rPr>
          <w:rFonts w:ascii="Times New Roman" w:hAnsi="Times New Roman"/>
        </w:rPr>
        <w:t>čerpaním výdavkov a plnením príjmov a umožnenie financovania na úrovni prijímateľov formou zálohových platieb, ku ktorým sa viaže plnenie príjmov až po schválen</w:t>
      </w:r>
      <w:r>
        <w:rPr>
          <w:rFonts w:ascii="Times New Roman" w:hAnsi="Times New Roman"/>
        </w:rPr>
        <w:t>í výdavkov na všetkých stupňoch.</w:t>
      </w:r>
    </w:p>
    <w:p w:rsidR="00B07DEC" w:rsidP="00B07DEC">
      <w:pPr>
        <w:bidi w:val="0"/>
        <w:spacing w:line="360" w:lineRule="auto"/>
        <w:jc w:val="both"/>
        <w:rPr>
          <w:rFonts w:ascii="Times New Roman" w:hAnsi="Times New Roman"/>
        </w:rPr>
      </w:pPr>
      <w:r>
        <w:rPr>
          <w:rFonts w:ascii="Times New Roman" w:hAnsi="Times New Roman"/>
        </w:rPr>
        <w:t>Na plnení príjmov ako prostriedkov z EÚ (2 031 34</w:t>
      </w:r>
      <w:r w:rsidR="00097139">
        <w:rPr>
          <w:rFonts w:ascii="Times New Roman" w:hAnsi="Times New Roman"/>
        </w:rPr>
        <w:t>6</w:t>
      </w:r>
      <w:r>
        <w:rPr>
          <w:rFonts w:ascii="Times New Roman" w:hAnsi="Times New Roman"/>
        </w:rPr>
        <w:t xml:space="preserve"> tis. eur) sa podieľali v roku 2011 tieto rozpočtové kapitoly: Ministerstvo </w:t>
      </w:r>
      <w:r w:rsidRPr="000A55B7">
        <w:rPr>
          <w:rFonts w:ascii="Times New Roman" w:hAnsi="Times New Roman"/>
        </w:rPr>
        <w:t>financií SR (63 46</w:t>
      </w:r>
      <w:r w:rsidR="00097139">
        <w:rPr>
          <w:rFonts w:ascii="Times New Roman" w:hAnsi="Times New Roman"/>
        </w:rPr>
        <w:t>4</w:t>
      </w:r>
      <w:r w:rsidRPr="000A55B7">
        <w:rPr>
          <w:rFonts w:ascii="Times New Roman" w:hAnsi="Times New Roman"/>
        </w:rPr>
        <w:t xml:space="preserve"> tis. eur), Ministerstvo životného prostredia SR (231 260 tis. eur), Ministerstvo školstva,</w:t>
      </w:r>
      <w:r>
        <w:rPr>
          <w:rFonts w:ascii="Times New Roman" w:hAnsi="Times New Roman"/>
        </w:rPr>
        <w:t xml:space="preserve"> </w:t>
      </w:r>
      <w:r w:rsidRPr="000A55B7">
        <w:rPr>
          <w:rFonts w:ascii="Times New Roman" w:hAnsi="Times New Roman"/>
        </w:rPr>
        <w:t>vedy,</w:t>
      </w:r>
      <w:r>
        <w:rPr>
          <w:rFonts w:ascii="Times New Roman" w:hAnsi="Times New Roman"/>
        </w:rPr>
        <w:t xml:space="preserve"> </w:t>
      </w:r>
      <w:r w:rsidRPr="000A55B7">
        <w:rPr>
          <w:rFonts w:ascii="Times New Roman" w:hAnsi="Times New Roman"/>
        </w:rPr>
        <w:t>výsk</w:t>
      </w:r>
      <w:r>
        <w:rPr>
          <w:rFonts w:ascii="Times New Roman" w:hAnsi="Times New Roman"/>
        </w:rPr>
        <w:t>umu</w:t>
      </w:r>
      <w:r w:rsidRPr="000A55B7">
        <w:rPr>
          <w:rFonts w:ascii="Times New Roman" w:hAnsi="Times New Roman"/>
        </w:rPr>
        <w:t xml:space="preserve"> a športu SR (153 671 tis. eur), Ministerstvo zdravotníctva SR (60 495 tis. eur), Ministerstvo práce, soc</w:t>
      </w:r>
      <w:r>
        <w:rPr>
          <w:rFonts w:ascii="Times New Roman" w:hAnsi="Times New Roman"/>
        </w:rPr>
        <w:t>iálnych v</w:t>
      </w:r>
      <w:r w:rsidRPr="000A55B7">
        <w:rPr>
          <w:rFonts w:ascii="Times New Roman" w:hAnsi="Times New Roman"/>
        </w:rPr>
        <w:t>ecí a rodiny SR (206 016 tis. eur), Ministerstvo hospodárstva SR (155 720 tis. eur), Ministerstvo pôdohosp</w:t>
      </w:r>
      <w:r>
        <w:rPr>
          <w:rFonts w:ascii="Times New Roman" w:hAnsi="Times New Roman"/>
        </w:rPr>
        <w:t xml:space="preserve">odárstva </w:t>
      </w:r>
      <w:r w:rsidRPr="000A55B7">
        <w:rPr>
          <w:rFonts w:ascii="Times New Roman" w:hAnsi="Times New Roman"/>
        </w:rPr>
        <w:t>a rozvoja vidieka SR (926 841 tis. eur) a Ministerstvo dopr</w:t>
      </w:r>
      <w:r>
        <w:rPr>
          <w:rFonts w:ascii="Times New Roman" w:hAnsi="Times New Roman"/>
        </w:rPr>
        <w:t>avy</w:t>
      </w:r>
      <w:r w:rsidRPr="000A55B7">
        <w:rPr>
          <w:rFonts w:ascii="Times New Roman" w:hAnsi="Times New Roman"/>
        </w:rPr>
        <w:t>,</w:t>
      </w:r>
      <w:r>
        <w:rPr>
          <w:rFonts w:ascii="Times New Roman" w:hAnsi="Times New Roman"/>
        </w:rPr>
        <w:t xml:space="preserve"> </w:t>
      </w:r>
      <w:r w:rsidRPr="000A55B7">
        <w:rPr>
          <w:rFonts w:ascii="Times New Roman" w:hAnsi="Times New Roman"/>
        </w:rPr>
        <w:t>výst</w:t>
      </w:r>
      <w:r>
        <w:rPr>
          <w:rFonts w:ascii="Times New Roman" w:hAnsi="Times New Roman"/>
        </w:rPr>
        <w:t xml:space="preserve">avby </w:t>
      </w:r>
      <w:r w:rsidRPr="000A55B7">
        <w:rPr>
          <w:rFonts w:ascii="Times New Roman" w:hAnsi="Times New Roman"/>
        </w:rPr>
        <w:t>a</w:t>
      </w:r>
      <w:r>
        <w:rPr>
          <w:rFonts w:ascii="Times New Roman" w:hAnsi="Times New Roman"/>
        </w:rPr>
        <w:t> </w:t>
      </w:r>
      <w:r w:rsidRPr="000A55B7">
        <w:rPr>
          <w:rFonts w:ascii="Times New Roman" w:hAnsi="Times New Roman"/>
        </w:rPr>
        <w:t>reg</w:t>
      </w:r>
      <w:r>
        <w:rPr>
          <w:rFonts w:ascii="Times New Roman" w:hAnsi="Times New Roman"/>
        </w:rPr>
        <w:t xml:space="preserve">ionálneho </w:t>
      </w:r>
      <w:r w:rsidRPr="000A55B7">
        <w:rPr>
          <w:rFonts w:ascii="Times New Roman" w:hAnsi="Times New Roman"/>
        </w:rPr>
        <w:t>rozvoja SR (233 879 tis. eur).</w:t>
      </w:r>
    </w:p>
    <w:p w:rsidR="005B620F" w:rsidRPr="00C60745" w:rsidP="005B620F">
      <w:pPr>
        <w:bidi w:val="0"/>
        <w:spacing w:before="120" w:after="120" w:line="360" w:lineRule="auto"/>
        <w:jc w:val="both"/>
        <w:rPr>
          <w:rFonts w:ascii="Times New Roman" w:hAnsi="Times New Roman"/>
        </w:rPr>
      </w:pPr>
      <w:r>
        <w:rPr>
          <w:rFonts w:ascii="Times New Roman" w:hAnsi="Times New Roman"/>
        </w:rPr>
        <w:t xml:space="preserve">Podrobné údaje o príjmoch </w:t>
      </w:r>
      <w:r w:rsidR="00DD4E43">
        <w:rPr>
          <w:rFonts w:ascii="Times New Roman" w:hAnsi="Times New Roman"/>
        </w:rPr>
        <w:t xml:space="preserve">štátneho </w:t>
      </w:r>
      <w:r>
        <w:rPr>
          <w:rFonts w:ascii="Times New Roman" w:hAnsi="Times New Roman"/>
        </w:rPr>
        <w:t xml:space="preserve">rozpočtu </w:t>
      </w:r>
      <w:r w:rsidR="00DD4E43">
        <w:rPr>
          <w:rFonts w:ascii="Times New Roman" w:hAnsi="Times New Roman"/>
        </w:rPr>
        <w:t xml:space="preserve">podľa kapitol, kategórií rozpočtovej klasifikácie a podľa zdrojov </w:t>
      </w:r>
      <w:r>
        <w:rPr>
          <w:rFonts w:ascii="Times New Roman" w:hAnsi="Times New Roman"/>
        </w:rPr>
        <w:t xml:space="preserve">sú uvedené v tab. </w:t>
      </w:r>
      <w:r w:rsidR="00A475C1">
        <w:rPr>
          <w:rFonts w:ascii="Times New Roman" w:hAnsi="Times New Roman"/>
        </w:rPr>
        <w:t>č</w:t>
      </w:r>
      <w:r w:rsidR="00FE426E">
        <w:rPr>
          <w:rFonts w:ascii="Times New Roman" w:hAnsi="Times New Roman"/>
        </w:rPr>
        <w:t>.</w:t>
      </w:r>
      <w:r>
        <w:rPr>
          <w:rFonts w:ascii="Times New Roman" w:hAnsi="Times New Roman"/>
        </w:rPr>
        <w:t xml:space="preserve"> </w:t>
      </w:r>
      <w:r w:rsidR="00DD4E43">
        <w:rPr>
          <w:rFonts w:ascii="Times New Roman" w:hAnsi="Times New Roman"/>
        </w:rPr>
        <w:t>4 až</w:t>
      </w:r>
      <w:r>
        <w:rPr>
          <w:rFonts w:ascii="Times New Roman" w:hAnsi="Times New Roman"/>
        </w:rPr>
        <w:t xml:space="preserve"> </w:t>
      </w:r>
      <w:r w:rsidR="00DD4E43">
        <w:rPr>
          <w:rFonts w:ascii="Times New Roman" w:hAnsi="Times New Roman"/>
        </w:rPr>
        <w:t>6</w:t>
      </w:r>
      <w:r>
        <w:rPr>
          <w:rFonts w:ascii="Times New Roman" w:hAnsi="Times New Roman"/>
        </w:rPr>
        <w:t xml:space="preserve"> tabuľkovej prílohy štátneho záverečného účtu.</w:t>
      </w:r>
    </w:p>
    <w:p w:rsidR="009C3082" w:rsidP="00DD509A">
      <w:pPr>
        <w:pStyle w:val="Heading2"/>
        <w:bidi w:val="0"/>
        <w:spacing w:before="100" w:beforeAutospacing="1" w:after="100" w:afterAutospacing="1" w:line="360" w:lineRule="auto"/>
        <w:jc w:val="center"/>
        <w:rPr>
          <w:rFonts w:ascii="Times New Roman" w:hAnsi="Times New Roman"/>
          <w:color w:val="auto"/>
          <w:sz w:val="24"/>
          <w:szCs w:val="24"/>
        </w:rPr>
      </w:pPr>
      <w:bookmarkStart w:id="25" w:name="_Toc322614758"/>
      <w:r w:rsidRPr="009C3082">
        <w:rPr>
          <w:rFonts w:ascii="Times New Roman" w:hAnsi="Times New Roman"/>
          <w:color w:val="auto"/>
          <w:sz w:val="24"/>
          <w:szCs w:val="24"/>
        </w:rPr>
        <w:t>3.</w:t>
      </w:r>
      <w:r w:rsidR="00F8582D">
        <w:rPr>
          <w:rFonts w:ascii="Times New Roman" w:hAnsi="Times New Roman"/>
          <w:color w:val="auto"/>
          <w:sz w:val="24"/>
          <w:szCs w:val="24"/>
        </w:rPr>
        <w:t>4</w:t>
      </w:r>
      <w:r w:rsidR="00893198">
        <w:rPr>
          <w:rFonts w:ascii="Times New Roman" w:hAnsi="Times New Roman"/>
          <w:color w:val="auto"/>
          <w:sz w:val="24"/>
          <w:szCs w:val="24"/>
        </w:rPr>
        <w:t>.</w:t>
      </w:r>
      <w:r w:rsidRPr="009C3082">
        <w:rPr>
          <w:rFonts w:ascii="Times New Roman" w:hAnsi="Times New Roman"/>
          <w:color w:val="auto"/>
          <w:sz w:val="24"/>
          <w:szCs w:val="24"/>
        </w:rPr>
        <w:t xml:space="preserve"> Výdavky štátneho rozpočtu</w:t>
      </w:r>
      <w:bookmarkEnd w:id="25"/>
    </w:p>
    <w:p w:rsidR="006D2101" w:rsidRPr="006E100B" w:rsidP="004C1F8C">
      <w:pPr>
        <w:bidi w:val="0"/>
        <w:spacing w:before="120" w:after="120" w:line="360" w:lineRule="auto"/>
        <w:ind w:firstLine="709"/>
        <w:jc w:val="both"/>
        <w:rPr>
          <w:rFonts w:ascii="Times New Roman" w:hAnsi="Times New Roman"/>
        </w:rPr>
      </w:pPr>
      <w:r w:rsidRPr="006E100B">
        <w:rPr>
          <w:rFonts w:ascii="Times New Roman" w:hAnsi="Times New Roman"/>
        </w:rPr>
        <w:t xml:space="preserve">Pri rozpočtovaní výdavkov štátneho rozpočtu na rok 2011 sa zohľadnili najmä nasledovné ustanovenia zákona č. 523/2004 Z. z. o rozpočtových pravidlách verejnej správy a o zmene a doplnení niektorých zákonov v znení neskorších predpisov: </w:t>
      </w:r>
    </w:p>
    <w:p w:rsidR="006D2101" w:rsidRPr="006E100B" w:rsidP="00893198">
      <w:pPr>
        <w:numPr>
          <w:ilvl w:val="1"/>
          <w:numId w:val="17"/>
        </w:numPr>
        <w:bidi w:val="0"/>
        <w:spacing w:before="100" w:beforeAutospacing="1" w:after="100" w:afterAutospacing="1" w:line="360" w:lineRule="auto"/>
        <w:ind w:left="426" w:firstLine="0"/>
        <w:jc w:val="both"/>
        <w:rPr>
          <w:rFonts w:ascii="Times New Roman" w:hAnsi="Times New Roman"/>
        </w:rPr>
      </w:pPr>
      <w:r w:rsidRPr="006E100B">
        <w:rPr>
          <w:rFonts w:ascii="Times New Roman" w:hAnsi="Times New Roman"/>
        </w:rPr>
        <w:t>viacročné rozpočtovanie na tri rozpočtové roky,</w:t>
      </w:r>
    </w:p>
    <w:p w:rsidR="006D2101" w:rsidRPr="006E100B" w:rsidP="00893198">
      <w:pPr>
        <w:numPr>
          <w:ilvl w:val="1"/>
          <w:numId w:val="17"/>
        </w:numPr>
        <w:bidi w:val="0"/>
        <w:spacing w:before="100" w:beforeAutospacing="1" w:after="100" w:afterAutospacing="1" w:line="360" w:lineRule="auto"/>
        <w:ind w:left="709" w:hanging="283"/>
        <w:jc w:val="both"/>
        <w:rPr>
          <w:rFonts w:ascii="Times New Roman" w:hAnsi="Times New Roman"/>
        </w:rPr>
      </w:pPr>
      <w:r w:rsidRPr="006E100B">
        <w:rPr>
          <w:rFonts w:ascii="Times New Roman" w:hAnsi="Times New Roman"/>
        </w:rPr>
        <w:t>využívanie programového rozpočtovania ako integrálnej súčasti rozpočtového procesu pri zostavovaní a realizácii štátneho rozpočtu,</w:t>
      </w:r>
    </w:p>
    <w:p w:rsidR="006D2101" w:rsidRPr="006E100B" w:rsidP="00167FEB">
      <w:pPr>
        <w:numPr>
          <w:ilvl w:val="1"/>
          <w:numId w:val="17"/>
        </w:numPr>
        <w:bidi w:val="0"/>
        <w:spacing w:line="360" w:lineRule="auto"/>
        <w:ind w:left="709" w:hanging="283"/>
        <w:jc w:val="both"/>
        <w:rPr>
          <w:rFonts w:ascii="Times New Roman" w:hAnsi="Times New Roman"/>
        </w:rPr>
      </w:pPr>
      <w:r w:rsidRPr="006E100B">
        <w:rPr>
          <w:rFonts w:ascii="Times New Roman" w:hAnsi="Times New Roman"/>
        </w:rPr>
        <w:t>čerpanie prostriedkov štátneho rozpočtu aj v nasledujúcich rozpočtových rokoch (možnosť čerpania finančných prostriedkov na kapitálové výdavky a prostriedky Európskej únie vrátane spolufinancovania zo štátneho rozpočtu aj v nasledujúcich rokoch za podmienok ustanovených zákonom o rozpočtových pravidlách verejnej správy, ako aj možnosť použiť bežné transfery poskytnuté príjemcom v poslednom štvrťroku rozpočtového roka do konca prvého štvrťroka nasledujúceho roka),</w:t>
      </w:r>
    </w:p>
    <w:p w:rsidR="006D2101" w:rsidRPr="006E100B" w:rsidP="00167FEB">
      <w:pPr>
        <w:numPr>
          <w:ilvl w:val="1"/>
          <w:numId w:val="17"/>
        </w:numPr>
        <w:bidi w:val="0"/>
        <w:spacing w:line="360" w:lineRule="auto"/>
        <w:ind w:left="709" w:hanging="283"/>
        <w:jc w:val="both"/>
        <w:rPr>
          <w:rFonts w:ascii="Times New Roman" w:hAnsi="Times New Roman"/>
        </w:rPr>
      </w:pPr>
      <w:r w:rsidRPr="006E100B">
        <w:rPr>
          <w:rFonts w:ascii="Times New Roman" w:hAnsi="Times New Roman"/>
        </w:rPr>
        <w:t>poskytovanie dotácií právnickým a fyzickým osobám v súlade so zákonom o štátnom rozpočte na príslušný rozpočtový rok,</w:t>
      </w:r>
    </w:p>
    <w:p w:rsidR="006D2101" w:rsidP="00167FEB">
      <w:pPr>
        <w:numPr>
          <w:ilvl w:val="1"/>
          <w:numId w:val="17"/>
        </w:numPr>
        <w:bidi w:val="0"/>
        <w:spacing w:line="360" w:lineRule="auto"/>
        <w:ind w:left="709" w:hanging="283"/>
        <w:jc w:val="both"/>
        <w:rPr>
          <w:rFonts w:ascii="Times New Roman" w:hAnsi="Times New Roman"/>
        </w:rPr>
      </w:pPr>
      <w:r w:rsidRPr="006E100B">
        <w:rPr>
          <w:rFonts w:ascii="Times New Roman" w:hAnsi="Times New Roman"/>
        </w:rPr>
        <w:t>na majetkovú účasť alebo na založenie (zriadenie) inej právnickej osoby ako rozpočtovej resp. príspevkovej organizácie možno použiť len štátne finančné aktíva v správe Ministerstva financií SR.</w:t>
      </w:r>
    </w:p>
    <w:p w:rsidR="00534001" w:rsidRPr="006E100B" w:rsidP="00534001">
      <w:pPr>
        <w:bidi w:val="0"/>
        <w:spacing w:line="360" w:lineRule="auto"/>
        <w:jc w:val="both"/>
        <w:rPr>
          <w:rFonts w:ascii="Times New Roman" w:hAnsi="Times New Roman"/>
        </w:rPr>
      </w:pPr>
      <w:r>
        <w:rPr>
          <w:rFonts w:ascii="Times New Roman" w:hAnsi="Times New Roman"/>
        </w:rPr>
        <w:t xml:space="preserve">Podrobný prehľad o výdavkoch štátneho rozpočtu v roku 2011 podľa kategórií rozpočtovej klasifikácie a kapitol štátneho rozpočtu, o bežných transferoch a kapitálových výdavkoch je uvedený </w:t>
      </w:r>
      <w:r w:rsidR="00893198">
        <w:rPr>
          <w:rFonts w:ascii="Times New Roman" w:hAnsi="Times New Roman"/>
        </w:rPr>
        <w:t>v tab. 7 až 9 tabuľkovej prílohy štátneho záverečného účtu</w:t>
      </w:r>
      <w:r>
        <w:rPr>
          <w:rFonts w:ascii="Times New Roman" w:hAnsi="Times New Roman"/>
        </w:rPr>
        <w:t>.</w:t>
      </w:r>
    </w:p>
    <w:p w:rsidR="006D2101" w:rsidP="00DD509A">
      <w:pPr>
        <w:pStyle w:val="Heading3"/>
        <w:bidi w:val="0"/>
        <w:spacing w:before="100" w:beforeAutospacing="1" w:after="100" w:afterAutospacing="1" w:line="360" w:lineRule="auto"/>
        <w:jc w:val="center"/>
        <w:rPr>
          <w:rFonts w:ascii="Times New Roman" w:hAnsi="Times New Roman"/>
          <w:color w:val="auto"/>
        </w:rPr>
      </w:pPr>
      <w:bookmarkStart w:id="26" w:name="_Toc322614759"/>
      <w:r>
        <w:rPr>
          <w:rFonts w:ascii="Times New Roman" w:hAnsi="Times New Roman"/>
          <w:color w:val="auto"/>
        </w:rPr>
        <w:t>3.</w:t>
      </w:r>
      <w:r w:rsidR="00F8582D">
        <w:rPr>
          <w:rFonts w:ascii="Times New Roman" w:hAnsi="Times New Roman"/>
          <w:color w:val="auto"/>
        </w:rPr>
        <w:t>4</w:t>
      </w:r>
      <w:r>
        <w:rPr>
          <w:rFonts w:ascii="Times New Roman" w:hAnsi="Times New Roman"/>
          <w:color w:val="auto"/>
        </w:rPr>
        <w:t>.1</w:t>
      </w:r>
      <w:r w:rsidR="00893198">
        <w:rPr>
          <w:rFonts w:ascii="Times New Roman" w:hAnsi="Times New Roman"/>
          <w:color w:val="auto"/>
        </w:rPr>
        <w:t>.</w:t>
      </w:r>
      <w:r>
        <w:rPr>
          <w:rFonts w:ascii="Times New Roman" w:hAnsi="Times New Roman"/>
          <w:color w:val="auto"/>
        </w:rPr>
        <w:t xml:space="preserve"> Výdavky </w:t>
      </w:r>
      <w:r w:rsidR="009241B8">
        <w:rPr>
          <w:rFonts w:ascii="Times New Roman" w:hAnsi="Times New Roman"/>
          <w:color w:val="auto"/>
        </w:rPr>
        <w:t xml:space="preserve">štátneho rozpočtu </w:t>
      </w:r>
      <w:r>
        <w:rPr>
          <w:rFonts w:ascii="Times New Roman" w:hAnsi="Times New Roman"/>
          <w:color w:val="auto"/>
        </w:rPr>
        <w:t>podľa ekonomickej klasifikácie</w:t>
      </w:r>
      <w:bookmarkEnd w:id="26"/>
    </w:p>
    <w:p w:rsidR="006F3414" w:rsidP="00534001">
      <w:pPr>
        <w:bidi w:val="0"/>
        <w:spacing w:before="100" w:beforeAutospacing="1" w:after="100" w:afterAutospacing="1" w:line="360" w:lineRule="auto"/>
        <w:ind w:firstLine="708"/>
        <w:jc w:val="both"/>
        <w:rPr>
          <w:rFonts w:ascii="Times New Roman" w:hAnsi="Times New Roman"/>
        </w:rPr>
      </w:pPr>
      <w:r w:rsidR="00A26AFA">
        <w:rPr>
          <w:rFonts w:ascii="Times New Roman" w:hAnsi="Times New Roman"/>
        </w:rPr>
        <w:t xml:space="preserve">Na rok </w:t>
      </w:r>
      <w:r>
        <w:rPr>
          <w:rFonts w:ascii="Times New Roman" w:hAnsi="Times New Roman"/>
        </w:rPr>
        <w:t>2011 sa rozpočtovali výdavky štátneho rozpočtu sumou 16 957 773 ti</w:t>
      </w:r>
      <w:r w:rsidR="009C564F">
        <w:rPr>
          <w:rFonts w:ascii="Times New Roman" w:hAnsi="Times New Roman"/>
        </w:rPr>
        <w:t>s</w:t>
      </w:r>
      <w:r>
        <w:rPr>
          <w:rFonts w:ascii="Times New Roman" w:hAnsi="Times New Roman"/>
        </w:rPr>
        <w:t xml:space="preserve">. eur, s medziročným nárastom </w:t>
      </w:r>
      <w:r w:rsidR="00534001">
        <w:rPr>
          <w:rFonts w:ascii="Times New Roman" w:hAnsi="Times New Roman"/>
        </w:rPr>
        <w:t>vo vzťahu k</w:t>
      </w:r>
      <w:r w:rsidR="00A26AFA">
        <w:rPr>
          <w:rFonts w:ascii="Times New Roman" w:hAnsi="Times New Roman"/>
        </w:rPr>
        <w:t xml:space="preserve"> schválenému </w:t>
      </w:r>
      <w:r w:rsidR="00534001">
        <w:rPr>
          <w:rFonts w:ascii="Times New Roman" w:hAnsi="Times New Roman"/>
        </w:rPr>
        <w:t xml:space="preserve">rozpočtu 2010 </w:t>
      </w:r>
      <w:r>
        <w:rPr>
          <w:rFonts w:ascii="Times New Roman" w:hAnsi="Times New Roman"/>
        </w:rPr>
        <w:t>o 3,4</w:t>
      </w:r>
      <w:r w:rsidR="00D56387">
        <w:rPr>
          <w:rFonts w:ascii="Times New Roman" w:hAnsi="Times New Roman"/>
        </w:rPr>
        <w:t xml:space="preserve"> </w:t>
      </w:r>
      <w:r>
        <w:rPr>
          <w:rFonts w:ascii="Times New Roman" w:hAnsi="Times New Roman"/>
        </w:rPr>
        <w:t>%. V priebehu roka sa rozpočtovými opatreniami ich celkový objem zvýšil na 18 097 267 tis. eur a konečné čerpanie výdavkov bolo spolu 15 27</w:t>
      </w:r>
      <w:r w:rsidR="004A3989">
        <w:rPr>
          <w:rFonts w:ascii="Times New Roman" w:hAnsi="Times New Roman"/>
        </w:rPr>
        <w:t>8</w:t>
      </w:r>
      <w:r>
        <w:rPr>
          <w:rFonts w:ascii="Times New Roman" w:hAnsi="Times New Roman"/>
        </w:rPr>
        <w:t> 042 tis. eur.</w:t>
      </w:r>
    </w:p>
    <w:p w:rsidR="006F3414" w:rsidRPr="00534001" w:rsidP="00534001">
      <w:pPr>
        <w:pStyle w:val="Heading4"/>
        <w:bidi w:val="0"/>
        <w:spacing w:before="100" w:beforeAutospacing="1" w:after="100" w:afterAutospacing="1" w:line="360" w:lineRule="auto"/>
        <w:jc w:val="center"/>
        <w:rPr>
          <w:rFonts w:ascii="Times New Roman" w:hAnsi="Times New Roman"/>
          <w:sz w:val="24"/>
          <w:szCs w:val="24"/>
        </w:rPr>
      </w:pPr>
      <w:r w:rsidR="00534001">
        <w:rPr>
          <w:rFonts w:ascii="Times New Roman" w:hAnsi="Times New Roman"/>
          <w:sz w:val="24"/>
          <w:szCs w:val="24"/>
        </w:rPr>
        <w:t xml:space="preserve">3.4.1.1. </w:t>
      </w:r>
      <w:r w:rsidRPr="00534001">
        <w:rPr>
          <w:rFonts w:ascii="Times New Roman" w:hAnsi="Times New Roman"/>
          <w:sz w:val="24"/>
          <w:szCs w:val="24"/>
        </w:rPr>
        <w:t>Bežné výdavky</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Rozpočet bežných výdavkov na rok 2011 predstavoval sumu 14 066 186 tis. eur, ktorá sa v priebehu rozpočtového roka rozpočtovými opatreniami zvýšila na 14</w:t>
      </w:r>
      <w:r w:rsidR="00A26AFA">
        <w:rPr>
          <w:rFonts w:ascii="Times New Roman" w:hAnsi="Times New Roman"/>
        </w:rPr>
        <w:t> </w:t>
      </w:r>
      <w:r w:rsidRPr="00D30871">
        <w:rPr>
          <w:rFonts w:ascii="Times New Roman" w:hAnsi="Times New Roman"/>
        </w:rPr>
        <w:t>381</w:t>
      </w:r>
      <w:r w:rsidR="00A26AFA">
        <w:rPr>
          <w:rFonts w:ascii="Times New Roman" w:hAnsi="Times New Roman"/>
        </w:rPr>
        <w:t xml:space="preserve"> </w:t>
      </w:r>
      <w:r w:rsidRPr="00D30871">
        <w:rPr>
          <w:rFonts w:ascii="Times New Roman" w:hAnsi="Times New Roman"/>
        </w:rPr>
        <w:t>898 tis. eur. V skutočnosti sa vyčerpalo 12 782 847 tis. eur (</w:t>
      </w:r>
      <w:r w:rsidR="008C52A2">
        <w:rPr>
          <w:rFonts w:ascii="Times New Roman" w:hAnsi="Times New Roman"/>
        </w:rPr>
        <w:t>2010: 12 968</w:t>
      </w:r>
      <w:r w:rsidR="00534001">
        <w:rPr>
          <w:rFonts w:ascii="Times New Roman" w:hAnsi="Times New Roman"/>
        </w:rPr>
        <w:t> </w:t>
      </w:r>
      <w:r w:rsidR="008C52A2">
        <w:rPr>
          <w:rFonts w:ascii="Times New Roman" w:hAnsi="Times New Roman"/>
        </w:rPr>
        <w:t>403</w:t>
      </w:r>
      <w:r w:rsidR="00534001">
        <w:rPr>
          <w:rFonts w:ascii="Times New Roman" w:hAnsi="Times New Roman"/>
        </w:rPr>
        <w:t xml:space="preserve"> tis. eur</w:t>
      </w:r>
      <w:r w:rsidRPr="00D30871">
        <w:rPr>
          <w:rFonts w:ascii="Times New Roman" w:hAnsi="Times New Roman"/>
        </w:rPr>
        <w:t>).</w:t>
      </w:r>
    </w:p>
    <w:p w:rsidR="00C111F2" w:rsidP="003634A8">
      <w:pPr>
        <w:bidi w:val="0"/>
        <w:spacing w:before="120" w:after="120"/>
        <w:jc w:val="both"/>
        <w:rPr>
          <w:rFonts w:ascii="Times New Roman" w:hAnsi="Times New Roman"/>
        </w:rPr>
      </w:pPr>
      <w:r w:rsidRPr="00D30871" w:rsidR="006F3414">
        <w:rPr>
          <w:rFonts w:ascii="Times New Roman" w:hAnsi="Times New Roman"/>
        </w:rPr>
        <w:t>Prehľad bežných výdavkov v základnej ekonomickej štruktúre poskytuj</w:t>
      </w:r>
      <w:r w:rsidR="006F3414">
        <w:rPr>
          <w:rFonts w:ascii="Times New Roman" w:hAnsi="Times New Roman"/>
        </w:rPr>
        <w:t>e</w:t>
      </w:r>
      <w:r w:rsidRPr="00D30871" w:rsidR="006F3414">
        <w:rPr>
          <w:rFonts w:ascii="Times New Roman" w:hAnsi="Times New Roman"/>
        </w:rPr>
        <w:t xml:space="preserve"> </w:t>
      </w:r>
      <w:r w:rsidR="006F3414">
        <w:rPr>
          <w:rFonts w:ascii="Times New Roman" w:hAnsi="Times New Roman"/>
        </w:rPr>
        <w:t>nasledovná tabuľka</w:t>
      </w:r>
      <w:r>
        <w:rPr>
          <w:rFonts w:ascii="Times New Roman" w:hAnsi="Times New Roman"/>
        </w:rPr>
        <w:t>:</w:t>
      </w:r>
    </w:p>
    <w:tbl>
      <w:tblPr>
        <w:tblStyle w:val="TableNormal"/>
        <w:tblW w:w="9534" w:type="dxa"/>
        <w:jc w:val="center"/>
        <w:tblInd w:w="-142" w:type="dxa"/>
        <w:tblCellMar>
          <w:left w:w="70" w:type="dxa"/>
          <w:right w:w="70" w:type="dxa"/>
        </w:tblCellMar>
        <w:tblLook w:val="04A0"/>
      </w:tblPr>
      <w:tblGrid>
        <w:gridCol w:w="2546"/>
        <w:gridCol w:w="1276"/>
        <w:gridCol w:w="1134"/>
        <w:gridCol w:w="1134"/>
        <w:gridCol w:w="1210"/>
        <w:gridCol w:w="1134"/>
        <w:gridCol w:w="1100"/>
      </w:tblGrid>
      <w:tr>
        <w:tblPrEx>
          <w:tblW w:w="9534" w:type="dxa"/>
          <w:jc w:val="center"/>
          <w:tblInd w:w="-142" w:type="dxa"/>
          <w:tblCellMar>
            <w:left w:w="70" w:type="dxa"/>
            <w:right w:w="70" w:type="dxa"/>
          </w:tblCellMar>
          <w:tblLook w:val="04A0"/>
        </w:tblPrEx>
        <w:trPr>
          <w:trHeight w:hRule="exact" w:val="345"/>
          <w:jc w:val="center"/>
        </w:trPr>
        <w:tc>
          <w:tcPr>
            <w:tcW w:w="2546"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497903" w:rsidRPr="00F9182D" w:rsidP="005B0F88">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Ukazovateľ</w:t>
            </w:r>
          </w:p>
          <w:p w:rsidR="00497903" w:rsidRPr="00F9182D" w:rsidP="005B0F88">
            <w:pPr>
              <w:bidi w:val="0"/>
              <w:rPr>
                <w:rFonts w:ascii="Times New Roman" w:hAnsi="Times New Roman"/>
                <w:b/>
                <w:bCs/>
                <w:color w:val="FFFFFF"/>
                <w:sz w:val="20"/>
                <w:szCs w:val="20"/>
              </w:rPr>
            </w:pPr>
            <w:r w:rsidRPr="00F9182D">
              <w:rPr>
                <w:rFonts w:ascii="Times New Roman" w:hAnsi="Times New Roman"/>
                <w:b/>
                <w:bCs/>
                <w:color w:val="FFFFFF"/>
                <w:sz w:val="20"/>
                <w:szCs w:val="20"/>
              </w:rPr>
              <w:t>(v tis. eur)</w:t>
            </w:r>
          </w:p>
        </w:tc>
        <w:tc>
          <w:tcPr>
            <w:tcW w:w="2410" w:type="dxa"/>
            <w:gridSpan w:val="2"/>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497903" w:rsidRPr="00F9182D" w:rsidP="005B0F88">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Rozpočet 2011</w:t>
            </w:r>
          </w:p>
        </w:tc>
        <w:tc>
          <w:tcPr>
            <w:tcW w:w="3478" w:type="dxa"/>
            <w:gridSpan w:val="3"/>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497903" w:rsidRPr="00F9182D" w:rsidP="005B0F88">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Skutočnosť</w:t>
            </w:r>
          </w:p>
        </w:tc>
        <w:tc>
          <w:tcPr>
            <w:tcW w:w="1100" w:type="dxa"/>
            <w:vMerge w:val="restart"/>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497903" w:rsidRPr="00F9182D" w:rsidP="005B0F88">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Rozdiel</w:t>
            </w:r>
          </w:p>
        </w:tc>
      </w:tr>
      <w:tr>
        <w:tblPrEx>
          <w:tblW w:w="9534" w:type="dxa"/>
          <w:jc w:val="center"/>
          <w:tblInd w:w="-142" w:type="dxa"/>
          <w:tblCellMar>
            <w:left w:w="70" w:type="dxa"/>
            <w:right w:w="70" w:type="dxa"/>
          </w:tblCellMar>
          <w:tblLook w:val="04A0"/>
        </w:tblPrEx>
        <w:trPr>
          <w:trHeight w:val="345"/>
          <w:jc w:val="center"/>
        </w:trPr>
        <w:tc>
          <w:tcPr>
            <w:tcW w:w="2546" w:type="dxa"/>
            <w:vMerge/>
            <w:tcBorders>
              <w:top w:val="single" w:sz="4" w:space="0" w:color="FFFFFF"/>
              <w:left w:val="single" w:sz="8" w:space="0" w:color="FFFFFF"/>
              <w:bottom w:val="single" w:sz="4" w:space="0" w:color="auto"/>
              <w:right w:val="single" w:sz="8" w:space="0" w:color="FFFFFF"/>
            </w:tcBorders>
            <w:shd w:val="clear" w:color="auto" w:fill="000000"/>
            <w:textDirection w:val="lrTb"/>
            <w:vAlign w:val="center"/>
            <w:hideMark/>
          </w:tcPr>
          <w:p w:rsidR="00497903" w:rsidRPr="004B18B6" w:rsidP="005B0F88">
            <w:pPr>
              <w:bidi w:val="0"/>
              <w:rPr>
                <w:rFonts w:ascii="Times New Roman" w:hAnsi="Times New Roman"/>
                <w:b/>
                <w:bCs/>
                <w:color w:val="FFFFFF"/>
                <w:sz w:val="20"/>
                <w:szCs w:val="20"/>
              </w:rPr>
            </w:pPr>
          </w:p>
        </w:tc>
        <w:tc>
          <w:tcPr>
            <w:tcW w:w="1276" w:type="dxa"/>
            <w:tcBorders>
              <w:top w:val="single" w:sz="4" w:space="0" w:color="FFFFFF"/>
              <w:left w:val="single" w:sz="8" w:space="0" w:color="FFFFFF"/>
              <w:bottom w:val="single" w:sz="4" w:space="0" w:color="auto"/>
              <w:right w:val="single" w:sz="8" w:space="0" w:color="FFFFFF"/>
            </w:tcBorders>
            <w:shd w:val="clear" w:color="auto" w:fill="000000"/>
            <w:noWrap/>
            <w:textDirection w:val="lrTb"/>
            <w:vAlign w:val="center"/>
            <w:hideMark/>
          </w:tcPr>
          <w:p w:rsidR="00497903" w:rsidRPr="004B18B6" w:rsidP="005B0F88">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schválený</w:t>
            </w:r>
          </w:p>
        </w:tc>
        <w:tc>
          <w:tcPr>
            <w:tcW w:w="1134" w:type="dxa"/>
            <w:tcBorders>
              <w:top w:val="single" w:sz="4" w:space="0" w:color="FFFFFF"/>
              <w:left w:val="single" w:sz="8" w:space="0" w:color="FFFFFF"/>
              <w:bottom w:val="single" w:sz="4" w:space="0" w:color="auto"/>
              <w:right w:val="single" w:sz="8" w:space="0" w:color="FFFFFF"/>
            </w:tcBorders>
            <w:shd w:val="clear" w:color="auto" w:fill="000000"/>
            <w:noWrap/>
            <w:textDirection w:val="lrTb"/>
            <w:vAlign w:val="center"/>
            <w:hideMark/>
          </w:tcPr>
          <w:p w:rsidR="00497903" w:rsidRPr="004B18B6" w:rsidP="005B0F88">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upravený</w:t>
            </w:r>
          </w:p>
        </w:tc>
        <w:tc>
          <w:tcPr>
            <w:tcW w:w="1134" w:type="dxa"/>
            <w:tcBorders>
              <w:top w:val="single" w:sz="4" w:space="0" w:color="FFFFFF"/>
              <w:left w:val="single" w:sz="8" w:space="0" w:color="FFFFFF"/>
              <w:bottom w:val="single" w:sz="4" w:space="0" w:color="auto"/>
              <w:right w:val="single" w:sz="8" w:space="0" w:color="FFFFFF"/>
            </w:tcBorders>
            <w:shd w:val="clear" w:color="auto" w:fill="000000"/>
            <w:noWrap/>
            <w:textDirection w:val="lrTb"/>
            <w:vAlign w:val="center"/>
            <w:hideMark/>
          </w:tcPr>
          <w:p w:rsidR="00497903" w:rsidRPr="004B18B6" w:rsidP="005B0F88">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2011</w:t>
            </w:r>
          </w:p>
        </w:tc>
        <w:tc>
          <w:tcPr>
            <w:tcW w:w="1210" w:type="dxa"/>
            <w:tcBorders>
              <w:top w:val="single" w:sz="4" w:space="0" w:color="FFFFFF"/>
              <w:left w:val="single" w:sz="8" w:space="0" w:color="FFFFFF"/>
              <w:bottom w:val="single" w:sz="4" w:space="0" w:color="auto"/>
              <w:right w:val="single" w:sz="8" w:space="0" w:color="FFFFFF"/>
            </w:tcBorders>
            <w:shd w:val="clear" w:color="auto" w:fill="000000"/>
            <w:noWrap/>
            <w:textDirection w:val="lrTb"/>
            <w:vAlign w:val="center"/>
            <w:hideMark/>
          </w:tcPr>
          <w:p w:rsidR="00497903" w:rsidRPr="004B18B6" w:rsidP="005B0F88">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2010</w:t>
            </w:r>
          </w:p>
        </w:tc>
        <w:tc>
          <w:tcPr>
            <w:tcW w:w="1134" w:type="dxa"/>
            <w:tcBorders>
              <w:top w:val="single" w:sz="4" w:space="0" w:color="FFFFFF"/>
              <w:left w:val="single" w:sz="8" w:space="0" w:color="FFFFFF"/>
              <w:bottom w:val="single" w:sz="4" w:space="0" w:color="auto"/>
              <w:right w:val="single" w:sz="8" w:space="0" w:color="FFFFFF"/>
            </w:tcBorders>
            <w:shd w:val="clear" w:color="auto" w:fill="000000"/>
            <w:noWrap/>
            <w:textDirection w:val="lrTb"/>
            <w:vAlign w:val="center"/>
            <w:hideMark/>
          </w:tcPr>
          <w:p w:rsidR="00497903" w:rsidRPr="004B18B6" w:rsidP="005B0F88">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2009</w:t>
            </w:r>
          </w:p>
        </w:tc>
        <w:tc>
          <w:tcPr>
            <w:tcW w:w="1100" w:type="dxa"/>
            <w:vMerge/>
            <w:tcBorders>
              <w:top w:val="single" w:sz="4" w:space="0" w:color="FFFFFF"/>
              <w:left w:val="single" w:sz="8" w:space="0" w:color="FFFFFF"/>
              <w:bottom w:val="single" w:sz="4" w:space="0" w:color="auto"/>
              <w:right w:val="single" w:sz="8" w:space="0" w:color="FFFFFF"/>
            </w:tcBorders>
            <w:shd w:val="clear" w:color="auto" w:fill="000000"/>
            <w:textDirection w:val="lrTb"/>
            <w:vAlign w:val="center"/>
            <w:hideMark/>
          </w:tcPr>
          <w:p w:rsidR="00497903" w:rsidRPr="004B18B6" w:rsidP="005B0F88">
            <w:pPr>
              <w:bidi w:val="0"/>
              <w:rPr>
                <w:rFonts w:ascii="Times New Roman" w:hAnsi="Times New Roman"/>
                <w:b/>
                <w:bCs/>
                <w:color w:val="FFFFFF"/>
                <w:sz w:val="20"/>
                <w:szCs w:val="20"/>
              </w:rPr>
            </w:pPr>
          </w:p>
        </w:tc>
      </w:tr>
      <w:tr>
        <w:tblPrEx>
          <w:tblW w:w="9534" w:type="dxa"/>
          <w:jc w:val="center"/>
          <w:tblInd w:w="-142" w:type="dxa"/>
          <w:tblCellMar>
            <w:left w:w="70" w:type="dxa"/>
            <w:right w:w="70" w:type="dxa"/>
          </w:tblCellMar>
          <w:tblLook w:val="04A0"/>
        </w:tblPrEx>
        <w:trPr>
          <w:trHeight w:hRule="exact" w:val="345"/>
          <w:jc w:val="center"/>
        </w:trPr>
        <w:tc>
          <w:tcPr>
            <w:tcW w:w="2546"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497903" w:rsidRPr="00870857" w:rsidP="005B0F88">
            <w:pPr>
              <w:bidi w:val="0"/>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497903" w:rsidRPr="00870857" w:rsidP="005B0F88">
            <w:pPr>
              <w:bidi w:val="0"/>
              <w:jc w:val="center"/>
              <w:rPr>
                <w:rFonts w:ascii="Times New Roman" w:hAnsi="Times New Roman"/>
                <w:b/>
                <w:bCs/>
                <w:sz w:val="20"/>
                <w:szCs w:val="20"/>
              </w:rPr>
            </w:pPr>
            <w:r w:rsidRPr="00870857">
              <w:rPr>
                <w:rFonts w:ascii="Times New Roman" w:hAnsi="Times New Roman"/>
                <w:b/>
                <w:bCs/>
                <w:sz w:val="20"/>
                <w:szCs w:val="20"/>
              </w:rPr>
              <w:t>6=3-2</w:t>
            </w:r>
          </w:p>
        </w:tc>
      </w:tr>
      <w:tr>
        <w:tblPrEx>
          <w:tblW w:w="9534" w:type="dxa"/>
          <w:jc w:val="center"/>
          <w:tblInd w:w="-142" w:type="dxa"/>
          <w:tblCellMar>
            <w:left w:w="70" w:type="dxa"/>
            <w:right w:w="70" w:type="dxa"/>
          </w:tblCellMar>
          <w:tblLook w:val="04A0"/>
        </w:tblPrEx>
        <w:trPr>
          <w:trHeight w:val="615"/>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Mzdy, platy, služobné príjmy a ostatné osobné vyrovnania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1 463 427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1 496 481</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1 498 527</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1 581 768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1 543 925</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color w:val="000000"/>
                <w:sz w:val="20"/>
                <w:szCs w:val="20"/>
              </w:rPr>
            </w:pPr>
            <w:r w:rsidRPr="00D30871">
              <w:rPr>
                <w:rFonts w:ascii="Times New Roman" w:hAnsi="Times New Roman"/>
                <w:color w:val="000000"/>
                <w:sz w:val="20"/>
                <w:szCs w:val="20"/>
              </w:rPr>
              <w:t>2 04</w:t>
            </w:r>
            <w:r w:rsidR="007853EB">
              <w:rPr>
                <w:rFonts w:ascii="Times New Roman" w:hAnsi="Times New Roman"/>
                <w:color w:val="000000"/>
                <w:sz w:val="20"/>
                <w:szCs w:val="20"/>
              </w:rPr>
              <w:t>6</w:t>
            </w:r>
          </w:p>
        </w:tc>
      </w:tr>
      <w:tr>
        <w:tblPrEx>
          <w:tblW w:w="9534" w:type="dxa"/>
          <w:jc w:val="center"/>
          <w:tblInd w:w="-142" w:type="dxa"/>
          <w:tblCellMar>
            <w:left w:w="70" w:type="dxa"/>
            <w:right w:w="70" w:type="dxa"/>
          </w:tblCellMar>
          <w:tblLook w:val="04A0"/>
        </w:tblPrEx>
        <w:trPr>
          <w:trHeight w:val="615"/>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Poistné a príspevok do poisťovní</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E22C66">
            <w:pPr>
              <w:bidi w:val="0"/>
              <w:jc w:val="right"/>
              <w:rPr>
                <w:rFonts w:ascii="Times New Roman" w:hAnsi="Times New Roman"/>
                <w:color w:val="000000"/>
                <w:sz w:val="20"/>
                <w:szCs w:val="20"/>
              </w:rPr>
            </w:pPr>
            <w:r w:rsidRPr="00D30871">
              <w:rPr>
                <w:rFonts w:ascii="Times New Roman" w:hAnsi="Times New Roman"/>
                <w:color w:val="000000"/>
                <w:sz w:val="20"/>
                <w:szCs w:val="20"/>
              </w:rPr>
              <w:t>490 54</w:t>
            </w:r>
            <w:r w:rsidR="00E22C66">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color w:val="000000"/>
                <w:sz w:val="20"/>
                <w:szCs w:val="20"/>
              </w:rPr>
            </w:pPr>
            <w:r w:rsidRPr="00D30871">
              <w:rPr>
                <w:rFonts w:ascii="Times New Roman" w:hAnsi="Times New Roman"/>
                <w:color w:val="000000"/>
                <w:sz w:val="20"/>
                <w:szCs w:val="20"/>
              </w:rPr>
              <w:t>500 3</w:t>
            </w:r>
            <w:r w:rsidR="0007568A">
              <w:rPr>
                <w:rFonts w:ascii="Times New Roman" w:hAnsi="Times New Roman"/>
                <w:color w:val="000000"/>
                <w:sz w:val="20"/>
                <w:szCs w:val="20"/>
              </w:rPr>
              <w:t>89</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color w:val="000000"/>
                <w:sz w:val="20"/>
                <w:szCs w:val="20"/>
              </w:rPr>
            </w:pPr>
            <w:r w:rsidRPr="00D30871">
              <w:rPr>
                <w:rFonts w:ascii="Times New Roman" w:hAnsi="Times New Roman"/>
                <w:color w:val="000000"/>
                <w:sz w:val="20"/>
                <w:szCs w:val="20"/>
              </w:rPr>
              <w:t>500 79</w:t>
            </w:r>
            <w:r w:rsidR="0007568A">
              <w:rPr>
                <w:rFonts w:ascii="Times New Roman" w:hAnsi="Times New Roman"/>
                <w:color w:val="000000"/>
                <w:sz w:val="20"/>
                <w:szCs w:val="20"/>
              </w:rPr>
              <w:t>3</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510 554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497 359</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007853EB">
              <w:rPr>
                <w:rFonts w:ascii="Times New Roman" w:hAnsi="Times New Roman"/>
                <w:color w:val="000000"/>
                <w:sz w:val="20"/>
                <w:szCs w:val="20"/>
              </w:rPr>
              <w:t>404</w:t>
            </w:r>
          </w:p>
        </w:tc>
      </w:tr>
      <w:tr>
        <w:tblPrEx>
          <w:tblW w:w="9534" w:type="dxa"/>
          <w:jc w:val="center"/>
          <w:tblInd w:w="-142" w:type="dxa"/>
          <w:tblCellMar>
            <w:left w:w="70" w:type="dxa"/>
            <w:right w:w="70" w:type="dxa"/>
          </w:tblCellMar>
          <w:tblLook w:val="04A0"/>
        </w:tblPrEx>
        <w:trPr>
          <w:trHeight w:val="345"/>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Tovary a služby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E22C66">
            <w:pPr>
              <w:bidi w:val="0"/>
              <w:jc w:val="right"/>
              <w:rPr>
                <w:rFonts w:ascii="Times New Roman" w:hAnsi="Times New Roman"/>
                <w:color w:val="000000"/>
                <w:sz w:val="20"/>
                <w:szCs w:val="20"/>
              </w:rPr>
            </w:pPr>
            <w:r w:rsidRPr="00D30871">
              <w:rPr>
                <w:rFonts w:ascii="Times New Roman" w:hAnsi="Times New Roman"/>
                <w:color w:val="000000"/>
                <w:sz w:val="20"/>
                <w:szCs w:val="20"/>
              </w:rPr>
              <w:t>1 934 88</w:t>
            </w:r>
            <w:r w:rsidR="00E22C66">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color w:val="000000"/>
                <w:sz w:val="20"/>
                <w:szCs w:val="20"/>
              </w:rPr>
            </w:pPr>
            <w:r w:rsidRPr="00D30871">
              <w:rPr>
                <w:rFonts w:ascii="Times New Roman" w:hAnsi="Times New Roman"/>
                <w:color w:val="000000"/>
                <w:sz w:val="20"/>
                <w:szCs w:val="20"/>
              </w:rPr>
              <w:t>2 153 29</w:t>
            </w:r>
            <w:r w:rsidR="0007568A">
              <w:rPr>
                <w:rFonts w:ascii="Times New Roman" w:hAnsi="Times New Roman"/>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color w:val="000000"/>
                <w:sz w:val="20"/>
                <w:szCs w:val="20"/>
              </w:rPr>
            </w:pPr>
            <w:r w:rsidRPr="00D30871">
              <w:rPr>
                <w:rFonts w:ascii="Times New Roman" w:hAnsi="Times New Roman"/>
                <w:color w:val="000000"/>
                <w:sz w:val="20"/>
                <w:szCs w:val="20"/>
              </w:rPr>
              <w:t>1 226 2</w:t>
            </w:r>
            <w:r w:rsidR="0007568A">
              <w:rPr>
                <w:rFonts w:ascii="Times New Roman" w:hAnsi="Times New Roman"/>
                <w:color w:val="000000"/>
                <w:sz w:val="20"/>
                <w:szCs w:val="20"/>
              </w:rPr>
              <w:t>27</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1 321 488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1 487 638</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color w:val="000000"/>
                <w:sz w:val="20"/>
                <w:szCs w:val="20"/>
              </w:rPr>
            </w:pPr>
            <w:r w:rsidRPr="00D30871">
              <w:rPr>
                <w:rFonts w:ascii="Times New Roman" w:hAnsi="Times New Roman"/>
                <w:color w:val="000000"/>
                <w:sz w:val="20"/>
                <w:szCs w:val="20"/>
              </w:rPr>
              <w:t>-927 0</w:t>
            </w:r>
            <w:r w:rsidR="007853EB">
              <w:rPr>
                <w:rFonts w:ascii="Times New Roman" w:hAnsi="Times New Roman"/>
                <w:color w:val="000000"/>
                <w:sz w:val="20"/>
                <w:szCs w:val="20"/>
              </w:rPr>
              <w:t>7</w:t>
            </w:r>
            <w:r w:rsidRPr="00D30871">
              <w:rPr>
                <w:rFonts w:ascii="Times New Roman" w:hAnsi="Times New Roman"/>
                <w:color w:val="000000"/>
                <w:sz w:val="20"/>
                <w:szCs w:val="20"/>
              </w:rPr>
              <w:t>0</w:t>
            </w:r>
          </w:p>
        </w:tc>
      </w:tr>
      <w:tr>
        <w:tblPrEx>
          <w:tblW w:w="9534" w:type="dxa"/>
          <w:jc w:val="center"/>
          <w:tblInd w:w="-142" w:type="dxa"/>
          <w:tblCellMar>
            <w:left w:w="70" w:type="dxa"/>
            <w:right w:w="70" w:type="dxa"/>
          </w:tblCellMar>
          <w:tblLook w:val="04A0"/>
        </w:tblPrEx>
        <w:trPr>
          <w:trHeight w:val="345"/>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Bežné transfery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9 014 143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color w:val="000000"/>
                <w:sz w:val="20"/>
                <w:szCs w:val="20"/>
              </w:rPr>
            </w:pPr>
            <w:r w:rsidRPr="00D30871">
              <w:rPr>
                <w:rFonts w:ascii="Times New Roman" w:hAnsi="Times New Roman"/>
                <w:color w:val="000000"/>
                <w:sz w:val="20"/>
                <w:szCs w:val="20"/>
              </w:rPr>
              <w:t>9 188 22</w:t>
            </w:r>
            <w:r w:rsidR="0007568A">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8 550 653</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8 690 518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6 881 066</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007853EB">
              <w:rPr>
                <w:rFonts w:ascii="Times New Roman" w:hAnsi="Times New Roman"/>
                <w:color w:val="000000"/>
                <w:sz w:val="20"/>
                <w:szCs w:val="20"/>
              </w:rPr>
              <w:t>-637 572</w:t>
            </w:r>
          </w:p>
        </w:tc>
      </w:tr>
      <w:tr>
        <w:tblPrEx>
          <w:tblW w:w="9534" w:type="dxa"/>
          <w:jc w:val="center"/>
          <w:tblInd w:w="-142" w:type="dxa"/>
          <w:tblCellMar>
            <w:left w:w="70" w:type="dxa"/>
            <w:right w:w="70" w:type="dxa"/>
          </w:tblCellMar>
          <w:tblLook w:val="04A0"/>
        </w:tblPrEx>
        <w:trPr>
          <w:trHeight w:val="393"/>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A26AFA" w:rsidP="00F72899">
            <w:pPr>
              <w:bidi w:val="0"/>
              <w:rPr>
                <w:rFonts w:ascii="Times New Roman" w:hAnsi="Times New Roman"/>
                <w:i/>
                <w:color w:val="000000"/>
                <w:sz w:val="20"/>
                <w:szCs w:val="20"/>
              </w:rPr>
            </w:pPr>
            <w:r w:rsidRPr="00D30871" w:rsidR="00183787">
              <w:rPr>
                <w:rFonts w:ascii="Times New Roman" w:hAnsi="Times New Roman"/>
                <w:color w:val="000000"/>
                <w:sz w:val="20"/>
                <w:szCs w:val="20"/>
              </w:rPr>
              <w:t>v tom</w:t>
            </w:r>
            <w:r w:rsidRPr="00D30871" w:rsidR="00183787">
              <w:rPr>
                <w:rFonts w:ascii="Times New Roman" w:hAnsi="Times New Roman"/>
                <w:i/>
                <w:color w:val="000000"/>
                <w:sz w:val="20"/>
                <w:szCs w:val="20"/>
              </w:rPr>
              <w:t xml:space="preserve">: </w:t>
            </w:r>
          </w:p>
          <w:p w:rsidR="00183787" w:rsidRPr="00D30871" w:rsidP="00F72899">
            <w:pPr>
              <w:bidi w:val="0"/>
              <w:rPr>
                <w:rFonts w:ascii="Times New Roman" w:hAnsi="Times New Roman"/>
                <w:i/>
                <w:color w:val="000000"/>
                <w:sz w:val="20"/>
                <w:szCs w:val="20"/>
              </w:rPr>
            </w:pPr>
            <w:r w:rsidRPr="00D30871">
              <w:rPr>
                <w:rFonts w:ascii="Times New Roman" w:hAnsi="Times New Roman"/>
                <w:i/>
                <w:color w:val="000000"/>
                <w:sz w:val="20"/>
                <w:szCs w:val="20"/>
              </w:rPr>
              <w:t>v rámci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3 799 72</w:t>
            </w:r>
            <w:r w:rsidR="0007568A">
              <w:rPr>
                <w:rFonts w:ascii="Times New Roman" w:hAnsi="Times New Roman"/>
                <w:i/>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3 620 25</w:t>
            </w:r>
            <w:r w:rsidR="007853EB">
              <w:rPr>
                <w:rFonts w:ascii="Times New Roman" w:hAnsi="Times New Roman"/>
                <w:i/>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3 354 98</w:t>
            </w:r>
            <w:r w:rsidR="0007568A">
              <w:rPr>
                <w:rFonts w:ascii="Times New Roman" w:hAnsi="Times New Roman"/>
                <w:i/>
                <w:color w:val="000000"/>
                <w:sz w:val="20"/>
                <w:szCs w:val="20"/>
              </w:rPr>
              <w:t>6</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3 489 431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1 959 569</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-265 26</w:t>
            </w:r>
            <w:r w:rsidR="007853EB">
              <w:rPr>
                <w:rFonts w:ascii="Times New Roman" w:hAnsi="Times New Roman"/>
                <w:i/>
                <w:color w:val="000000"/>
                <w:sz w:val="20"/>
                <w:szCs w:val="20"/>
              </w:rPr>
              <w:t>6</w:t>
            </w:r>
          </w:p>
        </w:tc>
      </w:tr>
      <w:tr>
        <w:tblPrEx>
          <w:tblW w:w="9534" w:type="dxa"/>
          <w:jc w:val="center"/>
          <w:tblInd w:w="-142" w:type="dxa"/>
          <w:tblCellMar>
            <w:left w:w="70" w:type="dxa"/>
            <w:right w:w="70" w:type="dxa"/>
          </w:tblCellMar>
          <w:tblLook w:val="04A0"/>
        </w:tblPrEx>
        <w:trPr>
          <w:trHeight w:val="693"/>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i/>
                <w:color w:val="000000"/>
                <w:sz w:val="20"/>
                <w:szCs w:val="20"/>
              </w:rPr>
            </w:pPr>
            <w:r w:rsidRPr="00D30871">
              <w:rPr>
                <w:rFonts w:ascii="Times New Roman" w:hAnsi="Times New Roman"/>
                <w:i/>
                <w:color w:val="000000"/>
                <w:sz w:val="20"/>
                <w:szCs w:val="20"/>
              </w:rPr>
              <w:t>jednotlivcom a neziskovým právnickým osobám</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3 525 51</w:t>
            </w:r>
            <w:r w:rsidR="0007568A">
              <w:rPr>
                <w:rFonts w:ascii="Times New Roman" w:hAnsi="Times New Roman"/>
                <w:i/>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3 498 41</w:t>
            </w:r>
            <w:r w:rsidR="007853EB">
              <w:rPr>
                <w:rFonts w:ascii="Times New Roman" w:hAnsi="Times New Roman"/>
                <w:i/>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3 462 93</w:t>
            </w:r>
            <w:r w:rsidR="0007568A">
              <w:rPr>
                <w:rFonts w:ascii="Times New Roman" w:hAnsi="Times New Roman"/>
                <w:i/>
                <w:color w:val="000000"/>
                <w:sz w:val="20"/>
                <w:szCs w:val="20"/>
              </w:rPr>
              <w:t>3</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3 613 255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3 177 022</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-35 48</w:t>
            </w:r>
            <w:r w:rsidR="007853EB">
              <w:rPr>
                <w:rFonts w:ascii="Times New Roman" w:hAnsi="Times New Roman"/>
                <w:i/>
                <w:color w:val="000000"/>
                <w:sz w:val="20"/>
                <w:szCs w:val="20"/>
              </w:rPr>
              <w:t>4</w:t>
            </w:r>
          </w:p>
        </w:tc>
      </w:tr>
      <w:tr>
        <w:tblPrEx>
          <w:tblW w:w="9534" w:type="dxa"/>
          <w:jc w:val="center"/>
          <w:tblInd w:w="-142" w:type="dxa"/>
          <w:tblCellMar>
            <w:left w:w="70" w:type="dxa"/>
            <w:right w:w="70" w:type="dxa"/>
          </w:tblCellMar>
          <w:tblLook w:val="04A0"/>
        </w:tblPrEx>
        <w:trPr>
          <w:trHeight w:val="600"/>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i/>
                <w:color w:val="000000"/>
                <w:sz w:val="20"/>
                <w:szCs w:val="20"/>
              </w:rPr>
            </w:pPr>
            <w:r w:rsidRPr="00D30871">
              <w:rPr>
                <w:rFonts w:ascii="Times New Roman" w:hAnsi="Times New Roman"/>
                <w:i/>
                <w:color w:val="000000"/>
                <w:sz w:val="20"/>
                <w:szCs w:val="20"/>
              </w:rPr>
              <w:t xml:space="preserve"> nefin. subjektom a transfery PO nezaradeným vo verejnej správe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963 77</w:t>
            </w:r>
            <w:r w:rsidR="0007568A">
              <w:rPr>
                <w:rFonts w:ascii="Times New Roman" w:hAnsi="Times New Roman"/>
                <w:i/>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1 430 75</w:t>
            </w:r>
            <w:r w:rsidR="007853EB">
              <w:rPr>
                <w:rFonts w:ascii="Times New Roman" w:hAnsi="Times New Roman"/>
                <w:i/>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1 096 07</w:t>
            </w:r>
            <w:r w:rsidR="0007568A">
              <w:rPr>
                <w:rFonts w:ascii="Times New Roman" w:hAnsi="Times New Roman"/>
                <w:i/>
                <w:color w:val="000000"/>
                <w:sz w:val="20"/>
                <w:szCs w:val="20"/>
              </w:rPr>
              <w:t>5</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1 035 597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1 087 324</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-334 6</w:t>
            </w:r>
            <w:r w:rsidR="007853EB">
              <w:rPr>
                <w:rFonts w:ascii="Times New Roman" w:hAnsi="Times New Roman"/>
                <w:i/>
                <w:color w:val="000000"/>
                <w:sz w:val="20"/>
                <w:szCs w:val="20"/>
              </w:rPr>
              <w:t>83</w:t>
            </w:r>
          </w:p>
        </w:tc>
      </w:tr>
      <w:tr>
        <w:tblPrEx>
          <w:tblW w:w="9534" w:type="dxa"/>
          <w:jc w:val="center"/>
          <w:tblInd w:w="-142" w:type="dxa"/>
          <w:tblCellMar>
            <w:left w:w="70" w:type="dxa"/>
            <w:right w:w="70" w:type="dxa"/>
          </w:tblCellMar>
          <w:tblLook w:val="04A0"/>
        </w:tblPrEx>
        <w:trPr>
          <w:trHeight w:val="600"/>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i/>
                <w:color w:val="000000"/>
                <w:sz w:val="20"/>
                <w:szCs w:val="20"/>
              </w:rPr>
            </w:pPr>
            <w:r w:rsidRPr="00D30871">
              <w:rPr>
                <w:rFonts w:ascii="Times New Roman" w:hAnsi="Times New Roman"/>
                <w:i/>
                <w:color w:val="000000"/>
                <w:sz w:val="20"/>
                <w:szCs w:val="20"/>
              </w:rPr>
              <w:t xml:space="preserve"> do tuzemských finančných inštitúcií</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5 736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2 55</w:t>
            </w:r>
            <w:r w:rsidR="007853EB">
              <w:rPr>
                <w:rFonts w:ascii="Times New Roman" w:hAnsi="Times New Roman"/>
                <w:i/>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1 110</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1 356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1 548</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-1 44</w:t>
            </w:r>
            <w:r w:rsidR="007853EB">
              <w:rPr>
                <w:rFonts w:ascii="Times New Roman" w:hAnsi="Times New Roman"/>
                <w:i/>
                <w:color w:val="000000"/>
                <w:sz w:val="20"/>
                <w:szCs w:val="20"/>
              </w:rPr>
              <w:t>2</w:t>
            </w:r>
          </w:p>
        </w:tc>
      </w:tr>
      <w:tr>
        <w:tblPrEx>
          <w:tblW w:w="9534" w:type="dxa"/>
          <w:jc w:val="center"/>
          <w:tblInd w:w="-142" w:type="dxa"/>
          <w:tblCellMar>
            <w:left w:w="70" w:type="dxa"/>
            <w:right w:w="70" w:type="dxa"/>
          </w:tblCellMar>
          <w:tblLook w:val="04A0"/>
        </w:tblPrEx>
        <w:trPr>
          <w:trHeight w:val="345"/>
          <w:jc w:val="center"/>
        </w:trPr>
        <w:tc>
          <w:tcPr>
            <w:tcW w:w="2546" w:type="dxa"/>
            <w:tcBorders>
              <w:top w:val="single" w:sz="4" w:space="0" w:color="auto"/>
              <w:left w:val="single" w:sz="4" w:space="0" w:color="auto"/>
              <w:bottom w:val="single" w:sz="4" w:space="0" w:color="auto"/>
              <w:right w:val="single" w:sz="4" w:space="0" w:color="auto"/>
            </w:tcBorders>
            <w:textDirection w:val="lrTb"/>
            <w:vAlign w:val="center"/>
            <w:hideMark/>
          </w:tcPr>
          <w:p w:rsidR="00183787" w:rsidRPr="00D30871" w:rsidP="00F72899">
            <w:pPr>
              <w:bidi w:val="0"/>
              <w:rPr>
                <w:rFonts w:ascii="Times New Roman" w:hAnsi="Times New Roman"/>
                <w:i/>
                <w:color w:val="000000"/>
                <w:sz w:val="20"/>
                <w:szCs w:val="20"/>
              </w:rPr>
            </w:pPr>
            <w:r w:rsidRPr="00D30871">
              <w:rPr>
                <w:rFonts w:ascii="Times New Roman" w:hAnsi="Times New Roman"/>
                <w:i/>
                <w:color w:val="000000"/>
                <w:sz w:val="20"/>
                <w:szCs w:val="20"/>
              </w:rPr>
              <w:t xml:space="preserve"> do zahraničia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719 399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636 246</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D30871" w:rsidP="0007568A">
            <w:pPr>
              <w:bidi w:val="0"/>
              <w:jc w:val="right"/>
              <w:rPr>
                <w:rFonts w:ascii="Times New Roman" w:hAnsi="Times New Roman"/>
                <w:i/>
                <w:color w:val="000000"/>
                <w:sz w:val="20"/>
                <w:szCs w:val="20"/>
              </w:rPr>
            </w:pPr>
            <w:r w:rsidRPr="00D30871">
              <w:rPr>
                <w:rFonts w:ascii="Times New Roman" w:hAnsi="Times New Roman"/>
                <w:i/>
                <w:color w:val="000000"/>
                <w:sz w:val="20"/>
                <w:szCs w:val="20"/>
              </w:rPr>
              <w:t>635 54</w:t>
            </w:r>
            <w:r w:rsidR="0007568A">
              <w:rPr>
                <w:rFonts w:ascii="Times New Roman" w:hAnsi="Times New Roman"/>
                <w:i/>
                <w:color w:val="000000"/>
                <w:sz w:val="20"/>
                <w:szCs w:val="20"/>
              </w:rPr>
              <w:t>9</w:t>
            </w:r>
          </w:p>
        </w:tc>
        <w:tc>
          <w:tcPr>
            <w:tcW w:w="121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550 879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F72899">
            <w:pPr>
              <w:bidi w:val="0"/>
              <w:jc w:val="right"/>
              <w:rPr>
                <w:rFonts w:ascii="Times New Roman" w:hAnsi="Times New Roman"/>
                <w:i/>
                <w:color w:val="000000"/>
                <w:sz w:val="20"/>
                <w:szCs w:val="20"/>
              </w:rPr>
            </w:pPr>
            <w:r w:rsidRPr="00D30871">
              <w:rPr>
                <w:rFonts w:ascii="Times New Roman" w:hAnsi="Times New Roman"/>
                <w:i/>
                <w:color w:val="000000"/>
                <w:sz w:val="20"/>
                <w:szCs w:val="20"/>
              </w:rPr>
              <w:t>655 603</w:t>
            </w:r>
          </w:p>
        </w:tc>
        <w:tc>
          <w:tcPr>
            <w:tcW w:w="1100" w:type="dxa"/>
            <w:tcBorders>
              <w:top w:val="single" w:sz="4" w:space="0" w:color="auto"/>
              <w:left w:val="single" w:sz="4" w:space="0" w:color="auto"/>
              <w:bottom w:val="single" w:sz="4" w:space="0" w:color="auto"/>
              <w:right w:val="single" w:sz="4" w:space="0" w:color="auto"/>
            </w:tcBorders>
            <w:noWrap/>
            <w:textDirection w:val="lrTb"/>
            <w:vAlign w:val="center"/>
            <w:hideMark/>
          </w:tcPr>
          <w:p w:rsidR="00183787" w:rsidRPr="00D30871" w:rsidP="007853EB">
            <w:pPr>
              <w:bidi w:val="0"/>
              <w:jc w:val="right"/>
              <w:rPr>
                <w:rFonts w:ascii="Times New Roman" w:hAnsi="Times New Roman"/>
                <w:i/>
                <w:color w:val="000000"/>
                <w:sz w:val="20"/>
                <w:szCs w:val="20"/>
              </w:rPr>
            </w:pPr>
            <w:r w:rsidRPr="00D30871">
              <w:rPr>
                <w:rFonts w:ascii="Times New Roman" w:hAnsi="Times New Roman"/>
                <w:i/>
                <w:color w:val="000000"/>
                <w:sz w:val="20"/>
                <w:szCs w:val="20"/>
              </w:rPr>
              <w:t>-69</w:t>
            </w:r>
            <w:r w:rsidR="007853EB">
              <w:rPr>
                <w:rFonts w:ascii="Times New Roman" w:hAnsi="Times New Roman"/>
                <w:i/>
                <w:color w:val="000000"/>
                <w:sz w:val="20"/>
                <w:szCs w:val="20"/>
              </w:rPr>
              <w:t>7</w:t>
            </w:r>
          </w:p>
        </w:tc>
      </w:tr>
      <w:tr>
        <w:tblPrEx>
          <w:tblW w:w="9534" w:type="dxa"/>
          <w:jc w:val="center"/>
          <w:tblInd w:w="-142" w:type="dxa"/>
          <w:tblCellMar>
            <w:left w:w="70" w:type="dxa"/>
            <w:right w:w="70" w:type="dxa"/>
          </w:tblCellMar>
          <w:tblLook w:val="04A0"/>
        </w:tblPrEx>
        <w:trPr>
          <w:trHeight w:val="615"/>
          <w:jc w:val="center"/>
        </w:trPr>
        <w:tc>
          <w:tcPr>
            <w:tcW w:w="2546" w:type="dxa"/>
            <w:tcBorders>
              <w:top w:val="single" w:sz="4" w:space="0" w:color="auto"/>
              <w:left w:val="single" w:sz="4" w:space="0" w:color="auto"/>
              <w:bottom w:val="double" w:sz="6" w:space="0" w:color="auto"/>
              <w:right w:val="single" w:sz="4" w:space="0" w:color="auto"/>
            </w:tcBorders>
            <w:textDirection w:val="lrTb"/>
            <w:vAlign w:val="center"/>
            <w:hideMark/>
          </w:tcPr>
          <w:p w:rsidR="00183787"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Splácanie úrokov platby súvisiace s úverom</w:t>
            </w:r>
          </w:p>
        </w:tc>
        <w:tc>
          <w:tcPr>
            <w:tcW w:w="1276" w:type="dxa"/>
            <w:tcBorders>
              <w:top w:val="single" w:sz="4" w:space="0" w:color="auto"/>
              <w:left w:val="single" w:sz="4" w:space="0" w:color="auto"/>
              <w:bottom w:val="double" w:sz="6" w:space="0" w:color="auto"/>
              <w:right w:val="single" w:sz="4" w:space="0" w:color="auto"/>
            </w:tcBorders>
            <w:noWrap/>
            <w:textDirection w:val="lrTb"/>
            <w:vAlign w:val="center"/>
            <w:hideMark/>
          </w:tcPr>
          <w:p w:rsidR="00183787" w:rsidRPr="00D30871" w:rsidP="00E22C66">
            <w:pPr>
              <w:bidi w:val="0"/>
              <w:jc w:val="right"/>
              <w:rPr>
                <w:rFonts w:ascii="Times New Roman" w:hAnsi="Times New Roman"/>
                <w:color w:val="000000"/>
                <w:sz w:val="20"/>
                <w:szCs w:val="20"/>
              </w:rPr>
            </w:pPr>
            <w:r w:rsidRPr="00D30871">
              <w:rPr>
                <w:rFonts w:ascii="Times New Roman" w:hAnsi="Times New Roman"/>
                <w:color w:val="000000"/>
                <w:sz w:val="20"/>
                <w:szCs w:val="20"/>
              </w:rPr>
              <w:t>1 163 18</w:t>
            </w:r>
            <w:r w:rsidR="00E22C66">
              <w:rPr>
                <w:rFonts w:ascii="Times New Roman" w:hAnsi="Times New Roman"/>
                <w:color w:val="000000"/>
                <w:sz w:val="20"/>
                <w:szCs w:val="20"/>
              </w:rPr>
              <w:t>9</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1 043 506</w:t>
            </w:r>
          </w:p>
        </w:tc>
        <w:tc>
          <w:tcPr>
            <w:tcW w:w="1134"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1 006 647</w:t>
            </w:r>
          </w:p>
        </w:tc>
        <w:tc>
          <w:tcPr>
            <w:tcW w:w="1210" w:type="dxa"/>
            <w:tcBorders>
              <w:top w:val="single" w:sz="4" w:space="0" w:color="auto"/>
              <w:left w:val="single" w:sz="4" w:space="0" w:color="auto"/>
              <w:bottom w:val="double" w:sz="6"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864 075</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762 713</w:t>
            </w:r>
          </w:p>
        </w:tc>
        <w:tc>
          <w:tcPr>
            <w:tcW w:w="1100" w:type="dxa"/>
            <w:tcBorders>
              <w:top w:val="single" w:sz="4" w:space="0" w:color="auto"/>
              <w:left w:val="single" w:sz="4" w:space="0" w:color="auto"/>
              <w:bottom w:val="double" w:sz="6" w:space="0" w:color="auto"/>
              <w:right w:val="single" w:sz="4" w:space="0" w:color="auto"/>
            </w:tcBorders>
            <w:noWrap/>
            <w:textDirection w:val="lrTb"/>
            <w:vAlign w:val="center"/>
            <w:hideMark/>
          </w:tcPr>
          <w:p w:rsidR="00183787"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-36 859</w:t>
            </w:r>
          </w:p>
        </w:tc>
      </w:tr>
      <w:tr>
        <w:tblPrEx>
          <w:tblW w:w="9534" w:type="dxa"/>
          <w:jc w:val="center"/>
          <w:tblInd w:w="-142" w:type="dxa"/>
          <w:tblCellMar>
            <w:left w:w="70" w:type="dxa"/>
            <w:right w:w="70" w:type="dxa"/>
          </w:tblCellMar>
          <w:tblLook w:val="04A0"/>
        </w:tblPrEx>
        <w:trPr>
          <w:trHeight w:val="484"/>
          <w:jc w:val="center"/>
        </w:trPr>
        <w:tc>
          <w:tcPr>
            <w:tcW w:w="2546" w:type="dxa"/>
            <w:tcBorders>
              <w:top w:val="double" w:sz="6" w:space="0" w:color="auto"/>
              <w:left w:val="single" w:sz="4" w:space="0" w:color="auto"/>
              <w:bottom w:val="single" w:sz="4" w:space="0" w:color="auto"/>
              <w:right w:val="single" w:sz="4" w:space="0" w:color="auto"/>
            </w:tcBorders>
            <w:textDirection w:val="lrTb"/>
            <w:vAlign w:val="center"/>
            <w:hideMark/>
          </w:tcPr>
          <w:p w:rsidR="00183787" w:rsidRPr="006F3414" w:rsidP="00F72899">
            <w:pPr>
              <w:bidi w:val="0"/>
              <w:rPr>
                <w:rFonts w:ascii="Times New Roman" w:hAnsi="Times New Roman"/>
                <w:b/>
                <w:color w:val="000000"/>
                <w:sz w:val="20"/>
                <w:szCs w:val="20"/>
              </w:rPr>
            </w:pPr>
            <w:r w:rsidRPr="006F3414">
              <w:rPr>
                <w:rFonts w:ascii="Times New Roman" w:hAnsi="Times New Roman"/>
                <w:b/>
                <w:color w:val="000000"/>
                <w:sz w:val="20"/>
                <w:szCs w:val="20"/>
              </w:rPr>
              <w:t>Bežné výdavky spolu</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14 066 186</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14 381 898</w:t>
            </w:r>
          </w:p>
        </w:tc>
        <w:tc>
          <w:tcPr>
            <w:tcW w:w="1134"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12 782 847</w:t>
            </w:r>
          </w:p>
        </w:tc>
        <w:tc>
          <w:tcPr>
            <w:tcW w:w="1210" w:type="dxa"/>
            <w:tcBorders>
              <w:top w:val="double" w:sz="6" w:space="0" w:color="auto"/>
              <w:left w:val="single" w:sz="4" w:space="0" w:color="auto"/>
              <w:bottom w:val="single" w:sz="4" w:space="0" w:color="auto"/>
              <w:right w:val="single" w:sz="4" w:space="0" w:color="auto"/>
            </w:tcBorders>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12 968 403</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11 172 701</w:t>
            </w:r>
          </w:p>
        </w:tc>
        <w:tc>
          <w:tcPr>
            <w:tcW w:w="1100" w:type="dxa"/>
            <w:tcBorders>
              <w:top w:val="double" w:sz="6" w:space="0" w:color="auto"/>
              <w:left w:val="single" w:sz="4" w:space="0" w:color="auto"/>
              <w:bottom w:val="single" w:sz="4" w:space="0" w:color="auto"/>
              <w:right w:val="single" w:sz="4" w:space="0" w:color="auto"/>
            </w:tcBorders>
            <w:noWrap/>
            <w:textDirection w:val="lrTb"/>
            <w:vAlign w:val="center"/>
            <w:hideMark/>
          </w:tcPr>
          <w:p w:rsidR="00183787" w:rsidRPr="006F3414" w:rsidP="00F72899">
            <w:pPr>
              <w:bidi w:val="0"/>
              <w:jc w:val="right"/>
              <w:rPr>
                <w:rFonts w:ascii="Times New Roman" w:hAnsi="Times New Roman"/>
                <w:b/>
                <w:color w:val="000000"/>
                <w:sz w:val="20"/>
                <w:szCs w:val="20"/>
              </w:rPr>
            </w:pPr>
            <w:r w:rsidRPr="006F3414">
              <w:rPr>
                <w:rFonts w:ascii="Times New Roman" w:hAnsi="Times New Roman"/>
                <w:b/>
                <w:color w:val="000000"/>
                <w:sz w:val="20"/>
                <w:szCs w:val="20"/>
              </w:rPr>
              <w:t>-1 599 051</w:t>
            </w:r>
          </w:p>
        </w:tc>
      </w:tr>
    </w:tbl>
    <w:p w:rsidR="006F3414" w:rsidRPr="00D30871" w:rsidP="003634A8">
      <w:pPr>
        <w:bidi w:val="0"/>
        <w:spacing w:after="120"/>
        <w:rPr>
          <w:rFonts w:ascii="Times New Roman" w:hAnsi="Times New Roman"/>
          <w:sz w:val="20"/>
          <w:szCs w:val="20"/>
        </w:rPr>
      </w:pPr>
      <w:r w:rsidRPr="00D30871">
        <w:rPr>
          <w:rFonts w:ascii="Times New Roman" w:hAnsi="Times New Roman"/>
          <w:sz w:val="20"/>
          <w:szCs w:val="20"/>
        </w:rPr>
        <w:t>Zdroj: Ministerstvo financií SR</w:t>
      </w:r>
    </w:p>
    <w:p w:rsidR="006F3414" w:rsidRPr="00CF0456" w:rsidP="003634A8">
      <w:pPr>
        <w:pStyle w:val="ListParagraph"/>
        <w:numPr>
          <w:numId w:val="6"/>
        </w:numPr>
        <w:bidi w:val="0"/>
        <w:spacing w:before="120" w:after="120"/>
        <w:ind w:left="426"/>
        <w:jc w:val="both"/>
        <w:rPr>
          <w:rFonts w:ascii="Times New Roman" w:hAnsi="Times New Roman"/>
          <w:b/>
          <w:sz w:val="24"/>
          <w:szCs w:val="24"/>
        </w:rPr>
      </w:pPr>
      <w:r w:rsidRPr="00CF0456" w:rsidR="009C564F">
        <w:rPr>
          <w:rFonts w:ascii="Times New Roman" w:hAnsi="Times New Roman"/>
          <w:b/>
          <w:sz w:val="24"/>
          <w:szCs w:val="24"/>
        </w:rPr>
        <w:t>M</w:t>
      </w:r>
      <w:r w:rsidRPr="00CF0456">
        <w:rPr>
          <w:rFonts w:ascii="Times New Roman" w:hAnsi="Times New Roman"/>
          <w:b/>
          <w:sz w:val="24"/>
          <w:szCs w:val="24"/>
        </w:rPr>
        <w:t>zdy, platy, služobné príjmy a ostatné osobné vyrovnania</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Zákonom o štátnom rozpočte na rok 2011 bol </w:t>
      </w:r>
      <w:r w:rsidRPr="00F02B2C">
        <w:rPr>
          <w:rFonts w:ascii="Times New Roman" w:hAnsi="Times New Roman"/>
          <w:b/>
        </w:rPr>
        <w:t>limit výdavkov na mzdy, platy, služobné príjmy a </w:t>
      </w:r>
      <w:bookmarkStart w:id="27" w:name="OLE_LINK3"/>
      <w:bookmarkStart w:id="28" w:name="OLE_LINK4"/>
      <w:r w:rsidRPr="00F02B2C">
        <w:rPr>
          <w:rFonts w:ascii="Times New Roman" w:hAnsi="Times New Roman"/>
          <w:b/>
        </w:rPr>
        <w:t>ostatné osobné vyrovnania</w:t>
      </w:r>
      <w:bookmarkEnd w:id="27"/>
      <w:bookmarkEnd w:id="28"/>
      <w:r w:rsidRPr="00D30871">
        <w:rPr>
          <w:rFonts w:ascii="Times New Roman" w:hAnsi="Times New Roman"/>
        </w:rPr>
        <w:t xml:space="preserve"> ustanovený ako záväzný ukazovateľ </w:t>
      </w:r>
      <w:r w:rsidR="00FD3C60">
        <w:rPr>
          <w:rFonts w:ascii="Times New Roman" w:hAnsi="Times New Roman"/>
        </w:rPr>
        <w:t xml:space="preserve">z kódu 111 (zdroj štátneho rozpočtu) </w:t>
      </w:r>
      <w:r w:rsidRPr="00D30871">
        <w:rPr>
          <w:rFonts w:ascii="Times New Roman" w:hAnsi="Times New Roman"/>
        </w:rPr>
        <w:t>v sume 1 463 427 tis. eur. Rozpočtovými opatreniami sa tento limit zvýšil na 1</w:t>
      </w:r>
      <w:r w:rsidR="00FD3C60">
        <w:rPr>
          <w:rFonts w:ascii="Times New Roman" w:hAnsi="Times New Roman"/>
        </w:rPr>
        <w:t> </w:t>
      </w:r>
      <w:r w:rsidRPr="00D30871">
        <w:rPr>
          <w:rFonts w:ascii="Times New Roman" w:hAnsi="Times New Roman"/>
        </w:rPr>
        <w:t>4</w:t>
      </w:r>
      <w:r w:rsidR="00FD3C60">
        <w:rPr>
          <w:rFonts w:ascii="Times New Roman" w:hAnsi="Times New Roman"/>
        </w:rPr>
        <w:t>69 417 tis. eur a</w:t>
      </w:r>
      <w:r w:rsidRPr="00D30871" w:rsidR="00FD3C60">
        <w:rPr>
          <w:rFonts w:ascii="Times New Roman" w:hAnsi="Times New Roman"/>
        </w:rPr>
        <w:t xml:space="preserve"> použilo </w:t>
      </w:r>
      <w:r w:rsidR="00FD3C60">
        <w:rPr>
          <w:rFonts w:ascii="Times New Roman" w:hAnsi="Times New Roman"/>
        </w:rPr>
        <w:t xml:space="preserve">sa </w:t>
      </w:r>
      <w:r w:rsidRPr="00D30871" w:rsidR="00FD3C60">
        <w:rPr>
          <w:rFonts w:ascii="Times New Roman" w:hAnsi="Times New Roman"/>
        </w:rPr>
        <w:t>1 468 840 tis</w:t>
      </w:r>
      <w:r w:rsidR="00FD3C60">
        <w:rPr>
          <w:rFonts w:ascii="Times New Roman" w:hAnsi="Times New Roman"/>
        </w:rPr>
        <w:t xml:space="preserve">. </w:t>
      </w:r>
      <w:r w:rsidRPr="00D30871" w:rsidR="00FD3C60">
        <w:rPr>
          <w:rFonts w:ascii="Times New Roman" w:hAnsi="Times New Roman"/>
        </w:rPr>
        <w:t>eur</w:t>
      </w:r>
      <w:r w:rsidR="00FD3C60">
        <w:rPr>
          <w:rFonts w:ascii="Times New Roman" w:hAnsi="Times New Roman"/>
        </w:rPr>
        <w:t>. Upravený rozpočet výdavkov na mzdy</w:t>
      </w:r>
      <w:r w:rsidRPr="00FD3C60" w:rsidR="00FD3C60">
        <w:rPr>
          <w:rFonts w:ascii="Times New Roman" w:hAnsi="Times New Roman"/>
        </w:rPr>
        <w:t>, platy, služobné príjmy a ostatné osobné vyrovnania</w:t>
      </w:r>
      <w:r w:rsidR="00FD3C60">
        <w:rPr>
          <w:rFonts w:ascii="Times New Roman" w:hAnsi="Times New Roman"/>
        </w:rPr>
        <w:t xml:space="preserve"> zo všetkých zdrojov predstavoval 1 496 481 tis. eur</w:t>
      </w:r>
      <w:r w:rsidRPr="00D30871">
        <w:rPr>
          <w:rFonts w:ascii="Times New Roman" w:hAnsi="Times New Roman"/>
        </w:rPr>
        <w:t xml:space="preserve">. Okrem prostriedkov </w:t>
      </w:r>
      <w:r>
        <w:rPr>
          <w:rFonts w:ascii="Times New Roman" w:hAnsi="Times New Roman"/>
        </w:rPr>
        <w:t xml:space="preserve">štátneho rozpočtu </w:t>
      </w:r>
      <w:r w:rsidRPr="00D30871">
        <w:rPr>
          <w:rFonts w:ascii="Times New Roman" w:hAnsi="Times New Roman"/>
        </w:rPr>
        <w:t>sa na mzdy a platy použili aj finančné prostriedky získané z rozpočtu EÚ</w:t>
      </w:r>
      <w:r w:rsidRPr="00D30871">
        <w:rPr>
          <w:rFonts w:ascii="Times New Roman" w:hAnsi="Times New Roman"/>
          <w:color w:val="C00000"/>
        </w:rPr>
        <w:t xml:space="preserve"> </w:t>
      </w:r>
      <w:r w:rsidRPr="00D30871">
        <w:rPr>
          <w:rFonts w:ascii="Times New Roman" w:hAnsi="Times New Roman"/>
        </w:rPr>
        <w:t xml:space="preserve">a spolufinancovania zo štátneho rozpočtu 27 188 tis. eur a v súlade s ustanovením § 23 zákona č. 523/2004 Z. z. o rozpočtových pravidlách verejnej správy aj prostriedky </w:t>
      </w:r>
      <w:r w:rsidR="00FD3C60">
        <w:rPr>
          <w:rFonts w:ascii="Times New Roman" w:hAnsi="Times New Roman"/>
        </w:rPr>
        <w:br/>
      </w:r>
      <w:r w:rsidRPr="00D30871">
        <w:rPr>
          <w:rFonts w:ascii="Times New Roman" w:hAnsi="Times New Roman"/>
        </w:rPr>
        <w:t xml:space="preserve">z mimorozpočtových zdrojov v sume 2 498 tis. eur. </w:t>
      </w:r>
      <w:r w:rsidRPr="00F02B2C">
        <w:rPr>
          <w:rFonts w:ascii="Times New Roman" w:hAnsi="Times New Roman"/>
        </w:rPr>
        <w:t xml:space="preserve">Spolu sa na mzdy, platy, služobné príjmy a ostatné osobné vyrovnania zamestnancov rozpočtových organizácií vynaložilo </w:t>
      </w:r>
      <w:bookmarkStart w:id="29" w:name="OLE_LINK1"/>
      <w:bookmarkStart w:id="30" w:name="OLE_LINK2"/>
      <w:r w:rsidRPr="00F02B2C">
        <w:rPr>
          <w:rFonts w:ascii="Times New Roman" w:hAnsi="Times New Roman"/>
        </w:rPr>
        <w:t>1 498 527</w:t>
      </w:r>
      <w:bookmarkEnd w:id="29"/>
      <w:bookmarkEnd w:id="30"/>
      <w:r w:rsidRPr="00F02B2C">
        <w:rPr>
          <w:rFonts w:ascii="Times New Roman" w:hAnsi="Times New Roman"/>
        </w:rPr>
        <w:t xml:space="preserve"> tis. eur, o 83 24</w:t>
      </w:r>
      <w:r w:rsidR="00D478F6">
        <w:rPr>
          <w:rFonts w:ascii="Times New Roman" w:hAnsi="Times New Roman"/>
        </w:rPr>
        <w:t>1</w:t>
      </w:r>
      <w:r w:rsidRPr="00F02B2C">
        <w:rPr>
          <w:rFonts w:ascii="Times New Roman" w:hAnsi="Times New Roman"/>
        </w:rPr>
        <w:t xml:space="preserve"> tis. eur menej ako v roku 2010. </w:t>
      </w:r>
      <w:r w:rsidRPr="00D30871">
        <w:rPr>
          <w:rFonts w:ascii="Times New Roman" w:hAnsi="Times New Roman"/>
        </w:rPr>
        <w:t xml:space="preserve">Kapitoly štátneho rozpočtu záväzný limit dodržali, len v kapitolách Úradu vlády SR, Ministerstva školstva, vedy, výskumu a športu SR a Ministerstva zdravotníctva SR sa </w:t>
      </w:r>
      <w:r w:rsidR="00F02B2C">
        <w:rPr>
          <w:rFonts w:ascii="Times New Roman" w:hAnsi="Times New Roman"/>
        </w:rPr>
        <w:t>v dôsledku chybného zatriedenia výdavkov limit</w:t>
      </w:r>
      <w:r w:rsidRPr="00D30871">
        <w:rPr>
          <w:rFonts w:ascii="Times New Roman" w:hAnsi="Times New Roman"/>
        </w:rPr>
        <w:t xml:space="preserve"> formálne prekroč</w:t>
      </w:r>
      <w:r w:rsidR="00F02B2C">
        <w:rPr>
          <w:rFonts w:ascii="Times New Roman" w:hAnsi="Times New Roman"/>
        </w:rPr>
        <w:t>il</w:t>
      </w:r>
      <w:r w:rsidRPr="00D30871">
        <w:rPr>
          <w:rFonts w:ascii="Times New Roman" w:hAnsi="Times New Roman"/>
        </w:rPr>
        <w:t>.</w:t>
      </w:r>
    </w:p>
    <w:p w:rsidR="006F3414" w:rsidRPr="003634A8" w:rsidP="003634A8">
      <w:pPr>
        <w:bidi w:val="0"/>
        <w:spacing w:before="120" w:after="120" w:line="360" w:lineRule="auto"/>
        <w:jc w:val="both"/>
        <w:rPr>
          <w:rFonts w:ascii="Times New Roman" w:hAnsi="Times New Roman"/>
        </w:rPr>
      </w:pPr>
      <w:r w:rsidRPr="00D30871">
        <w:rPr>
          <w:rFonts w:ascii="Times New Roman" w:hAnsi="Times New Roman"/>
        </w:rPr>
        <w:t xml:space="preserve">Uznesením vlády SR č. 667/2010 k návrhu rozpočtu verejnej správy na roky 2011 až 2013 bol pre rozpočtové organizácie kapitol štátneho rozpočtu na rok 2011 schválený </w:t>
      </w:r>
      <w:r w:rsidRPr="00F02B2C">
        <w:rPr>
          <w:rFonts w:ascii="Times New Roman" w:hAnsi="Times New Roman"/>
          <w:b/>
        </w:rPr>
        <w:t>limit počtu zamestnancov</w:t>
      </w:r>
      <w:r w:rsidRPr="00D30871">
        <w:rPr>
          <w:rFonts w:ascii="Times New Roman" w:hAnsi="Times New Roman"/>
        </w:rPr>
        <w:t xml:space="preserve"> 128 681 osôb. V priebehu roka bol limit znížený na 128 303 osôb a v skutočnosti bolo v rozpočtových organizáciách kapitol štátneho rozpočtu zamestnaných 122 171 osôb, čo je medziročne menej o 5 209 osôb.</w:t>
      </w:r>
      <w:r w:rsidRPr="00D30871">
        <w:rPr>
          <w:rFonts w:ascii="Times New Roman" w:hAnsi="Times New Roman"/>
          <w:color w:val="C00000"/>
        </w:rPr>
        <w:t xml:space="preserve"> </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Pre samotné </w:t>
      </w:r>
      <w:r w:rsidRPr="00F02B2C">
        <w:rPr>
          <w:rFonts w:ascii="Times New Roman" w:hAnsi="Times New Roman"/>
          <w:b/>
        </w:rPr>
        <w:t>aparáty ústredných orgánov</w:t>
      </w:r>
      <w:r w:rsidRPr="00D30871">
        <w:rPr>
          <w:rFonts w:ascii="Times New Roman" w:hAnsi="Times New Roman"/>
        </w:rPr>
        <w:t xml:space="preserve"> boli v prílohe č. 1 uznesenia vlády SR č. 667/2010 schválené výdavky na mzdy, platy, služobné príjmy a ostatné osobné vyrovnania v sume 179 521 tis. eur.</w:t>
      </w:r>
      <w:r w:rsidRPr="00D30871">
        <w:rPr>
          <w:rFonts w:ascii="Times New Roman" w:hAnsi="Times New Roman"/>
          <w:color w:val="C00000"/>
        </w:rPr>
        <w:t xml:space="preserve"> </w:t>
      </w:r>
      <w:r w:rsidRPr="00D30871">
        <w:rPr>
          <w:rFonts w:ascii="Times New Roman" w:hAnsi="Times New Roman"/>
        </w:rPr>
        <w:t xml:space="preserve">V priebehu roka bol tento limit rozpočtovými opatreniami zvýšený na 182 811 tis. eur. Spolu sa zamestnancom ústredných orgánov vyplatilo (vrátane prostriedkov EÚ, spolufinancovania zo štátneho rozpočtu a mimorozpočtových zdrojov) 200 530 tis. eur, čo je medziročne menej o 9 995 tis. eur. S výnimkou Úradu pre normalizáciu, metrológiu a skúšobníctvo SR bol záväzný limit miezd, platov, služobných príjmov a ostatných osobných vyrovnaní aparátov ústredných orgánov dodržaný. </w:t>
      </w:r>
    </w:p>
    <w:p w:rsidR="00D56387" w:rsidRPr="00D30871" w:rsidP="00D56387">
      <w:pPr>
        <w:bidi w:val="0"/>
        <w:spacing w:before="120" w:after="120" w:line="360" w:lineRule="auto"/>
        <w:jc w:val="both"/>
        <w:rPr>
          <w:rFonts w:ascii="Times New Roman" w:hAnsi="Times New Roman"/>
        </w:rPr>
      </w:pPr>
      <w:r w:rsidRPr="00D30871">
        <w:rPr>
          <w:rFonts w:ascii="Times New Roman" w:hAnsi="Times New Roman"/>
        </w:rPr>
        <w:t>Pre aparáty ústredných orgánov bol na rok 2011 schválený záväzný limit počtu zamestnancov 11 709 osôb. Tento bol v priebehu roka zvýšený na 11 794 osôb, skutočne zamestnaných bolo 10 839 osôb, čo je medziročne menej o 381 osôb.</w:t>
      </w:r>
    </w:p>
    <w:p w:rsidR="006F3414" w:rsidP="003634A8">
      <w:pPr>
        <w:bidi w:val="0"/>
        <w:spacing w:before="120" w:after="120" w:line="360" w:lineRule="auto"/>
        <w:jc w:val="both"/>
        <w:rPr>
          <w:rFonts w:ascii="Times New Roman" w:hAnsi="Times New Roman"/>
        </w:rPr>
      </w:pPr>
      <w:r w:rsidRPr="00D30871">
        <w:rPr>
          <w:rFonts w:ascii="Times New Roman" w:hAnsi="Times New Roman"/>
        </w:rPr>
        <w:t>Uznesením vlády SR č. 667/2010 bola v prílohách č. 2, 3 a 4 na rok 2011 schválená systemizácia colníkov v štátnej službe, príslušníkov Hasičského a záchranného zboru a príslušníkov Horskej záchrannej služby v štátnej službe a systemizácia policajtov v štátnej službe.</w:t>
      </w:r>
      <w:r w:rsidRPr="00D30871">
        <w:rPr>
          <w:rFonts w:ascii="Times New Roman" w:hAnsi="Times New Roman"/>
          <w:color w:val="C00000"/>
        </w:rPr>
        <w:t xml:space="preserve"> </w:t>
      </w:r>
      <w:r w:rsidRPr="00D30871">
        <w:rPr>
          <w:rFonts w:ascii="Times New Roman" w:hAnsi="Times New Roman"/>
        </w:rPr>
        <w:t>S výnimkou Ministerstva spravodlivosti SR boli záväzné ukazovatele systemizácie v jednotlivých kategóriách zamestnancov vo všetkých ostatných kapitolách štátneho rozpočtu dodržané.</w:t>
      </w:r>
    </w:p>
    <w:p w:rsidR="00F02B2C" w:rsidRPr="00D30871" w:rsidP="00A92DE6">
      <w:pPr>
        <w:bidi w:val="0"/>
        <w:spacing w:before="120" w:after="120" w:line="360" w:lineRule="auto"/>
        <w:jc w:val="both"/>
        <w:rPr>
          <w:rFonts w:ascii="Times New Roman" w:hAnsi="Times New Roman"/>
        </w:rPr>
      </w:pPr>
      <w:r>
        <w:rPr>
          <w:rFonts w:ascii="Times New Roman" w:hAnsi="Times New Roman"/>
        </w:rPr>
        <w:t>Prehľad o plnení limitu počtu zamestnancov, miezd, platov, služobných príjmov a ostatných osobných vyrovnaní v kapitolách štátneho rozpočtu za rok 2011 je uvedený v tabuľkách č. 22 a</w:t>
      </w:r>
      <w:r w:rsidR="00CF0456">
        <w:rPr>
          <w:rFonts w:ascii="Times New Roman" w:hAnsi="Times New Roman"/>
        </w:rPr>
        <w:t> </w:t>
      </w:r>
      <w:r>
        <w:rPr>
          <w:rFonts w:ascii="Times New Roman" w:hAnsi="Times New Roman"/>
        </w:rPr>
        <w:t xml:space="preserve">23 tabuľkovej </w:t>
      </w:r>
      <w:r w:rsidR="00C221B0">
        <w:rPr>
          <w:rFonts w:ascii="Times New Roman" w:hAnsi="Times New Roman"/>
        </w:rPr>
        <w:t>prílohy</w:t>
      </w:r>
      <w:r>
        <w:rPr>
          <w:rFonts w:ascii="Times New Roman" w:hAnsi="Times New Roman"/>
        </w:rPr>
        <w:t xml:space="preserve"> </w:t>
      </w:r>
      <w:r w:rsidR="001D15F2">
        <w:rPr>
          <w:rFonts w:ascii="Times New Roman" w:hAnsi="Times New Roman"/>
        </w:rPr>
        <w:t>štátneho záverečného účtu</w:t>
      </w:r>
      <w:r>
        <w:rPr>
          <w:rFonts w:ascii="Times New Roman" w:hAnsi="Times New Roman"/>
        </w:rPr>
        <w:t>. Tabuľky č. 24 až 26 obsahujú údaje o plnení systemizovaných stavov colníkov, hasičov a policajtov v štátnej službe.</w:t>
      </w:r>
    </w:p>
    <w:p w:rsidR="006F3414" w:rsidRPr="00CF0456" w:rsidP="00A92DE6">
      <w:pPr>
        <w:pStyle w:val="ListParagraph"/>
        <w:numPr>
          <w:numId w:val="6"/>
        </w:numPr>
        <w:bidi w:val="0"/>
        <w:spacing w:before="120" w:after="120" w:line="360" w:lineRule="auto"/>
        <w:ind w:left="426"/>
        <w:jc w:val="both"/>
        <w:rPr>
          <w:rFonts w:ascii="Times New Roman" w:hAnsi="Times New Roman"/>
          <w:b/>
          <w:sz w:val="24"/>
          <w:szCs w:val="24"/>
        </w:rPr>
      </w:pPr>
      <w:r w:rsidRPr="00CF0456">
        <w:rPr>
          <w:rFonts w:ascii="Times New Roman" w:hAnsi="Times New Roman"/>
          <w:b/>
          <w:sz w:val="24"/>
          <w:szCs w:val="24"/>
        </w:rPr>
        <w:t>Poistné a príspevok do poisťovní</w:t>
      </w:r>
    </w:p>
    <w:p w:rsidR="006F3414" w:rsidRPr="00D30871" w:rsidP="00A92DE6">
      <w:pPr>
        <w:bidi w:val="0"/>
        <w:spacing w:before="120" w:after="120" w:line="360" w:lineRule="auto"/>
        <w:ind w:firstLine="708"/>
        <w:jc w:val="both"/>
        <w:rPr>
          <w:rFonts w:ascii="Times New Roman" w:hAnsi="Times New Roman"/>
          <w:szCs w:val="22"/>
        </w:rPr>
      </w:pPr>
      <w:r w:rsidRPr="00D30871">
        <w:rPr>
          <w:rFonts w:ascii="Times New Roman" w:hAnsi="Times New Roman"/>
          <w:szCs w:val="22"/>
        </w:rPr>
        <w:t>Pre rok 2011 s</w:t>
      </w:r>
      <w:r>
        <w:rPr>
          <w:rFonts w:ascii="Times New Roman" w:hAnsi="Times New Roman"/>
          <w:szCs w:val="22"/>
        </w:rPr>
        <w:t>a</w:t>
      </w:r>
      <w:r w:rsidRPr="00D30871">
        <w:rPr>
          <w:rFonts w:ascii="Times New Roman" w:hAnsi="Times New Roman"/>
          <w:szCs w:val="22"/>
        </w:rPr>
        <w:t xml:space="preserve"> kapitol</w:t>
      </w:r>
      <w:r>
        <w:rPr>
          <w:rFonts w:ascii="Times New Roman" w:hAnsi="Times New Roman"/>
          <w:szCs w:val="22"/>
        </w:rPr>
        <w:t>ám</w:t>
      </w:r>
      <w:r w:rsidRPr="00D30871">
        <w:rPr>
          <w:rFonts w:ascii="Times New Roman" w:hAnsi="Times New Roman"/>
          <w:szCs w:val="22"/>
        </w:rPr>
        <w:t xml:space="preserve"> štátneho rozpočtu rozpísali výdavky na poistné a príspevok do poisťovní sumou 490 54</w:t>
      </w:r>
      <w:r w:rsidR="00E22C66">
        <w:rPr>
          <w:rFonts w:ascii="Times New Roman" w:hAnsi="Times New Roman"/>
          <w:szCs w:val="22"/>
        </w:rPr>
        <w:t>1</w:t>
      </w:r>
      <w:r w:rsidRPr="00D30871">
        <w:rPr>
          <w:rFonts w:ascii="Times New Roman" w:hAnsi="Times New Roman"/>
          <w:szCs w:val="22"/>
        </w:rPr>
        <w:t xml:space="preserve"> tis. eur, ktorá bola v priebehu rozpočtového roka zvýšená na 500 3</w:t>
      </w:r>
      <w:r w:rsidR="00516BA2">
        <w:rPr>
          <w:rFonts w:ascii="Times New Roman" w:hAnsi="Times New Roman"/>
          <w:szCs w:val="22"/>
        </w:rPr>
        <w:t>89</w:t>
      </w:r>
      <w:r w:rsidRPr="00D30871">
        <w:rPr>
          <w:rFonts w:ascii="Times New Roman" w:hAnsi="Times New Roman"/>
          <w:szCs w:val="22"/>
        </w:rPr>
        <w:t xml:space="preserve"> tis. eur. V skutočnosti sa čerpalo 500 79</w:t>
      </w:r>
      <w:r w:rsidR="00516BA2">
        <w:rPr>
          <w:rFonts w:ascii="Times New Roman" w:hAnsi="Times New Roman"/>
          <w:szCs w:val="22"/>
        </w:rPr>
        <w:t>3</w:t>
      </w:r>
      <w:r w:rsidRPr="00D30871">
        <w:rPr>
          <w:rFonts w:ascii="Times New Roman" w:hAnsi="Times New Roman"/>
          <w:szCs w:val="22"/>
        </w:rPr>
        <w:t xml:space="preserve"> tis. eur </w:t>
      </w:r>
      <w:r w:rsidR="00813962">
        <w:rPr>
          <w:rFonts w:ascii="Times New Roman" w:hAnsi="Times New Roman"/>
          <w:szCs w:val="22"/>
        </w:rPr>
        <w:t>a</w:t>
      </w:r>
      <w:r w:rsidRPr="00D30871">
        <w:rPr>
          <w:rFonts w:ascii="Times New Roman" w:hAnsi="Times New Roman"/>
          <w:szCs w:val="22"/>
        </w:rPr>
        <w:t xml:space="preserve"> tieto výdavky </w:t>
      </w:r>
      <w:r w:rsidR="00813962">
        <w:rPr>
          <w:rFonts w:ascii="Times New Roman" w:hAnsi="Times New Roman"/>
          <w:szCs w:val="22"/>
        </w:rPr>
        <w:t xml:space="preserve">boli </w:t>
      </w:r>
      <w:r w:rsidRPr="00D30871">
        <w:rPr>
          <w:rFonts w:ascii="Times New Roman" w:hAnsi="Times New Roman"/>
          <w:szCs w:val="22"/>
        </w:rPr>
        <w:t xml:space="preserve">nižšie </w:t>
      </w:r>
      <w:r w:rsidR="00813962">
        <w:rPr>
          <w:rFonts w:ascii="Times New Roman" w:hAnsi="Times New Roman"/>
          <w:szCs w:val="22"/>
        </w:rPr>
        <w:t xml:space="preserve">oproti roku 2010 </w:t>
      </w:r>
      <w:r w:rsidR="00D56387">
        <w:rPr>
          <w:rFonts w:ascii="Times New Roman" w:hAnsi="Times New Roman"/>
          <w:szCs w:val="22"/>
        </w:rPr>
        <w:br/>
      </w:r>
      <w:r w:rsidRPr="00D30871">
        <w:rPr>
          <w:rFonts w:ascii="Times New Roman" w:hAnsi="Times New Roman"/>
          <w:szCs w:val="22"/>
        </w:rPr>
        <w:t>o 9 76</w:t>
      </w:r>
      <w:r w:rsidR="00516BA2">
        <w:rPr>
          <w:rFonts w:ascii="Times New Roman" w:hAnsi="Times New Roman"/>
          <w:szCs w:val="22"/>
        </w:rPr>
        <w:t>1</w:t>
      </w:r>
      <w:r w:rsidRPr="00D30871">
        <w:rPr>
          <w:rFonts w:ascii="Times New Roman" w:hAnsi="Times New Roman"/>
          <w:szCs w:val="22"/>
        </w:rPr>
        <w:t xml:space="preserve"> tis. eur. Z hľadiska štruktúry ide o:</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 výdavky na poistné do </w:t>
      </w:r>
      <w:r w:rsidRPr="00CF0456">
        <w:rPr>
          <w:rFonts w:ascii="Times New Roman" w:hAnsi="Times New Roman"/>
          <w:b/>
        </w:rPr>
        <w:t>Sociálnej poisťovne</w:t>
      </w:r>
      <w:r w:rsidRPr="00D30871">
        <w:rPr>
          <w:rFonts w:ascii="Times New Roman" w:hAnsi="Times New Roman"/>
        </w:rPr>
        <w:t xml:space="preserve"> v sume 192 346 tis. eur</w:t>
      </w:r>
      <w:r w:rsidR="00CF0456">
        <w:rPr>
          <w:rFonts w:ascii="Times New Roman" w:hAnsi="Times New Roman"/>
        </w:rPr>
        <w:t xml:space="preserve"> (2010: 192 737 tis. eur)</w:t>
      </w:r>
      <w:r w:rsidRPr="00D30871">
        <w:rPr>
          <w:rFonts w:ascii="Times New Roman" w:hAnsi="Times New Roman"/>
        </w:rPr>
        <w:t>; z toho pripadá na poistné na starobné poistenie 109 736 tis. eur, poistné do rezervného fo</w:t>
      </w:r>
      <w:r w:rsidR="00C36624">
        <w:rPr>
          <w:rFonts w:ascii="Times New Roman" w:hAnsi="Times New Roman"/>
        </w:rPr>
        <w:t xml:space="preserve">ndu solidarity 37 411 tis. eur </w:t>
      </w:r>
      <w:r w:rsidRPr="00D30871">
        <w:rPr>
          <w:rFonts w:ascii="Times New Roman" w:hAnsi="Times New Roman"/>
        </w:rPr>
        <w:t>a poistné na invalidné poistenie v sume 21 890 tis. eur,</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 poistné </w:t>
      </w:r>
      <w:r w:rsidRPr="00CF0456">
        <w:rPr>
          <w:rFonts w:ascii="Times New Roman" w:hAnsi="Times New Roman"/>
          <w:b/>
        </w:rPr>
        <w:t>na osobitné účty</w:t>
      </w:r>
      <w:r w:rsidRPr="00D30871">
        <w:rPr>
          <w:rFonts w:ascii="Times New Roman" w:hAnsi="Times New Roman"/>
        </w:rPr>
        <w:t xml:space="preserve"> v kapitolách štátneho rozpočtu, do pôsobnosti ktorých patrí riadenie ozbrojených, bezpečnostných a záchranných zložiek v sume 150 498 tis. eur</w:t>
      </w:r>
      <w:r w:rsidR="00CF0456">
        <w:rPr>
          <w:rFonts w:ascii="Times New Roman" w:hAnsi="Times New Roman"/>
        </w:rPr>
        <w:t xml:space="preserve"> </w:t>
      </w:r>
      <w:r w:rsidR="001D15F2">
        <w:rPr>
          <w:rFonts w:ascii="Times New Roman" w:hAnsi="Times New Roman"/>
        </w:rPr>
        <w:br/>
      </w:r>
      <w:r w:rsidR="00CF0456">
        <w:rPr>
          <w:rFonts w:ascii="Times New Roman" w:hAnsi="Times New Roman"/>
        </w:rPr>
        <w:t>(2010: 157 844 tis. eur)</w:t>
      </w:r>
      <w:r w:rsidRPr="00D30871">
        <w:rPr>
          <w:rFonts w:ascii="Times New Roman" w:hAnsi="Times New Roman"/>
        </w:rPr>
        <w:t>; z toho poistné na výsluhový dôchodok predstavuje 112 387 tis. eur, poistné na invalidný výsluhový dôchodok 19 842 tis. eur a na nemocenské zabezpečenie 9 249 tis. eur,</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 poistné do </w:t>
      </w:r>
      <w:r w:rsidRPr="00CF0456">
        <w:rPr>
          <w:rFonts w:ascii="Times New Roman" w:hAnsi="Times New Roman"/>
          <w:b/>
        </w:rPr>
        <w:t>zdravotných poisťovní</w:t>
      </w:r>
      <w:r w:rsidRPr="00D30871">
        <w:rPr>
          <w:rFonts w:ascii="Times New Roman" w:hAnsi="Times New Roman"/>
        </w:rPr>
        <w:t xml:space="preserve"> spolu 149 918 tis. eur</w:t>
      </w:r>
      <w:r w:rsidR="00CF0456">
        <w:rPr>
          <w:rFonts w:ascii="Times New Roman" w:hAnsi="Times New Roman"/>
        </w:rPr>
        <w:t xml:space="preserve"> (2010: 149 646 tis. eur)</w:t>
      </w:r>
      <w:r w:rsidRPr="00D30871">
        <w:rPr>
          <w:rFonts w:ascii="Times New Roman" w:hAnsi="Times New Roman"/>
        </w:rPr>
        <w:t>; v tom</w:t>
      </w:r>
      <w:r w:rsidR="001D15F2">
        <w:rPr>
          <w:rFonts w:ascii="Times New Roman" w:hAnsi="Times New Roman"/>
        </w:rPr>
        <w:t xml:space="preserve"> do </w:t>
      </w:r>
      <w:r w:rsidRPr="00D30871">
        <w:rPr>
          <w:rFonts w:ascii="Times New Roman" w:hAnsi="Times New Roman"/>
        </w:rPr>
        <w:t>Všeobecnej zdravotnej poisťovne 124 219 tis. eur a do súkromných zdravotných poisťovní 25 699 tis. eur,</w:t>
      </w:r>
    </w:p>
    <w:p w:rsidR="006F3414" w:rsidRPr="00D30871"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 príspevok do </w:t>
      </w:r>
      <w:r w:rsidRPr="00CF0456">
        <w:rPr>
          <w:rFonts w:ascii="Times New Roman" w:hAnsi="Times New Roman"/>
          <w:b/>
        </w:rPr>
        <w:t>doplnkových dôchodkových poisťovní</w:t>
      </w:r>
      <w:r w:rsidR="00C36624">
        <w:rPr>
          <w:rFonts w:ascii="Times New Roman" w:hAnsi="Times New Roman"/>
        </w:rPr>
        <w:t xml:space="preserve"> vo výške 7 726 </w:t>
      </w:r>
      <w:r w:rsidRPr="00D30871">
        <w:rPr>
          <w:rFonts w:ascii="Times New Roman" w:hAnsi="Times New Roman"/>
        </w:rPr>
        <w:t>tis. eur</w:t>
      </w:r>
      <w:r w:rsidR="00CF0456">
        <w:rPr>
          <w:rFonts w:ascii="Times New Roman" w:hAnsi="Times New Roman"/>
        </w:rPr>
        <w:t xml:space="preserve"> </w:t>
      </w:r>
      <w:r w:rsidR="001D15F2">
        <w:rPr>
          <w:rFonts w:ascii="Times New Roman" w:hAnsi="Times New Roman"/>
        </w:rPr>
        <w:br/>
      </w:r>
      <w:r w:rsidR="00CF0456">
        <w:rPr>
          <w:rFonts w:ascii="Times New Roman" w:hAnsi="Times New Roman"/>
        </w:rPr>
        <w:t>(2010: 10 027 tis. eur)</w:t>
      </w:r>
      <w:r w:rsidRPr="00D30871">
        <w:rPr>
          <w:rFonts w:ascii="Times New Roman" w:hAnsi="Times New Roman"/>
        </w:rPr>
        <w:t>,</w:t>
      </w:r>
    </w:p>
    <w:p w:rsidR="006F3414" w:rsidP="003634A8">
      <w:pPr>
        <w:bidi w:val="0"/>
        <w:spacing w:before="120" w:after="120" w:line="360" w:lineRule="auto"/>
        <w:ind w:firstLine="708"/>
        <w:jc w:val="both"/>
        <w:rPr>
          <w:rFonts w:ascii="Times New Roman" w:hAnsi="Times New Roman"/>
        </w:rPr>
      </w:pPr>
      <w:r w:rsidRPr="00D30871">
        <w:rPr>
          <w:rFonts w:ascii="Times New Roman" w:hAnsi="Times New Roman"/>
        </w:rPr>
        <w:t xml:space="preserve">- príspevky na </w:t>
      </w:r>
      <w:r w:rsidRPr="00CF0456">
        <w:rPr>
          <w:rFonts w:ascii="Times New Roman" w:hAnsi="Times New Roman"/>
          <w:b/>
        </w:rPr>
        <w:t>starobné dôchodkové sporenie</w:t>
      </w:r>
      <w:r w:rsidRPr="00D30871">
        <w:rPr>
          <w:rFonts w:ascii="Times New Roman" w:hAnsi="Times New Roman"/>
        </w:rPr>
        <w:t xml:space="preserve"> 302 tis. eur</w:t>
      </w:r>
      <w:r w:rsidR="00CF0456">
        <w:rPr>
          <w:rFonts w:ascii="Times New Roman" w:hAnsi="Times New Roman"/>
        </w:rPr>
        <w:t xml:space="preserve"> (299 tis. eur)</w:t>
      </w:r>
      <w:r w:rsidRPr="00D30871">
        <w:rPr>
          <w:rFonts w:ascii="Times New Roman" w:hAnsi="Times New Roman"/>
        </w:rPr>
        <w:t>.</w:t>
      </w:r>
    </w:p>
    <w:p w:rsidR="006F3414" w:rsidRPr="00CF0456" w:rsidP="003634A8">
      <w:pPr>
        <w:pStyle w:val="ListParagraph"/>
        <w:numPr>
          <w:numId w:val="6"/>
        </w:numPr>
        <w:bidi w:val="0"/>
        <w:spacing w:before="120" w:after="120" w:line="360" w:lineRule="auto"/>
        <w:ind w:left="284" w:hanging="284"/>
        <w:jc w:val="both"/>
        <w:rPr>
          <w:rFonts w:ascii="Times New Roman" w:hAnsi="Times New Roman"/>
          <w:b/>
          <w:sz w:val="24"/>
          <w:szCs w:val="24"/>
        </w:rPr>
      </w:pPr>
      <w:r w:rsidR="00D347B4">
        <w:rPr>
          <w:rFonts w:ascii="Times New Roman" w:hAnsi="Times New Roman"/>
          <w:b/>
          <w:sz w:val="24"/>
          <w:szCs w:val="24"/>
        </w:rPr>
        <w:t>T</w:t>
      </w:r>
      <w:r w:rsidRPr="00CF0456">
        <w:rPr>
          <w:rFonts w:ascii="Times New Roman" w:hAnsi="Times New Roman"/>
          <w:b/>
          <w:sz w:val="24"/>
          <w:szCs w:val="24"/>
        </w:rPr>
        <w:t>ovary a služby</w:t>
      </w:r>
    </w:p>
    <w:p w:rsidR="006F3414" w:rsidRPr="00D30871" w:rsidP="003634A8">
      <w:pPr>
        <w:suppressAutoHyphens/>
        <w:bidi w:val="0"/>
        <w:spacing w:before="120" w:after="120" w:line="360" w:lineRule="auto"/>
        <w:ind w:firstLine="709"/>
        <w:jc w:val="both"/>
        <w:rPr>
          <w:rFonts w:ascii="Times New Roman" w:hAnsi="Times New Roman"/>
        </w:rPr>
      </w:pPr>
      <w:r w:rsidRPr="00D30871">
        <w:rPr>
          <w:rFonts w:ascii="Times New Roman" w:hAnsi="Times New Roman"/>
        </w:rPr>
        <w:t xml:space="preserve">Schválený rozpočet výdavkov na tovary </w:t>
      </w:r>
      <w:r w:rsidR="00673EBF">
        <w:rPr>
          <w:rFonts w:ascii="Times New Roman" w:hAnsi="Times New Roman"/>
        </w:rPr>
        <w:t xml:space="preserve">a </w:t>
      </w:r>
      <w:r w:rsidRPr="00D30871">
        <w:rPr>
          <w:rFonts w:ascii="Times New Roman" w:hAnsi="Times New Roman"/>
        </w:rPr>
        <w:t>služby bol stanovený sumou 1 934 88</w:t>
      </w:r>
      <w:r w:rsidR="00E22C66">
        <w:rPr>
          <w:rFonts w:ascii="Times New Roman" w:hAnsi="Times New Roman"/>
        </w:rPr>
        <w:t>6</w:t>
      </w:r>
      <w:r w:rsidRPr="00D30871">
        <w:rPr>
          <w:rFonts w:ascii="Times New Roman" w:hAnsi="Times New Roman"/>
        </w:rPr>
        <w:t xml:space="preserve"> tis. eur, ktorá sa rozpočtovými opatreniami zvýšila na 2 153 29</w:t>
      </w:r>
      <w:r w:rsidR="00516BA2">
        <w:rPr>
          <w:rFonts w:ascii="Times New Roman" w:hAnsi="Times New Roman"/>
        </w:rPr>
        <w:t>7</w:t>
      </w:r>
      <w:r w:rsidRPr="00D30871">
        <w:rPr>
          <w:rFonts w:ascii="Times New Roman" w:hAnsi="Times New Roman"/>
        </w:rPr>
        <w:t xml:space="preserve"> tis. eur. Čerpanie predstavovalo sumu 1 226 2</w:t>
      </w:r>
      <w:r w:rsidR="00516BA2">
        <w:rPr>
          <w:rFonts w:ascii="Times New Roman" w:hAnsi="Times New Roman"/>
        </w:rPr>
        <w:t>27</w:t>
      </w:r>
      <w:r w:rsidRPr="00D30871">
        <w:rPr>
          <w:rFonts w:ascii="Times New Roman" w:hAnsi="Times New Roman"/>
        </w:rPr>
        <w:t xml:space="preserve"> tis</w:t>
      </w:r>
      <w:r w:rsidR="005A4E8D">
        <w:rPr>
          <w:rFonts w:ascii="Times New Roman" w:hAnsi="Times New Roman"/>
        </w:rPr>
        <w:t>.</w:t>
      </w:r>
      <w:r w:rsidRPr="00D30871">
        <w:rPr>
          <w:rFonts w:ascii="Times New Roman" w:hAnsi="Times New Roman"/>
        </w:rPr>
        <w:t xml:space="preserve"> eur konkrétne na:</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služby 506 759 tis. eur</w:t>
      </w:r>
      <w:r w:rsidR="00CF0456">
        <w:rPr>
          <w:rFonts w:ascii="Times New Roman" w:hAnsi="Times New Roman"/>
          <w:sz w:val="24"/>
          <w:szCs w:val="24"/>
        </w:rPr>
        <w:t xml:space="preserve"> (2010: 541 705 tis. eur)</w:t>
      </w:r>
      <w:r w:rsidR="00D56387">
        <w:rPr>
          <w:rFonts w:ascii="Times New Roman" w:hAnsi="Times New Roman"/>
          <w:sz w:val="24"/>
          <w:szCs w:val="24"/>
        </w:rPr>
        <w:t>,</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nákup materiálu 218 856 tis. eur</w:t>
      </w:r>
      <w:r w:rsidR="00CF0456">
        <w:rPr>
          <w:rFonts w:ascii="Times New Roman" w:hAnsi="Times New Roman"/>
          <w:sz w:val="24"/>
          <w:szCs w:val="24"/>
        </w:rPr>
        <w:t xml:space="preserve"> (2010: 282 043 tis. eur)</w:t>
      </w:r>
      <w:r w:rsidR="00D56387">
        <w:rPr>
          <w:rFonts w:ascii="Times New Roman" w:hAnsi="Times New Roman"/>
          <w:sz w:val="24"/>
          <w:szCs w:val="24"/>
        </w:rPr>
        <w:t>,</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 xml:space="preserve">platby za energie, vodu a komunikácie 197 422 tis. eur </w:t>
      </w:r>
      <w:r w:rsidR="00CF0456">
        <w:rPr>
          <w:rFonts w:ascii="Times New Roman" w:hAnsi="Times New Roman"/>
          <w:sz w:val="24"/>
          <w:szCs w:val="24"/>
        </w:rPr>
        <w:t xml:space="preserve">(2010: 206 268 tis. eur) </w:t>
      </w:r>
      <w:r w:rsidRPr="00D30871">
        <w:rPr>
          <w:rFonts w:ascii="Times New Roman" w:hAnsi="Times New Roman"/>
          <w:sz w:val="24"/>
          <w:szCs w:val="24"/>
        </w:rPr>
        <w:t>z toho samotn</w:t>
      </w:r>
      <w:r w:rsidR="00CF0456">
        <w:rPr>
          <w:rFonts w:ascii="Times New Roman" w:hAnsi="Times New Roman"/>
          <w:sz w:val="24"/>
          <w:szCs w:val="24"/>
        </w:rPr>
        <w:t>é energie tvorili 48,3 %</w:t>
      </w:r>
      <w:r w:rsidR="00D56387">
        <w:rPr>
          <w:rFonts w:ascii="Times New Roman" w:hAnsi="Times New Roman"/>
          <w:sz w:val="24"/>
          <w:szCs w:val="24"/>
        </w:rPr>
        <w:t>,</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rutinná a štandardná údržba, udržiavan</w:t>
      </w:r>
      <w:r w:rsidR="008A232D">
        <w:rPr>
          <w:rFonts w:ascii="Times New Roman" w:hAnsi="Times New Roman"/>
          <w:sz w:val="24"/>
          <w:szCs w:val="24"/>
        </w:rPr>
        <w:t xml:space="preserve">ie </w:t>
      </w:r>
      <w:r w:rsidRPr="00D30871">
        <w:rPr>
          <w:rFonts w:ascii="Times New Roman" w:hAnsi="Times New Roman"/>
          <w:sz w:val="24"/>
          <w:szCs w:val="24"/>
        </w:rPr>
        <w:t>a oprav</w:t>
      </w:r>
      <w:r w:rsidR="008A232D">
        <w:rPr>
          <w:rFonts w:ascii="Times New Roman" w:hAnsi="Times New Roman"/>
          <w:sz w:val="24"/>
          <w:szCs w:val="24"/>
        </w:rPr>
        <w:t>y</w:t>
      </w:r>
      <w:r w:rsidRPr="00D30871">
        <w:rPr>
          <w:rFonts w:ascii="Times New Roman" w:hAnsi="Times New Roman"/>
          <w:sz w:val="24"/>
          <w:szCs w:val="24"/>
        </w:rPr>
        <w:t xml:space="preserve"> – 174 266 tis. eur</w:t>
      </w:r>
      <w:r w:rsidR="00CF0456">
        <w:rPr>
          <w:rFonts w:ascii="Times New Roman" w:hAnsi="Times New Roman"/>
          <w:sz w:val="24"/>
          <w:szCs w:val="24"/>
        </w:rPr>
        <w:t xml:space="preserve"> (2010: 159 709 tis. eur)</w:t>
      </w:r>
      <w:r w:rsidR="00D56387">
        <w:rPr>
          <w:rFonts w:ascii="Times New Roman" w:hAnsi="Times New Roman"/>
          <w:sz w:val="24"/>
          <w:szCs w:val="24"/>
        </w:rPr>
        <w:t>,</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dopravné výdavky 67 795 tis. eur</w:t>
      </w:r>
      <w:r w:rsidR="00813962">
        <w:rPr>
          <w:rFonts w:ascii="Times New Roman" w:hAnsi="Times New Roman"/>
          <w:sz w:val="24"/>
          <w:szCs w:val="24"/>
        </w:rPr>
        <w:t xml:space="preserve"> </w:t>
      </w:r>
      <w:r w:rsidR="00CF0456">
        <w:rPr>
          <w:rFonts w:ascii="Times New Roman" w:hAnsi="Times New Roman"/>
          <w:sz w:val="24"/>
          <w:szCs w:val="24"/>
        </w:rPr>
        <w:t xml:space="preserve">(2010: 67 679 tis. eur), </w:t>
      </w:r>
      <w:r w:rsidRPr="00D30871">
        <w:rPr>
          <w:rFonts w:ascii="Times New Roman" w:hAnsi="Times New Roman"/>
          <w:sz w:val="24"/>
          <w:szCs w:val="24"/>
        </w:rPr>
        <w:t>z nich takmer 55 % predstavovali výdavky na palivá, mazi</w:t>
      </w:r>
      <w:r w:rsidR="00CF0456">
        <w:rPr>
          <w:rFonts w:ascii="Times New Roman" w:hAnsi="Times New Roman"/>
          <w:sz w:val="24"/>
          <w:szCs w:val="24"/>
        </w:rPr>
        <w:t>vá, oleje a špeciálne kvapaliny</w:t>
      </w:r>
      <w:r w:rsidR="00D56387">
        <w:rPr>
          <w:rFonts w:ascii="Times New Roman" w:hAnsi="Times New Roman"/>
          <w:sz w:val="24"/>
          <w:szCs w:val="24"/>
        </w:rPr>
        <w:t>,</w:t>
      </w:r>
    </w:p>
    <w:p w:rsidR="006F3414" w:rsidRPr="00D30871" w:rsidP="003634A8">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n</w:t>
      </w:r>
      <w:r w:rsidR="00C36624">
        <w:rPr>
          <w:rFonts w:ascii="Times New Roman" w:hAnsi="Times New Roman"/>
          <w:sz w:val="24"/>
          <w:szCs w:val="24"/>
        </w:rPr>
        <w:t>ájomné za nájom nehnuteľných a </w:t>
      </w:r>
      <w:r w:rsidRPr="00D30871">
        <w:rPr>
          <w:rFonts w:ascii="Times New Roman" w:hAnsi="Times New Roman"/>
          <w:sz w:val="24"/>
          <w:szCs w:val="24"/>
        </w:rPr>
        <w:t xml:space="preserve">hnuteľných vecí 34 404 tis. eur </w:t>
      </w:r>
      <w:r w:rsidR="00CF0456">
        <w:rPr>
          <w:rFonts w:ascii="Times New Roman" w:hAnsi="Times New Roman"/>
          <w:sz w:val="24"/>
          <w:szCs w:val="24"/>
        </w:rPr>
        <w:t xml:space="preserve">(2010: 34 072 tis. eur), </w:t>
      </w:r>
      <w:r w:rsidR="00C36624">
        <w:rPr>
          <w:rFonts w:ascii="Times New Roman" w:hAnsi="Times New Roman"/>
          <w:sz w:val="24"/>
          <w:szCs w:val="24"/>
        </w:rPr>
        <w:t xml:space="preserve">z toho až 94 % </w:t>
      </w:r>
      <w:r w:rsidRPr="00D30871">
        <w:rPr>
          <w:rFonts w:ascii="Times New Roman" w:hAnsi="Times New Roman"/>
          <w:sz w:val="24"/>
          <w:szCs w:val="24"/>
        </w:rPr>
        <w:t>predstavovalo nájomné</w:t>
      </w:r>
      <w:r w:rsidR="00CF0456">
        <w:rPr>
          <w:rFonts w:ascii="Times New Roman" w:hAnsi="Times New Roman"/>
          <w:sz w:val="24"/>
          <w:szCs w:val="24"/>
        </w:rPr>
        <w:t xml:space="preserve"> za budovy, objekty a ich časti</w:t>
      </w:r>
      <w:r w:rsidR="00D56387">
        <w:rPr>
          <w:rFonts w:ascii="Times New Roman" w:hAnsi="Times New Roman"/>
          <w:sz w:val="24"/>
          <w:szCs w:val="24"/>
        </w:rPr>
        <w:t>,</w:t>
      </w:r>
    </w:p>
    <w:p w:rsidR="006F3414" w:rsidRPr="00D30871" w:rsidP="00A92DE6">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cestovné výdavky dosiahli 26 730 tis. eur</w:t>
      </w:r>
      <w:r w:rsidR="00813962">
        <w:rPr>
          <w:rFonts w:ascii="Times New Roman" w:hAnsi="Times New Roman"/>
          <w:sz w:val="24"/>
          <w:szCs w:val="24"/>
        </w:rPr>
        <w:t xml:space="preserve"> </w:t>
      </w:r>
      <w:r w:rsidRPr="00D30871">
        <w:rPr>
          <w:rFonts w:ascii="Times New Roman" w:hAnsi="Times New Roman"/>
          <w:sz w:val="24"/>
          <w:szCs w:val="24"/>
        </w:rPr>
        <w:t>(</w:t>
      </w:r>
      <w:r w:rsidR="00CF0456">
        <w:rPr>
          <w:rFonts w:ascii="Times New Roman" w:hAnsi="Times New Roman"/>
          <w:sz w:val="24"/>
          <w:szCs w:val="24"/>
        </w:rPr>
        <w:t>2010: 30 011 tis. eur), z toho zahranič</w:t>
      </w:r>
      <w:r w:rsidR="00C36624">
        <w:rPr>
          <w:rFonts w:ascii="Times New Roman" w:hAnsi="Times New Roman"/>
          <w:sz w:val="24"/>
          <w:szCs w:val="24"/>
        </w:rPr>
        <w:t xml:space="preserve">né </w:t>
      </w:r>
      <w:r w:rsidR="00CF0456">
        <w:rPr>
          <w:rFonts w:ascii="Times New Roman" w:hAnsi="Times New Roman"/>
          <w:sz w:val="24"/>
          <w:szCs w:val="24"/>
        </w:rPr>
        <w:t>takmer 60 %</w:t>
      </w:r>
      <w:r w:rsidRPr="00D30871">
        <w:rPr>
          <w:rFonts w:ascii="Times New Roman" w:hAnsi="Times New Roman"/>
          <w:sz w:val="24"/>
          <w:szCs w:val="24"/>
        </w:rPr>
        <w:t>.</w:t>
      </w:r>
    </w:p>
    <w:p w:rsidR="006F3414" w:rsidRPr="00CF0456" w:rsidP="00A92DE6">
      <w:pPr>
        <w:bidi w:val="0"/>
        <w:spacing w:before="120" w:after="120" w:line="360" w:lineRule="auto"/>
        <w:jc w:val="both"/>
        <w:rPr>
          <w:rFonts w:ascii="Times New Roman" w:hAnsi="Times New Roman"/>
          <w:b/>
        </w:rPr>
      </w:pPr>
      <w:r w:rsidRPr="00CF0456">
        <w:rPr>
          <w:rFonts w:ascii="Times New Roman" w:hAnsi="Times New Roman"/>
          <w:b/>
        </w:rPr>
        <w:t>d) Bežné transfery</w:t>
      </w:r>
    </w:p>
    <w:p w:rsidR="006F3414" w:rsidRPr="00D30871" w:rsidP="00A92DE6">
      <w:pPr>
        <w:bidi w:val="0"/>
        <w:spacing w:before="120" w:after="120" w:line="360" w:lineRule="auto"/>
        <w:jc w:val="both"/>
        <w:rPr>
          <w:rFonts w:ascii="Times New Roman" w:hAnsi="Times New Roman"/>
        </w:rPr>
      </w:pPr>
      <w:r w:rsidRPr="00D30871">
        <w:rPr>
          <w:rFonts w:ascii="Times New Roman" w:hAnsi="Times New Roman"/>
        </w:rPr>
        <w:tab/>
        <w:t>Transferové platby sú výdavky uskutočňované bez toho, aby za ne ich príjemcovia poskytovali nejaké protislužby alebo tovary. Transferová platba všeobecného charakteru určená pre rôzne alebo neurčené ciele sa považuje vždy za bežný transfer. Triedia sa podľa príjemcu alebo druhu poskytovanej platby.</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ab/>
        <w:t>Bežné transfery sa rozpočtovali pre rok 2011 sumou 9 014 143 tis. eur, čo predstavovalo takmer 65,0 % celkových bežných výdavkov. Prijatými rozpočtovými opatreniami sa uvedená suma z</w:t>
      </w:r>
      <w:r w:rsidR="00E22C66">
        <w:rPr>
          <w:rFonts w:ascii="Times New Roman" w:hAnsi="Times New Roman"/>
        </w:rPr>
        <w:t>výšila</w:t>
      </w:r>
      <w:r w:rsidRPr="00D30871">
        <w:rPr>
          <w:rFonts w:ascii="Times New Roman" w:hAnsi="Times New Roman"/>
        </w:rPr>
        <w:t xml:space="preserve"> na 9 188 22</w:t>
      </w:r>
      <w:r w:rsidR="00516BA2">
        <w:rPr>
          <w:rFonts w:ascii="Times New Roman" w:hAnsi="Times New Roman"/>
        </w:rPr>
        <w:t>5</w:t>
      </w:r>
      <w:r w:rsidRPr="00D30871">
        <w:rPr>
          <w:rFonts w:ascii="Times New Roman" w:hAnsi="Times New Roman"/>
        </w:rPr>
        <w:t xml:space="preserve"> tis. eur. V skutočnosti </w:t>
      </w:r>
      <w:r w:rsidR="00CF0456">
        <w:rPr>
          <w:rFonts w:ascii="Times New Roman" w:hAnsi="Times New Roman"/>
        </w:rPr>
        <w:t>sa vyčerpalo 8 550 653 tis. eur</w:t>
      </w:r>
      <w:r w:rsidRPr="00D30871">
        <w:rPr>
          <w:rFonts w:ascii="Times New Roman" w:hAnsi="Times New Roman"/>
        </w:rPr>
        <w:t xml:space="preserve"> </w:t>
      </w:r>
      <w:r w:rsidR="00CF0456">
        <w:rPr>
          <w:rFonts w:ascii="Times New Roman" w:hAnsi="Times New Roman"/>
        </w:rPr>
        <w:t>(</w:t>
      </w:r>
      <w:r w:rsidRPr="00D30871">
        <w:rPr>
          <w:rFonts w:ascii="Times New Roman" w:hAnsi="Times New Roman"/>
        </w:rPr>
        <w:t>2010: 8 690 518 tis. eur), konkrétne na:</w:t>
      </w:r>
    </w:p>
    <w:p w:rsidR="006F3414" w:rsidRPr="00D30871" w:rsidP="003634A8">
      <w:pPr>
        <w:pStyle w:val="ListParagraph"/>
        <w:numPr>
          <w:numId w:val="10"/>
        </w:numPr>
        <w:bidi w:val="0"/>
        <w:spacing w:before="120" w:after="120" w:line="360" w:lineRule="auto"/>
        <w:ind w:left="0" w:firstLine="420"/>
        <w:jc w:val="both"/>
        <w:rPr>
          <w:rFonts w:ascii="Times New Roman" w:hAnsi="Times New Roman"/>
          <w:b/>
          <w:sz w:val="24"/>
          <w:szCs w:val="24"/>
        </w:rPr>
      </w:pPr>
      <w:r w:rsidRPr="00D30871">
        <w:rPr>
          <w:rFonts w:ascii="Times New Roman" w:hAnsi="Times New Roman"/>
          <w:b/>
          <w:sz w:val="24"/>
          <w:szCs w:val="24"/>
        </w:rPr>
        <w:t>tr</w:t>
      </w:r>
      <w:r w:rsidR="00F908ED">
        <w:rPr>
          <w:rFonts w:ascii="Times New Roman" w:hAnsi="Times New Roman"/>
          <w:b/>
          <w:sz w:val="24"/>
          <w:szCs w:val="24"/>
        </w:rPr>
        <w:t>ansfery v rámci verejnej správy</w:t>
      </w:r>
      <w:r w:rsidRPr="00D30871">
        <w:rPr>
          <w:rFonts w:ascii="Times New Roman" w:hAnsi="Times New Roman"/>
          <w:b/>
          <w:sz w:val="24"/>
          <w:szCs w:val="24"/>
        </w:rPr>
        <w:t xml:space="preserve"> </w:t>
      </w:r>
      <w:r w:rsidRPr="00D30871">
        <w:rPr>
          <w:rFonts w:ascii="Times New Roman" w:hAnsi="Times New Roman"/>
          <w:sz w:val="24"/>
          <w:szCs w:val="24"/>
        </w:rPr>
        <w:t>v schválenom rozpočte sa rozpočtovali sumou 3 799 72</w:t>
      </w:r>
      <w:r w:rsidR="00516BA2">
        <w:rPr>
          <w:rFonts w:ascii="Times New Roman" w:hAnsi="Times New Roman"/>
          <w:sz w:val="24"/>
          <w:szCs w:val="24"/>
        </w:rPr>
        <w:t>3</w:t>
      </w:r>
      <w:r w:rsidRPr="00D30871">
        <w:rPr>
          <w:rFonts w:ascii="Times New Roman" w:hAnsi="Times New Roman"/>
          <w:sz w:val="24"/>
          <w:szCs w:val="24"/>
        </w:rPr>
        <w:t xml:space="preserve"> tis. eur, v upravenom rozpočte sa mierne znížili na 3 620 25</w:t>
      </w:r>
      <w:r w:rsidR="00516BA2">
        <w:rPr>
          <w:rFonts w:ascii="Times New Roman" w:hAnsi="Times New Roman"/>
          <w:sz w:val="24"/>
          <w:szCs w:val="24"/>
        </w:rPr>
        <w:t>2</w:t>
      </w:r>
      <w:r w:rsidRPr="00D30871">
        <w:rPr>
          <w:rFonts w:ascii="Times New Roman" w:hAnsi="Times New Roman"/>
          <w:sz w:val="24"/>
          <w:szCs w:val="24"/>
        </w:rPr>
        <w:t xml:space="preserve"> tis. eur a čerpané boli v úhrnne</w:t>
      </w:r>
      <w:r w:rsidR="00CF0456">
        <w:rPr>
          <w:rFonts w:ascii="Times New Roman" w:hAnsi="Times New Roman"/>
          <w:sz w:val="24"/>
          <w:szCs w:val="24"/>
        </w:rPr>
        <w:t>j výške 3 354 98</w:t>
      </w:r>
      <w:r w:rsidR="00516BA2">
        <w:rPr>
          <w:rFonts w:ascii="Times New Roman" w:hAnsi="Times New Roman"/>
          <w:sz w:val="24"/>
          <w:szCs w:val="24"/>
        </w:rPr>
        <w:t>6</w:t>
      </w:r>
      <w:r w:rsidR="00CF0456">
        <w:rPr>
          <w:rFonts w:ascii="Times New Roman" w:hAnsi="Times New Roman"/>
          <w:sz w:val="24"/>
          <w:szCs w:val="24"/>
        </w:rPr>
        <w:t xml:space="preserve"> tis. eur (</w:t>
      </w:r>
      <w:r w:rsidRPr="00D30871">
        <w:rPr>
          <w:rFonts w:ascii="Times New Roman" w:hAnsi="Times New Roman"/>
          <w:sz w:val="24"/>
          <w:szCs w:val="24"/>
        </w:rPr>
        <w:t xml:space="preserve">2010: 3 489 431 tis. eur). </w:t>
      </w:r>
      <w:r w:rsidR="00CF0456">
        <w:rPr>
          <w:rFonts w:ascii="Times New Roman" w:hAnsi="Times New Roman"/>
          <w:sz w:val="24"/>
          <w:szCs w:val="24"/>
        </w:rPr>
        <w:t>Podrobná analýza transferov v rámci verejnej správy je nasledovná:</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Transfery </w:t>
      </w:r>
      <w:r w:rsidRPr="00CF0456">
        <w:rPr>
          <w:rFonts w:ascii="Times New Roman" w:hAnsi="Times New Roman"/>
          <w:b/>
        </w:rPr>
        <w:t>príspevkovým organizáciám</w:t>
      </w:r>
      <w:r w:rsidRPr="00D30871">
        <w:rPr>
          <w:rFonts w:ascii="Times New Roman" w:hAnsi="Times New Roman"/>
        </w:rPr>
        <w:t xml:space="preserve"> zaradeným Štatistickým úradom SR do verejnej správy </w:t>
      </w:r>
      <w:r w:rsidR="007D3E17">
        <w:rPr>
          <w:rFonts w:ascii="Times New Roman" w:hAnsi="Times New Roman"/>
        </w:rPr>
        <w:t>198 92</w:t>
      </w:r>
      <w:r w:rsidR="00516BA2">
        <w:rPr>
          <w:rFonts w:ascii="Times New Roman" w:hAnsi="Times New Roman"/>
        </w:rPr>
        <w:t>8</w:t>
      </w:r>
      <w:r w:rsidR="007D3E17">
        <w:rPr>
          <w:rFonts w:ascii="Times New Roman" w:hAnsi="Times New Roman"/>
        </w:rPr>
        <w:t xml:space="preserve"> tis. eur (2010: 203 593 tis. eur) </w:t>
      </w:r>
      <w:r w:rsidRPr="00D30871">
        <w:rPr>
          <w:rFonts w:ascii="Times New Roman" w:hAnsi="Times New Roman"/>
        </w:rPr>
        <w:t>sa poskytli z rozpočtu rozpočtových kapitol Ministerstva kultúry SR (56 913 tis. eur), Minister</w:t>
      </w:r>
      <w:r w:rsidR="001677E9">
        <w:rPr>
          <w:rFonts w:ascii="Times New Roman" w:hAnsi="Times New Roman"/>
        </w:rPr>
        <w:t>stva životného prostredia (24 881</w:t>
      </w:r>
      <w:r w:rsidRPr="00D30871">
        <w:rPr>
          <w:rFonts w:ascii="Times New Roman" w:hAnsi="Times New Roman"/>
        </w:rPr>
        <w:t xml:space="preserve"> tis. eur), Ministerstva školstva, vedy, výskumu a športu SR (22 349 tis. eur), Slovenskej akadémie vied (20 664 tis. eur), Ministerstva zdravotníctva SR (20 535 tis. eur), Ministerstva pôdohospodárstva a rozvoja vidieka SR (</w:t>
      </w:r>
      <w:r w:rsidR="00C36624">
        <w:rPr>
          <w:rFonts w:ascii="Times New Roman" w:hAnsi="Times New Roman"/>
        </w:rPr>
        <w:t xml:space="preserve">18 378 tis. eur), Ministerstva </w:t>
      </w:r>
      <w:r w:rsidRPr="00D30871">
        <w:rPr>
          <w:rFonts w:ascii="Times New Roman" w:hAnsi="Times New Roman"/>
        </w:rPr>
        <w:t>hospodárstv</w:t>
      </w:r>
      <w:r w:rsidR="00D347B4">
        <w:rPr>
          <w:rFonts w:ascii="Times New Roman" w:hAnsi="Times New Roman"/>
        </w:rPr>
        <w:t xml:space="preserve">a SR (13 279 tis. eur), Úradu </w:t>
      </w:r>
      <w:r w:rsidRPr="00D30871">
        <w:rPr>
          <w:rFonts w:ascii="Times New Roman" w:hAnsi="Times New Roman"/>
        </w:rPr>
        <w:t xml:space="preserve">vlády </w:t>
      </w:r>
      <w:r w:rsidR="007D3E17">
        <w:rPr>
          <w:rFonts w:ascii="Times New Roman" w:hAnsi="Times New Roman"/>
        </w:rPr>
        <w:t>(</w:t>
      </w:r>
      <w:r w:rsidRPr="00D30871">
        <w:rPr>
          <w:rFonts w:ascii="Times New Roman" w:hAnsi="Times New Roman"/>
        </w:rPr>
        <w:t>4 490 tis. eur).</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Príspevky </w:t>
      </w:r>
      <w:r w:rsidRPr="00CF0456">
        <w:rPr>
          <w:rFonts w:ascii="Times New Roman" w:hAnsi="Times New Roman"/>
          <w:b/>
        </w:rPr>
        <w:t>štátnym účelovým fondom</w:t>
      </w:r>
      <w:r w:rsidRPr="00D30871">
        <w:rPr>
          <w:rFonts w:ascii="Times New Roman" w:hAnsi="Times New Roman"/>
        </w:rPr>
        <w:t xml:space="preserve"> </w:t>
      </w:r>
      <w:r w:rsidR="007D3E17">
        <w:rPr>
          <w:rFonts w:ascii="Times New Roman" w:hAnsi="Times New Roman"/>
        </w:rPr>
        <w:t xml:space="preserve">58 782 tis. eur (2010: 55 003 tis. eur) </w:t>
      </w:r>
      <w:r w:rsidRPr="00D30871">
        <w:rPr>
          <w:rFonts w:ascii="Times New Roman" w:hAnsi="Times New Roman"/>
        </w:rPr>
        <w:t>sa poskytli z rozpočtu Ministerstva dopravy, výstavby a regionálneho rozvoja SR Štátnemu fondu rozvoja bývania (54 904 tis. eur), Ministerstva životného prostredia SR Environmentálnemu fondu na financovanie sanácie havarijných zosuvov pôdy (3 769 tis. eur).</w:t>
      </w:r>
    </w:p>
    <w:p w:rsidR="00D347B4" w:rsidP="003634A8">
      <w:pPr>
        <w:bidi w:val="0"/>
        <w:spacing w:before="120" w:after="120" w:line="360" w:lineRule="auto"/>
        <w:jc w:val="both"/>
        <w:rPr>
          <w:rFonts w:ascii="Times New Roman" w:hAnsi="Times New Roman"/>
        </w:rPr>
      </w:pPr>
      <w:r w:rsidRPr="00D30871" w:rsidR="006F3414">
        <w:rPr>
          <w:rFonts w:ascii="Times New Roman" w:hAnsi="Times New Roman"/>
        </w:rPr>
        <w:t xml:space="preserve">Transfery </w:t>
      </w:r>
      <w:r w:rsidRPr="007D3E17" w:rsidR="006F3414">
        <w:rPr>
          <w:rFonts w:ascii="Times New Roman" w:hAnsi="Times New Roman"/>
          <w:b/>
        </w:rPr>
        <w:t>Sociálnej poisťovni a zdravotným poisťovniam</w:t>
      </w:r>
      <w:r w:rsidRPr="00D30871" w:rsidR="006F3414">
        <w:rPr>
          <w:rFonts w:ascii="Times New Roman" w:hAnsi="Times New Roman"/>
        </w:rPr>
        <w:t xml:space="preserve"> boli poskytnuté v sume 1 446 25</w:t>
      </w:r>
      <w:r w:rsidR="001677E9">
        <w:rPr>
          <w:rFonts w:ascii="Times New Roman" w:hAnsi="Times New Roman"/>
        </w:rPr>
        <w:t>6</w:t>
      </w:r>
      <w:r w:rsidRPr="00D30871" w:rsidR="006F3414">
        <w:rPr>
          <w:rFonts w:ascii="Times New Roman" w:hAnsi="Times New Roman"/>
        </w:rPr>
        <w:t xml:space="preserve"> tis</w:t>
      </w:r>
      <w:r w:rsidR="005A4E8D">
        <w:rPr>
          <w:rFonts w:ascii="Times New Roman" w:hAnsi="Times New Roman"/>
        </w:rPr>
        <w:t>.</w:t>
      </w:r>
      <w:r w:rsidRPr="00D30871" w:rsidR="006F3414">
        <w:rPr>
          <w:rFonts w:ascii="Times New Roman" w:hAnsi="Times New Roman"/>
        </w:rPr>
        <w:t xml:space="preserve"> eur</w:t>
      </w:r>
      <w:r w:rsidR="007D3E17">
        <w:rPr>
          <w:rFonts w:ascii="Times New Roman" w:hAnsi="Times New Roman"/>
        </w:rPr>
        <w:t>,</w:t>
      </w:r>
      <w:r w:rsidRPr="00D30871" w:rsidR="006F3414">
        <w:rPr>
          <w:rFonts w:ascii="Times New Roman" w:hAnsi="Times New Roman"/>
        </w:rPr>
        <w:t xml:space="preserve"> a to hlavne prostredníctvom rozpočtovej kapitoly Všeobecná pokladnič</w:t>
      </w:r>
      <w:r w:rsidR="003A04DE">
        <w:rPr>
          <w:rFonts w:ascii="Times New Roman" w:hAnsi="Times New Roman"/>
        </w:rPr>
        <w:t>ná správa (1 446 193 tis. eur).</w:t>
      </w:r>
      <w:r w:rsidR="00097CCC">
        <w:rPr>
          <w:rFonts w:ascii="Times New Roman" w:hAnsi="Times New Roman"/>
        </w:rPr>
        <w:t xml:space="preserve"> Finančné prostriedky boli poukázané na zabezpečenie platobnej schopnosti Sociálnej poisťovne </w:t>
      </w:r>
      <w:r w:rsidR="00605254">
        <w:rPr>
          <w:rFonts w:ascii="Times New Roman" w:hAnsi="Times New Roman"/>
        </w:rPr>
        <w:t xml:space="preserve">v dôsledku deficitu dôchodkového poistenia, </w:t>
      </w:r>
      <w:r w:rsidR="00097CCC">
        <w:rPr>
          <w:rFonts w:ascii="Times New Roman" w:hAnsi="Times New Roman"/>
        </w:rPr>
        <w:t>v zmysle § 157 o</w:t>
      </w:r>
      <w:r w:rsidR="00673EBF">
        <w:rPr>
          <w:rFonts w:ascii="Times New Roman" w:hAnsi="Times New Roman"/>
        </w:rPr>
        <w:t>d</w:t>
      </w:r>
      <w:r w:rsidR="00097CCC">
        <w:rPr>
          <w:rFonts w:ascii="Times New Roman" w:hAnsi="Times New Roman"/>
        </w:rPr>
        <w:t>s.</w:t>
      </w:r>
      <w:r w:rsidR="00673EBF">
        <w:rPr>
          <w:rFonts w:ascii="Times New Roman" w:hAnsi="Times New Roman"/>
        </w:rPr>
        <w:t xml:space="preserve"> </w:t>
      </w:r>
      <w:r w:rsidR="00097CCC">
        <w:rPr>
          <w:rFonts w:ascii="Times New Roman" w:hAnsi="Times New Roman"/>
        </w:rPr>
        <w:t>4 zákona č. 461/2003 Z. z. o sociálnom poistení v znení neskorších predpisov.</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Transfery </w:t>
      </w:r>
      <w:r w:rsidRPr="00CF0456">
        <w:rPr>
          <w:rFonts w:ascii="Times New Roman" w:hAnsi="Times New Roman"/>
          <w:b/>
        </w:rPr>
        <w:t>rozpočtovým organizáciám</w:t>
      </w:r>
      <w:r w:rsidRPr="00D30871">
        <w:rPr>
          <w:rFonts w:ascii="Times New Roman" w:hAnsi="Times New Roman"/>
        </w:rPr>
        <w:t xml:space="preserve"> </w:t>
      </w:r>
      <w:r w:rsidR="007D3E17">
        <w:rPr>
          <w:rFonts w:ascii="Times New Roman" w:hAnsi="Times New Roman"/>
        </w:rPr>
        <w:t xml:space="preserve">12 414 tis. eur (2010: 58 574 tis. eur) </w:t>
      </w:r>
      <w:r w:rsidRPr="00D30871">
        <w:rPr>
          <w:rFonts w:ascii="Times New Roman" w:hAnsi="Times New Roman"/>
        </w:rPr>
        <w:t xml:space="preserve">sa poskytli tiež predovšetkým prostredníctvom kapitoly Všeobecná pokladničná správa (9 235 tis. eur); išlo o výdavky na finančné opravy a zrušenia záväzkov EK (4 358 tis. eur), výdavky na financovanie Švajčiarskeho finančného mechanizmu </w:t>
      </w:r>
      <w:r w:rsidR="007D3E17">
        <w:rPr>
          <w:rFonts w:ascii="Times New Roman" w:hAnsi="Times New Roman"/>
        </w:rPr>
        <w:t>(4 229 tis. eur),</w:t>
      </w:r>
      <w:r w:rsidRPr="00D30871">
        <w:rPr>
          <w:rFonts w:ascii="Times New Roman" w:hAnsi="Times New Roman"/>
        </w:rPr>
        <w:t xml:space="preserve"> výdavky na financovanie programu SAPARD (488 tis. eur), vytvorené rezervy na prostriedky EÚ a odvody EÚ (151 tis.</w:t>
      </w:r>
      <w:r w:rsidR="003A04DE">
        <w:rPr>
          <w:rFonts w:ascii="Times New Roman" w:hAnsi="Times New Roman"/>
        </w:rPr>
        <w:t xml:space="preserve"> eur</w:t>
      </w:r>
      <w:r w:rsidRPr="00D30871">
        <w:rPr>
          <w:rFonts w:ascii="Times New Roman" w:hAnsi="Times New Roman"/>
        </w:rPr>
        <w:t xml:space="preserve">). </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V menšom rozsahu poskytli transfery rozpočtovej organizácii aj Ministerstvo školstva, vedy, výskumu a športu SR (2 780 tis. eur), Ministerstvo vnútra SR (257 tis. eur).</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Transfery </w:t>
      </w:r>
      <w:r w:rsidRPr="007D3E17">
        <w:rPr>
          <w:rFonts w:ascii="Times New Roman" w:hAnsi="Times New Roman"/>
          <w:b/>
        </w:rPr>
        <w:t>verejným vysokým školám</w:t>
      </w:r>
      <w:r w:rsidRPr="00D30871">
        <w:rPr>
          <w:rFonts w:ascii="Times New Roman" w:hAnsi="Times New Roman"/>
        </w:rPr>
        <w:t xml:space="preserve"> </w:t>
      </w:r>
      <w:r w:rsidR="007D3E17">
        <w:rPr>
          <w:rFonts w:ascii="Times New Roman" w:hAnsi="Times New Roman"/>
        </w:rPr>
        <w:t xml:space="preserve">443 328 tis. eur (2010: 444 036 tis. eur) </w:t>
      </w:r>
      <w:r w:rsidRPr="00D30871">
        <w:rPr>
          <w:rFonts w:ascii="Times New Roman" w:hAnsi="Times New Roman"/>
        </w:rPr>
        <w:t>sa takmer v plnej výške (439 095 tis. eur) poskytli prostredníctvom kapitoly Ministerstva školstva, vedy, výskumu a športu SR.</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Transfery poskytnuté </w:t>
      </w:r>
      <w:r w:rsidRPr="007D3E17">
        <w:rPr>
          <w:rFonts w:ascii="Times New Roman" w:hAnsi="Times New Roman"/>
          <w:b/>
        </w:rPr>
        <w:t xml:space="preserve">obciam </w:t>
      </w:r>
      <w:r w:rsidRPr="00D30871">
        <w:rPr>
          <w:rFonts w:ascii="Times New Roman" w:hAnsi="Times New Roman"/>
        </w:rPr>
        <w:t>dosiahli 746 </w:t>
      </w:r>
      <w:r w:rsidR="001677E9">
        <w:rPr>
          <w:rFonts w:ascii="Times New Roman" w:hAnsi="Times New Roman"/>
        </w:rPr>
        <w:t>901</w:t>
      </w:r>
      <w:r w:rsidRPr="00D30871">
        <w:rPr>
          <w:rFonts w:ascii="Times New Roman" w:hAnsi="Times New Roman"/>
        </w:rPr>
        <w:t xml:space="preserve"> tis. eur</w:t>
      </w:r>
      <w:r w:rsidR="009957DE">
        <w:rPr>
          <w:rFonts w:ascii="Times New Roman" w:hAnsi="Times New Roman"/>
        </w:rPr>
        <w:t xml:space="preserve"> (2010: 820 159 tis. eur)</w:t>
      </w:r>
      <w:r w:rsidRPr="00D30871">
        <w:rPr>
          <w:rFonts w:ascii="Times New Roman" w:hAnsi="Times New Roman"/>
        </w:rPr>
        <w:t>, z nich 618 148 tis. eur sa formou záväzných limitov poskytlo prostredníctvom Ministerstva škol</w:t>
      </w:r>
      <w:r w:rsidR="00673EBF">
        <w:rPr>
          <w:rFonts w:ascii="Times New Roman" w:hAnsi="Times New Roman"/>
        </w:rPr>
        <w:t>stva, vedy, výskumu a športu SR</w:t>
      </w:r>
      <w:r w:rsidRPr="00D30871">
        <w:rPr>
          <w:rFonts w:ascii="Times New Roman" w:hAnsi="Times New Roman"/>
        </w:rPr>
        <w:t xml:space="preserve"> </w:t>
      </w:r>
      <w:r w:rsidR="009957DE">
        <w:rPr>
          <w:rFonts w:ascii="Times New Roman" w:hAnsi="Times New Roman"/>
        </w:rPr>
        <w:t xml:space="preserve">a zvyšok </w:t>
      </w:r>
      <w:r w:rsidRPr="00D30871">
        <w:rPr>
          <w:rFonts w:ascii="Times New Roman" w:hAnsi="Times New Roman"/>
        </w:rPr>
        <w:t xml:space="preserve">prostredníctvom </w:t>
      </w:r>
      <w:r w:rsidR="009957DE">
        <w:rPr>
          <w:rFonts w:ascii="Times New Roman" w:hAnsi="Times New Roman"/>
        </w:rPr>
        <w:t xml:space="preserve">iných </w:t>
      </w:r>
      <w:r w:rsidRPr="00D30871">
        <w:rPr>
          <w:rFonts w:ascii="Times New Roman" w:hAnsi="Times New Roman"/>
        </w:rPr>
        <w:t xml:space="preserve">kapitol </w:t>
      </w:r>
      <w:r w:rsidR="003A04DE">
        <w:rPr>
          <w:rFonts w:ascii="Times New Roman" w:hAnsi="Times New Roman"/>
        </w:rPr>
        <w:t>štátneho rozpočtu.</w:t>
      </w:r>
    </w:p>
    <w:p w:rsidR="006F3414" w:rsidRPr="00D30871" w:rsidP="003634A8">
      <w:pPr>
        <w:bidi w:val="0"/>
        <w:spacing w:before="120" w:after="120" w:line="360" w:lineRule="auto"/>
        <w:jc w:val="both"/>
        <w:rPr>
          <w:rFonts w:ascii="Times New Roman" w:hAnsi="Times New Roman"/>
        </w:rPr>
      </w:pPr>
      <w:r w:rsidRPr="00D30871">
        <w:rPr>
          <w:rFonts w:ascii="Times New Roman" w:hAnsi="Times New Roman"/>
        </w:rPr>
        <w:t xml:space="preserve">V úhrnnej sume tvorili transfery </w:t>
      </w:r>
      <w:r w:rsidRPr="009957DE">
        <w:rPr>
          <w:rFonts w:ascii="Times New Roman" w:hAnsi="Times New Roman"/>
          <w:b/>
        </w:rPr>
        <w:t>vyšším územným celkom</w:t>
      </w:r>
      <w:r w:rsidRPr="00D30871">
        <w:rPr>
          <w:rFonts w:ascii="Times New Roman" w:hAnsi="Times New Roman"/>
        </w:rPr>
        <w:t xml:space="preserve"> 413 88</w:t>
      </w:r>
      <w:r w:rsidR="001677E9">
        <w:rPr>
          <w:rFonts w:ascii="Times New Roman" w:hAnsi="Times New Roman"/>
        </w:rPr>
        <w:t>0</w:t>
      </w:r>
      <w:r w:rsidRPr="00D30871">
        <w:rPr>
          <w:rFonts w:ascii="Times New Roman" w:hAnsi="Times New Roman"/>
        </w:rPr>
        <w:t xml:space="preserve"> tis. eur</w:t>
      </w:r>
      <w:r w:rsidR="009957DE">
        <w:rPr>
          <w:rFonts w:ascii="Times New Roman" w:hAnsi="Times New Roman"/>
        </w:rPr>
        <w:t xml:space="preserve"> (2010: 440 563 tis. eur)</w:t>
      </w:r>
      <w:r w:rsidRPr="00D30871">
        <w:rPr>
          <w:rFonts w:ascii="Times New Roman" w:hAnsi="Times New Roman"/>
        </w:rPr>
        <w:t>. Obsiahnuté v nich boli najmä prostriedky vo výške 397 812 tis. eur z Ministerstva školstva, vedy, výskumu a športu SR na financovanie preneseného výkonu štátnej správy na úseku školstva.</w:t>
      </w:r>
    </w:p>
    <w:p w:rsidR="006F3414" w:rsidRPr="00D30871" w:rsidP="003634A8">
      <w:pPr>
        <w:bidi w:val="0"/>
        <w:spacing w:before="120" w:after="120" w:line="360" w:lineRule="auto"/>
        <w:jc w:val="both"/>
        <w:rPr>
          <w:rFonts w:ascii="Times New Roman" w:hAnsi="Times New Roman"/>
        </w:rPr>
      </w:pPr>
      <w:r w:rsidRPr="009957DE">
        <w:rPr>
          <w:rFonts w:ascii="Times New Roman" w:hAnsi="Times New Roman"/>
          <w:b/>
        </w:rPr>
        <w:t>Ostatným subjektom verejnej správy</w:t>
      </w:r>
      <w:r w:rsidRPr="00D30871">
        <w:rPr>
          <w:rFonts w:ascii="Times New Roman" w:hAnsi="Times New Roman"/>
        </w:rPr>
        <w:t xml:space="preserve"> sa poskytli transfery vo výške 37 49</w:t>
      </w:r>
      <w:r w:rsidR="001677E9">
        <w:rPr>
          <w:rFonts w:ascii="Times New Roman" w:hAnsi="Times New Roman"/>
        </w:rPr>
        <w:t>7</w:t>
      </w:r>
      <w:r w:rsidRPr="00D30871">
        <w:rPr>
          <w:rFonts w:ascii="Times New Roman" w:hAnsi="Times New Roman"/>
        </w:rPr>
        <w:t xml:space="preserve"> tis. eur</w:t>
      </w:r>
      <w:r w:rsidR="009957DE">
        <w:rPr>
          <w:rFonts w:ascii="Times New Roman" w:hAnsi="Times New Roman"/>
        </w:rPr>
        <w:t xml:space="preserve"> (2010: 25 762 tis</w:t>
      </w:r>
      <w:r w:rsidR="005A4E8D">
        <w:rPr>
          <w:rFonts w:ascii="Times New Roman" w:hAnsi="Times New Roman"/>
        </w:rPr>
        <w:t>.</w:t>
      </w:r>
      <w:r w:rsidR="009957DE">
        <w:rPr>
          <w:rFonts w:ascii="Times New Roman" w:hAnsi="Times New Roman"/>
        </w:rPr>
        <w:t xml:space="preserve"> eur)</w:t>
      </w:r>
      <w:r w:rsidRPr="00D30871">
        <w:rPr>
          <w:rFonts w:ascii="Times New Roman" w:hAnsi="Times New Roman"/>
        </w:rPr>
        <w:t xml:space="preserve"> z toho bolo pr</w:t>
      </w:r>
      <w:r w:rsidR="001677E9">
        <w:rPr>
          <w:rFonts w:ascii="Times New Roman" w:hAnsi="Times New Roman"/>
        </w:rPr>
        <w:t>e Ministerstvo kultúry SR 35 158</w:t>
      </w:r>
      <w:r w:rsidRPr="00D30871">
        <w:rPr>
          <w:rFonts w:ascii="Times New Roman" w:hAnsi="Times New Roman"/>
        </w:rPr>
        <w:t xml:space="preserve"> tis. eur.</w:t>
      </w:r>
    </w:p>
    <w:p w:rsidR="006858F5" w:rsidRPr="006858F5" w:rsidP="001D15F2">
      <w:pPr>
        <w:pStyle w:val="ListParagraph"/>
        <w:numPr>
          <w:numId w:val="9"/>
        </w:numPr>
        <w:bidi w:val="0"/>
        <w:spacing w:before="120" w:after="120" w:line="360" w:lineRule="auto"/>
        <w:ind w:left="0" w:firstLine="851"/>
        <w:jc w:val="both"/>
        <w:rPr>
          <w:rFonts w:ascii="Times New Roman" w:hAnsi="Times New Roman"/>
          <w:b/>
          <w:sz w:val="24"/>
          <w:szCs w:val="24"/>
        </w:rPr>
      </w:pPr>
      <w:r w:rsidRPr="00D30871" w:rsidR="006F3414">
        <w:rPr>
          <w:rFonts w:ascii="Times New Roman" w:hAnsi="Times New Roman"/>
          <w:b/>
          <w:sz w:val="24"/>
          <w:szCs w:val="24"/>
        </w:rPr>
        <w:t xml:space="preserve">transfery jednotlivcom a neziskovým právnickým osobám </w:t>
      </w:r>
      <w:r w:rsidRPr="00D30871" w:rsidR="006F3414">
        <w:rPr>
          <w:rFonts w:ascii="Times New Roman" w:hAnsi="Times New Roman"/>
          <w:sz w:val="24"/>
          <w:szCs w:val="24"/>
        </w:rPr>
        <w:t xml:space="preserve">tvoria v zmysle platnej rozpočtovej klasifikácie príspevky, dávky, dôchodky, odstupné, členské, štipendiá jednotlivcom a neziskovým právnickým osobám vrátane medzinárodných so sídlom v SR a pod. </w:t>
      </w:r>
      <w:r w:rsidR="009957DE">
        <w:rPr>
          <w:rFonts w:ascii="Times New Roman" w:hAnsi="Times New Roman"/>
          <w:sz w:val="24"/>
          <w:szCs w:val="24"/>
        </w:rPr>
        <w:t>S</w:t>
      </w:r>
      <w:r w:rsidRPr="00D30871" w:rsidR="006F3414">
        <w:rPr>
          <w:rFonts w:ascii="Times New Roman" w:hAnsi="Times New Roman"/>
          <w:sz w:val="24"/>
          <w:szCs w:val="24"/>
        </w:rPr>
        <w:t>umou 3 525 51</w:t>
      </w:r>
      <w:r w:rsidR="006F523F">
        <w:rPr>
          <w:rFonts w:ascii="Times New Roman" w:hAnsi="Times New Roman"/>
          <w:sz w:val="24"/>
          <w:szCs w:val="24"/>
        </w:rPr>
        <w:t>2</w:t>
      </w:r>
      <w:r w:rsidRPr="00D30871" w:rsidR="006F3414">
        <w:rPr>
          <w:rFonts w:ascii="Times New Roman" w:hAnsi="Times New Roman"/>
          <w:sz w:val="24"/>
          <w:szCs w:val="24"/>
        </w:rPr>
        <w:t xml:space="preserve"> tis. eur tvorili 39,1 % úhrnného objemu bežných transferov rozpočtovaných v štátnom </w:t>
      </w:r>
      <w:r w:rsidR="00813962">
        <w:rPr>
          <w:rFonts w:ascii="Times New Roman" w:hAnsi="Times New Roman"/>
          <w:sz w:val="24"/>
          <w:szCs w:val="24"/>
        </w:rPr>
        <w:t xml:space="preserve">rozpočte </w:t>
      </w:r>
      <w:r w:rsidRPr="00D30871" w:rsidR="006F3414">
        <w:rPr>
          <w:rFonts w:ascii="Times New Roman" w:hAnsi="Times New Roman"/>
          <w:sz w:val="24"/>
          <w:szCs w:val="24"/>
        </w:rPr>
        <w:t xml:space="preserve">v roku 2011. Rozpočtovými opatreniami sa pôvodne určená suma znížila </w:t>
      </w:r>
      <w:r w:rsidR="001D15F2">
        <w:rPr>
          <w:rFonts w:ascii="Times New Roman" w:hAnsi="Times New Roman"/>
          <w:sz w:val="24"/>
          <w:szCs w:val="24"/>
        </w:rPr>
        <w:br/>
      </w:r>
      <w:r w:rsidR="00C36624">
        <w:rPr>
          <w:rFonts w:ascii="Times New Roman" w:hAnsi="Times New Roman"/>
          <w:sz w:val="24"/>
          <w:szCs w:val="24"/>
        </w:rPr>
        <w:t>o 27 096 tis. eur</w:t>
      </w:r>
      <w:r w:rsidRPr="00D30871" w:rsidR="006F3414">
        <w:rPr>
          <w:rFonts w:ascii="Times New Roman" w:hAnsi="Times New Roman"/>
          <w:sz w:val="24"/>
          <w:szCs w:val="24"/>
        </w:rPr>
        <w:t xml:space="preserve"> na 3 498 418 tis. eur. </w:t>
      </w:r>
      <w:r w:rsidR="001D15F2">
        <w:rPr>
          <w:rFonts w:ascii="Times New Roman" w:hAnsi="Times New Roman"/>
          <w:sz w:val="24"/>
          <w:szCs w:val="24"/>
        </w:rPr>
        <w:t xml:space="preserve">V skutočných </w:t>
      </w:r>
      <w:r w:rsidRPr="00D30871" w:rsidR="006F3414">
        <w:rPr>
          <w:rFonts w:ascii="Times New Roman" w:hAnsi="Times New Roman"/>
          <w:sz w:val="24"/>
          <w:szCs w:val="24"/>
        </w:rPr>
        <w:t>výdavkoc</w:t>
      </w:r>
      <w:r w:rsidR="001D15F2">
        <w:rPr>
          <w:rFonts w:ascii="Times New Roman" w:hAnsi="Times New Roman"/>
          <w:sz w:val="24"/>
          <w:szCs w:val="24"/>
        </w:rPr>
        <w:t xml:space="preserve">h </w:t>
      </w:r>
      <w:r w:rsidR="009957DE">
        <w:rPr>
          <w:rFonts w:ascii="Times New Roman" w:hAnsi="Times New Roman"/>
          <w:sz w:val="24"/>
          <w:szCs w:val="24"/>
        </w:rPr>
        <w:t>3 462 93</w:t>
      </w:r>
      <w:r w:rsidR="006F523F">
        <w:rPr>
          <w:rFonts w:ascii="Times New Roman" w:hAnsi="Times New Roman"/>
          <w:sz w:val="24"/>
          <w:szCs w:val="24"/>
        </w:rPr>
        <w:t>3</w:t>
      </w:r>
      <w:r w:rsidR="009957DE">
        <w:rPr>
          <w:rFonts w:ascii="Times New Roman" w:hAnsi="Times New Roman"/>
          <w:sz w:val="24"/>
          <w:szCs w:val="24"/>
        </w:rPr>
        <w:t xml:space="preserve"> tis. eur (</w:t>
      </w:r>
      <w:r w:rsidRPr="00D30871" w:rsidR="006F3414">
        <w:rPr>
          <w:rFonts w:ascii="Times New Roman" w:hAnsi="Times New Roman"/>
          <w:sz w:val="24"/>
          <w:szCs w:val="24"/>
        </w:rPr>
        <w:t>2010: 3 613 255 tis. eur) sú zahrnuté</w:t>
      </w:r>
      <w:r w:rsidR="00AA35D3">
        <w:rPr>
          <w:rFonts w:ascii="Times New Roman" w:hAnsi="Times New Roman"/>
          <w:sz w:val="24"/>
          <w:szCs w:val="24"/>
        </w:rPr>
        <w:t>:</w:t>
      </w:r>
    </w:p>
    <w:tbl>
      <w:tblPr>
        <w:tblStyle w:val="TableNormal"/>
        <w:tblW w:w="9659"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090"/>
        <w:gridCol w:w="12"/>
        <w:gridCol w:w="1070"/>
        <w:gridCol w:w="1134"/>
        <w:gridCol w:w="1134"/>
        <w:gridCol w:w="1134"/>
        <w:gridCol w:w="1072"/>
        <w:gridCol w:w="37"/>
        <w:gridCol w:w="939"/>
        <w:gridCol w:w="37"/>
      </w:tblGrid>
      <w:tr>
        <w:tblPrEx>
          <w:tblW w:w="9659"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26"/>
          <w:jc w:val="center"/>
        </w:trPr>
        <w:tc>
          <w:tcPr>
            <w:tcW w:w="3090"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957DE" w:rsidP="00903AC8">
            <w:pPr>
              <w:bidi w:val="0"/>
              <w:jc w:val="center"/>
              <w:rPr>
                <w:rFonts w:ascii="Times New Roman" w:hAnsi="Times New Roman"/>
                <w:b/>
                <w:bCs/>
                <w:sz w:val="20"/>
                <w:szCs w:val="20"/>
              </w:rPr>
            </w:pPr>
            <w:r w:rsidRPr="009957DE">
              <w:rPr>
                <w:rFonts w:ascii="Times New Roman" w:hAnsi="Times New Roman"/>
                <w:b/>
                <w:bCs/>
                <w:sz w:val="20"/>
                <w:szCs w:val="20"/>
              </w:rPr>
              <w:t>Ukazovateľ</w:t>
            </w:r>
          </w:p>
          <w:p w:rsidR="00D633C5" w:rsidRPr="009957DE" w:rsidP="00903AC8">
            <w:pPr>
              <w:bidi w:val="0"/>
              <w:jc w:val="center"/>
              <w:rPr>
                <w:rFonts w:ascii="Times New Roman" w:hAnsi="Times New Roman"/>
                <w:b/>
                <w:bCs/>
                <w:sz w:val="20"/>
                <w:szCs w:val="20"/>
              </w:rPr>
            </w:pPr>
          </w:p>
          <w:p w:rsidR="00D633C5" w:rsidRPr="009957DE" w:rsidP="00870857">
            <w:pPr>
              <w:bidi w:val="0"/>
              <w:rPr>
                <w:rFonts w:ascii="Times New Roman" w:hAnsi="Times New Roman"/>
                <w:b/>
                <w:bCs/>
                <w:sz w:val="20"/>
                <w:szCs w:val="20"/>
              </w:rPr>
            </w:pPr>
            <w:r w:rsidRPr="009957DE">
              <w:rPr>
                <w:rFonts w:ascii="Times New Roman" w:hAnsi="Times New Roman"/>
                <w:b/>
                <w:bCs/>
                <w:sz w:val="20"/>
                <w:szCs w:val="20"/>
              </w:rPr>
              <w:t>(v tis. eur)</w:t>
            </w:r>
          </w:p>
        </w:tc>
        <w:tc>
          <w:tcPr>
            <w:tcW w:w="2216" w:type="dxa"/>
            <w:gridSpan w:val="3"/>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D633C5" w:rsidRPr="009957DE" w:rsidP="00903AC8">
            <w:pPr>
              <w:bidi w:val="0"/>
              <w:ind w:firstLine="280"/>
              <w:jc w:val="center"/>
              <w:rPr>
                <w:rFonts w:ascii="Times New Roman" w:hAnsi="Times New Roman"/>
                <w:b/>
                <w:bCs/>
                <w:sz w:val="20"/>
                <w:szCs w:val="20"/>
              </w:rPr>
            </w:pPr>
            <w:r w:rsidRPr="009957DE">
              <w:rPr>
                <w:rFonts w:ascii="Times New Roman" w:hAnsi="Times New Roman"/>
                <w:b/>
                <w:bCs/>
                <w:sz w:val="20"/>
                <w:szCs w:val="20"/>
              </w:rPr>
              <w:t>Rozpočet 2011</w:t>
            </w:r>
          </w:p>
        </w:tc>
        <w:tc>
          <w:tcPr>
            <w:tcW w:w="3377"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957DE" w:rsidP="00903AC8">
            <w:pPr>
              <w:bidi w:val="0"/>
              <w:jc w:val="center"/>
              <w:rPr>
                <w:rFonts w:ascii="Times New Roman" w:hAnsi="Times New Roman"/>
                <w:b/>
                <w:bCs/>
                <w:sz w:val="20"/>
                <w:szCs w:val="20"/>
              </w:rPr>
            </w:pPr>
            <w:r w:rsidRPr="009957DE">
              <w:rPr>
                <w:rFonts w:ascii="Times New Roman" w:hAnsi="Times New Roman"/>
                <w:b/>
                <w:bCs/>
                <w:sz w:val="20"/>
                <w:szCs w:val="20"/>
              </w:rPr>
              <w:t>Skutočnosť</w:t>
            </w:r>
          </w:p>
        </w:tc>
        <w:tc>
          <w:tcPr>
            <w:tcW w:w="976" w:type="dxa"/>
            <w:gridSpan w:val="2"/>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633C5" w:rsidRPr="009957DE" w:rsidP="00D633C5">
            <w:pPr>
              <w:bidi w:val="0"/>
              <w:jc w:val="center"/>
              <w:rPr>
                <w:rFonts w:ascii="Times New Roman" w:hAnsi="Times New Roman"/>
                <w:b/>
                <w:bCs/>
                <w:sz w:val="20"/>
                <w:szCs w:val="20"/>
              </w:rPr>
            </w:pPr>
            <w:r>
              <w:rPr>
                <w:rFonts w:ascii="Times New Roman" w:hAnsi="Times New Roman"/>
                <w:b/>
                <w:bCs/>
                <w:sz w:val="20"/>
                <w:szCs w:val="20"/>
              </w:rPr>
              <w:t>Rozdiel</w:t>
            </w:r>
          </w:p>
        </w:tc>
      </w:tr>
      <w:tr>
        <w:tblPrEx>
          <w:tblW w:w="9659" w:type="dxa"/>
          <w:jc w:val="center"/>
          <w:tblInd w:w="-22" w:type="dxa"/>
          <w:tblCellMar>
            <w:left w:w="70" w:type="dxa"/>
            <w:right w:w="70" w:type="dxa"/>
          </w:tblCellMar>
        </w:tblPrEx>
        <w:trPr>
          <w:trHeight w:val="273"/>
          <w:jc w:val="center"/>
        </w:trPr>
        <w:tc>
          <w:tcPr>
            <w:tcW w:w="3090"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C3082" w:rsidP="00903AC8">
            <w:pPr>
              <w:bidi w:val="0"/>
              <w:rPr>
                <w:rFonts w:ascii="Times New Roman" w:hAnsi="Times New Roman"/>
                <w:b/>
                <w:bCs/>
                <w:sz w:val="20"/>
                <w:szCs w:val="20"/>
              </w:rPr>
            </w:pPr>
          </w:p>
        </w:tc>
        <w:tc>
          <w:tcPr>
            <w:tcW w:w="1082"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schválený</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upravený</w:t>
            </w:r>
          </w:p>
        </w:tc>
        <w:tc>
          <w:tcPr>
            <w:tcW w:w="1134"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633C5"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2011</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2010</w:t>
            </w:r>
          </w:p>
        </w:tc>
        <w:tc>
          <w:tcPr>
            <w:tcW w:w="1109"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633C5" w:rsidRPr="009C3082" w:rsidP="00903AC8">
            <w:pPr>
              <w:bidi w:val="0"/>
              <w:jc w:val="center"/>
              <w:rPr>
                <w:rFonts w:ascii="Times New Roman" w:hAnsi="Times New Roman"/>
                <w:b/>
                <w:bCs/>
                <w:sz w:val="20"/>
                <w:szCs w:val="20"/>
              </w:rPr>
            </w:pPr>
            <w:r w:rsidRPr="009C3082">
              <w:rPr>
                <w:rFonts w:ascii="Times New Roman" w:hAnsi="Times New Roman"/>
                <w:b/>
                <w:bCs/>
                <w:sz w:val="20"/>
                <w:szCs w:val="20"/>
              </w:rPr>
              <w:t>2009</w:t>
            </w:r>
          </w:p>
        </w:tc>
        <w:tc>
          <w:tcPr>
            <w:tcW w:w="976" w:type="dxa"/>
            <w:gridSpan w:val="2"/>
            <w:vMerge/>
            <w:tcBorders>
              <w:top w:val="single" w:sz="4" w:space="0" w:color="auto"/>
              <w:left w:val="single" w:sz="4" w:space="0" w:color="FFFFFF"/>
              <w:bottom w:val="single" w:sz="4" w:space="0" w:color="FFFFFF"/>
              <w:right w:val="single" w:sz="4" w:space="0" w:color="FFFFFF"/>
            </w:tcBorders>
            <w:shd w:val="clear" w:color="auto" w:fill="000000"/>
            <w:textDirection w:val="lrTb"/>
            <w:vAlign w:val="top"/>
          </w:tcPr>
          <w:p w:rsidR="00D633C5" w:rsidRPr="009C3082" w:rsidP="00903AC8">
            <w:pPr>
              <w:bidi w:val="0"/>
              <w:jc w:val="center"/>
              <w:rPr>
                <w:rFonts w:ascii="Times New Roman" w:hAnsi="Times New Roman"/>
                <w:b/>
                <w:bCs/>
                <w:sz w:val="20"/>
                <w:szCs w:val="20"/>
              </w:rPr>
            </w:pP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34286" w:rsidRPr="005A4E8D" w:rsidP="00D34286">
            <w:pPr>
              <w:bidi w:val="0"/>
              <w:spacing w:line="276" w:lineRule="auto"/>
              <w:jc w:val="center"/>
              <w:rPr>
                <w:rFonts w:ascii="Times New Roman" w:hAnsi="Times New Roman"/>
                <w:b/>
                <w:sz w:val="20"/>
                <w:szCs w:val="20"/>
              </w:rPr>
            </w:pP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4</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5</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34286" w:rsidRPr="005A4E8D" w:rsidP="00D34286">
            <w:pPr>
              <w:bidi w:val="0"/>
              <w:spacing w:line="276" w:lineRule="auto"/>
              <w:jc w:val="center"/>
              <w:rPr>
                <w:rFonts w:ascii="Times New Roman" w:hAnsi="Times New Roman"/>
                <w:b/>
                <w:sz w:val="20"/>
                <w:szCs w:val="20"/>
              </w:rPr>
            </w:pPr>
            <w:r w:rsidRPr="005A4E8D">
              <w:rPr>
                <w:rFonts w:ascii="Times New Roman" w:hAnsi="Times New Roman"/>
                <w:b/>
                <w:sz w:val="20"/>
                <w:szCs w:val="20"/>
              </w:rPr>
              <w:t>6=3-2</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Sociálne dávky</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59283F">
            <w:pPr>
              <w:bidi w:val="0"/>
              <w:spacing w:line="276" w:lineRule="auto"/>
              <w:jc w:val="right"/>
              <w:rPr>
                <w:rFonts w:ascii="Times New Roman" w:hAnsi="Times New Roman"/>
                <w:sz w:val="20"/>
                <w:szCs w:val="20"/>
              </w:rPr>
            </w:pPr>
            <w:r w:rsidRPr="00FB5C08">
              <w:rPr>
                <w:rFonts w:ascii="Times New Roman" w:hAnsi="Times New Roman"/>
                <w:sz w:val="20"/>
                <w:szCs w:val="20"/>
              </w:rPr>
              <w:t>1 416 50</w:t>
            </w:r>
            <w:r w:rsidR="0059283F">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59283F">
            <w:pPr>
              <w:bidi w:val="0"/>
              <w:spacing w:line="276" w:lineRule="auto"/>
              <w:jc w:val="right"/>
              <w:rPr>
                <w:rFonts w:ascii="Times New Roman" w:hAnsi="Times New Roman"/>
                <w:sz w:val="20"/>
                <w:szCs w:val="20"/>
              </w:rPr>
            </w:pPr>
            <w:r w:rsidRPr="00FB5C08">
              <w:rPr>
                <w:rFonts w:ascii="Times New Roman" w:hAnsi="Times New Roman"/>
                <w:sz w:val="20"/>
                <w:szCs w:val="20"/>
              </w:rPr>
              <w:t>1 372 4</w:t>
            </w:r>
            <w:r w:rsidR="0059283F">
              <w:rPr>
                <w:rFonts w:ascii="Times New Roman" w:hAnsi="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59283F">
            <w:pPr>
              <w:bidi w:val="0"/>
              <w:spacing w:line="276" w:lineRule="auto"/>
              <w:jc w:val="right"/>
              <w:rPr>
                <w:rFonts w:ascii="Times New Roman" w:hAnsi="Times New Roman"/>
                <w:sz w:val="20"/>
                <w:szCs w:val="20"/>
              </w:rPr>
            </w:pPr>
            <w:r w:rsidR="00A30B6F">
              <w:rPr>
                <w:rFonts w:ascii="Times New Roman" w:hAnsi="Times New Roman"/>
                <w:sz w:val="20"/>
                <w:szCs w:val="20"/>
              </w:rPr>
              <w:t xml:space="preserve">1 368 </w:t>
            </w:r>
            <w:r w:rsidRPr="00FB5C08">
              <w:rPr>
                <w:rFonts w:ascii="Times New Roman" w:hAnsi="Times New Roman"/>
                <w:sz w:val="20"/>
                <w:szCs w:val="20"/>
              </w:rPr>
              <w:t>99</w:t>
            </w:r>
            <w:r w:rsidR="0059283F">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1 358 978</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1 204 066</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59283F">
            <w:pPr>
              <w:bidi w:val="0"/>
              <w:spacing w:line="276" w:lineRule="auto"/>
              <w:jc w:val="right"/>
              <w:rPr>
                <w:rFonts w:ascii="Times New Roman" w:hAnsi="Times New Roman"/>
                <w:sz w:val="20"/>
                <w:szCs w:val="20"/>
              </w:rPr>
            </w:pPr>
            <w:r>
              <w:rPr>
                <w:rFonts w:ascii="Times New Roman" w:hAnsi="Times New Roman"/>
                <w:sz w:val="20"/>
                <w:szCs w:val="20"/>
              </w:rPr>
              <w:t>-3 47</w:t>
            </w:r>
            <w:r w:rsidR="0059283F">
              <w:rPr>
                <w:rFonts w:ascii="Times New Roman" w:hAnsi="Times New Roman"/>
                <w:sz w:val="20"/>
                <w:szCs w:val="20"/>
              </w:rPr>
              <w:t>6</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Transfery na platené poistné za skupiny osôb ustanovené zákonom</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1 429 334</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 xml:space="preserve">1 444 717 </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870857">
            <w:pPr>
              <w:bidi w:val="0"/>
              <w:spacing w:line="276" w:lineRule="auto"/>
              <w:jc w:val="center"/>
              <w:rPr>
                <w:rFonts w:ascii="Times New Roman" w:hAnsi="Times New Roman"/>
                <w:sz w:val="20"/>
                <w:szCs w:val="20"/>
              </w:rPr>
            </w:pPr>
            <w:r w:rsidRPr="00FB5C08">
              <w:rPr>
                <w:rFonts w:ascii="Times New Roman" w:hAnsi="Times New Roman"/>
                <w:sz w:val="20"/>
                <w:szCs w:val="20"/>
              </w:rPr>
              <w:t>1 444 717</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1 558 689</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1 398 223</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D633C5">
            <w:pPr>
              <w:bidi w:val="0"/>
              <w:spacing w:line="276" w:lineRule="auto"/>
              <w:jc w:val="right"/>
              <w:rPr>
                <w:rFonts w:ascii="Times New Roman" w:hAnsi="Times New Roman"/>
                <w:sz w:val="20"/>
                <w:szCs w:val="20"/>
              </w:rPr>
            </w:pPr>
            <w:r>
              <w:rPr>
                <w:rFonts w:ascii="Times New Roman" w:hAnsi="Times New Roman"/>
                <w:sz w:val="20"/>
                <w:szCs w:val="20"/>
              </w:rPr>
              <w:t>0</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Transfery obč. združeniam, nadáciám, neziskovým organizáciám, polit. stranám a hnutiam, odborovým organizáciám, cirkev. a súkrom. školám, cirkvám, náboženským spoločnostiam a cirkevnej charite</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237 496</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237 991</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238 631</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256 803</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250 192</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D633C5">
            <w:pPr>
              <w:bidi w:val="0"/>
              <w:spacing w:line="276" w:lineRule="auto"/>
              <w:jc w:val="right"/>
              <w:rPr>
                <w:rFonts w:ascii="Times New Roman" w:hAnsi="Times New Roman"/>
                <w:sz w:val="20"/>
                <w:szCs w:val="20"/>
              </w:rPr>
            </w:pPr>
            <w:r>
              <w:rPr>
                <w:rFonts w:ascii="Times New Roman" w:hAnsi="Times New Roman"/>
                <w:sz w:val="20"/>
                <w:szCs w:val="20"/>
              </w:rPr>
              <w:t>640</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Príspevok na osobitný účet</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104 131</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116 591</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116 591</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100 812</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78 485</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D633C5">
            <w:pPr>
              <w:bidi w:val="0"/>
              <w:spacing w:line="276" w:lineRule="auto"/>
              <w:jc w:val="right"/>
              <w:rPr>
                <w:rFonts w:ascii="Times New Roman" w:hAnsi="Times New Roman"/>
                <w:sz w:val="20"/>
                <w:szCs w:val="20"/>
              </w:rPr>
            </w:pPr>
            <w:r>
              <w:rPr>
                <w:rFonts w:ascii="Times New Roman" w:hAnsi="Times New Roman"/>
                <w:sz w:val="20"/>
                <w:szCs w:val="20"/>
              </w:rPr>
              <w:t>0</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Jednotlivcom</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82 359</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73 611</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73 603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100 755</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74 767</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D633C5">
            <w:pPr>
              <w:bidi w:val="0"/>
              <w:spacing w:line="276" w:lineRule="auto"/>
              <w:jc w:val="right"/>
              <w:rPr>
                <w:rFonts w:ascii="Times New Roman" w:hAnsi="Times New Roman"/>
                <w:sz w:val="20"/>
                <w:szCs w:val="20"/>
              </w:rPr>
            </w:pPr>
            <w:r>
              <w:rPr>
                <w:rFonts w:ascii="Times New Roman" w:hAnsi="Times New Roman"/>
                <w:sz w:val="20"/>
                <w:szCs w:val="20"/>
              </w:rPr>
              <w:t>-8</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single" w:sz="4"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Na aktívne opatrenia trhu práce</w:t>
            </w:r>
          </w:p>
        </w:tc>
        <w:tc>
          <w:tcPr>
            <w:tcW w:w="1070"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111 287</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162 443</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633C5" w:rsidRPr="00FB5C08" w:rsidP="00870857">
            <w:pPr>
              <w:bidi w:val="0"/>
              <w:spacing w:line="276" w:lineRule="auto"/>
              <w:jc w:val="right"/>
              <w:rPr>
                <w:rFonts w:ascii="Times New Roman" w:hAnsi="Times New Roman"/>
                <w:sz w:val="20"/>
                <w:szCs w:val="20"/>
              </w:rPr>
            </w:pPr>
            <w:r w:rsidRPr="00FB5C08">
              <w:rPr>
                <w:rFonts w:ascii="Times New Roman" w:hAnsi="Times New Roman"/>
                <w:sz w:val="20"/>
                <w:szCs w:val="20"/>
              </w:rPr>
              <w:t>162 329</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186 065</w:t>
            </w:r>
          </w:p>
        </w:tc>
        <w:tc>
          <w:tcPr>
            <w:tcW w:w="1072" w:type="dxa"/>
            <w:tcBorders>
              <w:top w:val="single" w:sz="4" w:space="0" w:color="auto"/>
              <w:left w:val="single" w:sz="4" w:space="0" w:color="auto"/>
              <w:bottom w:val="single" w:sz="4"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132 799</w:t>
            </w:r>
          </w:p>
        </w:tc>
        <w:tc>
          <w:tcPr>
            <w:tcW w:w="976" w:type="dxa"/>
            <w:gridSpan w:val="2"/>
            <w:tcBorders>
              <w:top w:val="single" w:sz="4" w:space="0" w:color="auto"/>
              <w:left w:val="single" w:sz="4" w:space="0" w:color="auto"/>
              <w:bottom w:val="single" w:sz="4" w:space="0" w:color="auto"/>
              <w:right w:val="single" w:sz="4" w:space="0" w:color="auto"/>
            </w:tcBorders>
            <w:textDirection w:val="lrTb"/>
            <w:vAlign w:val="center"/>
          </w:tcPr>
          <w:p w:rsidR="00D633C5" w:rsidP="00D633C5">
            <w:pPr>
              <w:bidi w:val="0"/>
              <w:spacing w:line="276" w:lineRule="auto"/>
              <w:jc w:val="right"/>
              <w:rPr>
                <w:rFonts w:ascii="Times New Roman" w:hAnsi="Times New Roman"/>
                <w:sz w:val="20"/>
                <w:szCs w:val="20"/>
              </w:rPr>
            </w:pPr>
            <w:r>
              <w:rPr>
                <w:rFonts w:ascii="Times New Roman" w:hAnsi="Times New Roman"/>
                <w:sz w:val="20"/>
                <w:szCs w:val="20"/>
              </w:rPr>
              <w:t>-114</w:t>
            </w:r>
          </w:p>
        </w:tc>
      </w:tr>
      <w:tr>
        <w:tblPrEx>
          <w:tblW w:w="9659" w:type="dxa"/>
          <w:jc w:val="center"/>
          <w:tblInd w:w="-22" w:type="dxa"/>
          <w:tblLook w:val="04A0"/>
        </w:tblPrEx>
        <w:trPr>
          <w:gridAfter w:val="1"/>
          <w:wAfter w:w="37" w:type="dxa"/>
          <w:jc w:val="center"/>
        </w:trPr>
        <w:tc>
          <w:tcPr>
            <w:tcW w:w="3102" w:type="dxa"/>
            <w:gridSpan w:val="2"/>
            <w:tcBorders>
              <w:top w:val="single" w:sz="4" w:space="0" w:color="auto"/>
              <w:left w:val="single" w:sz="4" w:space="0" w:color="auto"/>
              <w:bottom w:val="double" w:sz="6" w:space="0" w:color="auto"/>
              <w:right w:val="single" w:sz="4" w:space="0" w:color="auto"/>
            </w:tcBorders>
            <w:textDirection w:val="lrTb"/>
            <w:vAlign w:val="top"/>
          </w:tcPr>
          <w:p w:rsidR="00D633C5" w:rsidRPr="00FB5C08" w:rsidP="00870857">
            <w:pPr>
              <w:bidi w:val="0"/>
              <w:spacing w:line="276" w:lineRule="auto"/>
              <w:rPr>
                <w:rFonts w:ascii="Times New Roman" w:hAnsi="Times New Roman"/>
                <w:sz w:val="20"/>
                <w:szCs w:val="20"/>
              </w:rPr>
            </w:pPr>
            <w:r w:rsidRPr="00FB5C08">
              <w:rPr>
                <w:rFonts w:ascii="Times New Roman" w:hAnsi="Times New Roman"/>
                <w:sz w:val="20"/>
                <w:szCs w:val="20"/>
              </w:rPr>
              <w:t>Ostatné transfery</w:t>
            </w:r>
          </w:p>
        </w:tc>
        <w:tc>
          <w:tcPr>
            <w:tcW w:w="1070" w:type="dxa"/>
            <w:tcBorders>
              <w:top w:val="single" w:sz="4" w:space="0" w:color="auto"/>
              <w:left w:val="single" w:sz="4" w:space="0" w:color="auto"/>
              <w:bottom w:val="double" w:sz="6" w:space="0" w:color="auto"/>
              <w:right w:val="single" w:sz="4" w:space="0" w:color="auto"/>
            </w:tcBorders>
            <w:textDirection w:val="lrTb"/>
            <w:vAlign w:val="center"/>
          </w:tcPr>
          <w:p w:rsidR="00D633C5" w:rsidRPr="00FB5C08" w:rsidP="0059283F">
            <w:pPr>
              <w:bidi w:val="0"/>
              <w:spacing w:line="276" w:lineRule="auto"/>
              <w:jc w:val="right"/>
              <w:rPr>
                <w:rFonts w:ascii="Times New Roman" w:hAnsi="Times New Roman"/>
                <w:sz w:val="20"/>
                <w:szCs w:val="20"/>
              </w:rPr>
            </w:pPr>
            <w:r w:rsidRPr="00FB5C08">
              <w:rPr>
                <w:rFonts w:ascii="Times New Roman" w:hAnsi="Times New Roman"/>
                <w:sz w:val="20"/>
                <w:szCs w:val="20"/>
              </w:rPr>
              <w:t>144</w:t>
            </w:r>
            <w:r>
              <w:rPr>
                <w:rFonts w:ascii="Times New Roman" w:hAnsi="Times New Roman"/>
                <w:sz w:val="20"/>
                <w:szCs w:val="20"/>
              </w:rPr>
              <w:t> </w:t>
            </w:r>
            <w:r w:rsidR="0059283F">
              <w:rPr>
                <w:rFonts w:ascii="Times New Roman" w:hAnsi="Times New Roman"/>
                <w:sz w:val="20"/>
                <w:szCs w:val="20"/>
              </w:rPr>
              <w:t>396</w:t>
            </w:r>
          </w:p>
        </w:tc>
        <w:tc>
          <w:tcPr>
            <w:tcW w:w="1134" w:type="dxa"/>
            <w:tcBorders>
              <w:top w:val="single" w:sz="4" w:space="0" w:color="auto"/>
              <w:left w:val="single" w:sz="4" w:space="0" w:color="auto"/>
              <w:bottom w:val="double" w:sz="6" w:space="0" w:color="auto"/>
              <w:right w:val="single" w:sz="4" w:space="0" w:color="auto"/>
            </w:tcBorders>
            <w:textDirection w:val="lrTb"/>
            <w:vAlign w:val="center"/>
          </w:tcPr>
          <w:p w:rsidR="00D633C5" w:rsidRPr="00FB5C08" w:rsidP="00515051">
            <w:pPr>
              <w:bidi w:val="0"/>
              <w:spacing w:line="276" w:lineRule="auto"/>
              <w:jc w:val="right"/>
              <w:rPr>
                <w:rFonts w:ascii="Times New Roman" w:hAnsi="Times New Roman"/>
                <w:sz w:val="20"/>
                <w:szCs w:val="20"/>
              </w:rPr>
            </w:pPr>
            <w:r w:rsidRPr="00FB5C08">
              <w:rPr>
                <w:rFonts w:ascii="Times New Roman" w:hAnsi="Times New Roman"/>
                <w:sz w:val="20"/>
                <w:szCs w:val="20"/>
              </w:rPr>
              <w:t>90</w:t>
            </w:r>
            <w:r>
              <w:rPr>
                <w:rFonts w:ascii="Times New Roman" w:hAnsi="Times New Roman"/>
                <w:sz w:val="20"/>
                <w:szCs w:val="20"/>
              </w:rPr>
              <w:t> </w:t>
            </w:r>
            <w:r w:rsidRPr="00FB5C08">
              <w:rPr>
                <w:rFonts w:ascii="Times New Roman" w:hAnsi="Times New Roman"/>
                <w:sz w:val="20"/>
                <w:szCs w:val="20"/>
              </w:rPr>
              <w:t>5</w:t>
            </w:r>
            <w:r w:rsidR="00BA0383">
              <w:rPr>
                <w:rFonts w:ascii="Times New Roman" w:hAnsi="Times New Roman"/>
                <w:sz w:val="20"/>
                <w:szCs w:val="20"/>
              </w:rPr>
              <w:t>9</w:t>
            </w:r>
            <w:r w:rsidR="00515051">
              <w:rPr>
                <w:rFonts w:ascii="Times New Roman" w:hAnsi="Times New Roman"/>
                <w:sz w:val="20"/>
                <w:szCs w:val="20"/>
              </w:rPr>
              <w:t>5</w:t>
            </w:r>
          </w:p>
        </w:tc>
        <w:tc>
          <w:tcPr>
            <w:tcW w:w="1134" w:type="dxa"/>
            <w:tcBorders>
              <w:top w:val="single" w:sz="4" w:space="0" w:color="auto"/>
              <w:left w:val="single" w:sz="4" w:space="0" w:color="auto"/>
              <w:bottom w:val="double" w:sz="6" w:space="0" w:color="auto"/>
              <w:right w:val="single" w:sz="4" w:space="0" w:color="auto"/>
            </w:tcBorders>
            <w:shd w:val="clear" w:color="auto" w:fill="D9D9D9"/>
            <w:textDirection w:val="lrTb"/>
            <w:vAlign w:val="center"/>
          </w:tcPr>
          <w:p w:rsidR="00D633C5" w:rsidRPr="00FB5C08" w:rsidP="00515051">
            <w:pPr>
              <w:bidi w:val="0"/>
              <w:spacing w:line="276" w:lineRule="auto"/>
              <w:jc w:val="right"/>
              <w:rPr>
                <w:rFonts w:ascii="Times New Roman" w:hAnsi="Times New Roman"/>
                <w:sz w:val="20"/>
                <w:szCs w:val="20"/>
              </w:rPr>
            </w:pPr>
            <w:r w:rsidRPr="00FB5C08">
              <w:rPr>
                <w:rFonts w:ascii="Times New Roman" w:hAnsi="Times New Roman"/>
                <w:sz w:val="20"/>
                <w:szCs w:val="20"/>
              </w:rPr>
              <w:t>58 06</w:t>
            </w:r>
            <w:r w:rsidR="00515051">
              <w:rPr>
                <w:rFonts w:ascii="Times New Roman" w:hAnsi="Times New Roman"/>
                <w:sz w:val="20"/>
                <w:szCs w:val="20"/>
              </w:rPr>
              <w:t>9</w:t>
            </w:r>
          </w:p>
        </w:tc>
        <w:tc>
          <w:tcPr>
            <w:tcW w:w="1134" w:type="dxa"/>
            <w:tcBorders>
              <w:top w:val="single" w:sz="4" w:space="0" w:color="auto"/>
              <w:left w:val="single" w:sz="4" w:space="0" w:color="auto"/>
              <w:bottom w:val="double" w:sz="6"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51 453</w:t>
            </w:r>
          </w:p>
        </w:tc>
        <w:tc>
          <w:tcPr>
            <w:tcW w:w="1072" w:type="dxa"/>
            <w:tcBorders>
              <w:top w:val="single" w:sz="4" w:space="0" w:color="auto"/>
              <w:left w:val="single" w:sz="4" w:space="0" w:color="auto"/>
              <w:bottom w:val="double" w:sz="6" w:space="0" w:color="auto"/>
              <w:right w:val="single" w:sz="4" w:space="0" w:color="auto"/>
            </w:tcBorders>
            <w:textDirection w:val="lrTb"/>
            <w:vAlign w:val="center"/>
          </w:tcPr>
          <w:p w:rsidR="00D633C5" w:rsidRPr="00FB5C08" w:rsidP="00870857">
            <w:pPr>
              <w:bidi w:val="0"/>
              <w:spacing w:line="276" w:lineRule="auto"/>
              <w:jc w:val="right"/>
              <w:rPr>
                <w:rFonts w:ascii="Times New Roman" w:hAnsi="Times New Roman"/>
                <w:sz w:val="20"/>
                <w:szCs w:val="20"/>
              </w:rPr>
            </w:pPr>
            <w:r>
              <w:rPr>
                <w:rFonts w:ascii="Times New Roman" w:hAnsi="Times New Roman"/>
                <w:sz w:val="20"/>
                <w:szCs w:val="20"/>
              </w:rPr>
              <w:t>38 490</w:t>
            </w:r>
          </w:p>
        </w:tc>
        <w:tc>
          <w:tcPr>
            <w:tcW w:w="976" w:type="dxa"/>
            <w:gridSpan w:val="2"/>
            <w:tcBorders>
              <w:top w:val="single" w:sz="4" w:space="0" w:color="auto"/>
              <w:left w:val="single" w:sz="4" w:space="0" w:color="auto"/>
              <w:bottom w:val="double" w:sz="6" w:space="0" w:color="auto"/>
              <w:right w:val="single" w:sz="4" w:space="0" w:color="auto"/>
            </w:tcBorders>
            <w:textDirection w:val="lrTb"/>
            <w:vAlign w:val="center"/>
          </w:tcPr>
          <w:p w:rsidR="00D633C5" w:rsidP="00BA0383">
            <w:pPr>
              <w:bidi w:val="0"/>
              <w:spacing w:line="276" w:lineRule="auto"/>
              <w:jc w:val="right"/>
              <w:rPr>
                <w:rFonts w:ascii="Times New Roman" w:hAnsi="Times New Roman"/>
                <w:sz w:val="20"/>
                <w:szCs w:val="20"/>
              </w:rPr>
            </w:pPr>
            <w:r w:rsidR="00515051">
              <w:rPr>
                <w:rFonts w:ascii="Times New Roman" w:hAnsi="Times New Roman"/>
                <w:sz w:val="20"/>
                <w:szCs w:val="20"/>
              </w:rPr>
              <w:t>-32 5</w:t>
            </w:r>
            <w:r w:rsidR="00BA0383">
              <w:rPr>
                <w:rFonts w:ascii="Times New Roman" w:hAnsi="Times New Roman"/>
                <w:sz w:val="20"/>
                <w:szCs w:val="20"/>
              </w:rPr>
              <w:t>2</w:t>
            </w:r>
            <w:r>
              <w:rPr>
                <w:rFonts w:ascii="Times New Roman" w:hAnsi="Times New Roman"/>
                <w:sz w:val="20"/>
                <w:szCs w:val="20"/>
              </w:rPr>
              <w:t>6</w:t>
            </w:r>
          </w:p>
        </w:tc>
      </w:tr>
      <w:tr>
        <w:tblPrEx>
          <w:tblW w:w="9659" w:type="dxa"/>
          <w:jc w:val="center"/>
          <w:tblInd w:w="-22" w:type="dxa"/>
          <w:tblLook w:val="04A0"/>
        </w:tblPrEx>
        <w:trPr>
          <w:gridAfter w:val="1"/>
          <w:wAfter w:w="37" w:type="dxa"/>
          <w:jc w:val="center"/>
        </w:trPr>
        <w:tc>
          <w:tcPr>
            <w:tcW w:w="3102" w:type="dxa"/>
            <w:gridSpan w:val="2"/>
            <w:tcBorders>
              <w:top w:val="double" w:sz="6" w:space="0" w:color="auto"/>
              <w:left w:val="single" w:sz="4" w:space="0" w:color="auto"/>
              <w:bottom w:val="single" w:sz="4" w:space="0" w:color="auto"/>
              <w:right w:val="single" w:sz="4" w:space="0" w:color="auto"/>
            </w:tcBorders>
            <w:textDirection w:val="lrTb"/>
            <w:vAlign w:val="top"/>
          </w:tcPr>
          <w:p w:rsidR="00D633C5" w:rsidRPr="00923A04" w:rsidP="00870857">
            <w:pPr>
              <w:bidi w:val="0"/>
              <w:spacing w:line="276" w:lineRule="auto"/>
              <w:rPr>
                <w:rFonts w:ascii="Times New Roman" w:hAnsi="Times New Roman"/>
                <w:b/>
                <w:sz w:val="20"/>
                <w:szCs w:val="20"/>
              </w:rPr>
            </w:pPr>
            <w:r w:rsidRPr="00923A04">
              <w:rPr>
                <w:rFonts w:ascii="Times New Roman" w:hAnsi="Times New Roman"/>
                <w:b/>
                <w:sz w:val="20"/>
                <w:szCs w:val="20"/>
              </w:rPr>
              <w:t>Spolu</w:t>
            </w:r>
          </w:p>
        </w:tc>
        <w:tc>
          <w:tcPr>
            <w:tcW w:w="1070" w:type="dxa"/>
            <w:tcBorders>
              <w:top w:val="double" w:sz="6" w:space="0" w:color="auto"/>
              <w:left w:val="single" w:sz="4" w:space="0" w:color="auto"/>
              <w:bottom w:val="single" w:sz="4" w:space="0" w:color="auto"/>
              <w:right w:val="single" w:sz="4" w:space="0" w:color="auto"/>
            </w:tcBorders>
            <w:textDirection w:val="lrTb"/>
            <w:vAlign w:val="center"/>
          </w:tcPr>
          <w:p w:rsidR="00D633C5" w:rsidRPr="00F72899" w:rsidP="00585E53">
            <w:pPr>
              <w:bidi w:val="0"/>
              <w:spacing w:line="276" w:lineRule="auto"/>
              <w:jc w:val="right"/>
              <w:rPr>
                <w:rFonts w:ascii="Times New Roman" w:hAnsi="Times New Roman"/>
                <w:b/>
                <w:color w:val="FF0000"/>
                <w:sz w:val="20"/>
                <w:szCs w:val="20"/>
              </w:rPr>
            </w:pPr>
            <w:r w:rsidRPr="00B742F4">
              <w:rPr>
                <w:rFonts w:ascii="Times New Roman" w:hAnsi="Times New Roman"/>
                <w:b/>
                <w:sz w:val="20"/>
                <w:szCs w:val="20"/>
              </w:rPr>
              <w:t>3 525 51</w:t>
            </w:r>
            <w:r w:rsidR="00585E53">
              <w:rPr>
                <w:rFonts w:ascii="Times New Roman" w:hAnsi="Times New Roman"/>
                <w:b/>
                <w:sz w:val="20"/>
                <w:szCs w:val="20"/>
              </w:rPr>
              <w:t>2</w:t>
            </w:r>
          </w:p>
        </w:tc>
        <w:tc>
          <w:tcPr>
            <w:tcW w:w="1134" w:type="dxa"/>
            <w:tcBorders>
              <w:top w:val="double" w:sz="6" w:space="0" w:color="auto"/>
              <w:left w:val="single" w:sz="4" w:space="0" w:color="auto"/>
              <w:bottom w:val="single" w:sz="4" w:space="0" w:color="auto"/>
              <w:right w:val="single" w:sz="4" w:space="0" w:color="auto"/>
            </w:tcBorders>
            <w:textDirection w:val="lrTb"/>
            <w:vAlign w:val="center"/>
          </w:tcPr>
          <w:p w:rsidR="00D633C5" w:rsidRPr="00F72899" w:rsidP="00515051">
            <w:pPr>
              <w:bidi w:val="0"/>
              <w:spacing w:line="276" w:lineRule="auto"/>
              <w:jc w:val="right"/>
              <w:rPr>
                <w:rFonts w:ascii="Times New Roman" w:hAnsi="Times New Roman"/>
                <w:b/>
                <w:color w:val="FF0000"/>
                <w:sz w:val="20"/>
                <w:szCs w:val="20"/>
              </w:rPr>
            </w:pPr>
            <w:r w:rsidRPr="00B742F4">
              <w:rPr>
                <w:rFonts w:ascii="Times New Roman" w:hAnsi="Times New Roman"/>
                <w:b/>
                <w:sz w:val="20"/>
                <w:szCs w:val="20"/>
              </w:rPr>
              <w:t>3 498 41</w:t>
            </w:r>
            <w:r w:rsidR="00515051">
              <w:rPr>
                <w:rFonts w:ascii="Times New Roman" w:hAnsi="Times New Roman"/>
                <w:b/>
                <w:sz w:val="20"/>
                <w:szCs w:val="20"/>
              </w:rPr>
              <w:t>7</w:t>
            </w:r>
          </w:p>
        </w:tc>
        <w:tc>
          <w:tcPr>
            <w:tcW w:w="1134" w:type="dxa"/>
            <w:tcBorders>
              <w:top w:val="double" w:sz="6" w:space="0" w:color="auto"/>
              <w:left w:val="single" w:sz="4" w:space="0" w:color="auto"/>
              <w:bottom w:val="single" w:sz="4" w:space="0" w:color="auto"/>
              <w:right w:val="single" w:sz="4" w:space="0" w:color="auto"/>
            </w:tcBorders>
            <w:shd w:val="clear" w:color="auto" w:fill="D9D9D9"/>
            <w:textDirection w:val="lrTb"/>
            <w:vAlign w:val="center"/>
          </w:tcPr>
          <w:p w:rsidR="00D633C5" w:rsidRPr="00F72899" w:rsidP="006F523F">
            <w:pPr>
              <w:bidi w:val="0"/>
              <w:spacing w:line="276" w:lineRule="auto"/>
              <w:jc w:val="right"/>
              <w:rPr>
                <w:rFonts w:ascii="Times New Roman" w:hAnsi="Times New Roman"/>
                <w:b/>
                <w:color w:val="FF0000"/>
                <w:sz w:val="20"/>
                <w:szCs w:val="20"/>
              </w:rPr>
            </w:pPr>
            <w:r w:rsidRPr="00B742F4">
              <w:rPr>
                <w:rFonts w:ascii="Times New Roman" w:hAnsi="Times New Roman"/>
                <w:b/>
                <w:sz w:val="20"/>
                <w:szCs w:val="20"/>
              </w:rPr>
              <w:t>3 462 93</w:t>
            </w:r>
            <w:r w:rsidR="006F523F">
              <w:rPr>
                <w:rFonts w:ascii="Times New Roman" w:hAnsi="Times New Roman"/>
                <w:b/>
                <w:sz w:val="20"/>
                <w:szCs w:val="20"/>
              </w:rPr>
              <w:t>3</w:t>
            </w:r>
          </w:p>
        </w:tc>
        <w:tc>
          <w:tcPr>
            <w:tcW w:w="1134" w:type="dxa"/>
            <w:tcBorders>
              <w:top w:val="double" w:sz="6" w:space="0" w:color="auto"/>
              <w:left w:val="single" w:sz="4" w:space="0" w:color="auto"/>
              <w:bottom w:val="single" w:sz="4" w:space="0" w:color="auto"/>
              <w:right w:val="single" w:sz="4" w:space="0" w:color="auto"/>
            </w:tcBorders>
            <w:textDirection w:val="lrTb"/>
            <w:vAlign w:val="center"/>
          </w:tcPr>
          <w:p w:rsidR="00D633C5" w:rsidRPr="00F72899" w:rsidP="00870857">
            <w:pPr>
              <w:bidi w:val="0"/>
              <w:spacing w:line="276" w:lineRule="auto"/>
              <w:jc w:val="right"/>
              <w:rPr>
                <w:rFonts w:ascii="Times New Roman" w:hAnsi="Times New Roman"/>
                <w:b/>
                <w:color w:val="FF0000"/>
                <w:sz w:val="20"/>
                <w:szCs w:val="20"/>
              </w:rPr>
            </w:pPr>
            <w:r w:rsidRPr="00B742F4">
              <w:rPr>
                <w:rFonts w:ascii="Times New Roman" w:hAnsi="Times New Roman"/>
                <w:b/>
                <w:sz w:val="20"/>
                <w:szCs w:val="20"/>
              </w:rPr>
              <w:t>3 613 255</w:t>
            </w:r>
          </w:p>
        </w:tc>
        <w:tc>
          <w:tcPr>
            <w:tcW w:w="1072" w:type="dxa"/>
            <w:tcBorders>
              <w:top w:val="double" w:sz="6" w:space="0" w:color="auto"/>
              <w:left w:val="single" w:sz="4" w:space="0" w:color="auto"/>
              <w:bottom w:val="single" w:sz="4" w:space="0" w:color="auto"/>
              <w:right w:val="single" w:sz="4" w:space="0" w:color="auto"/>
            </w:tcBorders>
            <w:textDirection w:val="lrTb"/>
            <w:vAlign w:val="center"/>
          </w:tcPr>
          <w:p w:rsidR="00D633C5" w:rsidRPr="00F72899" w:rsidP="00870857">
            <w:pPr>
              <w:bidi w:val="0"/>
              <w:spacing w:line="276" w:lineRule="auto"/>
              <w:jc w:val="right"/>
              <w:rPr>
                <w:rFonts w:ascii="Times New Roman" w:hAnsi="Times New Roman"/>
                <w:b/>
                <w:color w:val="FF0000"/>
                <w:sz w:val="20"/>
                <w:szCs w:val="20"/>
              </w:rPr>
            </w:pPr>
            <w:r w:rsidRPr="00BF71EE">
              <w:rPr>
                <w:rFonts w:ascii="Times New Roman" w:hAnsi="Times New Roman"/>
                <w:b/>
                <w:sz w:val="20"/>
                <w:szCs w:val="20"/>
              </w:rPr>
              <w:t>3 177 02</w:t>
            </w:r>
            <w:r>
              <w:rPr>
                <w:rFonts w:ascii="Times New Roman" w:hAnsi="Times New Roman"/>
                <w:b/>
                <w:sz w:val="20"/>
                <w:szCs w:val="20"/>
              </w:rPr>
              <w:t>2</w:t>
            </w:r>
          </w:p>
        </w:tc>
        <w:tc>
          <w:tcPr>
            <w:tcW w:w="976" w:type="dxa"/>
            <w:gridSpan w:val="2"/>
            <w:tcBorders>
              <w:top w:val="double" w:sz="6" w:space="0" w:color="auto"/>
              <w:left w:val="single" w:sz="4" w:space="0" w:color="auto"/>
              <w:bottom w:val="single" w:sz="4" w:space="0" w:color="auto"/>
              <w:right w:val="single" w:sz="4" w:space="0" w:color="auto"/>
            </w:tcBorders>
            <w:textDirection w:val="lrTb"/>
            <w:vAlign w:val="center"/>
          </w:tcPr>
          <w:p w:rsidR="00D633C5" w:rsidRPr="00BF71EE" w:rsidP="00515051">
            <w:pPr>
              <w:bidi w:val="0"/>
              <w:spacing w:line="276" w:lineRule="auto"/>
              <w:jc w:val="right"/>
              <w:rPr>
                <w:rFonts w:ascii="Times New Roman" w:hAnsi="Times New Roman"/>
                <w:b/>
                <w:sz w:val="20"/>
                <w:szCs w:val="20"/>
              </w:rPr>
            </w:pPr>
            <w:r>
              <w:rPr>
                <w:rFonts w:ascii="Times New Roman" w:hAnsi="Times New Roman"/>
                <w:b/>
                <w:sz w:val="20"/>
                <w:szCs w:val="20"/>
              </w:rPr>
              <w:t>-35 48</w:t>
            </w:r>
            <w:r w:rsidR="00515051">
              <w:rPr>
                <w:rFonts w:ascii="Times New Roman" w:hAnsi="Times New Roman"/>
                <w:b/>
                <w:sz w:val="20"/>
                <w:szCs w:val="20"/>
              </w:rPr>
              <w:t>4</w:t>
            </w:r>
          </w:p>
        </w:tc>
      </w:tr>
    </w:tbl>
    <w:p w:rsidR="006F3414" w:rsidRPr="00D30871" w:rsidP="00787080">
      <w:pPr>
        <w:bidi w:val="0"/>
        <w:spacing w:line="360" w:lineRule="auto"/>
        <w:jc w:val="both"/>
        <w:rPr>
          <w:rFonts w:ascii="Times New Roman" w:hAnsi="Times New Roman"/>
          <w:sz w:val="20"/>
          <w:szCs w:val="20"/>
        </w:rPr>
      </w:pPr>
      <w:r w:rsidRPr="00D30871">
        <w:rPr>
          <w:rFonts w:ascii="Times New Roman" w:hAnsi="Times New Roman"/>
          <w:sz w:val="20"/>
          <w:szCs w:val="20"/>
        </w:rPr>
        <w:t>Zdroj: Ministerstvo financií SR</w:t>
      </w:r>
    </w:p>
    <w:p w:rsidR="00531BD1" w:rsidP="001D15F2">
      <w:pPr>
        <w:pStyle w:val="ListParagraph"/>
        <w:numPr>
          <w:numId w:val="9"/>
        </w:numPr>
        <w:bidi w:val="0"/>
        <w:spacing w:line="360" w:lineRule="auto"/>
        <w:ind w:left="0" w:firstLine="851"/>
        <w:jc w:val="both"/>
        <w:rPr>
          <w:rFonts w:ascii="Times New Roman" w:hAnsi="Times New Roman"/>
          <w:sz w:val="24"/>
          <w:szCs w:val="24"/>
        </w:rPr>
      </w:pPr>
      <w:r w:rsidRPr="00D30871" w:rsidR="006F3414">
        <w:rPr>
          <w:rFonts w:ascii="Times New Roman" w:hAnsi="Times New Roman"/>
          <w:b/>
          <w:sz w:val="24"/>
          <w:szCs w:val="24"/>
        </w:rPr>
        <w:t xml:space="preserve">transfery nefinančným subjektom a transfery príspevkovým organizáciám </w:t>
      </w:r>
      <w:r w:rsidR="00D347B4">
        <w:rPr>
          <w:rFonts w:ascii="Times New Roman" w:hAnsi="Times New Roman"/>
          <w:b/>
          <w:sz w:val="24"/>
          <w:szCs w:val="24"/>
        </w:rPr>
        <w:t xml:space="preserve">nezaradeným </w:t>
      </w:r>
      <w:r w:rsidRPr="00D30871" w:rsidR="006F3414">
        <w:rPr>
          <w:rFonts w:ascii="Times New Roman" w:hAnsi="Times New Roman"/>
          <w:b/>
          <w:sz w:val="24"/>
          <w:szCs w:val="24"/>
        </w:rPr>
        <w:t>vo verejnej správe SR</w:t>
      </w:r>
      <w:r w:rsidRPr="00D30871" w:rsidR="006F3414">
        <w:rPr>
          <w:rFonts w:ascii="Times New Roman" w:hAnsi="Times New Roman"/>
          <w:sz w:val="24"/>
          <w:szCs w:val="24"/>
        </w:rPr>
        <w:t xml:space="preserve"> boli v pôvodnom rozpočte určené sumou 963 77</w:t>
      </w:r>
      <w:r w:rsidR="00665625">
        <w:rPr>
          <w:rFonts w:ascii="Times New Roman" w:hAnsi="Times New Roman"/>
          <w:sz w:val="24"/>
          <w:szCs w:val="24"/>
        </w:rPr>
        <w:t>3</w:t>
      </w:r>
      <w:r w:rsidRPr="00D30871" w:rsidR="006F3414">
        <w:rPr>
          <w:rFonts w:ascii="Times New Roman" w:hAnsi="Times New Roman"/>
          <w:sz w:val="24"/>
          <w:szCs w:val="24"/>
        </w:rPr>
        <w:t xml:space="preserve"> tis. eur, v upravenom rozpočte 1 430 75</w:t>
      </w:r>
      <w:r w:rsidR="00665625">
        <w:rPr>
          <w:rFonts w:ascii="Times New Roman" w:hAnsi="Times New Roman"/>
          <w:sz w:val="24"/>
          <w:szCs w:val="24"/>
        </w:rPr>
        <w:t>8</w:t>
      </w:r>
      <w:r w:rsidRPr="00D30871" w:rsidR="006F3414">
        <w:rPr>
          <w:rFonts w:ascii="Times New Roman" w:hAnsi="Times New Roman"/>
          <w:sz w:val="24"/>
          <w:szCs w:val="24"/>
        </w:rPr>
        <w:t xml:space="preserve"> tis. eur. V skutočnosti </w:t>
      </w:r>
      <w:r w:rsidR="00C36624">
        <w:rPr>
          <w:rFonts w:ascii="Times New Roman" w:hAnsi="Times New Roman"/>
          <w:sz w:val="24"/>
          <w:szCs w:val="24"/>
        </w:rPr>
        <w:t>sa vyčerpalo 1 096 07</w:t>
      </w:r>
      <w:r w:rsidR="00665625">
        <w:rPr>
          <w:rFonts w:ascii="Times New Roman" w:hAnsi="Times New Roman"/>
          <w:sz w:val="24"/>
          <w:szCs w:val="24"/>
        </w:rPr>
        <w:t>5</w:t>
      </w:r>
      <w:r w:rsidR="00C36624">
        <w:rPr>
          <w:rFonts w:ascii="Times New Roman" w:hAnsi="Times New Roman"/>
          <w:sz w:val="24"/>
          <w:szCs w:val="24"/>
        </w:rPr>
        <w:t xml:space="preserve"> tis. eur</w:t>
      </w:r>
      <w:r w:rsidRPr="00D30871" w:rsidR="006F3414">
        <w:rPr>
          <w:rFonts w:ascii="Times New Roman" w:hAnsi="Times New Roman"/>
          <w:sz w:val="24"/>
          <w:szCs w:val="24"/>
        </w:rPr>
        <w:t xml:space="preserve"> (2010: 1 035 59</w:t>
      </w:r>
      <w:r w:rsidR="009205C9">
        <w:rPr>
          <w:rFonts w:ascii="Times New Roman" w:hAnsi="Times New Roman"/>
          <w:sz w:val="24"/>
          <w:szCs w:val="24"/>
        </w:rPr>
        <w:t>7</w:t>
      </w:r>
      <w:r w:rsidRPr="00D30871" w:rsidR="006F3414">
        <w:rPr>
          <w:rFonts w:ascii="Times New Roman" w:hAnsi="Times New Roman"/>
          <w:sz w:val="24"/>
          <w:szCs w:val="24"/>
        </w:rPr>
        <w:t xml:space="preserve"> tis. eur) v nasledovnej štruktúre:</w:t>
      </w:r>
    </w:p>
    <w:tbl>
      <w:tblPr>
        <w:tblStyle w:val="TableNormal"/>
        <w:tblW w:w="9356"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410"/>
        <w:gridCol w:w="1305"/>
        <w:gridCol w:w="1221"/>
        <w:gridCol w:w="1199"/>
        <w:gridCol w:w="1057"/>
        <w:gridCol w:w="1134"/>
        <w:gridCol w:w="1030"/>
      </w:tblGrid>
      <w:tr>
        <w:tblPrEx>
          <w:tblW w:w="9356"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3"/>
          <w:jc w:val="center"/>
        </w:trPr>
        <w:tc>
          <w:tcPr>
            <w:tcW w:w="2410"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5D5335" w:rsidP="00870857">
            <w:pPr>
              <w:bidi w:val="0"/>
              <w:spacing w:line="276" w:lineRule="auto"/>
              <w:jc w:val="center"/>
              <w:rPr>
                <w:rFonts w:ascii="Times New Roman" w:hAnsi="Times New Roman"/>
                <w:b/>
                <w:bCs/>
                <w:sz w:val="20"/>
                <w:szCs w:val="20"/>
              </w:rPr>
            </w:pPr>
            <w:r w:rsidR="00531BD1">
              <w:rPr>
                <w:rFonts w:ascii="Times New Roman" w:hAnsi="Times New Roman"/>
              </w:rPr>
              <w:br w:type="page"/>
              <w:br w:type="page"/>
            </w:r>
            <w:r w:rsidRPr="005D5335">
              <w:rPr>
                <w:rFonts w:ascii="Times New Roman" w:hAnsi="Times New Roman"/>
                <w:b/>
                <w:bCs/>
                <w:sz w:val="20"/>
                <w:szCs w:val="20"/>
              </w:rPr>
              <w:t>Ukazovateľ</w:t>
            </w:r>
          </w:p>
          <w:p w:rsidR="00D34286" w:rsidRPr="005D5335" w:rsidP="00A14038">
            <w:pPr>
              <w:bidi w:val="0"/>
              <w:spacing w:line="276" w:lineRule="auto"/>
              <w:rPr>
                <w:rFonts w:ascii="Times New Roman" w:hAnsi="Times New Roman"/>
                <w:b/>
                <w:bCs/>
                <w:sz w:val="20"/>
                <w:szCs w:val="20"/>
              </w:rPr>
            </w:pPr>
            <w:r w:rsidRPr="005D5335">
              <w:rPr>
                <w:rFonts w:ascii="Times New Roman" w:hAnsi="Times New Roman"/>
                <w:b/>
                <w:bCs/>
                <w:sz w:val="20"/>
                <w:szCs w:val="20"/>
              </w:rPr>
              <w:t>(v tis. eur)</w:t>
            </w:r>
          </w:p>
        </w:tc>
        <w:tc>
          <w:tcPr>
            <w:tcW w:w="2526" w:type="dxa"/>
            <w:gridSpan w:val="2"/>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D34286" w:rsidRPr="005D5335" w:rsidP="00870857">
            <w:pPr>
              <w:bidi w:val="0"/>
              <w:spacing w:line="276" w:lineRule="auto"/>
              <w:ind w:firstLine="280"/>
              <w:jc w:val="center"/>
              <w:rPr>
                <w:rFonts w:ascii="Times New Roman" w:hAnsi="Times New Roman"/>
                <w:b/>
                <w:bCs/>
                <w:sz w:val="20"/>
                <w:szCs w:val="20"/>
              </w:rPr>
            </w:pPr>
            <w:r w:rsidRPr="005D5335">
              <w:rPr>
                <w:rFonts w:ascii="Times New Roman" w:hAnsi="Times New Roman"/>
                <w:b/>
                <w:bCs/>
                <w:sz w:val="20"/>
                <w:szCs w:val="20"/>
              </w:rPr>
              <w:t>Rozpočet 2011</w:t>
            </w:r>
          </w:p>
        </w:tc>
        <w:tc>
          <w:tcPr>
            <w:tcW w:w="3390"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5D5335" w:rsidP="00870857">
            <w:pPr>
              <w:bidi w:val="0"/>
              <w:spacing w:line="276" w:lineRule="auto"/>
              <w:jc w:val="center"/>
              <w:rPr>
                <w:rFonts w:ascii="Times New Roman" w:hAnsi="Times New Roman"/>
                <w:b/>
                <w:bCs/>
                <w:sz w:val="20"/>
                <w:szCs w:val="20"/>
              </w:rPr>
            </w:pPr>
            <w:r w:rsidRPr="005D5335">
              <w:rPr>
                <w:rFonts w:ascii="Times New Roman" w:hAnsi="Times New Roman"/>
                <w:b/>
                <w:bCs/>
                <w:sz w:val="20"/>
                <w:szCs w:val="20"/>
              </w:rPr>
              <w:t>Skutočnosť</w:t>
            </w:r>
          </w:p>
        </w:tc>
        <w:tc>
          <w:tcPr>
            <w:tcW w:w="1030"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34286" w:rsidRPr="005D5335" w:rsidP="00D34286">
            <w:pPr>
              <w:bidi w:val="0"/>
              <w:spacing w:line="276" w:lineRule="auto"/>
              <w:jc w:val="center"/>
              <w:rPr>
                <w:rFonts w:ascii="Times New Roman" w:hAnsi="Times New Roman"/>
                <w:b/>
                <w:bCs/>
                <w:sz w:val="20"/>
                <w:szCs w:val="20"/>
              </w:rPr>
            </w:pPr>
            <w:r>
              <w:rPr>
                <w:rFonts w:ascii="Times New Roman" w:hAnsi="Times New Roman"/>
                <w:b/>
                <w:bCs/>
                <w:sz w:val="20"/>
                <w:szCs w:val="20"/>
              </w:rPr>
              <w:t>Rozdiel</w:t>
            </w:r>
          </w:p>
        </w:tc>
      </w:tr>
      <w:tr>
        <w:tblPrEx>
          <w:tblW w:w="9356" w:type="dxa"/>
          <w:jc w:val="center"/>
          <w:tblInd w:w="212" w:type="dxa"/>
          <w:tblCellMar>
            <w:left w:w="70" w:type="dxa"/>
            <w:right w:w="70" w:type="dxa"/>
          </w:tblCellMar>
        </w:tblPrEx>
        <w:trPr>
          <w:trHeight w:val="281"/>
          <w:jc w:val="center"/>
        </w:trPr>
        <w:tc>
          <w:tcPr>
            <w:tcW w:w="2410"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9C3082" w:rsidP="00870857">
            <w:pPr>
              <w:bidi w:val="0"/>
              <w:spacing w:line="276" w:lineRule="auto"/>
              <w:rPr>
                <w:rFonts w:ascii="Times New Roman" w:hAnsi="Times New Roman"/>
                <w:b/>
                <w:bCs/>
                <w:sz w:val="20"/>
                <w:szCs w:val="20"/>
              </w:rPr>
            </w:pPr>
          </w:p>
        </w:tc>
        <w:tc>
          <w:tcPr>
            <w:tcW w:w="130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9C3082" w:rsidP="00870857">
            <w:pPr>
              <w:bidi w:val="0"/>
              <w:spacing w:line="276" w:lineRule="auto"/>
              <w:jc w:val="center"/>
              <w:rPr>
                <w:rFonts w:ascii="Times New Roman" w:hAnsi="Times New Roman"/>
                <w:b/>
                <w:bCs/>
                <w:sz w:val="20"/>
                <w:szCs w:val="20"/>
              </w:rPr>
            </w:pPr>
            <w:r w:rsidRPr="009C3082">
              <w:rPr>
                <w:rFonts w:ascii="Times New Roman" w:hAnsi="Times New Roman"/>
                <w:b/>
                <w:bCs/>
                <w:sz w:val="20"/>
                <w:szCs w:val="20"/>
              </w:rPr>
              <w:t>schválený</w:t>
            </w:r>
          </w:p>
        </w:tc>
        <w:tc>
          <w:tcPr>
            <w:tcW w:w="1221"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9C3082" w:rsidP="00870857">
            <w:pPr>
              <w:bidi w:val="0"/>
              <w:spacing w:line="276" w:lineRule="auto"/>
              <w:jc w:val="center"/>
              <w:rPr>
                <w:rFonts w:ascii="Times New Roman" w:hAnsi="Times New Roman"/>
                <w:b/>
                <w:bCs/>
                <w:sz w:val="20"/>
                <w:szCs w:val="20"/>
              </w:rPr>
            </w:pPr>
            <w:r w:rsidRPr="009C3082">
              <w:rPr>
                <w:rFonts w:ascii="Times New Roman" w:hAnsi="Times New Roman"/>
                <w:b/>
                <w:bCs/>
                <w:sz w:val="20"/>
                <w:szCs w:val="20"/>
              </w:rPr>
              <w:t>upravený</w:t>
            </w:r>
          </w:p>
        </w:tc>
        <w:tc>
          <w:tcPr>
            <w:tcW w:w="1199"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34286" w:rsidRPr="009C3082" w:rsidP="00870857">
            <w:pPr>
              <w:bidi w:val="0"/>
              <w:spacing w:line="276" w:lineRule="auto"/>
              <w:jc w:val="center"/>
              <w:rPr>
                <w:rFonts w:ascii="Times New Roman" w:hAnsi="Times New Roman"/>
                <w:b/>
                <w:bCs/>
                <w:sz w:val="20"/>
                <w:szCs w:val="20"/>
              </w:rPr>
            </w:pPr>
            <w:r w:rsidRPr="009C3082">
              <w:rPr>
                <w:rFonts w:ascii="Times New Roman" w:hAnsi="Times New Roman"/>
                <w:b/>
                <w:bCs/>
                <w:sz w:val="20"/>
                <w:szCs w:val="20"/>
              </w:rPr>
              <w:t>2011</w:t>
            </w:r>
          </w:p>
        </w:tc>
        <w:tc>
          <w:tcPr>
            <w:tcW w:w="1057"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9C3082" w:rsidP="00870857">
            <w:pPr>
              <w:bidi w:val="0"/>
              <w:spacing w:line="276" w:lineRule="auto"/>
              <w:jc w:val="center"/>
              <w:rPr>
                <w:rFonts w:ascii="Times New Roman" w:hAnsi="Times New Roman"/>
                <w:b/>
                <w:bCs/>
                <w:sz w:val="20"/>
                <w:szCs w:val="20"/>
              </w:rPr>
            </w:pPr>
            <w:r w:rsidRPr="009C3082">
              <w:rPr>
                <w:rFonts w:ascii="Times New Roman" w:hAnsi="Times New Roman"/>
                <w:b/>
                <w:bCs/>
                <w:sz w:val="20"/>
                <w:szCs w:val="20"/>
              </w:rPr>
              <w:t>2010</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34286" w:rsidRPr="009C3082" w:rsidP="00870857">
            <w:pPr>
              <w:bidi w:val="0"/>
              <w:spacing w:line="276" w:lineRule="auto"/>
              <w:jc w:val="center"/>
              <w:rPr>
                <w:rFonts w:ascii="Times New Roman" w:hAnsi="Times New Roman"/>
                <w:b/>
                <w:bCs/>
                <w:sz w:val="20"/>
                <w:szCs w:val="20"/>
              </w:rPr>
            </w:pPr>
            <w:r w:rsidRPr="009C3082">
              <w:rPr>
                <w:rFonts w:ascii="Times New Roman" w:hAnsi="Times New Roman"/>
                <w:b/>
                <w:bCs/>
                <w:sz w:val="20"/>
                <w:szCs w:val="20"/>
              </w:rPr>
              <w:t>2009</w:t>
            </w:r>
          </w:p>
        </w:tc>
        <w:tc>
          <w:tcPr>
            <w:tcW w:w="1030"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top"/>
          </w:tcPr>
          <w:p w:rsidR="00D34286" w:rsidRPr="009C3082" w:rsidP="00870857">
            <w:pPr>
              <w:bidi w:val="0"/>
              <w:spacing w:line="276" w:lineRule="auto"/>
              <w:jc w:val="center"/>
              <w:rPr>
                <w:rFonts w:ascii="Times New Roman" w:hAnsi="Times New Roman"/>
                <w:b/>
                <w:bCs/>
                <w:sz w:val="20"/>
                <w:szCs w:val="20"/>
              </w:rPr>
            </w:pP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173"/>
          <w:jc w:val="center"/>
        </w:trPr>
        <w:tc>
          <w:tcPr>
            <w:tcW w:w="2410" w:type="dxa"/>
            <w:tcBorders>
              <w:top w:val="nil"/>
              <w:left w:val="single" w:sz="4" w:space="0" w:color="auto"/>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p>
        </w:tc>
        <w:tc>
          <w:tcPr>
            <w:tcW w:w="1305" w:type="dxa"/>
            <w:tcBorders>
              <w:top w:val="nil"/>
              <w:left w:val="nil"/>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1</w:t>
            </w:r>
          </w:p>
        </w:tc>
        <w:tc>
          <w:tcPr>
            <w:tcW w:w="1221" w:type="dxa"/>
            <w:tcBorders>
              <w:top w:val="nil"/>
              <w:left w:val="nil"/>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9D9D9"/>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3</w:t>
            </w:r>
          </w:p>
        </w:tc>
        <w:tc>
          <w:tcPr>
            <w:tcW w:w="1057" w:type="dxa"/>
            <w:tcBorders>
              <w:top w:val="nil"/>
              <w:left w:val="nil"/>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4</w:t>
            </w:r>
          </w:p>
        </w:tc>
        <w:tc>
          <w:tcPr>
            <w:tcW w:w="1134" w:type="dxa"/>
            <w:tcBorders>
              <w:top w:val="nil"/>
              <w:left w:val="nil"/>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5</w:t>
            </w:r>
          </w:p>
        </w:tc>
        <w:tc>
          <w:tcPr>
            <w:tcW w:w="1030" w:type="dxa"/>
            <w:tcBorders>
              <w:top w:val="nil"/>
              <w:left w:val="nil"/>
              <w:bottom w:val="single" w:sz="4" w:space="0" w:color="auto"/>
              <w:right w:val="single" w:sz="4" w:space="0" w:color="auto"/>
            </w:tcBorders>
            <w:textDirection w:val="lrTb"/>
            <w:vAlign w:val="center"/>
          </w:tcPr>
          <w:p w:rsidR="00D56387" w:rsidRPr="005A4E8D" w:rsidP="00D56387">
            <w:pPr>
              <w:bidi w:val="0"/>
              <w:spacing w:line="276" w:lineRule="auto"/>
              <w:jc w:val="center"/>
              <w:rPr>
                <w:rFonts w:ascii="Times New Roman" w:hAnsi="Times New Roman"/>
                <w:b/>
                <w:color w:val="000000"/>
                <w:sz w:val="20"/>
                <w:szCs w:val="20"/>
              </w:rPr>
            </w:pPr>
            <w:r w:rsidRPr="005A4E8D">
              <w:rPr>
                <w:rFonts w:ascii="Times New Roman" w:hAnsi="Times New Roman"/>
                <w:b/>
                <w:color w:val="000000"/>
                <w:sz w:val="20"/>
                <w:szCs w:val="20"/>
              </w:rPr>
              <w:t>6=3-2</w:t>
            </w: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5"/>
          <w:jc w:val="center"/>
        </w:trPr>
        <w:tc>
          <w:tcPr>
            <w:tcW w:w="2410" w:type="dxa"/>
            <w:tcBorders>
              <w:top w:val="nil"/>
              <w:left w:val="single" w:sz="4" w:space="0" w:color="auto"/>
              <w:bottom w:val="single" w:sz="4" w:space="0" w:color="auto"/>
              <w:right w:val="single" w:sz="4" w:space="0" w:color="auto"/>
            </w:tcBorders>
            <w:textDirection w:val="lrTb"/>
            <w:vAlign w:val="center"/>
            <w:hideMark/>
          </w:tcPr>
          <w:p w:rsidR="00D34286" w:rsidRPr="009205C9" w:rsidP="00870857">
            <w:pPr>
              <w:bidi w:val="0"/>
              <w:spacing w:line="276" w:lineRule="auto"/>
              <w:rPr>
                <w:rFonts w:ascii="Times New Roman" w:hAnsi="Times New Roman"/>
                <w:color w:val="000000"/>
                <w:sz w:val="20"/>
                <w:szCs w:val="20"/>
              </w:rPr>
            </w:pPr>
            <w:r w:rsidRPr="009205C9">
              <w:rPr>
                <w:rFonts w:ascii="Times New Roman" w:hAnsi="Times New Roman"/>
                <w:color w:val="000000"/>
                <w:sz w:val="20"/>
                <w:szCs w:val="20"/>
              </w:rPr>
              <w:t>Právnickej osobe založenej štátom, obcou alebo vyšším územným celkom</w:t>
            </w:r>
          </w:p>
        </w:tc>
        <w:tc>
          <w:tcPr>
            <w:tcW w:w="1305" w:type="dxa"/>
            <w:tcBorders>
              <w:top w:val="nil"/>
              <w:left w:val="nil"/>
              <w:bottom w:val="single" w:sz="4" w:space="0" w:color="auto"/>
              <w:right w:val="single" w:sz="4" w:space="0" w:color="auto"/>
            </w:tcBorders>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 xml:space="preserve">305 </w:t>
            </w:r>
            <w:r w:rsidR="00484A54">
              <w:rPr>
                <w:rFonts w:ascii="Times New Roman" w:hAnsi="Times New Roman"/>
                <w:color w:val="000000"/>
                <w:sz w:val="20"/>
                <w:szCs w:val="20"/>
              </w:rPr>
              <w:t>602</w:t>
            </w:r>
          </w:p>
        </w:tc>
        <w:tc>
          <w:tcPr>
            <w:tcW w:w="1221"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493 203</w:t>
            </w:r>
          </w:p>
        </w:tc>
        <w:tc>
          <w:tcPr>
            <w:tcW w:w="1199" w:type="dxa"/>
            <w:tcBorders>
              <w:top w:val="single" w:sz="4" w:space="0" w:color="auto"/>
              <w:left w:val="nil"/>
              <w:bottom w:val="single" w:sz="4" w:space="0" w:color="auto"/>
              <w:right w:val="single" w:sz="4" w:space="0" w:color="auto"/>
            </w:tcBorders>
            <w:shd w:val="clear" w:color="auto" w:fill="D9D9D9"/>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493 22</w:t>
            </w:r>
            <w:r w:rsidR="00484A54">
              <w:rPr>
                <w:rFonts w:ascii="Times New Roman" w:hAnsi="Times New Roman"/>
                <w:color w:val="000000"/>
                <w:sz w:val="20"/>
                <w:szCs w:val="20"/>
              </w:rPr>
              <w:t>6</w:t>
            </w:r>
          </w:p>
        </w:tc>
        <w:tc>
          <w:tcPr>
            <w:tcW w:w="1057"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425 099</w:t>
            </w:r>
          </w:p>
        </w:tc>
        <w:tc>
          <w:tcPr>
            <w:tcW w:w="1134"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436 627</w:t>
            </w:r>
          </w:p>
        </w:tc>
        <w:tc>
          <w:tcPr>
            <w:tcW w:w="1030" w:type="dxa"/>
            <w:tcBorders>
              <w:top w:val="nil"/>
              <w:left w:val="nil"/>
              <w:bottom w:val="single" w:sz="4" w:space="0" w:color="auto"/>
              <w:right w:val="single" w:sz="4" w:space="0" w:color="auto"/>
            </w:tcBorders>
            <w:textDirection w:val="lrTb"/>
            <w:vAlign w:val="center"/>
          </w:tcPr>
          <w:p w:rsidR="00D34286" w:rsidRPr="009205C9" w:rsidP="00484A54">
            <w:pPr>
              <w:bidi w:val="0"/>
              <w:spacing w:line="276" w:lineRule="auto"/>
              <w:jc w:val="right"/>
              <w:rPr>
                <w:rFonts w:ascii="Times New Roman" w:hAnsi="Times New Roman"/>
                <w:color w:val="000000"/>
                <w:sz w:val="20"/>
                <w:szCs w:val="20"/>
              </w:rPr>
            </w:pPr>
            <w:r w:rsidR="003B4987">
              <w:rPr>
                <w:rFonts w:ascii="Times New Roman" w:hAnsi="Times New Roman"/>
                <w:color w:val="000000"/>
                <w:sz w:val="20"/>
                <w:szCs w:val="20"/>
              </w:rPr>
              <w:t>2</w:t>
            </w:r>
            <w:r w:rsidR="00484A54">
              <w:rPr>
                <w:rFonts w:ascii="Times New Roman" w:hAnsi="Times New Roman"/>
                <w:color w:val="000000"/>
                <w:sz w:val="20"/>
                <w:szCs w:val="20"/>
              </w:rPr>
              <w:t>3</w:t>
            </w: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15"/>
          <w:jc w:val="center"/>
        </w:trPr>
        <w:tc>
          <w:tcPr>
            <w:tcW w:w="2410" w:type="dxa"/>
            <w:tcBorders>
              <w:top w:val="nil"/>
              <w:left w:val="single" w:sz="4" w:space="0" w:color="auto"/>
              <w:bottom w:val="single" w:sz="4" w:space="0" w:color="auto"/>
              <w:right w:val="single" w:sz="4" w:space="0" w:color="auto"/>
            </w:tcBorders>
            <w:textDirection w:val="lrTb"/>
            <w:vAlign w:val="center"/>
            <w:hideMark/>
          </w:tcPr>
          <w:p w:rsidR="00D34286" w:rsidRPr="009205C9" w:rsidP="00870857">
            <w:pPr>
              <w:bidi w:val="0"/>
              <w:spacing w:line="276" w:lineRule="auto"/>
              <w:rPr>
                <w:rFonts w:ascii="Times New Roman" w:hAnsi="Times New Roman"/>
                <w:color w:val="000000"/>
                <w:sz w:val="20"/>
                <w:szCs w:val="20"/>
              </w:rPr>
            </w:pPr>
            <w:r w:rsidRPr="009205C9">
              <w:rPr>
                <w:rFonts w:ascii="Times New Roman" w:hAnsi="Times New Roman"/>
                <w:color w:val="000000"/>
                <w:sz w:val="20"/>
                <w:szCs w:val="20"/>
              </w:rPr>
              <w:t>Ostatnej právnickej osobe</w:t>
            </w:r>
          </w:p>
        </w:tc>
        <w:tc>
          <w:tcPr>
            <w:tcW w:w="1305" w:type="dxa"/>
            <w:tcBorders>
              <w:top w:val="nil"/>
              <w:left w:val="nil"/>
              <w:bottom w:val="single" w:sz="4" w:space="0" w:color="auto"/>
              <w:right w:val="single" w:sz="4" w:space="0" w:color="auto"/>
            </w:tcBorders>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640 62</w:t>
            </w:r>
            <w:r w:rsidR="00484A54">
              <w:rPr>
                <w:rFonts w:ascii="Times New Roman" w:hAnsi="Times New Roman"/>
                <w:color w:val="000000"/>
                <w:sz w:val="20"/>
                <w:szCs w:val="20"/>
              </w:rPr>
              <w:t>7</w:t>
            </w:r>
          </w:p>
        </w:tc>
        <w:tc>
          <w:tcPr>
            <w:tcW w:w="1221"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922 543</w:t>
            </w:r>
          </w:p>
        </w:tc>
        <w:tc>
          <w:tcPr>
            <w:tcW w:w="1199" w:type="dxa"/>
            <w:tcBorders>
              <w:top w:val="nil"/>
              <w:left w:val="nil"/>
              <w:bottom w:val="single" w:sz="4" w:space="0" w:color="auto"/>
              <w:right w:val="single" w:sz="4" w:space="0" w:color="auto"/>
            </w:tcBorders>
            <w:shd w:val="clear" w:color="auto" w:fill="D9D9D9"/>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587 679</w:t>
            </w:r>
          </w:p>
        </w:tc>
        <w:tc>
          <w:tcPr>
            <w:tcW w:w="1057"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589 148</w:t>
            </w:r>
          </w:p>
        </w:tc>
        <w:tc>
          <w:tcPr>
            <w:tcW w:w="1134"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626 054</w:t>
            </w:r>
          </w:p>
        </w:tc>
        <w:tc>
          <w:tcPr>
            <w:tcW w:w="1030" w:type="dxa"/>
            <w:tcBorders>
              <w:top w:val="nil"/>
              <w:left w:val="nil"/>
              <w:bottom w:val="single" w:sz="4" w:space="0" w:color="auto"/>
              <w:right w:val="single" w:sz="4" w:space="0" w:color="auto"/>
            </w:tcBorders>
            <w:textDirection w:val="lrTb"/>
            <w:vAlign w:val="center"/>
          </w:tcPr>
          <w:p w:rsidR="00D34286" w:rsidRPr="009205C9" w:rsidP="003B4987">
            <w:pPr>
              <w:bidi w:val="0"/>
              <w:spacing w:line="276" w:lineRule="auto"/>
              <w:jc w:val="right"/>
              <w:rPr>
                <w:rFonts w:ascii="Times New Roman" w:hAnsi="Times New Roman"/>
                <w:color w:val="000000"/>
                <w:sz w:val="20"/>
                <w:szCs w:val="20"/>
              </w:rPr>
            </w:pPr>
            <w:r w:rsidR="003B4987">
              <w:rPr>
                <w:rFonts w:ascii="Times New Roman" w:hAnsi="Times New Roman"/>
                <w:color w:val="000000"/>
                <w:sz w:val="20"/>
                <w:szCs w:val="20"/>
              </w:rPr>
              <w:t>-334 864</w:t>
            </w: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65"/>
          <w:jc w:val="center"/>
        </w:trPr>
        <w:tc>
          <w:tcPr>
            <w:tcW w:w="2410" w:type="dxa"/>
            <w:tcBorders>
              <w:top w:val="nil"/>
              <w:left w:val="single" w:sz="4" w:space="0" w:color="auto"/>
              <w:bottom w:val="single" w:sz="4" w:space="0" w:color="auto"/>
              <w:right w:val="single" w:sz="4" w:space="0" w:color="auto"/>
            </w:tcBorders>
            <w:textDirection w:val="lrTb"/>
            <w:vAlign w:val="center"/>
            <w:hideMark/>
          </w:tcPr>
          <w:p w:rsidR="00D34286" w:rsidRPr="009205C9" w:rsidP="00870857">
            <w:pPr>
              <w:bidi w:val="0"/>
              <w:spacing w:line="276" w:lineRule="auto"/>
              <w:rPr>
                <w:rFonts w:ascii="Times New Roman" w:hAnsi="Times New Roman"/>
                <w:color w:val="000000"/>
                <w:sz w:val="20"/>
                <w:szCs w:val="20"/>
              </w:rPr>
            </w:pPr>
            <w:r w:rsidRPr="009205C9">
              <w:rPr>
                <w:rFonts w:ascii="Times New Roman" w:hAnsi="Times New Roman"/>
                <w:color w:val="000000"/>
                <w:sz w:val="20"/>
                <w:szCs w:val="20"/>
              </w:rPr>
              <w:t xml:space="preserve"> Fyzickej osobe podnikateľovi</w:t>
            </w:r>
          </w:p>
        </w:tc>
        <w:tc>
          <w:tcPr>
            <w:tcW w:w="1305"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12 799</w:t>
            </w:r>
          </w:p>
        </w:tc>
        <w:tc>
          <w:tcPr>
            <w:tcW w:w="1221"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4 967</w:t>
            </w:r>
          </w:p>
        </w:tc>
        <w:tc>
          <w:tcPr>
            <w:tcW w:w="1199" w:type="dxa"/>
            <w:tcBorders>
              <w:top w:val="nil"/>
              <w:left w:val="nil"/>
              <w:bottom w:val="single" w:sz="4" w:space="0" w:color="auto"/>
              <w:right w:val="single" w:sz="4" w:space="0" w:color="auto"/>
            </w:tcBorders>
            <w:shd w:val="clear" w:color="auto" w:fill="D9D9D9"/>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5 12</w:t>
            </w:r>
            <w:r w:rsidR="00484A54">
              <w:rPr>
                <w:rFonts w:ascii="Times New Roman" w:hAnsi="Times New Roman"/>
                <w:color w:val="000000"/>
                <w:sz w:val="20"/>
                <w:szCs w:val="20"/>
              </w:rPr>
              <w:t>5</w:t>
            </w:r>
          </w:p>
        </w:tc>
        <w:tc>
          <w:tcPr>
            <w:tcW w:w="1057"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5 773</w:t>
            </w:r>
          </w:p>
        </w:tc>
        <w:tc>
          <w:tcPr>
            <w:tcW w:w="1134" w:type="dxa"/>
            <w:tcBorders>
              <w:top w:val="nil"/>
              <w:left w:val="nil"/>
              <w:bottom w:val="single" w:sz="4"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2 820</w:t>
            </w:r>
          </w:p>
        </w:tc>
        <w:tc>
          <w:tcPr>
            <w:tcW w:w="1030" w:type="dxa"/>
            <w:tcBorders>
              <w:top w:val="nil"/>
              <w:left w:val="nil"/>
              <w:bottom w:val="single" w:sz="4" w:space="0" w:color="auto"/>
              <w:right w:val="single" w:sz="4" w:space="0" w:color="auto"/>
            </w:tcBorders>
            <w:textDirection w:val="lrTb"/>
            <w:vAlign w:val="center"/>
          </w:tcPr>
          <w:p w:rsidR="00D34286" w:rsidRPr="009205C9" w:rsidP="006C2853">
            <w:pPr>
              <w:bidi w:val="0"/>
              <w:spacing w:line="276" w:lineRule="auto"/>
              <w:jc w:val="right"/>
              <w:rPr>
                <w:rFonts w:ascii="Times New Roman" w:hAnsi="Times New Roman"/>
                <w:color w:val="000000"/>
                <w:sz w:val="20"/>
                <w:szCs w:val="20"/>
              </w:rPr>
            </w:pPr>
            <w:r w:rsidR="003B4987">
              <w:rPr>
                <w:rFonts w:ascii="Times New Roman" w:hAnsi="Times New Roman"/>
                <w:color w:val="000000"/>
                <w:sz w:val="20"/>
                <w:szCs w:val="20"/>
              </w:rPr>
              <w:t>15</w:t>
            </w:r>
            <w:r w:rsidR="006C2853">
              <w:rPr>
                <w:rFonts w:ascii="Times New Roman" w:hAnsi="Times New Roman"/>
                <w:color w:val="000000"/>
                <w:sz w:val="20"/>
                <w:szCs w:val="20"/>
              </w:rPr>
              <w:t>8</w:t>
            </w: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99"/>
          <w:jc w:val="center"/>
        </w:trPr>
        <w:tc>
          <w:tcPr>
            <w:tcW w:w="2410" w:type="dxa"/>
            <w:tcBorders>
              <w:top w:val="single" w:sz="4" w:space="0" w:color="auto"/>
              <w:left w:val="single" w:sz="4" w:space="0" w:color="auto"/>
              <w:bottom w:val="double" w:sz="6" w:space="0" w:color="auto"/>
              <w:right w:val="single" w:sz="4" w:space="0" w:color="auto"/>
            </w:tcBorders>
            <w:textDirection w:val="lrTb"/>
            <w:vAlign w:val="center"/>
            <w:hideMark/>
          </w:tcPr>
          <w:p w:rsidR="00D34286" w:rsidRPr="009205C9" w:rsidP="00870857">
            <w:pPr>
              <w:bidi w:val="0"/>
              <w:spacing w:line="276" w:lineRule="auto"/>
              <w:rPr>
                <w:rFonts w:ascii="Times New Roman" w:hAnsi="Times New Roman"/>
                <w:color w:val="000000"/>
                <w:sz w:val="20"/>
                <w:szCs w:val="20"/>
              </w:rPr>
            </w:pPr>
            <w:r w:rsidRPr="009205C9">
              <w:rPr>
                <w:rFonts w:ascii="Times New Roman" w:hAnsi="Times New Roman"/>
                <w:color w:val="000000"/>
                <w:sz w:val="20"/>
                <w:szCs w:val="20"/>
              </w:rPr>
              <w:t>Príspevkovej organizácii nezaradenej do VS</w:t>
            </w:r>
          </w:p>
        </w:tc>
        <w:tc>
          <w:tcPr>
            <w:tcW w:w="1305" w:type="dxa"/>
            <w:tcBorders>
              <w:top w:val="single" w:sz="4" w:space="0" w:color="auto"/>
              <w:left w:val="nil"/>
              <w:bottom w:val="double" w:sz="6" w:space="0" w:color="auto"/>
              <w:right w:val="single" w:sz="4" w:space="0" w:color="auto"/>
            </w:tcBorders>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4 74</w:t>
            </w:r>
            <w:r w:rsidR="00484A54">
              <w:rPr>
                <w:rFonts w:ascii="Times New Roman" w:hAnsi="Times New Roman"/>
                <w:color w:val="000000"/>
                <w:sz w:val="20"/>
                <w:szCs w:val="20"/>
              </w:rPr>
              <w:t>5</w:t>
            </w:r>
          </w:p>
        </w:tc>
        <w:tc>
          <w:tcPr>
            <w:tcW w:w="1221" w:type="dxa"/>
            <w:tcBorders>
              <w:top w:val="single" w:sz="4" w:space="0" w:color="auto"/>
              <w:left w:val="nil"/>
              <w:bottom w:val="double" w:sz="6" w:space="0" w:color="auto"/>
              <w:right w:val="single" w:sz="4" w:space="0" w:color="auto"/>
            </w:tcBorders>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10 04</w:t>
            </w:r>
            <w:r w:rsidR="00484A54">
              <w:rPr>
                <w:rFonts w:ascii="Times New Roman" w:hAnsi="Times New Roman"/>
                <w:color w:val="000000"/>
                <w:sz w:val="20"/>
                <w:szCs w:val="20"/>
              </w:rPr>
              <w:t>5</w:t>
            </w:r>
          </w:p>
        </w:tc>
        <w:tc>
          <w:tcPr>
            <w:tcW w:w="1199" w:type="dxa"/>
            <w:tcBorders>
              <w:top w:val="single" w:sz="4" w:space="0" w:color="auto"/>
              <w:left w:val="nil"/>
              <w:bottom w:val="double" w:sz="6" w:space="0" w:color="auto"/>
              <w:right w:val="single" w:sz="4" w:space="0" w:color="auto"/>
            </w:tcBorders>
            <w:shd w:val="clear" w:color="auto" w:fill="D9D9D9"/>
            <w:textDirection w:val="lrTb"/>
            <w:vAlign w:val="center"/>
            <w:hideMark/>
          </w:tcPr>
          <w:p w:rsidR="00D34286" w:rsidRPr="009205C9" w:rsidP="00484A54">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10 04</w:t>
            </w:r>
            <w:r w:rsidR="00484A54">
              <w:rPr>
                <w:rFonts w:ascii="Times New Roman" w:hAnsi="Times New Roman"/>
                <w:color w:val="000000"/>
                <w:sz w:val="20"/>
                <w:szCs w:val="20"/>
              </w:rPr>
              <w:t>5</w:t>
            </w:r>
          </w:p>
        </w:tc>
        <w:tc>
          <w:tcPr>
            <w:tcW w:w="1057" w:type="dxa"/>
            <w:tcBorders>
              <w:top w:val="single" w:sz="4" w:space="0" w:color="auto"/>
              <w:left w:val="nil"/>
              <w:bottom w:val="double" w:sz="6"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15 577</w:t>
            </w:r>
          </w:p>
        </w:tc>
        <w:tc>
          <w:tcPr>
            <w:tcW w:w="1134" w:type="dxa"/>
            <w:tcBorders>
              <w:top w:val="single" w:sz="4" w:space="0" w:color="auto"/>
              <w:left w:val="nil"/>
              <w:bottom w:val="double" w:sz="6" w:space="0" w:color="auto"/>
              <w:right w:val="single" w:sz="4" w:space="0" w:color="auto"/>
            </w:tcBorders>
            <w:textDirection w:val="lrTb"/>
            <w:vAlign w:val="center"/>
            <w:hideMark/>
          </w:tcPr>
          <w:p w:rsidR="00D34286" w:rsidRPr="009205C9" w:rsidP="00870857">
            <w:pPr>
              <w:bidi w:val="0"/>
              <w:spacing w:line="276" w:lineRule="auto"/>
              <w:jc w:val="right"/>
              <w:rPr>
                <w:rFonts w:ascii="Times New Roman" w:hAnsi="Times New Roman"/>
                <w:color w:val="000000"/>
                <w:sz w:val="20"/>
                <w:szCs w:val="20"/>
              </w:rPr>
            </w:pPr>
            <w:r w:rsidRPr="009205C9">
              <w:rPr>
                <w:rFonts w:ascii="Times New Roman" w:hAnsi="Times New Roman"/>
                <w:color w:val="000000"/>
                <w:sz w:val="20"/>
                <w:szCs w:val="20"/>
              </w:rPr>
              <w:t>21 823</w:t>
            </w:r>
          </w:p>
        </w:tc>
        <w:tc>
          <w:tcPr>
            <w:tcW w:w="1030" w:type="dxa"/>
            <w:tcBorders>
              <w:top w:val="single" w:sz="4" w:space="0" w:color="auto"/>
              <w:left w:val="nil"/>
              <w:bottom w:val="double" w:sz="6" w:space="0" w:color="auto"/>
              <w:right w:val="single" w:sz="4" w:space="0" w:color="auto"/>
            </w:tcBorders>
            <w:textDirection w:val="lrTb"/>
            <w:vAlign w:val="center"/>
          </w:tcPr>
          <w:p w:rsidR="00D34286" w:rsidRPr="009205C9" w:rsidP="003B4987">
            <w:pPr>
              <w:bidi w:val="0"/>
              <w:spacing w:line="276" w:lineRule="auto"/>
              <w:jc w:val="right"/>
              <w:rPr>
                <w:rFonts w:ascii="Times New Roman" w:hAnsi="Times New Roman"/>
                <w:color w:val="000000"/>
                <w:sz w:val="20"/>
                <w:szCs w:val="20"/>
              </w:rPr>
            </w:pPr>
            <w:r w:rsidR="00484A54">
              <w:rPr>
                <w:rFonts w:ascii="Times New Roman" w:hAnsi="Times New Roman"/>
                <w:color w:val="000000"/>
                <w:sz w:val="20"/>
                <w:szCs w:val="20"/>
              </w:rPr>
              <w:t>0</w:t>
            </w:r>
          </w:p>
        </w:tc>
      </w:tr>
      <w:tr>
        <w:tblPrEx>
          <w:tblW w:w="9356" w:type="dxa"/>
          <w:jc w:val="center"/>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30"/>
          <w:jc w:val="center"/>
        </w:trPr>
        <w:tc>
          <w:tcPr>
            <w:tcW w:w="2410" w:type="dxa"/>
            <w:tcBorders>
              <w:top w:val="double" w:sz="6" w:space="0" w:color="auto"/>
              <w:left w:val="single" w:sz="4" w:space="0" w:color="auto"/>
              <w:bottom w:val="single" w:sz="4" w:space="0" w:color="auto"/>
              <w:right w:val="single" w:sz="4" w:space="0" w:color="auto"/>
            </w:tcBorders>
            <w:textDirection w:val="lrTb"/>
            <w:vAlign w:val="center"/>
            <w:hideMark/>
          </w:tcPr>
          <w:p w:rsidR="00D34286" w:rsidRPr="009205C9" w:rsidP="00870857">
            <w:pPr>
              <w:bidi w:val="0"/>
              <w:spacing w:line="276" w:lineRule="auto"/>
              <w:rPr>
                <w:rFonts w:ascii="Times New Roman" w:hAnsi="Times New Roman"/>
                <w:b/>
                <w:bCs/>
                <w:color w:val="000000"/>
                <w:sz w:val="20"/>
                <w:szCs w:val="20"/>
              </w:rPr>
            </w:pPr>
            <w:r>
              <w:rPr>
                <w:rFonts w:ascii="Times New Roman" w:hAnsi="Times New Roman"/>
                <w:b/>
                <w:bCs/>
                <w:color w:val="000000"/>
                <w:sz w:val="20"/>
                <w:szCs w:val="20"/>
              </w:rPr>
              <w:t>S</w:t>
            </w:r>
            <w:r w:rsidRPr="009205C9">
              <w:rPr>
                <w:rFonts w:ascii="Times New Roman" w:hAnsi="Times New Roman"/>
                <w:b/>
                <w:bCs/>
                <w:color w:val="000000"/>
                <w:sz w:val="20"/>
                <w:szCs w:val="20"/>
              </w:rPr>
              <w:t>polu</w:t>
            </w:r>
          </w:p>
        </w:tc>
        <w:tc>
          <w:tcPr>
            <w:tcW w:w="1305" w:type="dxa"/>
            <w:tcBorders>
              <w:top w:val="double" w:sz="6" w:space="0" w:color="auto"/>
              <w:left w:val="nil"/>
              <w:bottom w:val="single" w:sz="4" w:space="0" w:color="auto"/>
              <w:right w:val="single" w:sz="4" w:space="0" w:color="auto"/>
            </w:tcBorders>
            <w:noWrap/>
            <w:textDirection w:val="lrTb"/>
            <w:vAlign w:val="center"/>
            <w:hideMark/>
          </w:tcPr>
          <w:p w:rsidR="00D34286" w:rsidRPr="009205C9" w:rsidP="00484A54">
            <w:pPr>
              <w:bidi w:val="0"/>
              <w:spacing w:line="276" w:lineRule="auto"/>
              <w:jc w:val="right"/>
              <w:rPr>
                <w:rFonts w:ascii="Times New Roman" w:hAnsi="Times New Roman"/>
                <w:b/>
                <w:bCs/>
                <w:color w:val="000000"/>
                <w:sz w:val="20"/>
                <w:szCs w:val="20"/>
              </w:rPr>
            </w:pPr>
            <w:r w:rsidRPr="009205C9">
              <w:rPr>
                <w:rFonts w:ascii="Times New Roman" w:hAnsi="Times New Roman"/>
                <w:b/>
                <w:bCs/>
                <w:color w:val="000000"/>
                <w:sz w:val="20"/>
                <w:szCs w:val="20"/>
              </w:rPr>
              <w:t>963 77</w:t>
            </w:r>
            <w:r w:rsidR="00484A54">
              <w:rPr>
                <w:rFonts w:ascii="Times New Roman" w:hAnsi="Times New Roman"/>
                <w:b/>
                <w:bCs/>
                <w:color w:val="000000"/>
                <w:sz w:val="20"/>
                <w:szCs w:val="20"/>
              </w:rPr>
              <w:t>3</w:t>
            </w:r>
          </w:p>
        </w:tc>
        <w:tc>
          <w:tcPr>
            <w:tcW w:w="1221" w:type="dxa"/>
            <w:tcBorders>
              <w:top w:val="double" w:sz="6" w:space="0" w:color="auto"/>
              <w:left w:val="nil"/>
              <w:bottom w:val="single" w:sz="4" w:space="0" w:color="auto"/>
              <w:right w:val="single" w:sz="4" w:space="0" w:color="auto"/>
            </w:tcBorders>
            <w:noWrap/>
            <w:textDirection w:val="lrTb"/>
            <w:vAlign w:val="center"/>
            <w:hideMark/>
          </w:tcPr>
          <w:p w:rsidR="00D34286" w:rsidRPr="009205C9" w:rsidP="00484A54">
            <w:pPr>
              <w:bidi w:val="0"/>
              <w:spacing w:line="276" w:lineRule="auto"/>
              <w:jc w:val="right"/>
              <w:rPr>
                <w:rFonts w:ascii="Times New Roman" w:hAnsi="Times New Roman"/>
                <w:b/>
                <w:bCs/>
                <w:color w:val="000000"/>
                <w:sz w:val="20"/>
                <w:szCs w:val="20"/>
              </w:rPr>
            </w:pPr>
            <w:r w:rsidRPr="009205C9">
              <w:rPr>
                <w:rFonts w:ascii="Times New Roman" w:hAnsi="Times New Roman"/>
                <w:b/>
                <w:bCs/>
                <w:color w:val="000000"/>
                <w:sz w:val="20"/>
                <w:szCs w:val="20"/>
              </w:rPr>
              <w:t>1 430 75</w:t>
            </w:r>
            <w:r w:rsidR="00484A54">
              <w:rPr>
                <w:rFonts w:ascii="Times New Roman" w:hAnsi="Times New Roman"/>
                <w:b/>
                <w:bCs/>
                <w:color w:val="000000"/>
                <w:sz w:val="20"/>
                <w:szCs w:val="20"/>
              </w:rPr>
              <w:t>8</w:t>
            </w:r>
          </w:p>
        </w:tc>
        <w:tc>
          <w:tcPr>
            <w:tcW w:w="1199" w:type="dxa"/>
            <w:tcBorders>
              <w:top w:val="double" w:sz="6" w:space="0" w:color="auto"/>
              <w:left w:val="nil"/>
              <w:bottom w:val="single" w:sz="4" w:space="0" w:color="auto"/>
              <w:right w:val="single" w:sz="4" w:space="0" w:color="auto"/>
            </w:tcBorders>
            <w:shd w:val="clear" w:color="auto" w:fill="D9D9D9"/>
            <w:noWrap/>
            <w:textDirection w:val="lrTb"/>
            <w:vAlign w:val="center"/>
            <w:hideMark/>
          </w:tcPr>
          <w:p w:rsidR="00D34286" w:rsidRPr="009205C9" w:rsidP="00484A54">
            <w:pPr>
              <w:bidi w:val="0"/>
              <w:spacing w:line="276" w:lineRule="auto"/>
              <w:jc w:val="right"/>
              <w:rPr>
                <w:rFonts w:ascii="Times New Roman" w:hAnsi="Times New Roman"/>
                <w:b/>
                <w:bCs/>
                <w:color w:val="000000"/>
                <w:sz w:val="20"/>
                <w:szCs w:val="20"/>
              </w:rPr>
            </w:pPr>
            <w:r w:rsidRPr="009205C9">
              <w:rPr>
                <w:rFonts w:ascii="Times New Roman" w:hAnsi="Times New Roman"/>
                <w:b/>
                <w:bCs/>
                <w:color w:val="000000"/>
                <w:sz w:val="20"/>
                <w:szCs w:val="20"/>
              </w:rPr>
              <w:t>1 096 0</w:t>
            </w:r>
            <w:r w:rsidR="00484A54">
              <w:rPr>
                <w:rFonts w:ascii="Times New Roman" w:hAnsi="Times New Roman"/>
                <w:b/>
                <w:bCs/>
                <w:color w:val="000000"/>
                <w:sz w:val="20"/>
                <w:szCs w:val="20"/>
              </w:rPr>
              <w:t>75</w:t>
            </w:r>
          </w:p>
        </w:tc>
        <w:tc>
          <w:tcPr>
            <w:tcW w:w="1057" w:type="dxa"/>
            <w:tcBorders>
              <w:top w:val="double" w:sz="6" w:space="0" w:color="auto"/>
              <w:left w:val="nil"/>
              <w:bottom w:val="single" w:sz="4" w:space="0" w:color="auto"/>
              <w:right w:val="single" w:sz="4" w:space="0" w:color="auto"/>
            </w:tcBorders>
            <w:noWrap/>
            <w:textDirection w:val="lrTb"/>
            <w:vAlign w:val="center"/>
            <w:hideMark/>
          </w:tcPr>
          <w:p w:rsidR="00D34286" w:rsidRPr="009205C9" w:rsidP="00870857">
            <w:pPr>
              <w:bidi w:val="0"/>
              <w:spacing w:line="276" w:lineRule="auto"/>
              <w:jc w:val="right"/>
              <w:rPr>
                <w:rFonts w:ascii="Times New Roman" w:hAnsi="Times New Roman"/>
                <w:b/>
                <w:bCs/>
                <w:color w:val="000000"/>
                <w:sz w:val="20"/>
                <w:szCs w:val="20"/>
              </w:rPr>
            </w:pPr>
            <w:r w:rsidRPr="009205C9">
              <w:rPr>
                <w:rFonts w:ascii="Times New Roman" w:hAnsi="Times New Roman"/>
                <w:b/>
                <w:bCs/>
                <w:color w:val="000000"/>
                <w:sz w:val="20"/>
                <w:szCs w:val="20"/>
              </w:rPr>
              <w:t>1 035 597</w:t>
            </w:r>
          </w:p>
        </w:tc>
        <w:tc>
          <w:tcPr>
            <w:tcW w:w="1134" w:type="dxa"/>
            <w:tcBorders>
              <w:top w:val="double" w:sz="6" w:space="0" w:color="auto"/>
              <w:left w:val="nil"/>
              <w:bottom w:val="single" w:sz="4" w:space="0" w:color="auto"/>
              <w:right w:val="single" w:sz="4" w:space="0" w:color="auto"/>
            </w:tcBorders>
            <w:noWrap/>
            <w:textDirection w:val="lrTb"/>
            <w:vAlign w:val="center"/>
            <w:hideMark/>
          </w:tcPr>
          <w:p w:rsidR="00D34286" w:rsidRPr="009205C9" w:rsidP="00870857">
            <w:pPr>
              <w:bidi w:val="0"/>
              <w:spacing w:line="276" w:lineRule="auto"/>
              <w:jc w:val="right"/>
              <w:rPr>
                <w:rFonts w:ascii="Times New Roman" w:hAnsi="Times New Roman"/>
                <w:b/>
                <w:bCs/>
                <w:color w:val="000000"/>
                <w:sz w:val="20"/>
                <w:szCs w:val="20"/>
              </w:rPr>
            </w:pPr>
            <w:r w:rsidRPr="009205C9">
              <w:rPr>
                <w:rFonts w:ascii="Times New Roman" w:hAnsi="Times New Roman"/>
                <w:b/>
                <w:bCs/>
                <w:color w:val="000000"/>
                <w:sz w:val="20"/>
                <w:szCs w:val="20"/>
              </w:rPr>
              <w:t>1 087</w:t>
            </w:r>
            <w:r w:rsidR="003B4987">
              <w:rPr>
                <w:rFonts w:ascii="Times New Roman" w:hAnsi="Times New Roman"/>
                <w:b/>
                <w:bCs/>
                <w:color w:val="000000"/>
                <w:sz w:val="20"/>
                <w:szCs w:val="20"/>
              </w:rPr>
              <w:t> </w:t>
            </w:r>
            <w:r w:rsidRPr="009205C9">
              <w:rPr>
                <w:rFonts w:ascii="Times New Roman" w:hAnsi="Times New Roman"/>
                <w:b/>
                <w:bCs/>
                <w:color w:val="000000"/>
                <w:sz w:val="20"/>
                <w:szCs w:val="20"/>
              </w:rPr>
              <w:t>324</w:t>
            </w:r>
          </w:p>
        </w:tc>
        <w:tc>
          <w:tcPr>
            <w:tcW w:w="1030" w:type="dxa"/>
            <w:tcBorders>
              <w:top w:val="double" w:sz="6" w:space="0" w:color="auto"/>
              <w:left w:val="nil"/>
              <w:bottom w:val="single" w:sz="4" w:space="0" w:color="auto"/>
              <w:right w:val="single" w:sz="4" w:space="0" w:color="auto"/>
            </w:tcBorders>
            <w:textDirection w:val="lrTb"/>
            <w:vAlign w:val="center"/>
          </w:tcPr>
          <w:p w:rsidR="00D34286" w:rsidRPr="009205C9" w:rsidP="006C2853">
            <w:pPr>
              <w:bidi w:val="0"/>
              <w:spacing w:line="276" w:lineRule="auto"/>
              <w:jc w:val="right"/>
              <w:rPr>
                <w:rFonts w:ascii="Times New Roman" w:hAnsi="Times New Roman"/>
                <w:b/>
                <w:bCs/>
                <w:color w:val="000000"/>
                <w:sz w:val="20"/>
                <w:szCs w:val="20"/>
              </w:rPr>
            </w:pPr>
            <w:r w:rsidR="003B4987">
              <w:rPr>
                <w:rFonts w:ascii="Times New Roman" w:hAnsi="Times New Roman"/>
                <w:b/>
                <w:bCs/>
                <w:color w:val="000000"/>
                <w:sz w:val="20"/>
                <w:szCs w:val="20"/>
              </w:rPr>
              <w:t>-334 6</w:t>
            </w:r>
            <w:r w:rsidR="006C2853">
              <w:rPr>
                <w:rFonts w:ascii="Times New Roman" w:hAnsi="Times New Roman"/>
                <w:b/>
                <w:bCs/>
                <w:color w:val="000000"/>
                <w:sz w:val="20"/>
                <w:szCs w:val="20"/>
              </w:rPr>
              <w:t>83</w:t>
            </w:r>
          </w:p>
        </w:tc>
      </w:tr>
    </w:tbl>
    <w:p w:rsidR="006F3414" w:rsidRPr="00D30871" w:rsidP="00787080">
      <w:pPr>
        <w:bidi w:val="0"/>
        <w:spacing w:line="360" w:lineRule="auto"/>
        <w:jc w:val="both"/>
        <w:rPr>
          <w:rFonts w:ascii="Times New Roman" w:hAnsi="Times New Roman"/>
          <w:sz w:val="20"/>
          <w:szCs w:val="20"/>
        </w:rPr>
      </w:pPr>
      <w:r w:rsidR="00E80EB1">
        <w:rPr>
          <w:rFonts w:ascii="Times New Roman" w:hAnsi="Times New Roman"/>
          <w:sz w:val="20"/>
          <w:szCs w:val="20"/>
        </w:rPr>
        <w:t xml:space="preserve">   </w:t>
      </w:r>
      <w:r w:rsidRPr="00D30871">
        <w:rPr>
          <w:rFonts w:ascii="Times New Roman" w:hAnsi="Times New Roman"/>
          <w:sz w:val="20"/>
          <w:szCs w:val="20"/>
        </w:rPr>
        <w:t>Zdroj: Ministerstvo financií SR</w:t>
      </w:r>
    </w:p>
    <w:p w:rsidR="006F3414" w:rsidRPr="00D30871" w:rsidP="001D15F2">
      <w:pPr>
        <w:pStyle w:val="ListParagraph"/>
        <w:numPr>
          <w:numId w:val="9"/>
        </w:numPr>
        <w:bidi w:val="0"/>
        <w:spacing w:line="360" w:lineRule="auto"/>
        <w:ind w:left="0" w:firstLine="851"/>
        <w:jc w:val="both"/>
        <w:rPr>
          <w:rFonts w:ascii="Times New Roman" w:hAnsi="Times New Roman"/>
          <w:b/>
          <w:sz w:val="24"/>
          <w:szCs w:val="24"/>
        </w:rPr>
      </w:pPr>
      <w:r w:rsidRPr="00D30871">
        <w:rPr>
          <w:rFonts w:ascii="Times New Roman" w:hAnsi="Times New Roman"/>
          <w:b/>
          <w:sz w:val="24"/>
          <w:szCs w:val="24"/>
        </w:rPr>
        <w:t xml:space="preserve">transfery do tuzemských finančných inštitúcií </w:t>
      </w:r>
      <w:r w:rsidRPr="00D30871">
        <w:rPr>
          <w:rFonts w:ascii="Times New Roman" w:hAnsi="Times New Roman"/>
          <w:sz w:val="24"/>
          <w:szCs w:val="24"/>
        </w:rPr>
        <w:t>sa rozpočtovali v úhrnnej sume 5 736 tis. eur, rozpočtovými opatreniami sa ich objem znížil na 2 55</w:t>
      </w:r>
      <w:r w:rsidR="00665625">
        <w:rPr>
          <w:rFonts w:ascii="Times New Roman" w:hAnsi="Times New Roman"/>
          <w:sz w:val="24"/>
          <w:szCs w:val="24"/>
        </w:rPr>
        <w:t>2</w:t>
      </w:r>
      <w:r w:rsidRPr="00D30871">
        <w:rPr>
          <w:rFonts w:ascii="Times New Roman" w:hAnsi="Times New Roman"/>
          <w:sz w:val="24"/>
          <w:szCs w:val="24"/>
        </w:rPr>
        <w:t xml:space="preserve"> tis. eur, z ktorých sa vyčerpalo 1 110 tis. eur </w:t>
      </w:r>
      <w:r w:rsidR="003A04DE">
        <w:rPr>
          <w:rFonts w:ascii="Times New Roman" w:hAnsi="Times New Roman"/>
          <w:sz w:val="24"/>
          <w:szCs w:val="24"/>
        </w:rPr>
        <w:t xml:space="preserve">(2010: 1 356 tis. eur) </w:t>
      </w:r>
      <w:r w:rsidRPr="00D30871">
        <w:rPr>
          <w:rFonts w:ascii="Times New Roman" w:hAnsi="Times New Roman"/>
          <w:sz w:val="24"/>
          <w:szCs w:val="24"/>
        </w:rPr>
        <w:t>na úhradu majetkovej ujmy prostredníctvom kapitoly Všeobecná pokladničná správa.</w:t>
      </w:r>
    </w:p>
    <w:p w:rsidR="006F3414" w:rsidRPr="00D30871" w:rsidP="001D15F2">
      <w:pPr>
        <w:pStyle w:val="ListParagraph"/>
        <w:numPr>
          <w:numId w:val="9"/>
        </w:numPr>
        <w:bidi w:val="0"/>
        <w:spacing w:before="120" w:after="120" w:line="360" w:lineRule="auto"/>
        <w:ind w:left="0" w:firstLine="851"/>
        <w:jc w:val="both"/>
        <w:rPr>
          <w:rFonts w:ascii="Times New Roman" w:hAnsi="Times New Roman"/>
          <w:b/>
          <w:sz w:val="24"/>
          <w:szCs w:val="24"/>
        </w:rPr>
      </w:pPr>
      <w:r w:rsidRPr="00D30871">
        <w:rPr>
          <w:rFonts w:ascii="Times New Roman" w:hAnsi="Times New Roman"/>
          <w:b/>
          <w:sz w:val="24"/>
          <w:szCs w:val="24"/>
        </w:rPr>
        <w:t xml:space="preserve">transfery do zahraničia </w:t>
      </w:r>
      <w:r w:rsidRPr="00D30871">
        <w:rPr>
          <w:rFonts w:ascii="Times New Roman" w:hAnsi="Times New Roman"/>
          <w:sz w:val="24"/>
          <w:szCs w:val="24"/>
        </w:rPr>
        <w:t>sa rozpočtovali v celkovej výške 719 399 tis. eur, z toho rozhodujúc</w:t>
      </w:r>
      <w:r w:rsidR="00673EBF">
        <w:rPr>
          <w:rFonts w:ascii="Times New Roman" w:hAnsi="Times New Roman"/>
          <w:sz w:val="24"/>
          <w:szCs w:val="24"/>
        </w:rPr>
        <w:t>u</w:t>
      </w:r>
      <w:r w:rsidRPr="00D30871">
        <w:rPr>
          <w:rFonts w:ascii="Times New Roman" w:hAnsi="Times New Roman"/>
          <w:sz w:val="24"/>
          <w:szCs w:val="24"/>
        </w:rPr>
        <w:t xml:space="preserve"> časť 662 535 tis. eur </w:t>
      </w:r>
      <w:r w:rsidR="003A04DE">
        <w:rPr>
          <w:rFonts w:ascii="Times New Roman" w:hAnsi="Times New Roman"/>
          <w:sz w:val="24"/>
          <w:szCs w:val="24"/>
        </w:rPr>
        <w:t xml:space="preserve">(2010: 803 954 tis. eur) </w:t>
      </w:r>
      <w:r w:rsidRPr="00D30871">
        <w:rPr>
          <w:rFonts w:ascii="Times New Roman" w:hAnsi="Times New Roman"/>
          <w:sz w:val="24"/>
          <w:szCs w:val="24"/>
        </w:rPr>
        <w:t>tvoria odvody Slovenskej republiky do rozpočtu Európskej únie zo zdroja založeného na dani z pridanej hodnoty a zdroja založenéh</w:t>
      </w:r>
      <w:r w:rsidR="00C36624">
        <w:rPr>
          <w:rFonts w:ascii="Times New Roman" w:hAnsi="Times New Roman"/>
          <w:sz w:val="24"/>
          <w:szCs w:val="24"/>
        </w:rPr>
        <w:t xml:space="preserve">o na hrubom národnom produkte, </w:t>
      </w:r>
      <w:r w:rsidRPr="00D30871">
        <w:rPr>
          <w:rFonts w:ascii="Times New Roman" w:hAnsi="Times New Roman"/>
          <w:sz w:val="24"/>
          <w:szCs w:val="24"/>
        </w:rPr>
        <w:t>49 719 tis. eur transfery medzinárodnej organizácii a 7 144 </w:t>
      </w:r>
      <w:r w:rsidR="00005D1D">
        <w:rPr>
          <w:rFonts w:ascii="Times New Roman" w:hAnsi="Times New Roman"/>
          <w:sz w:val="24"/>
          <w:szCs w:val="24"/>
        </w:rPr>
        <w:t xml:space="preserve">tis. </w:t>
      </w:r>
      <w:r w:rsidRPr="00D30871">
        <w:rPr>
          <w:rFonts w:ascii="Times New Roman" w:hAnsi="Times New Roman"/>
          <w:sz w:val="24"/>
          <w:szCs w:val="24"/>
        </w:rPr>
        <w:t>eur ostatné transfery tohto druhu. Úpravou rozpočtu sa pôvodná suma transferov o 83 153 tis. eur znížila na 636 246 tis. eur. Zo skutočne realizovaných transferov do zahraničia v</w:t>
      </w:r>
      <w:r w:rsidR="009205C9">
        <w:rPr>
          <w:rFonts w:ascii="Times New Roman" w:hAnsi="Times New Roman"/>
          <w:sz w:val="24"/>
          <w:szCs w:val="24"/>
        </w:rPr>
        <w:t> </w:t>
      </w:r>
      <w:r w:rsidRPr="00D30871">
        <w:rPr>
          <w:rFonts w:ascii="Times New Roman" w:hAnsi="Times New Roman"/>
          <w:sz w:val="24"/>
          <w:szCs w:val="24"/>
        </w:rPr>
        <w:t>objeme</w:t>
      </w:r>
      <w:r w:rsidR="009205C9">
        <w:rPr>
          <w:rFonts w:ascii="Times New Roman" w:hAnsi="Times New Roman"/>
          <w:sz w:val="24"/>
          <w:szCs w:val="24"/>
        </w:rPr>
        <w:t xml:space="preserve"> </w:t>
      </w:r>
      <w:r w:rsidRPr="00D30871">
        <w:rPr>
          <w:rFonts w:ascii="Times New Roman" w:hAnsi="Times New Roman"/>
          <w:sz w:val="24"/>
          <w:szCs w:val="24"/>
        </w:rPr>
        <w:t>636 54</w:t>
      </w:r>
      <w:r w:rsidR="00665625">
        <w:rPr>
          <w:rFonts w:ascii="Times New Roman" w:hAnsi="Times New Roman"/>
          <w:sz w:val="24"/>
          <w:szCs w:val="24"/>
        </w:rPr>
        <w:t>9</w:t>
      </w:r>
      <w:r w:rsidRPr="00D30871">
        <w:rPr>
          <w:rFonts w:ascii="Times New Roman" w:hAnsi="Times New Roman"/>
          <w:sz w:val="24"/>
          <w:szCs w:val="24"/>
        </w:rPr>
        <w:t xml:space="preserve"> tis. eur. (2010: 550 879 tis. eur) sa uhradili odvody do rozpočtu Eur</w:t>
      </w:r>
      <w:r w:rsidR="003A04DE">
        <w:rPr>
          <w:rFonts w:ascii="Times New Roman" w:hAnsi="Times New Roman"/>
          <w:sz w:val="24"/>
          <w:szCs w:val="24"/>
        </w:rPr>
        <w:t>ópskej únie 582 139 tis. eur (</w:t>
      </w:r>
      <w:r w:rsidRPr="00D30871">
        <w:rPr>
          <w:rFonts w:ascii="Times New Roman" w:hAnsi="Times New Roman"/>
          <w:sz w:val="24"/>
          <w:szCs w:val="24"/>
        </w:rPr>
        <w:t>2010: 520 270 tis. eur), formou platieb medzinárodným organizáciám sa vyčerpal</w:t>
      </w:r>
      <w:r w:rsidR="00C36624">
        <w:rPr>
          <w:rFonts w:ascii="Times New Roman" w:hAnsi="Times New Roman"/>
          <w:sz w:val="24"/>
          <w:szCs w:val="24"/>
        </w:rPr>
        <w:t>o 44 88</w:t>
      </w:r>
      <w:r w:rsidR="00665625">
        <w:rPr>
          <w:rFonts w:ascii="Times New Roman" w:hAnsi="Times New Roman"/>
          <w:sz w:val="24"/>
          <w:szCs w:val="24"/>
        </w:rPr>
        <w:t>6</w:t>
      </w:r>
      <w:r w:rsidR="00C36624">
        <w:rPr>
          <w:rFonts w:ascii="Times New Roman" w:hAnsi="Times New Roman"/>
          <w:sz w:val="24"/>
          <w:szCs w:val="24"/>
        </w:rPr>
        <w:t xml:space="preserve"> tis. eur </w:t>
      </w:r>
      <w:r w:rsidRPr="00D30871">
        <w:rPr>
          <w:rFonts w:ascii="Times New Roman" w:hAnsi="Times New Roman"/>
          <w:sz w:val="24"/>
          <w:szCs w:val="24"/>
        </w:rPr>
        <w:t>(2010: 22 799 tis. eur).</w:t>
      </w:r>
    </w:p>
    <w:p w:rsidR="006F3414" w:rsidRPr="003A04DE" w:rsidP="001D15F2">
      <w:pPr>
        <w:bidi w:val="0"/>
        <w:spacing w:before="120" w:after="120" w:line="360" w:lineRule="auto"/>
        <w:jc w:val="both"/>
        <w:rPr>
          <w:rFonts w:ascii="Times New Roman" w:hAnsi="Times New Roman"/>
          <w:b/>
        </w:rPr>
      </w:pPr>
      <w:r w:rsidRPr="003A04DE">
        <w:rPr>
          <w:rFonts w:ascii="Times New Roman" w:hAnsi="Times New Roman"/>
          <w:b/>
        </w:rPr>
        <w:t>e) Splácanie úrokov a ostatné platby súvisiace s úverom, pôžičkou, návratnou finančno</w:t>
      </w:r>
      <w:r w:rsidR="00673EBF">
        <w:rPr>
          <w:rFonts w:ascii="Times New Roman" w:hAnsi="Times New Roman"/>
          <w:b/>
        </w:rPr>
        <w:t>u</w:t>
      </w:r>
      <w:r w:rsidRPr="003A04DE">
        <w:rPr>
          <w:rFonts w:ascii="Times New Roman" w:hAnsi="Times New Roman"/>
          <w:b/>
        </w:rPr>
        <w:t xml:space="preserve"> výpomocou a finančným prenájmom </w:t>
      </w:r>
    </w:p>
    <w:p w:rsidR="001F62B5" w:rsidP="001F62B5">
      <w:pPr>
        <w:bidi w:val="0"/>
        <w:spacing w:line="360" w:lineRule="auto"/>
        <w:ind w:firstLine="708"/>
        <w:jc w:val="both"/>
        <w:rPr>
          <w:rFonts w:ascii="Times New Roman" w:hAnsi="Times New Roman"/>
        </w:rPr>
      </w:pPr>
      <w:r w:rsidRPr="00D30871" w:rsidR="006F3414">
        <w:rPr>
          <w:rFonts w:ascii="Times New Roman" w:hAnsi="Times New Roman"/>
        </w:rPr>
        <w:t>Výdavky v tejto kategórii sa rozpočtovali v úhrnnej sume 1 163 18</w:t>
      </w:r>
      <w:r w:rsidR="00E22C66">
        <w:rPr>
          <w:rFonts w:ascii="Times New Roman" w:hAnsi="Times New Roman"/>
        </w:rPr>
        <w:t>9</w:t>
      </w:r>
      <w:r w:rsidRPr="00D30871" w:rsidR="006F3414">
        <w:rPr>
          <w:rFonts w:ascii="Times New Roman" w:hAnsi="Times New Roman"/>
        </w:rPr>
        <w:t xml:space="preserve"> tis. eur. Rozpočtovými opatren</w:t>
      </w:r>
      <w:r w:rsidR="00812D93">
        <w:rPr>
          <w:rFonts w:ascii="Times New Roman" w:hAnsi="Times New Roman"/>
        </w:rPr>
        <w:t>iami</w:t>
      </w:r>
      <w:r w:rsidRPr="00D30871" w:rsidR="006F3414">
        <w:rPr>
          <w:rFonts w:ascii="Times New Roman" w:hAnsi="Times New Roman"/>
        </w:rPr>
        <w:t xml:space="preserve"> sa táto suma znížila na 1 043 506 tis. eur a skutočné čerpanie predstavuje 1 006 647 tis. eur (2010: 864</w:t>
      </w:r>
      <w:r w:rsidR="00E2674C">
        <w:rPr>
          <w:rFonts w:ascii="Times New Roman" w:hAnsi="Times New Roman"/>
        </w:rPr>
        <w:t xml:space="preserve"> 075 tis. eur) v nasledujúcej </w:t>
      </w:r>
      <w:r w:rsidRPr="00D30871" w:rsidR="006F3414">
        <w:rPr>
          <w:rFonts w:ascii="Times New Roman" w:hAnsi="Times New Roman"/>
        </w:rPr>
        <w:t xml:space="preserve">štruktúre </w:t>
      </w:r>
    </w:p>
    <w:p w:rsidR="001C241F" w:rsidP="001F62B5">
      <w:pPr>
        <w:bidi w:val="0"/>
        <w:spacing w:line="360" w:lineRule="auto"/>
        <w:ind w:firstLine="708"/>
        <w:jc w:val="both"/>
        <w:rPr>
          <w:rFonts w:ascii="Times New Roman" w:hAnsi="Times New Roman"/>
        </w:rPr>
      </w:pPr>
    </w:p>
    <w:tbl>
      <w:tblPr>
        <w:tblStyle w:val="TableNormal"/>
        <w:tblW w:w="10243" w:type="dxa"/>
        <w:jc w:val="center"/>
        <w:tblInd w:w="-497" w:type="dxa"/>
        <w:tblCellMar>
          <w:left w:w="70" w:type="dxa"/>
          <w:right w:w="70" w:type="dxa"/>
        </w:tblCellMar>
        <w:tblLook w:val="04A0"/>
      </w:tblPr>
      <w:tblGrid>
        <w:gridCol w:w="3686"/>
        <w:gridCol w:w="1171"/>
        <w:gridCol w:w="1134"/>
        <w:gridCol w:w="1134"/>
        <w:gridCol w:w="1134"/>
        <w:gridCol w:w="992"/>
        <w:gridCol w:w="992"/>
      </w:tblGrid>
      <w:tr>
        <w:tblPrEx>
          <w:tblW w:w="10243" w:type="dxa"/>
          <w:jc w:val="center"/>
          <w:tblInd w:w="-497" w:type="dxa"/>
          <w:tblCellMar>
            <w:left w:w="70" w:type="dxa"/>
            <w:right w:w="70" w:type="dxa"/>
          </w:tblCellMar>
          <w:tblLook w:val="04A0"/>
        </w:tblPrEx>
        <w:trPr>
          <w:trHeight w:val="450"/>
          <w:jc w:val="center"/>
        </w:trPr>
        <w:tc>
          <w:tcPr>
            <w:tcW w:w="3686" w:type="dxa"/>
            <w:vMerge w:val="restart"/>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FA575B" w:rsidRPr="00A75676" w:rsidP="00F95AFA">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Položka</w:t>
            </w:r>
          </w:p>
          <w:p w:rsidR="00FA575B" w:rsidRPr="00A75676" w:rsidP="00F95AFA">
            <w:pPr>
              <w:bidi w:val="0"/>
              <w:rPr>
                <w:rFonts w:ascii="Times New Roman" w:hAnsi="Times New Roman"/>
                <w:b/>
                <w:bCs/>
                <w:color w:val="FFFFFF"/>
                <w:sz w:val="20"/>
                <w:szCs w:val="20"/>
              </w:rPr>
            </w:pPr>
            <w:r w:rsidRPr="00A75676">
              <w:rPr>
                <w:rFonts w:ascii="Times New Roman" w:hAnsi="Times New Roman"/>
                <w:b/>
                <w:bCs/>
                <w:color w:val="FFFFFF"/>
                <w:sz w:val="20"/>
                <w:szCs w:val="20"/>
              </w:rPr>
              <w:t>(v tis. eur)</w:t>
            </w:r>
          </w:p>
        </w:tc>
        <w:tc>
          <w:tcPr>
            <w:tcW w:w="2305"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A575B" w:rsidRPr="00A75676" w:rsidP="00720BB7">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Rozpočet</w:t>
            </w:r>
            <w:r>
              <w:rPr>
                <w:rFonts w:ascii="Times New Roman" w:hAnsi="Times New Roman"/>
                <w:b/>
                <w:bCs/>
                <w:color w:val="FFFFFF"/>
                <w:sz w:val="20"/>
                <w:szCs w:val="20"/>
              </w:rPr>
              <w:t xml:space="preserve"> 2011</w:t>
            </w:r>
          </w:p>
        </w:tc>
        <w:tc>
          <w:tcPr>
            <w:tcW w:w="3260" w:type="dxa"/>
            <w:gridSpan w:val="3"/>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hideMark/>
          </w:tcPr>
          <w:p w:rsidR="00FA575B" w:rsidRPr="00A75676" w:rsidP="00720BB7">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Skutočnosť</w:t>
            </w:r>
          </w:p>
        </w:tc>
        <w:tc>
          <w:tcPr>
            <w:tcW w:w="992" w:type="dxa"/>
            <w:vMerge w:val="restart"/>
            <w:tcBorders>
              <w:top w:val="single" w:sz="4" w:space="0" w:color="FFFFFF"/>
              <w:left w:val="single" w:sz="4" w:space="0" w:color="FFFFFF"/>
              <w:bottom w:val="none" w:sz="0" w:space="0" w:color="auto"/>
              <w:right w:val="single" w:sz="4" w:space="0" w:color="FFFFFF"/>
            </w:tcBorders>
            <w:shd w:val="clear" w:color="auto" w:fill="000000"/>
            <w:textDirection w:val="lrTb"/>
            <w:vAlign w:val="center"/>
          </w:tcPr>
          <w:p w:rsidR="00FA575B" w:rsidRPr="00A75676" w:rsidP="00F95AFA">
            <w:pPr>
              <w:bidi w:val="0"/>
              <w:jc w:val="center"/>
              <w:rPr>
                <w:rFonts w:ascii="Times New Roman" w:hAnsi="Times New Roman"/>
                <w:b/>
                <w:bCs/>
                <w:color w:val="FFFFFF"/>
                <w:sz w:val="20"/>
                <w:szCs w:val="20"/>
              </w:rPr>
            </w:pPr>
            <w:r>
              <w:rPr>
                <w:rFonts w:ascii="Times New Roman" w:hAnsi="Times New Roman"/>
                <w:b/>
                <w:bCs/>
                <w:color w:val="FFFFFF"/>
                <w:sz w:val="20"/>
                <w:szCs w:val="20"/>
              </w:rPr>
              <w:t>R</w:t>
            </w:r>
            <w:r w:rsidRPr="00A75676">
              <w:rPr>
                <w:rFonts w:ascii="Times New Roman" w:hAnsi="Times New Roman"/>
                <w:b/>
                <w:bCs/>
                <w:color w:val="FFFFFF"/>
                <w:sz w:val="20"/>
                <w:szCs w:val="20"/>
              </w:rPr>
              <w:t>ozdiel</w:t>
            </w:r>
          </w:p>
        </w:tc>
      </w:tr>
      <w:tr>
        <w:tblPrEx>
          <w:tblW w:w="10243" w:type="dxa"/>
          <w:jc w:val="center"/>
          <w:tblInd w:w="-497" w:type="dxa"/>
          <w:tblCellMar>
            <w:left w:w="70" w:type="dxa"/>
            <w:right w:w="70" w:type="dxa"/>
          </w:tblCellMar>
          <w:tblLook w:val="04A0"/>
        </w:tblPrEx>
        <w:trPr>
          <w:trHeight w:val="285"/>
          <w:jc w:val="center"/>
        </w:trPr>
        <w:tc>
          <w:tcPr>
            <w:tcW w:w="3686"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center"/>
            <w:hideMark/>
          </w:tcPr>
          <w:p w:rsidR="00FA575B" w:rsidRPr="00A75676" w:rsidP="00F95AFA">
            <w:pPr>
              <w:bidi w:val="0"/>
              <w:rPr>
                <w:rFonts w:ascii="Times New Roman" w:hAnsi="Times New Roman"/>
                <w:b/>
                <w:bCs/>
                <w:color w:val="FFFFFF"/>
                <w:sz w:val="20"/>
                <w:szCs w:val="20"/>
              </w:rPr>
            </w:pPr>
          </w:p>
        </w:tc>
        <w:tc>
          <w:tcPr>
            <w:tcW w:w="1171"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bottom"/>
          </w:tcPr>
          <w:p w:rsidR="00FA575B" w:rsidRPr="00A75676" w:rsidP="005B0F88">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schválený</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bottom"/>
          </w:tcPr>
          <w:p w:rsidR="00FA575B" w:rsidRPr="00A75676" w:rsidP="005B0F88">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 xml:space="preserve">upravený </w:t>
            </w:r>
          </w:p>
        </w:tc>
        <w:tc>
          <w:tcPr>
            <w:tcW w:w="1134"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bottom"/>
          </w:tcPr>
          <w:p w:rsidR="00FA575B" w:rsidRPr="00A75676" w:rsidP="005B0F88">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134"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FA575B" w:rsidRPr="00A75676" w:rsidP="00E2674C">
            <w:pPr>
              <w:bidi w:val="0"/>
              <w:jc w:val="center"/>
              <w:rPr>
                <w:rFonts w:ascii="Times New Roman" w:hAnsi="Times New Roman"/>
                <w:b/>
                <w:bCs/>
                <w:color w:val="FFFFFF"/>
                <w:sz w:val="20"/>
                <w:szCs w:val="20"/>
              </w:rPr>
            </w:pPr>
            <w:r w:rsidRPr="00A75676">
              <w:rPr>
                <w:rFonts w:ascii="Times New Roman" w:hAnsi="Times New Roman"/>
                <w:b/>
                <w:bCs/>
                <w:color w:val="FFFFFF"/>
                <w:sz w:val="20"/>
                <w:szCs w:val="20"/>
              </w:rPr>
              <w:t>2010</w:t>
            </w:r>
          </w:p>
        </w:tc>
        <w:tc>
          <w:tcPr>
            <w:tcW w:w="992" w:type="dxa"/>
            <w:tcBorders>
              <w:top w:val="single" w:sz="4" w:space="0" w:color="FFFFFF"/>
              <w:left w:val="single" w:sz="4" w:space="0" w:color="FFFFFF"/>
              <w:bottom w:val="single" w:sz="4" w:space="0" w:color="FFFFFF"/>
              <w:right w:val="single" w:sz="4" w:space="0" w:color="FFFFFF"/>
            </w:tcBorders>
            <w:shd w:val="clear" w:color="auto" w:fill="000000"/>
            <w:noWrap/>
            <w:textDirection w:val="lrTb"/>
            <w:vAlign w:val="center"/>
          </w:tcPr>
          <w:p w:rsidR="00FA575B" w:rsidRPr="00A75676" w:rsidP="005B0F88">
            <w:pPr>
              <w:bidi w:val="0"/>
              <w:jc w:val="center"/>
              <w:rPr>
                <w:rFonts w:ascii="Times New Roman" w:hAnsi="Times New Roman"/>
                <w:b/>
                <w:bCs/>
                <w:color w:val="FFFFFF"/>
                <w:sz w:val="20"/>
                <w:szCs w:val="20"/>
              </w:rPr>
            </w:pPr>
            <w:r>
              <w:rPr>
                <w:rFonts w:ascii="Times New Roman" w:hAnsi="Times New Roman"/>
                <w:b/>
                <w:bCs/>
                <w:color w:val="FFFFFF"/>
                <w:sz w:val="20"/>
                <w:szCs w:val="20"/>
              </w:rPr>
              <w:t>2009</w:t>
            </w:r>
          </w:p>
        </w:tc>
        <w:tc>
          <w:tcPr>
            <w:tcW w:w="992" w:type="dxa"/>
            <w:vMerge/>
            <w:tcBorders>
              <w:top w:val="none" w:sz="0" w:space="0" w:color="auto"/>
              <w:left w:val="single" w:sz="4" w:space="0" w:color="FFFFFF"/>
              <w:bottom w:val="single" w:sz="4" w:space="0" w:color="FFFFFF"/>
              <w:right w:val="single" w:sz="4" w:space="0" w:color="FFFFFF"/>
            </w:tcBorders>
            <w:shd w:val="clear" w:color="auto" w:fill="000000"/>
            <w:noWrap/>
            <w:textDirection w:val="lrTb"/>
            <w:vAlign w:val="bottom"/>
            <w:hideMark/>
          </w:tcPr>
          <w:p w:rsidR="00FA575B" w:rsidRPr="00A75676" w:rsidP="00F95AFA">
            <w:pPr>
              <w:bidi w:val="0"/>
              <w:jc w:val="center"/>
              <w:rPr>
                <w:rFonts w:ascii="Times New Roman" w:hAnsi="Times New Roman"/>
                <w:b/>
                <w:bCs/>
                <w:color w:val="FFFFFF"/>
                <w:sz w:val="20"/>
                <w:szCs w:val="20"/>
              </w:rPr>
            </w:pPr>
          </w:p>
        </w:tc>
      </w:tr>
      <w:tr>
        <w:tblPrEx>
          <w:tblW w:w="10243" w:type="dxa"/>
          <w:jc w:val="center"/>
          <w:tblInd w:w="-497" w:type="dxa"/>
          <w:tblCellMar>
            <w:left w:w="70" w:type="dxa"/>
            <w:right w:w="70" w:type="dxa"/>
          </w:tblCellMar>
          <w:tblLook w:val="04A0"/>
        </w:tblPrEx>
        <w:trPr>
          <w:trHeight w:val="300"/>
          <w:jc w:val="center"/>
        </w:trPr>
        <w:tc>
          <w:tcPr>
            <w:tcW w:w="3686" w:type="dxa"/>
            <w:tcBorders>
              <w:top w:val="single" w:sz="4" w:space="0" w:color="FFFFFF"/>
              <w:left w:val="single" w:sz="4" w:space="0" w:color="auto"/>
              <w:bottom w:val="single" w:sz="4" w:space="0" w:color="auto"/>
              <w:right w:val="single" w:sz="4" w:space="0" w:color="auto"/>
            </w:tcBorders>
            <w:shd w:val="clear" w:color="000000" w:fill="FFFFFF"/>
            <w:noWrap/>
            <w:textDirection w:val="lrTb"/>
            <w:vAlign w:val="center"/>
            <w:hideMark/>
          </w:tcPr>
          <w:p w:rsidR="00720BB7" w:rsidRPr="00F95AFA" w:rsidP="00F95AFA">
            <w:pPr>
              <w:bidi w:val="0"/>
              <w:jc w:val="center"/>
              <w:rPr>
                <w:rFonts w:ascii="Times New Roman" w:hAnsi="Times New Roman"/>
                <w:b/>
                <w:bCs/>
                <w:color w:val="000000"/>
                <w:sz w:val="20"/>
                <w:szCs w:val="20"/>
              </w:rPr>
            </w:pPr>
            <w:r w:rsidRPr="00F95AFA">
              <w:rPr>
                <w:rFonts w:ascii="Times New Roman" w:hAnsi="Times New Roman"/>
                <w:b/>
                <w:bCs/>
                <w:color w:val="000000"/>
                <w:sz w:val="20"/>
                <w:szCs w:val="20"/>
              </w:rPr>
              <w:t> </w:t>
            </w:r>
          </w:p>
        </w:tc>
        <w:tc>
          <w:tcPr>
            <w:tcW w:w="1171" w:type="dxa"/>
            <w:tcBorders>
              <w:top w:val="single" w:sz="4" w:space="0" w:color="FFFFFF"/>
              <w:left w:val="nil"/>
              <w:bottom w:val="single" w:sz="4" w:space="0" w:color="auto"/>
              <w:right w:val="single" w:sz="4" w:space="0" w:color="auto"/>
            </w:tcBorders>
            <w:shd w:val="clear" w:color="000000" w:fill="FFFFFF"/>
            <w:textDirection w:val="lrTb"/>
            <w:vAlign w:val="center"/>
          </w:tcPr>
          <w:p w:rsidR="00720BB7" w:rsidRPr="00F95AFA" w:rsidP="005B0F88">
            <w:pPr>
              <w:bidi w:val="0"/>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134" w:type="dxa"/>
            <w:tcBorders>
              <w:top w:val="single" w:sz="4" w:space="0" w:color="FFFFFF"/>
              <w:left w:val="single" w:sz="4" w:space="0" w:color="auto"/>
              <w:bottom w:val="single" w:sz="4" w:space="0" w:color="auto"/>
              <w:right w:val="single" w:sz="4" w:space="0" w:color="auto"/>
            </w:tcBorders>
            <w:shd w:val="clear" w:color="000000" w:fill="FFFFFF"/>
            <w:textDirection w:val="lrTb"/>
            <w:vAlign w:val="center"/>
          </w:tcPr>
          <w:p w:rsidR="00720BB7" w:rsidRPr="00F95AFA" w:rsidP="00720BB7">
            <w:pPr>
              <w:bidi w:val="0"/>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134" w:type="dxa"/>
            <w:tcBorders>
              <w:top w:val="single" w:sz="4" w:space="0" w:color="FFFFFF"/>
              <w:left w:val="nil"/>
              <w:bottom w:val="single" w:sz="4" w:space="0" w:color="auto"/>
              <w:right w:val="single" w:sz="4" w:space="0" w:color="auto"/>
            </w:tcBorders>
            <w:shd w:val="clear" w:color="auto" w:fill="D9D9D9"/>
            <w:textDirection w:val="lrTb"/>
            <w:vAlign w:val="center"/>
          </w:tcPr>
          <w:p w:rsidR="00720BB7" w:rsidRPr="00F95AFA" w:rsidP="00720BB7">
            <w:pPr>
              <w:bidi w:val="0"/>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134" w:type="dxa"/>
            <w:tcBorders>
              <w:top w:val="single" w:sz="4" w:space="0" w:color="FFFFFF"/>
              <w:left w:val="nil"/>
              <w:bottom w:val="single" w:sz="4" w:space="0" w:color="auto"/>
              <w:right w:val="single" w:sz="4" w:space="0" w:color="auto"/>
            </w:tcBorders>
            <w:shd w:val="clear" w:color="000000" w:fill="FFFFFF"/>
            <w:textDirection w:val="lrTb"/>
            <w:vAlign w:val="top"/>
          </w:tcPr>
          <w:p w:rsidR="00720BB7" w:rsidRPr="00E2674C" w:rsidP="005B0F88">
            <w:pPr>
              <w:bidi w:val="0"/>
              <w:jc w:val="center"/>
              <w:rPr>
                <w:rFonts w:ascii="Times New Roman" w:hAnsi="Times New Roman"/>
                <w:b/>
                <w:bCs/>
                <w:color w:val="000000"/>
                <w:sz w:val="20"/>
                <w:szCs w:val="20"/>
              </w:rPr>
            </w:pPr>
            <w:r w:rsidRPr="00E2674C">
              <w:rPr>
                <w:rFonts w:ascii="Times New Roman" w:hAnsi="Times New Roman"/>
                <w:b/>
                <w:bCs/>
                <w:color w:val="000000"/>
                <w:sz w:val="20"/>
                <w:szCs w:val="20"/>
              </w:rPr>
              <w:t>4</w:t>
            </w:r>
          </w:p>
        </w:tc>
        <w:tc>
          <w:tcPr>
            <w:tcW w:w="992" w:type="dxa"/>
            <w:tcBorders>
              <w:top w:val="single" w:sz="4" w:space="0" w:color="FFFFFF"/>
              <w:left w:val="nil"/>
              <w:bottom w:val="single" w:sz="4" w:space="0" w:color="auto"/>
              <w:right w:val="single" w:sz="4" w:space="0" w:color="auto"/>
            </w:tcBorders>
            <w:textDirection w:val="lrTb"/>
            <w:vAlign w:val="center"/>
          </w:tcPr>
          <w:p w:rsidR="00720BB7" w:rsidRPr="00F95AFA" w:rsidP="00720BB7">
            <w:pPr>
              <w:bidi w:val="0"/>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992" w:type="dxa"/>
            <w:tcBorders>
              <w:top w:val="single" w:sz="4" w:space="0" w:color="FFFFFF"/>
              <w:left w:val="nil"/>
              <w:bottom w:val="single" w:sz="4" w:space="0" w:color="auto"/>
              <w:right w:val="single" w:sz="4" w:space="0" w:color="auto"/>
            </w:tcBorders>
            <w:shd w:val="clear" w:color="000000" w:fill="FFFFFF"/>
            <w:textDirection w:val="lrTb"/>
            <w:vAlign w:val="center"/>
            <w:hideMark/>
          </w:tcPr>
          <w:p w:rsidR="00720BB7" w:rsidRPr="00F95AFA" w:rsidP="00720BB7">
            <w:pPr>
              <w:bidi w:val="0"/>
              <w:jc w:val="center"/>
              <w:rPr>
                <w:rFonts w:ascii="Times New Roman" w:hAnsi="Times New Roman"/>
                <w:b/>
                <w:bCs/>
                <w:color w:val="000000"/>
                <w:sz w:val="20"/>
                <w:szCs w:val="20"/>
              </w:rPr>
            </w:pPr>
            <w:r>
              <w:rPr>
                <w:rFonts w:ascii="Times New Roman" w:hAnsi="Times New Roman"/>
                <w:b/>
                <w:bCs/>
                <w:color w:val="000000"/>
                <w:sz w:val="20"/>
                <w:szCs w:val="20"/>
              </w:rPr>
              <w:t>6</w:t>
            </w:r>
            <w:r w:rsidRPr="00F95AFA">
              <w:rPr>
                <w:rFonts w:ascii="Times New Roman" w:hAnsi="Times New Roman"/>
                <w:b/>
                <w:bCs/>
                <w:color w:val="000000"/>
                <w:sz w:val="20"/>
                <w:szCs w:val="20"/>
              </w:rPr>
              <w:t>=</w:t>
            </w:r>
            <w:r>
              <w:rPr>
                <w:rFonts w:ascii="Times New Roman" w:hAnsi="Times New Roman"/>
                <w:b/>
                <w:bCs/>
                <w:color w:val="000000"/>
                <w:sz w:val="20"/>
                <w:szCs w:val="20"/>
              </w:rPr>
              <w:t>3</w:t>
            </w:r>
            <w:r w:rsidRPr="00F95AFA">
              <w:rPr>
                <w:rFonts w:ascii="Times New Roman" w:hAnsi="Times New Roman"/>
                <w:b/>
                <w:bCs/>
                <w:color w:val="000000"/>
                <w:sz w:val="20"/>
                <w:szCs w:val="20"/>
              </w:rPr>
              <w:t>-</w:t>
            </w:r>
            <w:r>
              <w:rPr>
                <w:rFonts w:ascii="Times New Roman" w:hAnsi="Times New Roman"/>
                <w:b/>
                <w:bCs/>
                <w:color w:val="000000"/>
                <w:sz w:val="20"/>
                <w:szCs w:val="20"/>
              </w:rPr>
              <w:t>2</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noWrap/>
            <w:textDirection w:val="lrTb"/>
            <w:vAlign w:val="center"/>
            <w:hideMark/>
          </w:tcPr>
          <w:p w:rsidR="00E2674C" w:rsidRPr="00F95AFA" w:rsidP="00F95AFA">
            <w:pPr>
              <w:bidi w:val="0"/>
              <w:rPr>
                <w:rFonts w:ascii="Times New Roman" w:hAnsi="Times New Roman"/>
                <w:b/>
                <w:bCs/>
                <w:color w:val="000000"/>
                <w:sz w:val="20"/>
                <w:szCs w:val="20"/>
              </w:rPr>
            </w:pPr>
            <w:r w:rsidRPr="00F95AFA">
              <w:rPr>
                <w:rFonts w:ascii="Times New Roman" w:hAnsi="Times New Roman"/>
                <w:b/>
                <w:bCs/>
                <w:color w:val="000000"/>
                <w:sz w:val="20"/>
                <w:szCs w:val="20"/>
              </w:rPr>
              <w:t>Domáci dlh</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30034">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899 13</w:t>
            </w:r>
            <w:r w:rsidR="00530034">
              <w:rPr>
                <w:rFonts w:ascii="Times New Roman" w:hAnsi="Times New Roman"/>
                <w:b/>
                <w:bCs/>
                <w:color w:val="000000"/>
                <w:sz w:val="20"/>
                <w:szCs w:val="20"/>
              </w:rPr>
              <w:t>4</w:t>
            </w:r>
          </w:p>
        </w:tc>
        <w:tc>
          <w:tcPr>
            <w:tcW w:w="1134" w:type="dxa"/>
            <w:tcBorders>
              <w:top w:val="nil"/>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609 451</w:t>
            </w:r>
          </w:p>
        </w:tc>
        <w:tc>
          <w:tcPr>
            <w:tcW w:w="1134" w:type="dxa"/>
            <w:tcBorders>
              <w:top w:val="nil"/>
              <w:left w:val="nil"/>
              <w:bottom w:val="single" w:sz="4" w:space="0" w:color="auto"/>
              <w:right w:val="single" w:sz="4" w:space="0" w:color="auto"/>
            </w:tcBorders>
            <w:shd w:val="clear" w:color="auto" w:fill="D9D9D9"/>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597 467</w:t>
            </w:r>
          </w:p>
        </w:tc>
        <w:tc>
          <w:tcPr>
            <w:tcW w:w="1134" w:type="dxa"/>
            <w:tcBorders>
              <w:top w:val="nil"/>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564 670</w:t>
            </w:r>
          </w:p>
        </w:tc>
        <w:tc>
          <w:tcPr>
            <w:tcW w:w="992" w:type="dxa"/>
            <w:tcBorders>
              <w:top w:val="single" w:sz="4" w:space="0" w:color="auto"/>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b/>
                <w:bCs/>
                <w:color w:val="000000"/>
                <w:sz w:val="20"/>
                <w:szCs w:val="20"/>
              </w:rPr>
            </w:pPr>
            <w:r w:rsidRPr="00E2674C">
              <w:rPr>
                <w:rFonts w:ascii="Times New Roman" w:hAnsi="Times New Roman"/>
                <w:b/>
                <w:bCs/>
                <w:color w:val="000000"/>
                <w:sz w:val="20"/>
                <w:szCs w:val="20"/>
              </w:rPr>
              <w:t>511 589</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-11 984</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noWrap/>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úroky zo štátnych dlhopisov</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658 448</w:t>
            </w:r>
          </w:p>
        </w:tc>
        <w:tc>
          <w:tcPr>
            <w:tcW w:w="1134" w:type="dxa"/>
            <w:tcBorders>
              <w:top w:val="nil"/>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437 030</w:t>
            </w:r>
          </w:p>
        </w:tc>
        <w:tc>
          <w:tcPr>
            <w:tcW w:w="1134" w:type="dxa"/>
            <w:tcBorders>
              <w:top w:val="nil"/>
              <w:left w:val="nil"/>
              <w:bottom w:val="single" w:sz="4" w:space="0" w:color="auto"/>
              <w:right w:val="single" w:sz="4" w:space="0" w:color="auto"/>
            </w:tcBorders>
            <w:shd w:val="clear" w:color="auto" w:fill="D9D9D9"/>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434 155</w:t>
            </w:r>
          </w:p>
        </w:tc>
        <w:tc>
          <w:tcPr>
            <w:tcW w:w="1134" w:type="dxa"/>
            <w:tcBorders>
              <w:top w:val="nil"/>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383 470</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sidRPr="00E2674C">
              <w:rPr>
                <w:rFonts w:ascii="Times New Roman" w:hAnsi="Times New Roman"/>
                <w:color w:val="000000"/>
                <w:sz w:val="20"/>
                <w:szCs w:val="20"/>
              </w:rPr>
              <w:t>436 476</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-2 875</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náklady spojené s fin. operáciami štátneho dlhu</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98 347</w:t>
            </w:r>
          </w:p>
        </w:tc>
        <w:tc>
          <w:tcPr>
            <w:tcW w:w="1134" w:type="dxa"/>
            <w:tcBorders>
              <w:top w:val="nil"/>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3 177</w:t>
            </w:r>
          </w:p>
        </w:tc>
        <w:tc>
          <w:tcPr>
            <w:tcW w:w="1134" w:type="dxa"/>
            <w:tcBorders>
              <w:top w:val="nil"/>
              <w:left w:val="nil"/>
              <w:bottom w:val="single" w:sz="4" w:space="0" w:color="auto"/>
              <w:right w:val="single" w:sz="4" w:space="0" w:color="auto"/>
            </w:tcBorders>
            <w:shd w:val="clear" w:color="auto" w:fill="D9D9D9"/>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2 049</w:t>
            </w:r>
          </w:p>
        </w:tc>
        <w:tc>
          <w:tcPr>
            <w:tcW w:w="1134" w:type="dxa"/>
            <w:tcBorders>
              <w:top w:val="nil"/>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56</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29 843</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-1 128</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úroky z refinančného systému splácané do ŠP</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41 575</w:t>
            </w:r>
          </w:p>
        </w:tc>
        <w:tc>
          <w:tcPr>
            <w:tcW w:w="1134" w:type="dxa"/>
            <w:tcBorders>
              <w:top w:val="nil"/>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55 275</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52 507</w:t>
            </w:r>
          </w:p>
        </w:tc>
        <w:tc>
          <w:tcPr>
            <w:tcW w:w="1134" w:type="dxa"/>
            <w:tcBorders>
              <w:top w:val="nil"/>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14 723</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42 791</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-2 768</w:t>
            </w:r>
          </w:p>
        </w:tc>
      </w:tr>
      <w:tr>
        <w:tblPrEx>
          <w:tblW w:w="10243" w:type="dxa"/>
          <w:jc w:val="center"/>
          <w:tblInd w:w="-497" w:type="dxa"/>
          <w:tblCellMar>
            <w:left w:w="70" w:type="dxa"/>
            <w:right w:w="70" w:type="dxa"/>
          </w:tblCellMar>
          <w:tblLook w:val="04A0"/>
        </w:tblPrEx>
        <w:trPr>
          <w:trHeight w:val="300"/>
          <w:jc w:val="center"/>
        </w:trPr>
        <w:tc>
          <w:tcPr>
            <w:tcW w:w="3686" w:type="dxa"/>
            <w:tcBorders>
              <w:top w:val="single" w:sz="4" w:space="0" w:color="auto"/>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diskont vzniknutý pri emisiách št. dlhopisov</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86 757</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103 982</w:t>
            </w:r>
          </w:p>
        </w:tc>
        <w:tc>
          <w:tcPr>
            <w:tcW w:w="1134" w:type="dxa"/>
            <w:tcBorders>
              <w:top w:val="single" w:sz="4" w:space="0" w:color="auto"/>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103 982</w:t>
            </w:r>
          </w:p>
        </w:tc>
        <w:tc>
          <w:tcPr>
            <w:tcW w:w="1134"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156 305</w:t>
            </w:r>
          </w:p>
        </w:tc>
        <w:tc>
          <w:tcPr>
            <w:tcW w:w="992" w:type="dxa"/>
            <w:tcBorders>
              <w:top w:val="single" w:sz="4" w:space="0" w:color="auto"/>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262</w:t>
            </w:r>
          </w:p>
        </w:tc>
        <w:tc>
          <w:tcPr>
            <w:tcW w:w="992" w:type="dxa"/>
            <w:tcBorders>
              <w:top w:val="single" w:sz="4" w:space="0" w:color="auto"/>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noWrap/>
            <w:textDirection w:val="lrTb"/>
            <w:vAlign w:val="center"/>
            <w:hideMark/>
          </w:tcPr>
          <w:p w:rsidR="00E2674C" w:rsidRPr="00F95AFA" w:rsidP="00F95AFA">
            <w:pPr>
              <w:bidi w:val="0"/>
              <w:rPr>
                <w:rFonts w:ascii="Times New Roman" w:hAnsi="Times New Roman"/>
                <w:color w:val="000000"/>
                <w:sz w:val="20"/>
                <w:szCs w:val="20"/>
              </w:rPr>
            </w:pPr>
            <w:r w:rsidR="00C36624">
              <w:rPr>
                <w:rFonts w:ascii="Times New Roman" w:hAnsi="Times New Roman"/>
                <w:color w:val="000000"/>
                <w:sz w:val="20"/>
                <w:szCs w:val="20"/>
              </w:rPr>
              <w:t xml:space="preserve">úroky z poskytnutých </w:t>
            </w:r>
            <w:r w:rsidRPr="00F95AFA">
              <w:rPr>
                <w:rFonts w:ascii="Times New Roman" w:hAnsi="Times New Roman"/>
                <w:color w:val="000000"/>
                <w:sz w:val="20"/>
                <w:szCs w:val="20"/>
              </w:rPr>
              <w:t>úverov</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00530034">
              <w:rPr>
                <w:rFonts w:ascii="Times New Roman" w:hAnsi="Times New Roman"/>
                <w:color w:val="000000"/>
                <w:sz w:val="20"/>
                <w:szCs w:val="20"/>
              </w:rPr>
              <w:t>8</w:t>
            </w:r>
          </w:p>
        </w:tc>
        <w:tc>
          <w:tcPr>
            <w:tcW w:w="1134" w:type="dxa"/>
            <w:tcBorders>
              <w:top w:val="nil"/>
              <w:left w:val="single" w:sz="4" w:space="0" w:color="auto"/>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8</w:t>
            </w:r>
          </w:p>
        </w:tc>
        <w:tc>
          <w:tcPr>
            <w:tcW w:w="1134" w:type="dxa"/>
            <w:tcBorders>
              <w:top w:val="nil"/>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31</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683</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noWrap/>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poplatky</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14 000</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9 980</w:t>
            </w:r>
          </w:p>
        </w:tc>
        <w:tc>
          <w:tcPr>
            <w:tcW w:w="1134" w:type="dxa"/>
            <w:tcBorders>
              <w:top w:val="nil"/>
              <w:left w:val="nil"/>
              <w:bottom w:val="single" w:sz="4" w:space="0" w:color="auto"/>
              <w:right w:val="single" w:sz="4" w:space="0" w:color="auto"/>
            </w:tcBorders>
            <w:shd w:val="clear" w:color="auto" w:fill="D9D9D9"/>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4 767</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10 085</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1483</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-5 213</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noWrap/>
            <w:textDirection w:val="lrTb"/>
            <w:vAlign w:val="center"/>
            <w:hideMark/>
          </w:tcPr>
          <w:p w:rsidR="00E2674C" w:rsidRPr="00F95AFA" w:rsidP="00F95AFA">
            <w:pPr>
              <w:bidi w:val="0"/>
              <w:rPr>
                <w:rFonts w:ascii="Times New Roman" w:hAnsi="Times New Roman"/>
                <w:b/>
                <w:bCs/>
                <w:color w:val="000000"/>
                <w:sz w:val="20"/>
                <w:szCs w:val="20"/>
              </w:rPr>
            </w:pPr>
            <w:r w:rsidRPr="00F95AFA">
              <w:rPr>
                <w:rFonts w:ascii="Times New Roman" w:hAnsi="Times New Roman"/>
                <w:b/>
                <w:bCs/>
                <w:color w:val="000000"/>
                <w:sz w:val="20"/>
                <w:szCs w:val="20"/>
              </w:rPr>
              <w:t>Zahraničný dlh</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264 055</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434 055</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409 180</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299 405</w:t>
            </w:r>
          </w:p>
        </w:tc>
        <w:tc>
          <w:tcPr>
            <w:tcW w:w="992" w:type="dxa"/>
            <w:tcBorders>
              <w:top w:val="nil"/>
              <w:left w:val="nil"/>
              <w:bottom w:val="single" w:sz="4" w:space="0" w:color="auto"/>
              <w:right w:val="single" w:sz="4" w:space="0" w:color="auto"/>
            </w:tcBorders>
            <w:noWrap/>
            <w:textDirection w:val="lrTb"/>
            <w:vAlign w:val="center"/>
          </w:tcPr>
          <w:p w:rsidR="00E2674C" w:rsidRPr="00E2674C" w:rsidP="005B0F88">
            <w:pPr>
              <w:bidi w:val="0"/>
              <w:jc w:val="right"/>
              <w:rPr>
                <w:rFonts w:ascii="Times New Roman" w:hAnsi="Times New Roman"/>
                <w:b/>
                <w:bCs/>
                <w:color w:val="000000"/>
                <w:sz w:val="20"/>
                <w:szCs w:val="20"/>
              </w:rPr>
            </w:pPr>
            <w:r>
              <w:rPr>
                <w:rFonts w:ascii="Times New Roman" w:hAnsi="Times New Roman"/>
                <w:b/>
                <w:bCs/>
                <w:color w:val="000000"/>
                <w:sz w:val="20"/>
                <w:szCs w:val="20"/>
              </w:rPr>
              <w:t>251 174</w:t>
            </w:r>
          </w:p>
        </w:tc>
        <w:tc>
          <w:tcPr>
            <w:tcW w:w="992" w:type="dxa"/>
            <w:tcBorders>
              <w:top w:val="nil"/>
              <w:left w:val="nil"/>
              <w:bottom w:val="single" w:sz="4" w:space="0" w:color="auto"/>
              <w:right w:val="single" w:sz="4" w:space="0" w:color="auto"/>
            </w:tcBorders>
            <w:noWrap/>
            <w:textDirection w:val="lrTb"/>
            <w:vAlign w:val="center"/>
            <w:hideMark/>
          </w:tcPr>
          <w:p w:rsidR="00E2674C" w:rsidRPr="00F95AFA" w:rsidP="00F95AFA">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-24 875</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úroky zo štátnych dlhopisov vydaných v zahraničí</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232 875</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392 875</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380 393</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266 594</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205 608</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-12 482</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náklady spojené s fin. operáciami štátneho dlhu</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9 982</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16</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526</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91</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-9 966</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diskont vzniknutý pri emisiách št. dlhopisov</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1 550</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0</w:t>
            </w:r>
          </w:p>
        </w:tc>
      </w:tr>
      <w:tr>
        <w:tblPrEx>
          <w:tblW w:w="10243" w:type="dxa"/>
          <w:jc w:val="center"/>
          <w:tblInd w:w="-497" w:type="dxa"/>
          <w:tblCellMar>
            <w:left w:w="70" w:type="dxa"/>
            <w:right w:w="70" w:type="dxa"/>
          </w:tblCellMar>
          <w:tblLook w:val="04A0"/>
        </w:tblPrEx>
        <w:trPr>
          <w:trHeight w:val="300"/>
          <w:jc w:val="center"/>
        </w:trPr>
        <w:tc>
          <w:tcPr>
            <w:tcW w:w="3686" w:type="dxa"/>
            <w:tcBorders>
              <w:top w:val="nil"/>
              <w:left w:val="single" w:sz="4" w:space="0" w:color="auto"/>
              <w:bottom w:val="single" w:sz="4" w:space="0" w:color="auto"/>
              <w:right w:val="single" w:sz="4" w:space="0" w:color="auto"/>
            </w:tcBorders>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úroky z úverov prijatých zo zahraničia</w:t>
            </w:r>
          </w:p>
        </w:tc>
        <w:tc>
          <w:tcPr>
            <w:tcW w:w="1171" w:type="dxa"/>
            <w:tcBorders>
              <w:top w:val="single" w:sz="4" w:space="0" w:color="auto"/>
              <w:left w:val="nil"/>
              <w:bottom w:val="single" w:sz="4"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28 180</w:t>
            </w:r>
          </w:p>
        </w:tc>
        <w:tc>
          <w:tcPr>
            <w:tcW w:w="1134" w:type="dxa"/>
            <w:tcBorders>
              <w:top w:val="nil"/>
              <w:left w:val="single" w:sz="4" w:space="0" w:color="auto"/>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28 198</w:t>
            </w:r>
          </w:p>
        </w:tc>
        <w:tc>
          <w:tcPr>
            <w:tcW w:w="1134" w:type="dxa"/>
            <w:tcBorders>
              <w:top w:val="nil"/>
              <w:left w:val="nil"/>
              <w:bottom w:val="single" w:sz="4"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28 197</w:t>
            </w:r>
          </w:p>
        </w:tc>
        <w:tc>
          <w:tcPr>
            <w:tcW w:w="1134" w:type="dxa"/>
            <w:tcBorders>
              <w:top w:val="nil"/>
              <w:left w:val="nil"/>
              <w:bottom w:val="single" w:sz="4"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30 112</w:t>
            </w:r>
          </w:p>
        </w:tc>
        <w:tc>
          <w:tcPr>
            <w:tcW w:w="992" w:type="dxa"/>
            <w:tcBorders>
              <w:top w:val="nil"/>
              <w:left w:val="nil"/>
              <w:bottom w:val="single" w:sz="4"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41 778</w:t>
            </w:r>
          </w:p>
        </w:tc>
        <w:tc>
          <w:tcPr>
            <w:tcW w:w="992" w:type="dxa"/>
            <w:tcBorders>
              <w:top w:val="nil"/>
              <w:left w:val="nil"/>
              <w:bottom w:val="single" w:sz="4"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-1</w:t>
            </w:r>
          </w:p>
        </w:tc>
      </w:tr>
      <w:tr>
        <w:tblPrEx>
          <w:tblW w:w="10243" w:type="dxa"/>
          <w:jc w:val="center"/>
          <w:tblInd w:w="-497" w:type="dxa"/>
          <w:tblCellMar>
            <w:left w:w="70" w:type="dxa"/>
            <w:right w:w="70" w:type="dxa"/>
          </w:tblCellMar>
          <w:tblLook w:val="04A0"/>
        </w:tblPrEx>
        <w:trPr>
          <w:trHeight w:val="315"/>
          <w:jc w:val="center"/>
        </w:trPr>
        <w:tc>
          <w:tcPr>
            <w:tcW w:w="3686" w:type="dxa"/>
            <w:tcBorders>
              <w:top w:val="single" w:sz="4" w:space="0" w:color="auto"/>
              <w:left w:val="single" w:sz="4" w:space="0" w:color="auto"/>
              <w:bottom w:val="double" w:sz="6" w:space="0" w:color="auto"/>
              <w:right w:val="single" w:sz="4" w:space="0" w:color="auto"/>
            </w:tcBorders>
            <w:noWrap/>
            <w:textDirection w:val="lrTb"/>
            <w:vAlign w:val="center"/>
            <w:hideMark/>
          </w:tcPr>
          <w:p w:rsidR="00E2674C" w:rsidRPr="00F95AFA" w:rsidP="00F95AFA">
            <w:pPr>
              <w:bidi w:val="0"/>
              <w:rPr>
                <w:rFonts w:ascii="Times New Roman" w:hAnsi="Times New Roman"/>
                <w:color w:val="000000"/>
                <w:sz w:val="20"/>
                <w:szCs w:val="20"/>
              </w:rPr>
            </w:pPr>
            <w:r w:rsidRPr="00F95AFA">
              <w:rPr>
                <w:rFonts w:ascii="Times New Roman" w:hAnsi="Times New Roman"/>
                <w:color w:val="000000"/>
                <w:sz w:val="20"/>
                <w:szCs w:val="20"/>
              </w:rPr>
              <w:t>poplatky</w:t>
            </w:r>
          </w:p>
        </w:tc>
        <w:tc>
          <w:tcPr>
            <w:tcW w:w="1171" w:type="dxa"/>
            <w:tcBorders>
              <w:top w:val="single" w:sz="4" w:space="0" w:color="auto"/>
              <w:left w:val="nil"/>
              <w:bottom w:val="double" w:sz="6" w:space="0" w:color="auto"/>
              <w:right w:val="single" w:sz="4" w:space="0" w:color="auto"/>
            </w:tcBorders>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3 000</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3 000</w:t>
            </w:r>
          </w:p>
        </w:tc>
        <w:tc>
          <w:tcPr>
            <w:tcW w:w="1134" w:type="dxa"/>
            <w:tcBorders>
              <w:top w:val="single" w:sz="4" w:space="0" w:color="auto"/>
              <w:left w:val="nil"/>
              <w:bottom w:val="double" w:sz="6" w:space="0" w:color="auto"/>
              <w:right w:val="single" w:sz="4" w:space="0" w:color="auto"/>
            </w:tcBorders>
            <w:shd w:val="clear" w:color="auto" w:fill="D9D9D9"/>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573</w:t>
            </w:r>
          </w:p>
        </w:tc>
        <w:tc>
          <w:tcPr>
            <w:tcW w:w="1134" w:type="dxa"/>
            <w:tcBorders>
              <w:top w:val="single" w:sz="4" w:space="0" w:color="auto"/>
              <w:left w:val="nil"/>
              <w:bottom w:val="double" w:sz="6" w:space="0" w:color="auto"/>
              <w:right w:val="single" w:sz="4" w:space="0" w:color="auto"/>
            </w:tcBorders>
            <w:noWrap/>
            <w:textDirection w:val="lrTb"/>
            <w:vAlign w:val="center"/>
          </w:tcPr>
          <w:p w:rsidR="00E2674C" w:rsidRPr="00F95AFA" w:rsidP="005B0F88">
            <w:pPr>
              <w:bidi w:val="0"/>
              <w:jc w:val="right"/>
              <w:rPr>
                <w:rFonts w:ascii="Times New Roman" w:hAnsi="Times New Roman"/>
                <w:color w:val="000000"/>
                <w:sz w:val="20"/>
                <w:szCs w:val="20"/>
              </w:rPr>
            </w:pPr>
            <w:r w:rsidRPr="00F95AFA">
              <w:rPr>
                <w:rFonts w:ascii="Times New Roman" w:hAnsi="Times New Roman"/>
                <w:color w:val="000000"/>
                <w:sz w:val="20"/>
                <w:szCs w:val="20"/>
              </w:rPr>
              <w:t>623</w:t>
            </w:r>
          </w:p>
        </w:tc>
        <w:tc>
          <w:tcPr>
            <w:tcW w:w="992" w:type="dxa"/>
            <w:tcBorders>
              <w:top w:val="single" w:sz="4" w:space="0" w:color="auto"/>
              <w:left w:val="nil"/>
              <w:bottom w:val="double" w:sz="6" w:space="0" w:color="auto"/>
              <w:right w:val="single" w:sz="4" w:space="0" w:color="auto"/>
            </w:tcBorders>
            <w:textDirection w:val="lrTb"/>
            <w:vAlign w:val="center"/>
          </w:tcPr>
          <w:p w:rsidR="00E2674C" w:rsidRPr="00E2674C" w:rsidP="005B0F88">
            <w:pPr>
              <w:bidi w:val="0"/>
              <w:jc w:val="right"/>
              <w:rPr>
                <w:rFonts w:ascii="Times New Roman" w:hAnsi="Times New Roman"/>
                <w:color w:val="000000"/>
                <w:sz w:val="20"/>
                <w:szCs w:val="20"/>
              </w:rPr>
            </w:pPr>
            <w:r>
              <w:rPr>
                <w:rFonts w:ascii="Times New Roman" w:hAnsi="Times New Roman"/>
                <w:color w:val="000000"/>
                <w:sz w:val="20"/>
                <w:szCs w:val="20"/>
              </w:rPr>
              <w:t>3 697</w:t>
            </w:r>
          </w:p>
        </w:tc>
        <w:tc>
          <w:tcPr>
            <w:tcW w:w="992" w:type="dxa"/>
            <w:tcBorders>
              <w:top w:val="single" w:sz="4" w:space="0" w:color="auto"/>
              <w:left w:val="nil"/>
              <w:bottom w:val="double" w:sz="6" w:space="0" w:color="auto"/>
              <w:right w:val="single" w:sz="4" w:space="0" w:color="auto"/>
            </w:tcBorders>
            <w:textDirection w:val="lrTb"/>
            <w:vAlign w:val="center"/>
            <w:hideMark/>
          </w:tcPr>
          <w:p w:rsidR="00E2674C" w:rsidRPr="00F95AFA" w:rsidP="00F95AFA">
            <w:pPr>
              <w:bidi w:val="0"/>
              <w:jc w:val="right"/>
              <w:rPr>
                <w:rFonts w:ascii="Times New Roman" w:hAnsi="Times New Roman"/>
                <w:color w:val="000000"/>
                <w:sz w:val="20"/>
                <w:szCs w:val="20"/>
              </w:rPr>
            </w:pPr>
            <w:r w:rsidRPr="00F95AFA">
              <w:rPr>
                <w:rFonts w:ascii="Times New Roman" w:hAnsi="Times New Roman"/>
                <w:color w:val="000000"/>
                <w:sz w:val="20"/>
                <w:szCs w:val="20"/>
              </w:rPr>
              <w:t>-2 427</w:t>
            </w:r>
          </w:p>
        </w:tc>
      </w:tr>
      <w:tr>
        <w:tblPrEx>
          <w:tblW w:w="10243" w:type="dxa"/>
          <w:jc w:val="center"/>
          <w:tblInd w:w="-497" w:type="dxa"/>
          <w:tblCellMar>
            <w:left w:w="70" w:type="dxa"/>
            <w:right w:w="70" w:type="dxa"/>
          </w:tblCellMar>
          <w:tblLook w:val="04A0"/>
        </w:tblPrEx>
        <w:trPr>
          <w:trHeight w:val="315"/>
          <w:jc w:val="center"/>
        </w:trPr>
        <w:tc>
          <w:tcPr>
            <w:tcW w:w="3686"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2674C" w:rsidRPr="00F95AFA" w:rsidP="00F95AFA">
            <w:pPr>
              <w:bidi w:val="0"/>
              <w:rPr>
                <w:rFonts w:ascii="Times New Roman" w:hAnsi="Times New Roman"/>
                <w:b/>
                <w:bCs/>
                <w:color w:val="000000"/>
                <w:sz w:val="20"/>
                <w:szCs w:val="20"/>
              </w:rPr>
            </w:pPr>
            <w:r w:rsidRPr="00F95AFA">
              <w:rPr>
                <w:rFonts w:ascii="Times New Roman" w:hAnsi="Times New Roman"/>
                <w:b/>
                <w:bCs/>
                <w:color w:val="000000"/>
                <w:sz w:val="20"/>
                <w:szCs w:val="20"/>
              </w:rPr>
              <w:t>Spolu</w:t>
            </w:r>
          </w:p>
        </w:tc>
        <w:tc>
          <w:tcPr>
            <w:tcW w:w="1171" w:type="dxa"/>
            <w:tcBorders>
              <w:top w:val="double" w:sz="6" w:space="0" w:color="auto"/>
              <w:left w:val="nil"/>
              <w:bottom w:val="single" w:sz="4" w:space="0" w:color="auto"/>
              <w:right w:val="single" w:sz="4" w:space="0" w:color="auto"/>
            </w:tcBorders>
            <w:shd w:val="clear" w:color="000000" w:fill="FFFFFF"/>
            <w:textDirection w:val="lrTb"/>
            <w:vAlign w:val="top"/>
          </w:tcPr>
          <w:p w:rsidR="00E2674C" w:rsidRPr="00F95AFA" w:rsidP="00665625">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1 163</w:t>
            </w:r>
            <w:r>
              <w:rPr>
                <w:rFonts w:ascii="Times New Roman" w:hAnsi="Times New Roman"/>
                <w:b/>
                <w:bCs/>
                <w:color w:val="000000"/>
                <w:sz w:val="20"/>
                <w:szCs w:val="20"/>
              </w:rPr>
              <w:t> </w:t>
            </w:r>
            <w:r w:rsidRPr="00F95AFA">
              <w:rPr>
                <w:rFonts w:ascii="Times New Roman" w:hAnsi="Times New Roman"/>
                <w:b/>
                <w:bCs/>
                <w:color w:val="000000"/>
                <w:sz w:val="20"/>
                <w:szCs w:val="20"/>
              </w:rPr>
              <w:t>18</w:t>
            </w:r>
            <w:r w:rsidR="00665625">
              <w:rPr>
                <w:rFonts w:ascii="Times New Roman" w:hAnsi="Times New Roman"/>
                <w:b/>
                <w:bCs/>
                <w:color w:val="000000"/>
                <w:sz w:val="20"/>
                <w:szCs w:val="20"/>
              </w:rPr>
              <w:t>9</w:t>
            </w:r>
          </w:p>
        </w:tc>
        <w:tc>
          <w:tcPr>
            <w:tcW w:w="113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2674C" w:rsidRPr="00F95AFA" w:rsidP="00F95AFA">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1 043</w:t>
            </w:r>
            <w:r>
              <w:rPr>
                <w:rFonts w:ascii="Times New Roman" w:hAnsi="Times New Roman"/>
                <w:b/>
                <w:bCs/>
                <w:color w:val="000000"/>
                <w:sz w:val="20"/>
                <w:szCs w:val="20"/>
              </w:rPr>
              <w:t> </w:t>
            </w:r>
            <w:r w:rsidRPr="00F95AFA">
              <w:rPr>
                <w:rFonts w:ascii="Times New Roman" w:hAnsi="Times New Roman"/>
                <w:b/>
                <w:bCs/>
                <w:color w:val="000000"/>
                <w:sz w:val="20"/>
                <w:szCs w:val="20"/>
              </w:rPr>
              <w:t>506</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E2674C" w:rsidRPr="00F95AFA" w:rsidP="00F95AFA">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1 006 647</w:t>
            </w:r>
          </w:p>
        </w:tc>
        <w:tc>
          <w:tcPr>
            <w:tcW w:w="1134" w:type="dxa"/>
            <w:tcBorders>
              <w:top w:val="nil"/>
              <w:left w:val="nil"/>
              <w:bottom w:val="single" w:sz="4" w:space="0" w:color="auto"/>
              <w:right w:val="single" w:sz="4" w:space="0" w:color="auto"/>
            </w:tcBorders>
            <w:shd w:val="clear" w:color="000000" w:fill="FFFFFF"/>
            <w:noWrap/>
            <w:textDirection w:val="lrTb"/>
            <w:vAlign w:val="center"/>
          </w:tcPr>
          <w:p w:rsidR="00E2674C" w:rsidRPr="00F95AFA" w:rsidP="005B0F88">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864</w:t>
            </w:r>
            <w:r>
              <w:rPr>
                <w:rFonts w:ascii="Times New Roman" w:hAnsi="Times New Roman"/>
                <w:b/>
                <w:bCs/>
                <w:color w:val="000000"/>
                <w:sz w:val="20"/>
                <w:szCs w:val="20"/>
              </w:rPr>
              <w:t> </w:t>
            </w:r>
            <w:r w:rsidRPr="00F95AFA">
              <w:rPr>
                <w:rFonts w:ascii="Times New Roman" w:hAnsi="Times New Roman"/>
                <w:b/>
                <w:bCs/>
                <w:color w:val="000000"/>
                <w:sz w:val="20"/>
                <w:szCs w:val="20"/>
              </w:rPr>
              <w:t>075</w:t>
            </w:r>
          </w:p>
        </w:tc>
        <w:tc>
          <w:tcPr>
            <w:tcW w:w="992" w:type="dxa"/>
            <w:tcBorders>
              <w:top w:val="nil"/>
              <w:left w:val="nil"/>
              <w:bottom w:val="single" w:sz="4" w:space="0" w:color="auto"/>
              <w:right w:val="single" w:sz="4" w:space="0" w:color="auto"/>
            </w:tcBorders>
            <w:noWrap/>
            <w:textDirection w:val="lrTb"/>
            <w:vAlign w:val="center"/>
          </w:tcPr>
          <w:p w:rsidR="00E2674C" w:rsidRPr="00F95AFA" w:rsidP="000665C1">
            <w:pPr>
              <w:bidi w:val="0"/>
              <w:jc w:val="right"/>
              <w:rPr>
                <w:rFonts w:ascii="Times New Roman" w:hAnsi="Times New Roman"/>
                <w:b/>
                <w:bCs/>
                <w:color w:val="000000"/>
                <w:sz w:val="20"/>
                <w:szCs w:val="20"/>
              </w:rPr>
            </w:pPr>
            <w:r>
              <w:rPr>
                <w:rFonts w:ascii="Times New Roman" w:hAnsi="Times New Roman"/>
                <w:b/>
                <w:bCs/>
                <w:color w:val="000000"/>
                <w:sz w:val="20"/>
                <w:szCs w:val="20"/>
              </w:rPr>
              <w:t>762 71</w:t>
            </w:r>
            <w:r w:rsidR="000665C1">
              <w:rPr>
                <w:rFonts w:ascii="Times New Roman" w:hAnsi="Times New Roman"/>
                <w:b/>
                <w:bCs/>
                <w:color w:val="000000"/>
                <w:sz w:val="20"/>
                <w:szCs w:val="20"/>
              </w:rPr>
              <w:t>3</w:t>
            </w:r>
          </w:p>
        </w:tc>
        <w:tc>
          <w:tcPr>
            <w:tcW w:w="992" w:type="dxa"/>
            <w:tcBorders>
              <w:top w:val="nil"/>
              <w:left w:val="nil"/>
              <w:bottom w:val="single" w:sz="4" w:space="0" w:color="auto"/>
              <w:right w:val="single" w:sz="4" w:space="0" w:color="auto"/>
            </w:tcBorders>
            <w:shd w:val="clear" w:color="000000" w:fill="FFFFFF"/>
            <w:noWrap/>
            <w:textDirection w:val="lrTb"/>
            <w:vAlign w:val="center"/>
            <w:hideMark/>
          </w:tcPr>
          <w:p w:rsidR="00E2674C" w:rsidRPr="00F95AFA" w:rsidP="00F95AFA">
            <w:pPr>
              <w:bidi w:val="0"/>
              <w:jc w:val="right"/>
              <w:rPr>
                <w:rFonts w:ascii="Times New Roman" w:hAnsi="Times New Roman"/>
                <w:b/>
                <w:bCs/>
                <w:color w:val="000000"/>
                <w:sz w:val="20"/>
                <w:szCs w:val="20"/>
              </w:rPr>
            </w:pPr>
            <w:r w:rsidRPr="00F95AFA">
              <w:rPr>
                <w:rFonts w:ascii="Times New Roman" w:hAnsi="Times New Roman"/>
                <w:b/>
                <w:bCs/>
                <w:color w:val="000000"/>
                <w:sz w:val="20"/>
                <w:szCs w:val="20"/>
              </w:rPr>
              <w:t>-36 859</w:t>
            </w:r>
          </w:p>
        </w:tc>
      </w:tr>
    </w:tbl>
    <w:p w:rsidR="00870857" w:rsidRPr="00870857" w:rsidP="00F95AFA">
      <w:pPr>
        <w:bidi w:val="0"/>
        <w:spacing w:line="276" w:lineRule="auto"/>
        <w:jc w:val="both"/>
        <w:rPr>
          <w:rFonts w:ascii="Times New Roman" w:hAnsi="Times New Roman"/>
          <w:sz w:val="20"/>
          <w:szCs w:val="20"/>
        </w:rPr>
      </w:pPr>
      <w:r w:rsidR="00F95AFA">
        <w:rPr>
          <w:rFonts w:ascii="Times New Roman" w:hAnsi="Times New Roman"/>
          <w:sz w:val="20"/>
          <w:szCs w:val="20"/>
        </w:rPr>
        <w:t>Zdroj</w:t>
      </w:r>
      <w:r>
        <w:rPr>
          <w:rFonts w:ascii="Times New Roman" w:hAnsi="Times New Roman"/>
          <w:sz w:val="20"/>
          <w:szCs w:val="20"/>
        </w:rPr>
        <w:t>: Ministerstvo financií SR</w:t>
      </w:r>
    </w:p>
    <w:p w:rsidR="00DD509A" w:rsidRPr="000D2AE0" w:rsidP="000D2AE0">
      <w:pPr>
        <w:pStyle w:val="Heading4"/>
        <w:bidi w:val="0"/>
        <w:spacing w:line="360" w:lineRule="auto"/>
        <w:jc w:val="center"/>
        <w:rPr>
          <w:rFonts w:ascii="Times New Roman" w:hAnsi="Times New Roman"/>
          <w:sz w:val="24"/>
          <w:szCs w:val="24"/>
        </w:rPr>
      </w:pPr>
      <w:r w:rsidR="000D2AE0">
        <w:rPr>
          <w:rFonts w:ascii="Times New Roman" w:hAnsi="Times New Roman"/>
          <w:sz w:val="24"/>
          <w:szCs w:val="24"/>
        </w:rPr>
        <w:t xml:space="preserve">3.4.1.2. </w:t>
      </w:r>
      <w:r w:rsidRPr="000D2AE0" w:rsidR="006F3414">
        <w:rPr>
          <w:rFonts w:ascii="Times New Roman" w:hAnsi="Times New Roman"/>
          <w:sz w:val="24"/>
          <w:szCs w:val="24"/>
        </w:rPr>
        <w:t>Kapitálové výdavky</w:t>
      </w:r>
    </w:p>
    <w:p w:rsidR="006F3414" w:rsidP="00EA0890">
      <w:pPr>
        <w:bidi w:val="0"/>
        <w:spacing w:before="120" w:after="120" w:line="360" w:lineRule="auto"/>
        <w:ind w:firstLine="708"/>
        <w:jc w:val="both"/>
        <w:rPr>
          <w:rFonts w:ascii="Times New Roman" w:hAnsi="Times New Roman"/>
        </w:rPr>
      </w:pPr>
      <w:r w:rsidRPr="00D30871">
        <w:rPr>
          <w:rFonts w:ascii="Times New Roman" w:hAnsi="Times New Roman"/>
        </w:rPr>
        <w:t>Rozpočet kapitálových výdavkov na rok 2011 predstavoval sumu 2 891 587 tis. eur, ktorá sa rozpočtovými opatreniami zvýšila na 3 715 369 tis. eur. V skutočnosti sa čer</w:t>
      </w:r>
      <w:r w:rsidR="000D2AE0">
        <w:rPr>
          <w:rFonts w:ascii="Times New Roman" w:hAnsi="Times New Roman"/>
        </w:rPr>
        <w:t>palo 2 495 195 tis. eur (</w:t>
      </w:r>
      <w:r w:rsidRPr="00D30871">
        <w:rPr>
          <w:rFonts w:ascii="Times New Roman" w:hAnsi="Times New Roman"/>
        </w:rPr>
        <w:t>2010</w:t>
      </w:r>
      <w:r w:rsidR="000D2AE0">
        <w:rPr>
          <w:rFonts w:ascii="Times New Roman" w:hAnsi="Times New Roman"/>
        </w:rPr>
        <w:t>:</w:t>
      </w:r>
      <w:r w:rsidRPr="00D30871">
        <w:rPr>
          <w:rFonts w:ascii="Times New Roman" w:hAnsi="Times New Roman"/>
        </w:rPr>
        <w:t xml:space="preserve"> 2 368 608 tis. eur). Prehľad kapitálových výdavkov v základnej ekonomickej štruktúre</w:t>
      </w:r>
      <w:r w:rsidR="001D15F2">
        <w:rPr>
          <w:rFonts w:ascii="Times New Roman" w:hAnsi="Times New Roman"/>
        </w:rPr>
        <w:t xml:space="preserve"> poskytuje nasledovná tabuľka:</w:t>
      </w:r>
    </w:p>
    <w:tbl>
      <w:tblPr>
        <w:tblStyle w:val="TableNormal"/>
        <w:tblW w:w="10080" w:type="dxa"/>
        <w:jc w:val="center"/>
        <w:tblInd w:w="-640" w:type="dxa"/>
        <w:tblCellMar>
          <w:left w:w="70" w:type="dxa"/>
          <w:right w:w="70" w:type="dxa"/>
        </w:tblCellMar>
        <w:tblLook w:val="04A0"/>
      </w:tblPr>
      <w:tblGrid>
        <w:gridCol w:w="2850"/>
        <w:gridCol w:w="1276"/>
        <w:gridCol w:w="1134"/>
        <w:gridCol w:w="1276"/>
        <w:gridCol w:w="1276"/>
        <w:gridCol w:w="1134"/>
        <w:gridCol w:w="1134"/>
      </w:tblGrid>
      <w:tr>
        <w:tblPrEx>
          <w:tblW w:w="10080" w:type="dxa"/>
          <w:jc w:val="center"/>
          <w:tblInd w:w="-640" w:type="dxa"/>
          <w:tblCellMar>
            <w:left w:w="70" w:type="dxa"/>
            <w:right w:w="70" w:type="dxa"/>
          </w:tblCellMar>
          <w:tblLook w:val="04A0"/>
        </w:tblPrEx>
        <w:trPr>
          <w:trHeight w:hRule="exact" w:val="345"/>
          <w:jc w:val="center"/>
        </w:trPr>
        <w:tc>
          <w:tcPr>
            <w:tcW w:w="2850" w:type="dxa"/>
            <w:vMerge w:val="restart"/>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6F3414" w:rsidRPr="00F9182D" w:rsidP="00F72899">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Ukazovateľ</w:t>
            </w:r>
          </w:p>
          <w:p w:rsidR="00870857" w:rsidRPr="00F9182D" w:rsidP="00870857">
            <w:pPr>
              <w:bidi w:val="0"/>
              <w:rPr>
                <w:rFonts w:ascii="Times New Roman" w:hAnsi="Times New Roman"/>
                <w:b/>
                <w:bCs/>
                <w:color w:val="FFFFFF"/>
                <w:sz w:val="20"/>
                <w:szCs w:val="20"/>
              </w:rPr>
            </w:pPr>
            <w:r w:rsidRPr="00F9182D">
              <w:rPr>
                <w:rFonts w:ascii="Times New Roman" w:hAnsi="Times New Roman"/>
                <w:b/>
                <w:bCs/>
                <w:color w:val="FFFFFF"/>
                <w:sz w:val="20"/>
                <w:szCs w:val="20"/>
              </w:rPr>
              <w:t>(v tis.</w:t>
            </w:r>
            <w:r w:rsidRPr="00F9182D" w:rsidR="00F95AFA">
              <w:rPr>
                <w:rFonts w:ascii="Times New Roman" w:hAnsi="Times New Roman"/>
                <w:b/>
                <w:bCs/>
                <w:color w:val="FFFFFF"/>
                <w:sz w:val="20"/>
                <w:szCs w:val="20"/>
              </w:rPr>
              <w:t xml:space="preserve"> </w:t>
            </w:r>
            <w:r w:rsidRPr="00F9182D">
              <w:rPr>
                <w:rFonts w:ascii="Times New Roman" w:hAnsi="Times New Roman"/>
                <w:b/>
                <w:bCs/>
                <w:color w:val="FFFFFF"/>
                <w:sz w:val="20"/>
                <w:szCs w:val="20"/>
              </w:rPr>
              <w:t>eur)</w:t>
            </w:r>
          </w:p>
        </w:tc>
        <w:tc>
          <w:tcPr>
            <w:tcW w:w="2410" w:type="dxa"/>
            <w:gridSpan w:val="2"/>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6F3414" w:rsidRPr="00F9182D" w:rsidP="00F72899">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Rozpočet 2011</w:t>
            </w:r>
          </w:p>
        </w:tc>
        <w:tc>
          <w:tcPr>
            <w:tcW w:w="3686" w:type="dxa"/>
            <w:gridSpan w:val="3"/>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6F3414" w:rsidRPr="00F9182D" w:rsidP="00F72899">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Skutočnosť</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6F3414" w:rsidRPr="00F9182D" w:rsidP="00F72899">
            <w:pPr>
              <w:bidi w:val="0"/>
              <w:jc w:val="center"/>
              <w:rPr>
                <w:rFonts w:ascii="Times New Roman" w:hAnsi="Times New Roman"/>
                <w:b/>
                <w:bCs/>
                <w:color w:val="FFFFFF"/>
                <w:sz w:val="20"/>
                <w:szCs w:val="20"/>
              </w:rPr>
            </w:pPr>
            <w:r w:rsidRPr="00F9182D">
              <w:rPr>
                <w:rFonts w:ascii="Times New Roman" w:hAnsi="Times New Roman"/>
                <w:b/>
                <w:bCs/>
                <w:color w:val="FFFFFF"/>
                <w:sz w:val="20"/>
                <w:szCs w:val="20"/>
              </w:rPr>
              <w:t>Rozdiel</w:t>
            </w:r>
          </w:p>
        </w:tc>
      </w:tr>
      <w:tr>
        <w:tblPrEx>
          <w:tblW w:w="10080" w:type="dxa"/>
          <w:jc w:val="center"/>
          <w:tblInd w:w="-640" w:type="dxa"/>
          <w:tblCellMar>
            <w:left w:w="70" w:type="dxa"/>
            <w:right w:w="70" w:type="dxa"/>
          </w:tblCellMar>
          <w:tblLook w:val="04A0"/>
        </w:tblPrEx>
        <w:trPr>
          <w:trHeight w:val="345"/>
          <w:jc w:val="center"/>
        </w:trPr>
        <w:tc>
          <w:tcPr>
            <w:tcW w:w="2850" w:type="dxa"/>
            <w:vMerge/>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6F3414" w:rsidRPr="004B18B6" w:rsidP="00F72899">
            <w:pPr>
              <w:bidi w:val="0"/>
              <w:rPr>
                <w:rFonts w:ascii="Times New Roman" w:hAnsi="Times New Roman"/>
                <w:b/>
                <w:bCs/>
                <w:color w:val="FFFFFF"/>
                <w:sz w:val="20"/>
                <w:szCs w:val="20"/>
              </w:rPr>
            </w:pPr>
          </w:p>
        </w:tc>
        <w:tc>
          <w:tcPr>
            <w:tcW w:w="1276" w:type="dxa"/>
            <w:tcBorders>
              <w:top w:val="single" w:sz="8" w:space="0" w:color="FFFFFF"/>
              <w:left w:val="single" w:sz="8" w:space="0" w:color="FFFFFF"/>
              <w:bottom w:val="single" w:sz="4" w:space="0" w:color="auto"/>
              <w:right w:val="single" w:sz="8" w:space="0" w:color="FFFFFF"/>
            </w:tcBorders>
            <w:shd w:val="clear" w:color="auto" w:fill="000000"/>
            <w:noWrap/>
            <w:textDirection w:val="lrTb"/>
            <w:vAlign w:val="center"/>
            <w:hideMark/>
          </w:tcPr>
          <w:p w:rsidR="006F3414" w:rsidRPr="004B18B6" w:rsidP="00F72899">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schválený</w:t>
            </w:r>
          </w:p>
        </w:tc>
        <w:tc>
          <w:tcPr>
            <w:tcW w:w="1134" w:type="dxa"/>
            <w:tcBorders>
              <w:top w:val="single" w:sz="8" w:space="0" w:color="FFFFFF"/>
              <w:left w:val="single" w:sz="8" w:space="0" w:color="FFFFFF"/>
              <w:bottom w:val="single" w:sz="4" w:space="0" w:color="auto"/>
              <w:right w:val="single" w:sz="8" w:space="0" w:color="FFFFFF"/>
            </w:tcBorders>
            <w:shd w:val="clear" w:color="auto" w:fill="000000"/>
            <w:noWrap/>
            <w:textDirection w:val="lrTb"/>
            <w:vAlign w:val="center"/>
            <w:hideMark/>
          </w:tcPr>
          <w:p w:rsidR="006F3414" w:rsidRPr="004B18B6" w:rsidP="00F72899">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upravený</w:t>
            </w:r>
          </w:p>
        </w:tc>
        <w:tc>
          <w:tcPr>
            <w:tcW w:w="1276" w:type="dxa"/>
            <w:tcBorders>
              <w:top w:val="single" w:sz="8" w:space="0" w:color="FFFFFF"/>
              <w:left w:val="single" w:sz="8" w:space="0" w:color="FFFFFF"/>
              <w:bottom w:val="single" w:sz="4" w:space="0" w:color="auto"/>
              <w:right w:val="single" w:sz="8" w:space="0" w:color="FFFFFF"/>
            </w:tcBorders>
            <w:shd w:val="clear" w:color="auto" w:fill="000000"/>
            <w:noWrap/>
            <w:textDirection w:val="lrTb"/>
            <w:vAlign w:val="center"/>
            <w:hideMark/>
          </w:tcPr>
          <w:p w:rsidR="006F3414" w:rsidRPr="004B18B6" w:rsidP="00F72899">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2011</w:t>
            </w:r>
          </w:p>
        </w:tc>
        <w:tc>
          <w:tcPr>
            <w:tcW w:w="1276" w:type="dxa"/>
            <w:tcBorders>
              <w:top w:val="single" w:sz="8" w:space="0" w:color="FFFFFF"/>
              <w:left w:val="single" w:sz="8" w:space="0" w:color="FFFFFF"/>
              <w:bottom w:val="single" w:sz="4" w:space="0" w:color="auto"/>
              <w:right w:val="single" w:sz="8" w:space="0" w:color="FFFFFF"/>
            </w:tcBorders>
            <w:shd w:val="clear" w:color="auto" w:fill="000000"/>
            <w:noWrap/>
            <w:textDirection w:val="lrTb"/>
            <w:vAlign w:val="center"/>
            <w:hideMark/>
          </w:tcPr>
          <w:p w:rsidR="006F3414" w:rsidRPr="004B18B6" w:rsidP="00F72899">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2010</w:t>
            </w:r>
          </w:p>
        </w:tc>
        <w:tc>
          <w:tcPr>
            <w:tcW w:w="1134" w:type="dxa"/>
            <w:tcBorders>
              <w:top w:val="single" w:sz="8" w:space="0" w:color="FFFFFF"/>
              <w:left w:val="single" w:sz="8" w:space="0" w:color="FFFFFF"/>
              <w:bottom w:val="single" w:sz="4" w:space="0" w:color="auto"/>
              <w:right w:val="single" w:sz="8" w:space="0" w:color="FFFFFF"/>
            </w:tcBorders>
            <w:shd w:val="clear" w:color="auto" w:fill="000000"/>
            <w:noWrap/>
            <w:textDirection w:val="lrTb"/>
            <w:vAlign w:val="center"/>
            <w:hideMark/>
          </w:tcPr>
          <w:p w:rsidR="006F3414" w:rsidRPr="004B18B6" w:rsidP="00F72899">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2009</w:t>
            </w:r>
          </w:p>
        </w:tc>
        <w:tc>
          <w:tcPr>
            <w:tcW w:w="1134" w:type="dxa"/>
            <w:vMerge/>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6F3414" w:rsidRPr="004B18B6" w:rsidP="00F72899">
            <w:pPr>
              <w:bidi w:val="0"/>
              <w:rPr>
                <w:rFonts w:ascii="Times New Roman" w:hAnsi="Times New Roman"/>
                <w:b/>
                <w:bCs/>
                <w:color w:val="FFFFFF"/>
                <w:sz w:val="20"/>
                <w:szCs w:val="20"/>
              </w:rPr>
            </w:pPr>
          </w:p>
        </w:tc>
      </w:tr>
      <w:tr>
        <w:tblPrEx>
          <w:tblW w:w="10080" w:type="dxa"/>
          <w:jc w:val="center"/>
          <w:tblInd w:w="-640" w:type="dxa"/>
          <w:tblCellMar>
            <w:left w:w="70" w:type="dxa"/>
            <w:right w:w="70" w:type="dxa"/>
          </w:tblCellMar>
          <w:tblLook w:val="04A0"/>
        </w:tblPrEx>
        <w:trPr>
          <w:trHeight w:hRule="exact" w:val="208"/>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6F3414" w:rsidRPr="00870857" w:rsidP="00F72899">
            <w:pPr>
              <w:bidi w:val="0"/>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6F3414" w:rsidRPr="00870857" w:rsidP="00F72899">
            <w:pPr>
              <w:bidi w:val="0"/>
              <w:jc w:val="center"/>
              <w:rPr>
                <w:rFonts w:ascii="Times New Roman" w:hAnsi="Times New Roman"/>
                <w:b/>
                <w:bCs/>
                <w:sz w:val="20"/>
                <w:szCs w:val="20"/>
              </w:rPr>
            </w:pPr>
            <w:r w:rsidRPr="00870857">
              <w:rPr>
                <w:rFonts w:ascii="Times New Roman" w:hAnsi="Times New Roman"/>
                <w:b/>
                <w:bCs/>
                <w:sz w:val="20"/>
                <w:szCs w:val="20"/>
              </w:rPr>
              <w:t>6=3-2</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Obstarávanie kapitálových aktív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600 35</w:t>
            </w:r>
            <w:r w:rsidR="00530034">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581 47</w:t>
            </w:r>
            <w:r w:rsidR="00530034">
              <w:rPr>
                <w:rFonts w:ascii="Times New Roman" w:hAnsi="Times New Roman"/>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500 12</w:t>
            </w:r>
            <w:r w:rsidR="00530034">
              <w:rPr>
                <w:rFonts w:ascii="Times New Roman" w:hAnsi="Times New Roman"/>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440 051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475 991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-81 350</w:t>
            </w:r>
          </w:p>
        </w:tc>
      </w:tr>
      <w:tr>
        <w:tblPrEx>
          <w:tblW w:w="10080" w:type="dxa"/>
          <w:jc w:val="center"/>
          <w:tblInd w:w="-640" w:type="dxa"/>
          <w:tblCellMar>
            <w:left w:w="70" w:type="dxa"/>
            <w:right w:w="70" w:type="dxa"/>
          </w:tblCellMar>
          <w:tblLook w:val="04A0"/>
        </w:tblPrEx>
        <w:trPr>
          <w:trHeight w:val="600"/>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1D15F2" w:rsidRPr="005A4E8D" w:rsidP="00F72899">
            <w:pPr>
              <w:bidi w:val="0"/>
              <w:rPr>
                <w:rFonts w:ascii="Times New Roman" w:hAnsi="Times New Roman"/>
                <w:iCs/>
                <w:color w:val="000000"/>
                <w:sz w:val="20"/>
                <w:szCs w:val="20"/>
              </w:rPr>
            </w:pPr>
            <w:r w:rsidRPr="005A4E8D" w:rsidR="006F3414">
              <w:rPr>
                <w:rFonts w:ascii="Times New Roman" w:hAnsi="Times New Roman"/>
                <w:iCs/>
                <w:color w:val="000000"/>
                <w:sz w:val="20"/>
                <w:szCs w:val="20"/>
              </w:rPr>
              <w:t xml:space="preserve">v tom: </w:t>
            </w:r>
          </w:p>
          <w:p w:rsidR="006F3414" w:rsidRPr="00D30871" w:rsidP="00F72899">
            <w:pPr>
              <w:bidi w:val="0"/>
              <w:rPr>
                <w:rFonts w:ascii="Times New Roman" w:hAnsi="Times New Roman"/>
                <w:i/>
                <w:iCs/>
                <w:color w:val="000000"/>
                <w:sz w:val="20"/>
                <w:szCs w:val="20"/>
              </w:rPr>
            </w:pPr>
            <w:r w:rsidR="00C36624">
              <w:rPr>
                <w:rFonts w:ascii="Times New Roman" w:hAnsi="Times New Roman"/>
                <w:i/>
                <w:iCs/>
                <w:color w:val="000000"/>
                <w:sz w:val="20"/>
                <w:szCs w:val="20"/>
              </w:rPr>
              <w:t xml:space="preserve">nákup pozemkov </w:t>
            </w:r>
            <w:r w:rsidRPr="00D30871">
              <w:rPr>
                <w:rFonts w:ascii="Times New Roman" w:hAnsi="Times New Roman"/>
                <w:i/>
                <w:iCs/>
                <w:color w:val="000000"/>
                <w:sz w:val="20"/>
                <w:szCs w:val="20"/>
              </w:rPr>
              <w:t>a nehmotných aktív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BE396A">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218 40</w:t>
            </w:r>
            <w:r w:rsidR="00BE396A">
              <w:rPr>
                <w:rFonts w:ascii="Times New Roman" w:hAnsi="Times New Roman"/>
                <w:i/>
                <w:i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169 654</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169 868</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96 024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103 577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214</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nákup budov, objektov a ich častí</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4 104</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4 070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3 443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5 998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-34</w:t>
            </w:r>
          </w:p>
        </w:tc>
      </w:tr>
      <w:tr>
        <w:tblPrEx>
          <w:tblW w:w="10080" w:type="dxa"/>
          <w:jc w:val="center"/>
          <w:tblInd w:w="-640" w:type="dxa"/>
          <w:tblCellMar>
            <w:left w:w="70" w:type="dxa"/>
            <w:right w:w="70" w:type="dxa"/>
          </w:tblCellMar>
          <w:tblLook w:val="04A0"/>
        </w:tblPrEx>
        <w:trPr>
          <w:trHeight w:val="437"/>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C36624">
            <w:pPr>
              <w:bidi w:val="0"/>
              <w:rPr>
                <w:rFonts w:ascii="Times New Roman" w:hAnsi="Times New Roman"/>
                <w:i/>
                <w:iCs/>
                <w:color w:val="000000"/>
                <w:sz w:val="20"/>
                <w:szCs w:val="20"/>
              </w:rPr>
            </w:pPr>
            <w:r w:rsidRPr="00D30871">
              <w:rPr>
                <w:rFonts w:ascii="Times New Roman" w:hAnsi="Times New Roman"/>
                <w:i/>
                <w:iCs/>
                <w:color w:val="000000"/>
                <w:sz w:val="20"/>
                <w:szCs w:val="20"/>
              </w:rPr>
              <w:t>nákup strojov, prístrojov, zariadení, techniky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119 082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BE396A">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70 91</w:t>
            </w:r>
            <w:r w:rsidR="00BE396A">
              <w:rPr>
                <w:rFonts w:ascii="Times New Roman" w:hAnsi="Times New Roman"/>
                <w:i/>
                <w:iCs/>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78 809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91 857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71 232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7 89</w:t>
            </w:r>
            <w:r w:rsidR="00F30609">
              <w:rPr>
                <w:rFonts w:ascii="Times New Roman" w:hAnsi="Times New Roman"/>
                <w:i/>
                <w:iCs/>
                <w:color w:val="000000"/>
                <w:sz w:val="20"/>
                <w:szCs w:val="20"/>
              </w:rPr>
              <w:t>3</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nákup dopr. prostriedkov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956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12 613</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18 194</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41 203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74 999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5 581</w:t>
            </w:r>
          </w:p>
        </w:tc>
      </w:tr>
      <w:tr>
        <w:tblPrEx>
          <w:tblW w:w="10080" w:type="dxa"/>
          <w:jc w:val="center"/>
          <w:tblInd w:w="-640" w:type="dxa"/>
          <w:tblCellMar>
            <w:left w:w="70" w:type="dxa"/>
            <w:right w:w="70" w:type="dxa"/>
          </w:tblCellMar>
          <w:tblLook w:val="04A0"/>
        </w:tblPrEx>
        <w:trPr>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prípravná a projektová dokumentácia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6 575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100 120</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100 050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7 144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13 909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-70</w:t>
            </w:r>
          </w:p>
        </w:tc>
      </w:tr>
      <w:tr>
        <w:tblPrEx>
          <w:tblW w:w="10080" w:type="dxa"/>
          <w:jc w:val="center"/>
          <w:tblInd w:w="-640" w:type="dxa"/>
          <w:tblCellMar>
            <w:left w:w="70" w:type="dxa"/>
            <w:right w:w="70" w:type="dxa"/>
          </w:tblCellMar>
          <w:tblLook w:val="04A0"/>
        </w:tblPrEx>
        <w:trPr>
          <w:trHeight w:val="427"/>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realizácia stavieb a ich technického zhodnotenia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251 394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216 399</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BE396A">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122 70</w:t>
            </w:r>
            <w:r w:rsidR="00BE396A">
              <w:rPr>
                <w:rFonts w:ascii="Times New Roman" w:hAnsi="Times New Roman"/>
                <w:i/>
                <w:iCs/>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166 514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186 512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-93 69</w:t>
            </w:r>
            <w:r w:rsidR="00F30609">
              <w:rPr>
                <w:rFonts w:ascii="Times New Roman" w:hAnsi="Times New Roman"/>
                <w:i/>
                <w:iCs/>
                <w:color w:val="000000"/>
                <w:sz w:val="20"/>
                <w:szCs w:val="20"/>
              </w:rPr>
              <w:t>3</w:t>
            </w:r>
          </w:p>
        </w:tc>
      </w:tr>
      <w:tr>
        <w:tblPrEx>
          <w:tblW w:w="10080" w:type="dxa"/>
          <w:jc w:val="center"/>
          <w:tblInd w:w="-640" w:type="dxa"/>
          <w:tblCellMar>
            <w:left w:w="70" w:type="dxa"/>
            <w:right w:w="70" w:type="dxa"/>
          </w:tblCellMar>
          <w:tblLook w:val="04A0"/>
        </w:tblPrEx>
        <w:trPr>
          <w:trHeight w:val="600"/>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rekonštrukcia a modernizácia strojov a zariadení</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764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3 868</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3 865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9 484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8 657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ostatné kapitálové výdavky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3 082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3 803</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2 565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24 382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11 107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-1 238</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color w:val="000000"/>
                <w:sz w:val="20"/>
                <w:szCs w:val="20"/>
              </w:rPr>
            </w:pPr>
            <w:r w:rsidRPr="00D30871">
              <w:rPr>
                <w:rFonts w:ascii="Times New Roman" w:hAnsi="Times New Roman"/>
                <w:color w:val="000000"/>
                <w:sz w:val="20"/>
                <w:szCs w:val="20"/>
              </w:rPr>
              <w:t>Kapitálové transfery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2 291 23</w:t>
            </w:r>
            <w:r w:rsidR="00530034">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3 133 89</w:t>
            </w:r>
            <w:r w:rsidR="00530034">
              <w:rPr>
                <w:rFonts w:ascii="Times New Roman" w:hAnsi="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530034">
            <w:pPr>
              <w:bidi w:val="0"/>
              <w:jc w:val="right"/>
              <w:rPr>
                <w:rFonts w:ascii="Times New Roman" w:hAnsi="Times New Roman"/>
                <w:color w:val="000000"/>
                <w:sz w:val="20"/>
                <w:szCs w:val="20"/>
              </w:rPr>
            </w:pPr>
            <w:r w:rsidRPr="00D30871">
              <w:rPr>
                <w:rFonts w:ascii="Times New Roman" w:hAnsi="Times New Roman"/>
                <w:color w:val="000000"/>
                <w:sz w:val="20"/>
                <w:szCs w:val="20"/>
              </w:rPr>
              <w:t>1 995 06</w:t>
            </w:r>
            <w:r w:rsidR="00530034">
              <w:rPr>
                <w:rFonts w:ascii="Times New Roman" w:hAnsi="Times New Roman"/>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1 928 557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1 683 355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color w:val="000000"/>
                <w:sz w:val="20"/>
                <w:szCs w:val="20"/>
              </w:rPr>
            </w:pPr>
            <w:r w:rsidRPr="00D30871">
              <w:rPr>
                <w:rFonts w:ascii="Times New Roman" w:hAnsi="Times New Roman"/>
                <w:color w:val="000000"/>
                <w:sz w:val="20"/>
                <w:szCs w:val="20"/>
              </w:rPr>
              <w:t>-1 138 824</w:t>
            </w:r>
          </w:p>
        </w:tc>
      </w:tr>
      <w:tr>
        <w:tblPrEx>
          <w:tblW w:w="10080" w:type="dxa"/>
          <w:jc w:val="center"/>
          <w:tblInd w:w="-640" w:type="dxa"/>
          <w:tblCellMar>
            <w:left w:w="70" w:type="dxa"/>
            <w:right w:w="70" w:type="dxa"/>
          </w:tblCellMar>
          <w:tblLook w:val="04A0"/>
        </w:tblPrEx>
        <w:trPr>
          <w:trHeight w:hRule="exact" w:val="504"/>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1D15F2" w:rsidRPr="005A4E8D" w:rsidP="00F72899">
            <w:pPr>
              <w:bidi w:val="0"/>
              <w:rPr>
                <w:rFonts w:ascii="Times New Roman" w:hAnsi="Times New Roman"/>
                <w:iCs/>
                <w:color w:val="000000"/>
                <w:sz w:val="20"/>
                <w:szCs w:val="20"/>
              </w:rPr>
            </w:pPr>
            <w:r w:rsidRPr="005A4E8D" w:rsidR="006F3414">
              <w:rPr>
                <w:rFonts w:ascii="Times New Roman" w:hAnsi="Times New Roman"/>
                <w:iCs/>
                <w:color w:val="000000"/>
                <w:sz w:val="20"/>
                <w:szCs w:val="20"/>
              </w:rPr>
              <w:t xml:space="preserve">v tom: </w:t>
            </w:r>
          </w:p>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v rámci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530034">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224 02</w:t>
            </w:r>
            <w:r w:rsidR="00530034">
              <w:rPr>
                <w:rFonts w:ascii="Times New Roman" w:hAnsi="Times New Roman"/>
                <w:i/>
                <w:iCs/>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922 848</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654 157</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628 918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417 039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-268 691</w:t>
            </w:r>
          </w:p>
        </w:tc>
      </w:tr>
      <w:tr>
        <w:tblPrEx>
          <w:tblW w:w="10080" w:type="dxa"/>
          <w:jc w:val="center"/>
          <w:tblInd w:w="-640" w:type="dxa"/>
          <w:tblCellMar>
            <w:left w:w="70" w:type="dxa"/>
            <w:right w:w="70" w:type="dxa"/>
          </w:tblCellMar>
          <w:tblLook w:val="04A0"/>
        </w:tblPrEx>
        <w:trPr>
          <w:trHeight w:val="615"/>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30609">
            <w:pPr>
              <w:bidi w:val="0"/>
              <w:rPr>
                <w:rFonts w:ascii="Times New Roman" w:hAnsi="Times New Roman"/>
                <w:i/>
                <w:iCs/>
                <w:color w:val="000000"/>
                <w:sz w:val="20"/>
                <w:szCs w:val="20"/>
              </w:rPr>
            </w:pPr>
            <w:r w:rsidRPr="00D30871">
              <w:rPr>
                <w:rFonts w:ascii="Times New Roman" w:hAnsi="Times New Roman"/>
                <w:i/>
                <w:iCs/>
                <w:color w:val="000000"/>
                <w:sz w:val="20"/>
                <w:szCs w:val="20"/>
              </w:rPr>
              <w:t xml:space="preserve">jednotlivcom a neziskovým </w:t>
            </w:r>
            <w:r w:rsidR="00F30609">
              <w:rPr>
                <w:rFonts w:ascii="Times New Roman" w:hAnsi="Times New Roman"/>
                <w:i/>
                <w:iCs/>
                <w:color w:val="000000"/>
                <w:sz w:val="20"/>
                <w:szCs w:val="20"/>
              </w:rPr>
              <w:t>právnickým osobám</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111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53 818</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53 70</w:t>
            </w:r>
            <w:r w:rsidR="00F30609">
              <w:rPr>
                <w:rFonts w:ascii="Times New Roman" w:hAnsi="Times New Roman"/>
                <w:i/>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16 269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36 455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-11</w:t>
            </w:r>
            <w:r w:rsidR="00F30609">
              <w:rPr>
                <w:rFonts w:ascii="Times New Roman" w:hAnsi="Times New Roman"/>
                <w:i/>
                <w:iCs/>
                <w:color w:val="000000"/>
                <w:sz w:val="20"/>
                <w:szCs w:val="20"/>
              </w:rPr>
              <w:t>8</w:t>
            </w:r>
          </w:p>
        </w:tc>
      </w:tr>
      <w:tr>
        <w:tblPrEx>
          <w:tblW w:w="10080" w:type="dxa"/>
          <w:jc w:val="center"/>
          <w:tblInd w:w="-640" w:type="dxa"/>
          <w:tblCellMar>
            <w:left w:w="70" w:type="dxa"/>
            <w:right w:w="70" w:type="dxa"/>
          </w:tblCellMar>
          <w:tblLook w:val="04A0"/>
        </w:tblPrEx>
        <w:trPr>
          <w:trHeight w:val="600"/>
          <w:jc w:val="center"/>
        </w:trPr>
        <w:tc>
          <w:tcPr>
            <w:tcW w:w="2850" w:type="dxa"/>
            <w:tcBorders>
              <w:top w:val="single" w:sz="4"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nefin. subjektom a PO, nezaradeným vo verejnej správe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2 067 093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2 155 38</w:t>
            </w:r>
            <w:r w:rsidR="00F30609">
              <w:rPr>
                <w:rFonts w:ascii="Times New Roman" w:hAnsi="Times New Roman"/>
                <w:i/>
                <w:iCs/>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3060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1 285 36</w:t>
            </w:r>
            <w:r w:rsidR="00F30609">
              <w:rPr>
                <w:rFonts w:ascii="Times New Roman" w:hAnsi="Times New Roman"/>
                <w:i/>
                <w:iCs/>
                <w:color w:val="000000"/>
                <w:sz w:val="20"/>
                <w:szCs w:val="20"/>
              </w:rPr>
              <w:t>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1 282 365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1 229 079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-870 01</w:t>
            </w:r>
            <w:r w:rsidR="00F30609">
              <w:rPr>
                <w:rFonts w:ascii="Times New Roman" w:hAnsi="Times New Roman"/>
                <w:i/>
                <w:iCs/>
                <w:color w:val="000000"/>
                <w:sz w:val="20"/>
                <w:szCs w:val="20"/>
              </w:rPr>
              <w:t>3</w:t>
            </w:r>
            <w:r w:rsidRPr="00D30871">
              <w:rPr>
                <w:rFonts w:ascii="Times New Roman" w:hAnsi="Times New Roman"/>
                <w:i/>
                <w:iCs/>
                <w:color w:val="000000"/>
                <w:sz w:val="20"/>
                <w:szCs w:val="20"/>
              </w:rPr>
              <w:t>4</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single" w:sz="4" w:space="0" w:color="auto"/>
              <w:left w:val="single" w:sz="4" w:space="0" w:color="auto"/>
              <w:bottom w:val="double" w:sz="6" w:space="0" w:color="auto"/>
              <w:right w:val="single" w:sz="4" w:space="0" w:color="auto"/>
            </w:tcBorders>
            <w:textDirection w:val="lrTb"/>
            <w:vAlign w:val="center"/>
            <w:hideMark/>
          </w:tcPr>
          <w:p w:rsidR="006F3414" w:rsidRPr="00D30871" w:rsidP="00F72899">
            <w:pPr>
              <w:bidi w:val="0"/>
              <w:rPr>
                <w:rFonts w:ascii="Times New Roman" w:hAnsi="Times New Roman"/>
                <w:i/>
                <w:iCs/>
                <w:color w:val="000000"/>
                <w:sz w:val="20"/>
                <w:szCs w:val="20"/>
              </w:rPr>
            </w:pPr>
            <w:r w:rsidRPr="00D30871">
              <w:rPr>
                <w:rFonts w:ascii="Times New Roman" w:hAnsi="Times New Roman"/>
                <w:i/>
                <w:iCs/>
                <w:color w:val="000000"/>
                <w:sz w:val="20"/>
                <w:szCs w:val="20"/>
              </w:rPr>
              <w:t>do zahraničia</w:t>
            </w:r>
          </w:p>
        </w:tc>
        <w:tc>
          <w:tcPr>
            <w:tcW w:w="1276" w:type="dxa"/>
            <w:tcBorders>
              <w:top w:val="single" w:sz="4" w:space="0" w:color="auto"/>
              <w:left w:val="single" w:sz="4" w:space="0" w:color="auto"/>
              <w:bottom w:val="double" w:sz="6"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0</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1 844</w:t>
            </w:r>
          </w:p>
        </w:tc>
        <w:tc>
          <w:tcPr>
            <w:tcW w:w="1276"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1 842</w:t>
            </w:r>
          </w:p>
        </w:tc>
        <w:tc>
          <w:tcPr>
            <w:tcW w:w="1276" w:type="dxa"/>
            <w:tcBorders>
              <w:top w:val="single" w:sz="4" w:space="0" w:color="auto"/>
              <w:left w:val="single" w:sz="4" w:space="0" w:color="auto"/>
              <w:bottom w:val="double" w:sz="6"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1 005</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782</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6F3414" w:rsidRPr="00D30871" w:rsidP="00F72899">
            <w:pPr>
              <w:bidi w:val="0"/>
              <w:jc w:val="right"/>
              <w:rPr>
                <w:rFonts w:ascii="Times New Roman" w:hAnsi="Times New Roman"/>
                <w:i/>
                <w:iCs/>
                <w:color w:val="000000"/>
                <w:sz w:val="20"/>
                <w:szCs w:val="20"/>
              </w:rPr>
            </w:pPr>
            <w:r w:rsidRPr="00D30871">
              <w:rPr>
                <w:rFonts w:ascii="Times New Roman" w:hAnsi="Times New Roman"/>
                <w:i/>
                <w:iCs/>
                <w:color w:val="000000"/>
                <w:sz w:val="20"/>
                <w:szCs w:val="20"/>
              </w:rPr>
              <w:t>-2</w:t>
            </w:r>
          </w:p>
        </w:tc>
      </w:tr>
      <w:tr>
        <w:tblPrEx>
          <w:tblW w:w="10080" w:type="dxa"/>
          <w:jc w:val="center"/>
          <w:tblInd w:w="-640" w:type="dxa"/>
          <w:tblCellMar>
            <w:left w:w="70" w:type="dxa"/>
            <w:right w:w="70" w:type="dxa"/>
          </w:tblCellMar>
          <w:tblLook w:val="04A0"/>
        </w:tblPrEx>
        <w:trPr>
          <w:trHeight w:hRule="exact" w:val="345"/>
          <w:jc w:val="center"/>
        </w:trPr>
        <w:tc>
          <w:tcPr>
            <w:tcW w:w="2850" w:type="dxa"/>
            <w:tcBorders>
              <w:top w:val="double" w:sz="6" w:space="0" w:color="auto"/>
              <w:left w:val="single" w:sz="4" w:space="0" w:color="auto"/>
              <w:bottom w:val="single" w:sz="4" w:space="0" w:color="auto"/>
              <w:right w:val="single" w:sz="4" w:space="0" w:color="auto"/>
            </w:tcBorders>
            <w:textDirection w:val="lrTb"/>
            <w:vAlign w:val="center"/>
            <w:hideMark/>
          </w:tcPr>
          <w:p w:rsidR="006F3414" w:rsidRPr="00D30871" w:rsidP="00F72899">
            <w:pPr>
              <w:bidi w:val="0"/>
              <w:rPr>
                <w:rFonts w:ascii="Times New Roman" w:hAnsi="Times New Roman"/>
                <w:b/>
                <w:bCs/>
                <w:color w:val="000000"/>
                <w:sz w:val="20"/>
                <w:szCs w:val="20"/>
              </w:rPr>
            </w:pPr>
            <w:r w:rsidRPr="00D30871">
              <w:rPr>
                <w:rFonts w:ascii="Times New Roman" w:hAnsi="Times New Roman"/>
                <w:b/>
                <w:bCs/>
                <w:color w:val="000000"/>
                <w:sz w:val="20"/>
                <w:szCs w:val="20"/>
              </w:rPr>
              <w:t>Kapitálové výdavky spolu</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2 891 587</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3 715 369</w:t>
            </w:r>
          </w:p>
        </w:tc>
        <w:tc>
          <w:tcPr>
            <w:tcW w:w="1276"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6F3414" w:rsidRPr="00D30871" w:rsidP="00F7289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2 495 195</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2 368 608</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6F3414" w:rsidRPr="00D30871" w:rsidP="00F7289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2 159 346</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6F3414" w:rsidRPr="00D30871" w:rsidP="00F30609">
            <w:pPr>
              <w:bidi w:val="0"/>
              <w:jc w:val="right"/>
              <w:rPr>
                <w:rFonts w:ascii="Times New Roman" w:hAnsi="Times New Roman"/>
                <w:b/>
                <w:bCs/>
                <w:color w:val="000000"/>
                <w:sz w:val="20"/>
                <w:szCs w:val="20"/>
              </w:rPr>
            </w:pPr>
            <w:r w:rsidRPr="00D30871">
              <w:rPr>
                <w:rFonts w:ascii="Times New Roman" w:hAnsi="Times New Roman"/>
                <w:b/>
                <w:bCs/>
                <w:color w:val="000000"/>
                <w:sz w:val="20"/>
                <w:szCs w:val="20"/>
              </w:rPr>
              <w:t>-1 220 17</w:t>
            </w:r>
            <w:r w:rsidR="00F30609">
              <w:rPr>
                <w:rFonts w:ascii="Times New Roman" w:hAnsi="Times New Roman"/>
                <w:b/>
                <w:bCs/>
                <w:color w:val="000000"/>
                <w:sz w:val="20"/>
                <w:szCs w:val="20"/>
              </w:rPr>
              <w:t>4</w:t>
            </w:r>
          </w:p>
        </w:tc>
      </w:tr>
    </w:tbl>
    <w:p w:rsidR="006F3414" w:rsidP="006F3414">
      <w:pPr>
        <w:bidi w:val="0"/>
        <w:jc w:val="both"/>
        <w:rPr>
          <w:rFonts w:ascii="Times New Roman" w:hAnsi="Times New Roman"/>
          <w:sz w:val="20"/>
          <w:szCs w:val="20"/>
        </w:rPr>
      </w:pPr>
      <w:r w:rsidRPr="00D30871">
        <w:rPr>
          <w:rFonts w:ascii="Times New Roman" w:hAnsi="Times New Roman"/>
          <w:sz w:val="20"/>
          <w:szCs w:val="20"/>
        </w:rPr>
        <w:t>Zdroj: Ministerstvo financií SR</w:t>
      </w:r>
    </w:p>
    <w:p w:rsidR="006F3414" w:rsidRPr="000D2AE0" w:rsidP="00B63D3F">
      <w:pPr>
        <w:pStyle w:val="ListParagraph"/>
        <w:numPr>
          <w:numId w:val="8"/>
        </w:numPr>
        <w:bidi w:val="0"/>
        <w:spacing w:before="120" w:after="120" w:line="360" w:lineRule="auto"/>
        <w:ind w:left="0" w:hanging="357"/>
        <w:jc w:val="both"/>
        <w:rPr>
          <w:rFonts w:ascii="Times New Roman" w:hAnsi="Times New Roman"/>
          <w:b/>
          <w:sz w:val="24"/>
          <w:szCs w:val="24"/>
        </w:rPr>
      </w:pPr>
      <w:bookmarkStart w:id="31" w:name="_GoBack"/>
      <w:bookmarkEnd w:id="31"/>
      <w:r w:rsidRPr="000D2AE0">
        <w:rPr>
          <w:rFonts w:ascii="Times New Roman" w:hAnsi="Times New Roman"/>
          <w:b/>
          <w:sz w:val="24"/>
          <w:szCs w:val="24"/>
        </w:rPr>
        <w:t>Obstarávanie kapitálových aktív</w:t>
      </w:r>
    </w:p>
    <w:p w:rsidR="006F3414" w:rsidRPr="00D30871" w:rsidP="004C1F8C">
      <w:pPr>
        <w:bidi w:val="0"/>
        <w:spacing w:before="120" w:after="120" w:line="360" w:lineRule="auto"/>
        <w:ind w:firstLine="709"/>
        <w:jc w:val="both"/>
        <w:rPr>
          <w:rFonts w:ascii="Times New Roman" w:hAnsi="Times New Roman"/>
        </w:rPr>
      </w:pPr>
      <w:r w:rsidRPr="00D30871">
        <w:rPr>
          <w:rFonts w:ascii="Times New Roman" w:hAnsi="Times New Roman"/>
        </w:rPr>
        <w:t>Táto kategória je tvorená výdavkami na obstarávanie kapitálových aktív, tu sa klasifikujú výdavky umožňujúce nadobúdať kapitálové aktíva z vlastných zdrojov rozpočtu. Schválený rozpočet bol pre rok 2011 stanovený sumou 600 35</w:t>
      </w:r>
      <w:r w:rsidR="000C1BE0">
        <w:rPr>
          <w:rFonts w:ascii="Times New Roman" w:hAnsi="Times New Roman"/>
        </w:rPr>
        <w:t>6</w:t>
      </w:r>
      <w:r w:rsidRPr="00D30871">
        <w:rPr>
          <w:rFonts w:ascii="Times New Roman" w:hAnsi="Times New Roman"/>
        </w:rPr>
        <w:t xml:space="preserve"> tis. eur, ktorá sa rozpočtovými opatreniami znížila na 581 47</w:t>
      </w:r>
      <w:r w:rsidR="000C1BE0">
        <w:rPr>
          <w:rFonts w:ascii="Times New Roman" w:hAnsi="Times New Roman"/>
        </w:rPr>
        <w:t>7</w:t>
      </w:r>
      <w:r w:rsidRPr="00D30871">
        <w:rPr>
          <w:rFonts w:ascii="Times New Roman" w:hAnsi="Times New Roman"/>
        </w:rPr>
        <w:t xml:space="preserve"> tis. eur. V skutočnosti bolo čerpanie 500 12</w:t>
      </w:r>
      <w:r w:rsidR="000C1BE0">
        <w:rPr>
          <w:rFonts w:ascii="Times New Roman" w:hAnsi="Times New Roman"/>
        </w:rPr>
        <w:t>7</w:t>
      </w:r>
      <w:r w:rsidRPr="00D30871">
        <w:rPr>
          <w:rFonts w:ascii="Times New Roman" w:hAnsi="Times New Roman"/>
        </w:rPr>
        <w:t xml:space="preserve"> tis. eur, konkrétne na</w:t>
      </w:r>
      <w:r w:rsidR="005A3049">
        <w:rPr>
          <w:rFonts w:ascii="Times New Roman" w:hAnsi="Times New Roman"/>
        </w:rPr>
        <w:t>jmä na</w:t>
      </w:r>
      <w:r w:rsidRPr="00D30871">
        <w:rPr>
          <w:rFonts w:ascii="Times New Roman" w:hAnsi="Times New Roman"/>
        </w:rPr>
        <w:t xml:space="preserve">: </w:t>
      </w:r>
    </w:p>
    <w:p w:rsidR="006F3414" w:rsidRPr="00D30871" w:rsidP="006F3414">
      <w:pPr>
        <w:pStyle w:val="ListParagraph"/>
        <w:numPr>
          <w:numId w:val="7"/>
        </w:numPr>
        <w:bidi w:val="0"/>
        <w:spacing w:line="360" w:lineRule="auto"/>
        <w:jc w:val="both"/>
        <w:rPr>
          <w:rFonts w:ascii="Times New Roman" w:hAnsi="Times New Roman"/>
          <w:sz w:val="24"/>
          <w:szCs w:val="24"/>
        </w:rPr>
      </w:pPr>
      <w:r w:rsidRPr="00D30871">
        <w:rPr>
          <w:rFonts w:ascii="Times New Roman" w:hAnsi="Times New Roman"/>
          <w:sz w:val="24"/>
          <w:szCs w:val="24"/>
        </w:rPr>
        <w:t>nákup pozemkov a nehmotných aktív 169 868 tis. eur</w:t>
      </w:r>
      <w:r w:rsidR="004F2313">
        <w:rPr>
          <w:rFonts w:ascii="Times New Roman" w:hAnsi="Times New Roman"/>
          <w:sz w:val="24"/>
          <w:szCs w:val="24"/>
        </w:rPr>
        <w:t xml:space="preserve"> (2010: 96 024</w:t>
      </w:r>
      <w:r w:rsidRPr="00D30871">
        <w:rPr>
          <w:rFonts w:ascii="Times New Roman" w:hAnsi="Times New Roman"/>
          <w:sz w:val="24"/>
          <w:szCs w:val="24"/>
        </w:rPr>
        <w:t>, z toho softvér 132 830 tis. eur</w:t>
      </w:r>
      <w:r w:rsidR="00A455E6">
        <w:rPr>
          <w:rFonts w:ascii="Times New Roman" w:hAnsi="Times New Roman"/>
          <w:sz w:val="24"/>
          <w:szCs w:val="24"/>
        </w:rPr>
        <w:t xml:space="preserve"> </w:t>
      </w:r>
      <w:r w:rsidRPr="00D30871">
        <w:rPr>
          <w:rFonts w:ascii="Times New Roman" w:hAnsi="Times New Roman"/>
          <w:sz w:val="24"/>
          <w:szCs w:val="24"/>
        </w:rPr>
        <w:t>(viac ako 78 %)</w:t>
      </w:r>
      <w:r w:rsidR="00D56387">
        <w:rPr>
          <w:rFonts w:ascii="Times New Roman" w:hAnsi="Times New Roman"/>
          <w:sz w:val="24"/>
          <w:szCs w:val="24"/>
        </w:rPr>
        <w:t>,</w:t>
      </w:r>
      <w:r w:rsidRPr="00D30871">
        <w:rPr>
          <w:rFonts w:ascii="Times New Roman" w:hAnsi="Times New Roman"/>
          <w:sz w:val="24"/>
          <w:szCs w:val="24"/>
        </w:rPr>
        <w:t xml:space="preserve"> </w:t>
      </w:r>
    </w:p>
    <w:p w:rsidR="006F3414" w:rsidRPr="00D30871" w:rsidP="006F3414">
      <w:pPr>
        <w:pStyle w:val="ListParagraph"/>
        <w:numPr>
          <w:numId w:val="7"/>
        </w:numPr>
        <w:bidi w:val="0"/>
        <w:spacing w:line="360" w:lineRule="auto"/>
        <w:jc w:val="both"/>
        <w:rPr>
          <w:rFonts w:ascii="Times New Roman" w:hAnsi="Times New Roman"/>
          <w:sz w:val="24"/>
          <w:szCs w:val="24"/>
        </w:rPr>
      </w:pPr>
      <w:r w:rsidRPr="00D30871">
        <w:rPr>
          <w:rFonts w:ascii="Times New Roman" w:hAnsi="Times New Roman"/>
          <w:sz w:val="24"/>
          <w:szCs w:val="24"/>
        </w:rPr>
        <w:t>realizácia stavieb a ich technického zhodnotenia 122</w:t>
      </w:r>
      <w:r w:rsidR="00706A99">
        <w:rPr>
          <w:rFonts w:ascii="Times New Roman" w:hAnsi="Times New Roman"/>
          <w:sz w:val="24"/>
          <w:szCs w:val="24"/>
        </w:rPr>
        <w:t> </w:t>
      </w:r>
      <w:r w:rsidRPr="00D30871">
        <w:rPr>
          <w:rFonts w:ascii="Times New Roman" w:hAnsi="Times New Roman"/>
          <w:sz w:val="24"/>
          <w:szCs w:val="24"/>
        </w:rPr>
        <w:t>70</w:t>
      </w:r>
      <w:r w:rsidR="000C1BE0">
        <w:rPr>
          <w:rFonts w:ascii="Times New Roman" w:hAnsi="Times New Roman"/>
          <w:sz w:val="24"/>
          <w:szCs w:val="24"/>
        </w:rPr>
        <w:t>6</w:t>
      </w:r>
      <w:r w:rsidR="00706A99">
        <w:rPr>
          <w:rFonts w:ascii="Times New Roman" w:hAnsi="Times New Roman"/>
          <w:sz w:val="24"/>
          <w:szCs w:val="24"/>
        </w:rPr>
        <w:t xml:space="preserve"> </w:t>
      </w:r>
      <w:r w:rsidR="005A3049">
        <w:rPr>
          <w:rFonts w:ascii="Times New Roman" w:hAnsi="Times New Roman"/>
          <w:sz w:val="24"/>
          <w:szCs w:val="24"/>
        </w:rPr>
        <w:t>tis. eur (2010: 166 514 tis. eur)</w:t>
      </w:r>
      <w:r w:rsidRPr="00D30871">
        <w:rPr>
          <w:rFonts w:ascii="Times New Roman" w:hAnsi="Times New Roman"/>
          <w:sz w:val="24"/>
          <w:szCs w:val="24"/>
        </w:rPr>
        <w:t>, z toho rekonštrukcia a modernizácia 65 144 tis. eur a realizácia</w:t>
      </w:r>
      <w:r w:rsidR="00D56387">
        <w:rPr>
          <w:rFonts w:ascii="Times New Roman" w:hAnsi="Times New Roman"/>
          <w:sz w:val="24"/>
          <w:szCs w:val="24"/>
        </w:rPr>
        <w:t xml:space="preserve"> nových stavieb 52 828 tis. eur,</w:t>
      </w:r>
    </w:p>
    <w:p w:rsidR="00D56387" w:rsidP="006F3414">
      <w:pPr>
        <w:pStyle w:val="ListParagraph"/>
        <w:numPr>
          <w:numId w:val="7"/>
        </w:numPr>
        <w:bidi w:val="0"/>
        <w:spacing w:line="360" w:lineRule="auto"/>
        <w:jc w:val="both"/>
        <w:rPr>
          <w:rFonts w:ascii="Times New Roman" w:hAnsi="Times New Roman"/>
          <w:sz w:val="24"/>
          <w:szCs w:val="24"/>
        </w:rPr>
      </w:pPr>
      <w:r w:rsidRPr="00D30871" w:rsidR="006F3414">
        <w:rPr>
          <w:rFonts w:ascii="Times New Roman" w:hAnsi="Times New Roman"/>
          <w:sz w:val="24"/>
          <w:szCs w:val="24"/>
        </w:rPr>
        <w:t>prípravná a projektová dokumentácia 100 050 tis. eur</w:t>
      </w:r>
      <w:r w:rsidR="005A3049">
        <w:rPr>
          <w:rFonts w:ascii="Times New Roman" w:hAnsi="Times New Roman"/>
          <w:sz w:val="24"/>
          <w:szCs w:val="24"/>
        </w:rPr>
        <w:t xml:space="preserve"> (2010: 7 144 tis. eur)</w:t>
      </w:r>
      <w:r w:rsidRPr="00D30871" w:rsidR="006F3414">
        <w:rPr>
          <w:rFonts w:ascii="Times New Roman" w:hAnsi="Times New Roman"/>
          <w:sz w:val="24"/>
          <w:szCs w:val="24"/>
        </w:rPr>
        <w:t xml:space="preserve"> pre Ministerstvo dopravy, výstavby a regionálneho rozvoja 97</w:t>
      </w:r>
      <w:r w:rsidR="000D2AE0">
        <w:rPr>
          <w:rFonts w:ascii="Times New Roman" w:hAnsi="Times New Roman"/>
          <w:sz w:val="24"/>
          <w:szCs w:val="24"/>
        </w:rPr>
        <w:t xml:space="preserve"> 765 tis. eur, na projekty PPP </w:t>
      </w:r>
      <w:r w:rsidR="005A3049">
        <w:rPr>
          <w:rFonts w:ascii="Times New Roman" w:hAnsi="Times New Roman"/>
          <w:sz w:val="24"/>
          <w:szCs w:val="24"/>
        </w:rPr>
        <w:t>(</w:t>
      </w:r>
      <w:r w:rsidRPr="00275D41" w:rsidR="005A3049">
        <w:rPr>
          <w:rFonts w:ascii="Times New Roman" w:hAnsi="Times New Roman"/>
          <w:sz w:val="24"/>
          <w:szCs w:val="24"/>
        </w:rPr>
        <w:t>návrh, výstavba, financovanie, prevádzka a údržba úsekov diaľnice D1 Dubná Skala – Ivachnová, Jánovce – Jablonov a Fričovce – Svinia</w:t>
      </w:r>
      <w:r w:rsidRPr="00D30871" w:rsidR="006F3414">
        <w:rPr>
          <w:rFonts w:ascii="Times New Roman" w:hAnsi="Times New Roman"/>
          <w:sz w:val="24"/>
          <w:szCs w:val="24"/>
        </w:rPr>
        <w:t>;</w:t>
      </w:r>
      <w:r w:rsidR="005A3049">
        <w:rPr>
          <w:rFonts w:ascii="Times New Roman" w:hAnsi="Times New Roman"/>
          <w:sz w:val="24"/>
          <w:szCs w:val="24"/>
        </w:rPr>
        <w:t xml:space="preserve"> p</w:t>
      </w:r>
      <w:r w:rsidRPr="00275D41" w:rsidR="005A3049">
        <w:rPr>
          <w:rFonts w:ascii="Times New Roman" w:hAnsi="Times New Roman"/>
          <w:sz w:val="24"/>
          <w:szCs w:val="24"/>
        </w:rPr>
        <w:t>rojektovanie, výstavba, financovanie, prevádzka a údržba úsekov rýchlostnej cesty R1: Nitra – Tekovské Nemce a Banská Bystrica – severný obchvat</w:t>
      </w:r>
      <w:r w:rsidR="005A3049">
        <w:rPr>
          <w:rFonts w:ascii="Times New Roman" w:hAnsi="Times New Roman"/>
          <w:sz w:val="24"/>
          <w:szCs w:val="24"/>
        </w:rPr>
        <w:t xml:space="preserve">; </w:t>
      </w:r>
      <w:r w:rsidRPr="00275D41" w:rsidR="005A3049">
        <w:rPr>
          <w:rFonts w:ascii="Times New Roman" w:hAnsi="Times New Roman"/>
          <w:sz w:val="24"/>
          <w:szCs w:val="24"/>
        </w:rPr>
        <w:t>projektovanie, výstavba, financovanie, prevádzka a údržba diaľnice D1 Hričovské Podhradie - Dubná Skala</w:t>
      </w:r>
      <w:r>
        <w:rPr>
          <w:rFonts w:ascii="Times New Roman" w:hAnsi="Times New Roman"/>
          <w:sz w:val="24"/>
          <w:szCs w:val="24"/>
        </w:rPr>
        <w:t>),</w:t>
      </w:r>
    </w:p>
    <w:p w:rsidR="006F3414" w:rsidRPr="00D30871" w:rsidP="006F3414">
      <w:pPr>
        <w:pStyle w:val="ListParagraph"/>
        <w:numPr>
          <w:numId w:val="7"/>
        </w:numPr>
        <w:bidi w:val="0"/>
        <w:spacing w:line="360" w:lineRule="auto"/>
        <w:jc w:val="both"/>
        <w:rPr>
          <w:rFonts w:ascii="Times New Roman" w:hAnsi="Times New Roman"/>
          <w:sz w:val="24"/>
          <w:szCs w:val="24"/>
        </w:rPr>
      </w:pPr>
      <w:r w:rsidRPr="00D30871">
        <w:rPr>
          <w:rFonts w:ascii="Times New Roman" w:hAnsi="Times New Roman"/>
          <w:sz w:val="24"/>
          <w:szCs w:val="24"/>
        </w:rPr>
        <w:t>nákup strojov, prístrojov, zariadení, techniky 78 809 tis. eur, z toho výpočtová t</w:t>
      </w:r>
      <w:r w:rsidR="00D56387">
        <w:rPr>
          <w:rFonts w:ascii="Times New Roman" w:hAnsi="Times New Roman"/>
          <w:sz w:val="24"/>
          <w:szCs w:val="24"/>
        </w:rPr>
        <w:t>echnika 34 588 tis. eur (43,9</w:t>
      </w:r>
      <w:r w:rsidR="007D0991">
        <w:rPr>
          <w:rFonts w:ascii="Times New Roman" w:hAnsi="Times New Roman"/>
          <w:sz w:val="24"/>
          <w:szCs w:val="24"/>
        </w:rPr>
        <w:t xml:space="preserve"> </w:t>
      </w:r>
      <w:r w:rsidR="00D56387">
        <w:rPr>
          <w:rFonts w:ascii="Times New Roman" w:hAnsi="Times New Roman"/>
          <w:sz w:val="24"/>
          <w:szCs w:val="24"/>
        </w:rPr>
        <w:t>%),</w:t>
      </w:r>
      <w:r w:rsidRPr="00D30871">
        <w:rPr>
          <w:rFonts w:ascii="Times New Roman" w:hAnsi="Times New Roman"/>
          <w:sz w:val="24"/>
          <w:szCs w:val="24"/>
        </w:rPr>
        <w:t xml:space="preserve"> </w:t>
      </w:r>
    </w:p>
    <w:p w:rsidR="006F3414" w:rsidRPr="00D30871" w:rsidP="00A92DE6">
      <w:pPr>
        <w:pStyle w:val="ListParagraph"/>
        <w:numPr>
          <w:numId w:val="7"/>
        </w:numPr>
        <w:bidi w:val="0"/>
        <w:spacing w:before="120" w:after="120" w:line="360" w:lineRule="auto"/>
        <w:ind w:hanging="357"/>
        <w:jc w:val="both"/>
        <w:rPr>
          <w:rFonts w:ascii="Times New Roman" w:hAnsi="Times New Roman"/>
          <w:sz w:val="24"/>
          <w:szCs w:val="24"/>
        </w:rPr>
      </w:pPr>
      <w:r w:rsidRPr="00D30871">
        <w:rPr>
          <w:rFonts w:ascii="Times New Roman" w:hAnsi="Times New Roman"/>
          <w:sz w:val="24"/>
          <w:szCs w:val="24"/>
        </w:rPr>
        <w:t>nákup dopravných prostriedkov všetkých druhov 18 194 tis. eur</w:t>
      </w:r>
      <w:r w:rsidR="005A3049">
        <w:rPr>
          <w:rFonts w:ascii="Times New Roman" w:hAnsi="Times New Roman"/>
          <w:sz w:val="24"/>
          <w:szCs w:val="24"/>
        </w:rPr>
        <w:t xml:space="preserve"> (2010: 41 20</w:t>
      </w:r>
      <w:r w:rsidR="000C1BE0">
        <w:rPr>
          <w:rFonts w:ascii="Times New Roman" w:hAnsi="Times New Roman"/>
          <w:sz w:val="24"/>
          <w:szCs w:val="24"/>
        </w:rPr>
        <w:t>3</w:t>
      </w:r>
      <w:r w:rsidR="005A3049">
        <w:rPr>
          <w:rFonts w:ascii="Times New Roman" w:hAnsi="Times New Roman"/>
          <w:sz w:val="24"/>
          <w:szCs w:val="24"/>
        </w:rPr>
        <w:t xml:space="preserve"> tis. eur)</w:t>
      </w:r>
      <w:r w:rsidRPr="00D30871">
        <w:rPr>
          <w:rFonts w:ascii="Times New Roman" w:hAnsi="Times New Roman"/>
          <w:sz w:val="24"/>
          <w:szCs w:val="24"/>
        </w:rPr>
        <w:t xml:space="preserve">, z toho osobných automobilov 15 109 tis. eur, </w:t>
      </w:r>
      <w:r w:rsidR="005A3049">
        <w:rPr>
          <w:rFonts w:ascii="Times New Roman" w:hAnsi="Times New Roman"/>
          <w:sz w:val="24"/>
          <w:szCs w:val="24"/>
        </w:rPr>
        <w:t>hlavne</w:t>
      </w:r>
      <w:r w:rsidRPr="00D30871">
        <w:rPr>
          <w:rFonts w:ascii="Times New Roman" w:hAnsi="Times New Roman"/>
          <w:sz w:val="24"/>
          <w:szCs w:val="24"/>
        </w:rPr>
        <w:t xml:space="preserve"> Mini</w:t>
      </w:r>
      <w:r w:rsidR="00D56387">
        <w:rPr>
          <w:rFonts w:ascii="Times New Roman" w:hAnsi="Times New Roman"/>
          <w:sz w:val="24"/>
          <w:szCs w:val="24"/>
        </w:rPr>
        <w:t>sterstvo vnútra 12 607 tis. eur,</w:t>
      </w:r>
    </w:p>
    <w:p w:rsidR="006F3414" w:rsidP="00A92DE6">
      <w:pPr>
        <w:pStyle w:val="ListParagraph"/>
        <w:numPr>
          <w:numId w:val="7"/>
        </w:numPr>
        <w:bidi w:val="0"/>
        <w:spacing w:before="120" w:after="120" w:line="360" w:lineRule="auto"/>
        <w:ind w:hanging="357"/>
        <w:jc w:val="both"/>
        <w:rPr>
          <w:rFonts w:ascii="Times New Roman" w:hAnsi="Times New Roman"/>
          <w:sz w:val="24"/>
          <w:szCs w:val="24"/>
        </w:rPr>
      </w:pPr>
      <w:r w:rsidRPr="00D30871">
        <w:rPr>
          <w:rFonts w:ascii="Times New Roman" w:hAnsi="Times New Roman"/>
          <w:sz w:val="24"/>
          <w:szCs w:val="24"/>
        </w:rPr>
        <w:t>nákup budov, objektov a ich častí bol relatívne stabilný v celom tr</w:t>
      </w:r>
      <w:r w:rsidR="005A3049">
        <w:rPr>
          <w:rFonts w:ascii="Times New Roman" w:hAnsi="Times New Roman"/>
          <w:sz w:val="24"/>
          <w:szCs w:val="24"/>
        </w:rPr>
        <w:t>ojročnom období (4 070 tis. eur, 2010: 3 443 tis</w:t>
      </w:r>
      <w:r w:rsidR="005A4E8D">
        <w:rPr>
          <w:rFonts w:ascii="Times New Roman" w:hAnsi="Times New Roman"/>
          <w:sz w:val="24"/>
          <w:szCs w:val="24"/>
        </w:rPr>
        <w:t>.</w:t>
      </w:r>
      <w:r w:rsidR="005A3049">
        <w:rPr>
          <w:rFonts w:ascii="Times New Roman" w:hAnsi="Times New Roman"/>
          <w:sz w:val="24"/>
          <w:szCs w:val="24"/>
        </w:rPr>
        <w:t xml:space="preserve"> eur)</w:t>
      </w:r>
      <w:r w:rsidR="00D56387">
        <w:rPr>
          <w:rFonts w:ascii="Times New Roman" w:hAnsi="Times New Roman"/>
          <w:sz w:val="24"/>
          <w:szCs w:val="24"/>
        </w:rPr>
        <w:t>,</w:t>
      </w:r>
    </w:p>
    <w:p w:rsidR="00D56387" w:rsidP="00B63D3F">
      <w:pPr>
        <w:pStyle w:val="ListParagraph"/>
        <w:numPr>
          <w:numId w:val="7"/>
        </w:numPr>
        <w:bidi w:val="0"/>
        <w:spacing w:before="120" w:after="120" w:line="360" w:lineRule="auto"/>
        <w:ind w:hanging="357"/>
        <w:jc w:val="both"/>
        <w:rPr>
          <w:rFonts w:ascii="Times New Roman" w:hAnsi="Times New Roman"/>
          <w:sz w:val="24"/>
          <w:szCs w:val="24"/>
        </w:rPr>
      </w:pPr>
      <w:r w:rsidRPr="00D30871">
        <w:rPr>
          <w:rFonts w:ascii="Times New Roman" w:hAnsi="Times New Roman"/>
          <w:sz w:val="24"/>
          <w:szCs w:val="24"/>
        </w:rPr>
        <w:t xml:space="preserve">rekonštrukcia a modernizácia strojov a zariadení 3 865 tis. eur </w:t>
      </w:r>
      <w:r>
        <w:rPr>
          <w:rFonts w:ascii="Times New Roman" w:hAnsi="Times New Roman"/>
          <w:sz w:val="24"/>
          <w:szCs w:val="24"/>
        </w:rPr>
        <w:t>(2010: 9 484 tis. eur)</w:t>
      </w:r>
    </w:p>
    <w:p w:rsidR="006F3414" w:rsidRPr="005A3049" w:rsidP="00B63D3F">
      <w:pPr>
        <w:pStyle w:val="ListParagraph"/>
        <w:numPr>
          <w:numId w:val="8"/>
        </w:numPr>
        <w:bidi w:val="0"/>
        <w:spacing w:before="120" w:after="120" w:line="360" w:lineRule="auto"/>
        <w:ind w:left="0" w:firstLine="0"/>
        <w:jc w:val="both"/>
        <w:rPr>
          <w:rFonts w:ascii="Times New Roman" w:hAnsi="Times New Roman"/>
          <w:b/>
          <w:sz w:val="24"/>
          <w:szCs w:val="24"/>
        </w:rPr>
      </w:pPr>
      <w:r w:rsidRPr="005A3049">
        <w:rPr>
          <w:rFonts w:ascii="Times New Roman" w:hAnsi="Times New Roman"/>
          <w:b/>
          <w:sz w:val="24"/>
          <w:szCs w:val="24"/>
        </w:rPr>
        <w:t>Kapitálové transfery</w:t>
      </w:r>
    </w:p>
    <w:p w:rsidR="006F3414" w:rsidRPr="00D30871" w:rsidP="004C1F8C">
      <w:pPr>
        <w:bidi w:val="0"/>
        <w:spacing w:before="120" w:after="120" w:line="360" w:lineRule="auto"/>
        <w:ind w:firstLine="709"/>
        <w:jc w:val="both"/>
        <w:rPr>
          <w:rFonts w:ascii="Times New Roman" w:hAnsi="Times New Roman"/>
        </w:rPr>
      </w:pPr>
      <w:r w:rsidRPr="00D30871">
        <w:rPr>
          <w:rFonts w:ascii="Times New Roman" w:hAnsi="Times New Roman"/>
        </w:rPr>
        <w:t>Zahŕňajú platby vykonávané s cieľom umožniť príjemcovi nadobudnúť kapitálové aktíva alebo kompenzovať ich poškodenie alebo zničenie. Schválený rozpočet pre rok 2011 bol stanovený sumou 2 291 2</w:t>
      </w:r>
      <w:r w:rsidR="000C1BE0">
        <w:rPr>
          <w:rFonts w:ascii="Times New Roman" w:hAnsi="Times New Roman"/>
        </w:rPr>
        <w:t>31</w:t>
      </w:r>
      <w:r w:rsidRPr="00D30871">
        <w:rPr>
          <w:rFonts w:ascii="Times New Roman" w:hAnsi="Times New Roman"/>
        </w:rPr>
        <w:t xml:space="preserve"> tis. eur, ktorú rozpočtové opatrenia upravili na 3 133 89</w:t>
      </w:r>
      <w:r w:rsidR="000C1BE0">
        <w:rPr>
          <w:rFonts w:ascii="Times New Roman" w:hAnsi="Times New Roman"/>
        </w:rPr>
        <w:t>2</w:t>
      </w:r>
      <w:r w:rsidRPr="00D30871">
        <w:rPr>
          <w:rFonts w:ascii="Times New Roman" w:hAnsi="Times New Roman"/>
        </w:rPr>
        <w:t xml:space="preserve"> tis. eur. V skutočnosti kapitálové transfery tvorili 1 995 06</w:t>
      </w:r>
      <w:r w:rsidR="000C1BE0">
        <w:rPr>
          <w:rFonts w:ascii="Times New Roman" w:hAnsi="Times New Roman"/>
        </w:rPr>
        <w:t>8</w:t>
      </w:r>
      <w:r w:rsidRPr="00D30871">
        <w:rPr>
          <w:rFonts w:ascii="Times New Roman" w:hAnsi="Times New Roman"/>
        </w:rPr>
        <w:t xml:space="preserve"> tis. eur</w:t>
      </w:r>
      <w:r w:rsidR="00A55123">
        <w:rPr>
          <w:rFonts w:ascii="Times New Roman" w:hAnsi="Times New Roman"/>
        </w:rPr>
        <w:t xml:space="preserve"> (2010: 1 928 557 tis</w:t>
      </w:r>
      <w:r w:rsidR="005A4E8D">
        <w:rPr>
          <w:rFonts w:ascii="Times New Roman" w:hAnsi="Times New Roman"/>
        </w:rPr>
        <w:t>.</w:t>
      </w:r>
      <w:r w:rsidR="00A55123">
        <w:rPr>
          <w:rFonts w:ascii="Times New Roman" w:hAnsi="Times New Roman"/>
        </w:rPr>
        <w:t xml:space="preserve"> eur)</w:t>
      </w:r>
      <w:r w:rsidRPr="00D30871">
        <w:rPr>
          <w:rFonts w:ascii="Times New Roman" w:hAnsi="Times New Roman"/>
        </w:rPr>
        <w:t>, čo je takmer 80</w:t>
      </w:r>
      <w:r w:rsidR="005A4E8D">
        <w:rPr>
          <w:rFonts w:ascii="Times New Roman" w:hAnsi="Times New Roman"/>
        </w:rPr>
        <w:t xml:space="preserve"> </w:t>
      </w:r>
      <w:r w:rsidRPr="00D30871">
        <w:rPr>
          <w:rFonts w:ascii="Times New Roman" w:hAnsi="Times New Roman"/>
        </w:rPr>
        <w:t>%</w:t>
      </w:r>
      <w:r w:rsidR="009747E9">
        <w:rPr>
          <w:rFonts w:ascii="Times New Roman" w:hAnsi="Times New Roman"/>
        </w:rPr>
        <w:t xml:space="preserve"> z celkových kapitálových výdavkov</w:t>
      </w:r>
      <w:r w:rsidRPr="00D30871">
        <w:rPr>
          <w:rFonts w:ascii="Times New Roman" w:hAnsi="Times New Roman"/>
        </w:rPr>
        <w:t>, konkrétne na:</w:t>
      </w:r>
    </w:p>
    <w:p w:rsidR="006F3414" w:rsidRPr="00D30871" w:rsidP="00A92DE6">
      <w:pPr>
        <w:pStyle w:val="ListParagraph"/>
        <w:numPr>
          <w:numId w:val="7"/>
        </w:numPr>
        <w:bidi w:val="0"/>
        <w:spacing w:before="120" w:after="120" w:line="360" w:lineRule="auto"/>
        <w:jc w:val="both"/>
        <w:rPr>
          <w:rFonts w:ascii="Times New Roman" w:hAnsi="Times New Roman"/>
          <w:sz w:val="24"/>
          <w:szCs w:val="24"/>
        </w:rPr>
      </w:pPr>
      <w:r w:rsidRPr="00D30871">
        <w:rPr>
          <w:rFonts w:ascii="Times New Roman" w:hAnsi="Times New Roman"/>
          <w:sz w:val="24"/>
          <w:szCs w:val="24"/>
        </w:rPr>
        <w:t>transfery nefinančným subjektom a príspevkovým organizáciám nezaradeným vo verejnej správe v registri vedenom Štatistickým úradom S</w:t>
      </w:r>
      <w:r w:rsidR="00D2689E">
        <w:rPr>
          <w:rFonts w:ascii="Times New Roman" w:hAnsi="Times New Roman"/>
          <w:sz w:val="24"/>
          <w:szCs w:val="24"/>
        </w:rPr>
        <w:t>R</w:t>
      </w:r>
      <w:r w:rsidR="00A55123">
        <w:rPr>
          <w:rFonts w:ascii="Times New Roman" w:hAnsi="Times New Roman"/>
          <w:sz w:val="24"/>
          <w:szCs w:val="24"/>
        </w:rPr>
        <w:t xml:space="preserve"> 1 285 36</w:t>
      </w:r>
      <w:r w:rsidR="000C1BE0">
        <w:rPr>
          <w:rFonts w:ascii="Times New Roman" w:hAnsi="Times New Roman"/>
          <w:sz w:val="24"/>
          <w:szCs w:val="24"/>
        </w:rPr>
        <w:t>9</w:t>
      </w:r>
      <w:r w:rsidR="00A55123">
        <w:rPr>
          <w:rFonts w:ascii="Times New Roman" w:hAnsi="Times New Roman"/>
          <w:sz w:val="24"/>
          <w:szCs w:val="24"/>
        </w:rPr>
        <w:t xml:space="preserve"> tis. eur, takmer 65</w:t>
      </w:r>
      <w:r w:rsidR="00D56387">
        <w:rPr>
          <w:rFonts w:ascii="Times New Roman" w:hAnsi="Times New Roman"/>
          <w:sz w:val="24"/>
          <w:szCs w:val="24"/>
        </w:rPr>
        <w:t xml:space="preserve"> </w:t>
      </w:r>
      <w:r w:rsidR="00A55123">
        <w:rPr>
          <w:rFonts w:ascii="Times New Roman" w:hAnsi="Times New Roman"/>
          <w:sz w:val="24"/>
          <w:szCs w:val="24"/>
        </w:rPr>
        <w:t>%</w:t>
      </w:r>
      <w:r w:rsidRPr="00D30871" w:rsidR="00A55123">
        <w:rPr>
          <w:rFonts w:ascii="Times New Roman" w:hAnsi="Times New Roman"/>
          <w:sz w:val="24"/>
          <w:szCs w:val="24"/>
        </w:rPr>
        <w:t xml:space="preserve"> </w:t>
      </w:r>
      <w:r w:rsidR="007D0991">
        <w:rPr>
          <w:rFonts w:ascii="Times New Roman" w:hAnsi="Times New Roman"/>
          <w:sz w:val="24"/>
          <w:szCs w:val="24"/>
        </w:rPr>
        <w:t xml:space="preserve">(2010: </w:t>
      </w:r>
      <w:r w:rsidR="00A55123">
        <w:rPr>
          <w:rFonts w:ascii="Times New Roman" w:hAnsi="Times New Roman"/>
          <w:sz w:val="24"/>
          <w:szCs w:val="24"/>
        </w:rPr>
        <w:t>1 282 365 tis. eur)</w:t>
      </w:r>
      <w:r w:rsidR="00D2689E">
        <w:rPr>
          <w:rFonts w:ascii="Times New Roman" w:hAnsi="Times New Roman"/>
          <w:sz w:val="24"/>
          <w:szCs w:val="24"/>
        </w:rPr>
        <w:t>,</w:t>
      </w:r>
      <w:r w:rsidR="00A55123">
        <w:rPr>
          <w:rFonts w:ascii="Times New Roman" w:hAnsi="Times New Roman"/>
          <w:sz w:val="24"/>
          <w:szCs w:val="24"/>
        </w:rPr>
        <w:t xml:space="preserve"> </w:t>
      </w:r>
      <w:r w:rsidRPr="00D30871">
        <w:rPr>
          <w:rFonts w:ascii="Times New Roman" w:hAnsi="Times New Roman"/>
          <w:sz w:val="24"/>
          <w:szCs w:val="24"/>
        </w:rPr>
        <w:t>z toho právnickým osobám založených štátom, obcou, alebo vyšším územným celkom 657 926 tis. eur, fyzickým osobám – podnikateľom 32 038 tis. eur;</w:t>
      </w:r>
    </w:p>
    <w:p w:rsidR="006F3414" w:rsidRPr="00D30871" w:rsidP="006F3414">
      <w:pPr>
        <w:pStyle w:val="ListParagraph"/>
        <w:numPr>
          <w:numId w:val="7"/>
        </w:numPr>
        <w:bidi w:val="0"/>
        <w:spacing w:line="360" w:lineRule="auto"/>
        <w:jc w:val="both"/>
        <w:rPr>
          <w:rFonts w:ascii="Times New Roman" w:hAnsi="Times New Roman"/>
          <w:sz w:val="24"/>
          <w:szCs w:val="24"/>
        </w:rPr>
      </w:pPr>
      <w:r w:rsidRPr="00D30871">
        <w:rPr>
          <w:rFonts w:ascii="Times New Roman" w:hAnsi="Times New Roman"/>
          <w:sz w:val="24"/>
          <w:szCs w:val="24"/>
        </w:rPr>
        <w:t xml:space="preserve">transfery v rámci verejnej správy 654 157 tis. eur </w:t>
      </w:r>
      <w:r w:rsidR="006F1C76">
        <w:rPr>
          <w:rFonts w:ascii="Times New Roman" w:hAnsi="Times New Roman"/>
          <w:sz w:val="24"/>
          <w:szCs w:val="24"/>
        </w:rPr>
        <w:t xml:space="preserve">(2010: 628 918 tis. eur) z toho </w:t>
      </w:r>
      <w:r w:rsidRPr="00D30871">
        <w:rPr>
          <w:rFonts w:ascii="Times New Roman" w:hAnsi="Times New Roman"/>
          <w:sz w:val="24"/>
          <w:szCs w:val="24"/>
        </w:rPr>
        <w:t>obciam 464 703 tis. eur, verejným vysokým školám 86 119 tis. eur, vyšším územným celkom 58 302 tis. eur a príspevkovým organizáciám 36 918 tis. eur;</w:t>
      </w:r>
    </w:p>
    <w:p w:rsidR="006F3414" w:rsidRPr="00D30871" w:rsidP="006F3414">
      <w:pPr>
        <w:pStyle w:val="ListParagraph"/>
        <w:numPr>
          <w:numId w:val="7"/>
        </w:numPr>
        <w:bidi w:val="0"/>
        <w:spacing w:line="360" w:lineRule="auto"/>
        <w:jc w:val="both"/>
        <w:rPr>
          <w:rFonts w:ascii="Times New Roman" w:hAnsi="Times New Roman"/>
          <w:sz w:val="24"/>
          <w:szCs w:val="24"/>
        </w:rPr>
      </w:pPr>
      <w:r w:rsidRPr="00D30871">
        <w:rPr>
          <w:rFonts w:ascii="Times New Roman" w:hAnsi="Times New Roman"/>
          <w:sz w:val="24"/>
          <w:szCs w:val="24"/>
        </w:rPr>
        <w:t>transfery jednotlivcom a neziskovým právnickým osobám 53 70</w:t>
      </w:r>
      <w:r w:rsidR="000C1BE0">
        <w:rPr>
          <w:rFonts w:ascii="Times New Roman" w:hAnsi="Times New Roman"/>
          <w:sz w:val="24"/>
          <w:szCs w:val="24"/>
        </w:rPr>
        <w:t>0</w:t>
      </w:r>
      <w:r w:rsidRPr="00D30871">
        <w:rPr>
          <w:rFonts w:ascii="Times New Roman" w:hAnsi="Times New Roman"/>
          <w:sz w:val="24"/>
          <w:szCs w:val="24"/>
        </w:rPr>
        <w:t xml:space="preserve"> tis. eur </w:t>
      </w:r>
      <w:r w:rsidR="006F1C76">
        <w:rPr>
          <w:rFonts w:ascii="Times New Roman" w:hAnsi="Times New Roman"/>
          <w:sz w:val="24"/>
          <w:szCs w:val="24"/>
        </w:rPr>
        <w:t>(2010:</w:t>
      </w:r>
      <w:r w:rsidR="000C1BE0">
        <w:rPr>
          <w:rFonts w:ascii="Times New Roman" w:hAnsi="Times New Roman"/>
          <w:sz w:val="24"/>
          <w:szCs w:val="24"/>
        </w:rPr>
        <w:t xml:space="preserve"> </w:t>
      </w:r>
      <w:r w:rsidR="006F1C76">
        <w:rPr>
          <w:rFonts w:ascii="Times New Roman" w:hAnsi="Times New Roman"/>
          <w:sz w:val="24"/>
          <w:szCs w:val="24"/>
        </w:rPr>
        <w:t xml:space="preserve">16 269 tis. eur) </w:t>
      </w:r>
      <w:r w:rsidRPr="00D30871">
        <w:rPr>
          <w:rFonts w:ascii="Times New Roman" w:hAnsi="Times New Roman"/>
          <w:sz w:val="24"/>
          <w:szCs w:val="24"/>
        </w:rPr>
        <w:t>neziskovým právnickým osobám 41 959 tis. eur, občianskym združeniam, nadáciám a neinvestičným fondom 7 755 tis. eur a cirkvám 3 866 tis. eur;</w:t>
      </w:r>
    </w:p>
    <w:p w:rsidR="00526A3B" w:rsidP="006F1C76">
      <w:pPr>
        <w:pStyle w:val="ListParagraph"/>
        <w:numPr>
          <w:numId w:val="7"/>
        </w:numPr>
        <w:bidi w:val="0"/>
        <w:spacing w:line="360" w:lineRule="auto"/>
        <w:jc w:val="both"/>
        <w:rPr>
          <w:rFonts w:ascii="Times New Roman" w:hAnsi="Times New Roman"/>
        </w:rPr>
      </w:pPr>
      <w:r w:rsidR="00C36624">
        <w:rPr>
          <w:rFonts w:ascii="Times New Roman" w:hAnsi="Times New Roman"/>
          <w:sz w:val="24"/>
          <w:szCs w:val="24"/>
        </w:rPr>
        <w:t>transfery do zahraničia</w:t>
      </w:r>
      <w:r w:rsidR="00DA3243">
        <w:rPr>
          <w:rFonts w:ascii="Times New Roman" w:hAnsi="Times New Roman"/>
          <w:sz w:val="24"/>
          <w:szCs w:val="24"/>
        </w:rPr>
        <w:t xml:space="preserve"> </w:t>
      </w:r>
      <w:r w:rsidR="000C1BE0">
        <w:rPr>
          <w:rFonts w:ascii="Times New Roman" w:hAnsi="Times New Roman"/>
          <w:sz w:val="24"/>
          <w:szCs w:val="24"/>
        </w:rPr>
        <w:t xml:space="preserve">1 </w:t>
      </w:r>
      <w:r w:rsidR="006F1C76">
        <w:rPr>
          <w:rFonts w:ascii="Times New Roman" w:hAnsi="Times New Roman"/>
          <w:sz w:val="24"/>
          <w:szCs w:val="24"/>
        </w:rPr>
        <w:t xml:space="preserve">842 </w:t>
      </w:r>
      <w:r w:rsidR="00DA3243">
        <w:rPr>
          <w:rFonts w:ascii="Times New Roman" w:hAnsi="Times New Roman"/>
          <w:sz w:val="24"/>
          <w:szCs w:val="24"/>
        </w:rPr>
        <w:t xml:space="preserve">tis. eur (2010: 1 005 tis. eur), </w:t>
      </w:r>
    </w:p>
    <w:p w:rsidR="009A7963" w:rsidRPr="007725D5" w:rsidP="009A7963">
      <w:pPr>
        <w:pStyle w:val="Heading3"/>
        <w:bidi w:val="0"/>
        <w:jc w:val="center"/>
        <w:rPr>
          <w:rFonts w:ascii="Times New Roman" w:hAnsi="Times New Roman"/>
          <w:color w:val="000000"/>
        </w:rPr>
      </w:pPr>
      <w:bookmarkStart w:id="32" w:name="_Toc322614760"/>
      <w:r w:rsidRPr="007725D5">
        <w:rPr>
          <w:rFonts w:ascii="Times New Roman" w:hAnsi="Times New Roman"/>
          <w:color w:val="000000"/>
        </w:rPr>
        <w:t>3.4.2</w:t>
      </w:r>
      <w:r w:rsidR="009747E9">
        <w:rPr>
          <w:rFonts w:ascii="Times New Roman" w:hAnsi="Times New Roman"/>
          <w:color w:val="000000"/>
        </w:rPr>
        <w:t>.</w:t>
      </w:r>
      <w:r w:rsidRPr="007725D5">
        <w:rPr>
          <w:rFonts w:ascii="Times New Roman" w:hAnsi="Times New Roman"/>
          <w:color w:val="000000"/>
        </w:rPr>
        <w:t xml:space="preserve"> Výdavky štátneho rozpočtu podľa funkčnej klasifikácie</w:t>
      </w:r>
      <w:bookmarkEnd w:id="32"/>
    </w:p>
    <w:p w:rsidR="00526A3B" w:rsidRPr="001A5C54" w:rsidP="009747E9">
      <w:pPr>
        <w:bidi w:val="0"/>
        <w:spacing w:before="100" w:beforeAutospacing="1" w:after="100" w:afterAutospacing="1" w:line="360" w:lineRule="auto"/>
        <w:ind w:firstLine="709"/>
        <w:jc w:val="both"/>
        <w:rPr>
          <w:rFonts w:ascii="Times New Roman" w:hAnsi="Times New Roman"/>
        </w:rPr>
      </w:pPr>
      <w:r w:rsidRPr="001A5C54">
        <w:rPr>
          <w:rFonts w:ascii="Times New Roman" w:hAnsi="Times New Roman"/>
        </w:rPr>
        <w:t>Funkčnú klasifikáciu výdavkov verejnej správy pre potreby štátnej štatistiky určuje vyhláška Štatistického úradu SR č. 195/2003 Z. z., ktorou sa vydáva štatistická klasifikácia výdavkov verejnej správy.</w:t>
      </w:r>
      <w:r>
        <w:rPr>
          <w:rFonts w:ascii="Times New Roman" w:hAnsi="Times New Roman"/>
        </w:rPr>
        <w:t xml:space="preserve"> </w:t>
      </w:r>
      <w:r w:rsidRPr="001A5C54">
        <w:rPr>
          <w:rFonts w:ascii="Times New Roman" w:hAnsi="Times New Roman"/>
        </w:rPr>
        <w:t xml:space="preserve">Funkčná klasifikácia umožňuje hodnotiť rozpočtové výdavky podľa ich účelu v desiatich základných oddieloch (odvetviach), ako aj porovnávať vynaložené výdavky v medzinárodnom kontexte. </w:t>
      </w:r>
    </w:p>
    <w:p w:rsidR="00C30A62" w:rsidP="00C908BD">
      <w:pPr>
        <w:bidi w:val="0"/>
        <w:spacing w:before="120" w:line="360" w:lineRule="auto"/>
        <w:jc w:val="both"/>
        <w:rPr>
          <w:rFonts w:ascii="Times New Roman" w:hAnsi="Times New Roman"/>
        </w:rPr>
      </w:pPr>
      <w:r w:rsidRPr="001A5C54" w:rsidR="00526A3B">
        <w:rPr>
          <w:rFonts w:ascii="Times New Roman" w:hAnsi="Times New Roman"/>
        </w:rPr>
        <w:t>Súhrnný prehľad o výdavkoch štátneho rozpočtu triedených podľa funkčnej klasifikácie poskytuj</w:t>
      </w:r>
      <w:r w:rsidR="009747E9">
        <w:rPr>
          <w:rFonts w:ascii="Times New Roman" w:hAnsi="Times New Roman"/>
        </w:rPr>
        <w:t>e</w:t>
      </w:r>
      <w:r w:rsidRPr="001A5C54" w:rsidR="00526A3B">
        <w:rPr>
          <w:rFonts w:ascii="Times New Roman" w:hAnsi="Times New Roman"/>
        </w:rPr>
        <w:t xml:space="preserve"> nas</w:t>
      </w:r>
      <w:r w:rsidR="009747E9">
        <w:rPr>
          <w:rFonts w:ascii="Times New Roman" w:hAnsi="Times New Roman"/>
        </w:rPr>
        <w:t>ledovná</w:t>
      </w:r>
      <w:r w:rsidRPr="001A5C54" w:rsidR="00526A3B">
        <w:rPr>
          <w:rFonts w:ascii="Times New Roman" w:hAnsi="Times New Roman"/>
        </w:rPr>
        <w:t xml:space="preserve"> </w:t>
      </w:r>
      <w:r w:rsidR="009747E9">
        <w:rPr>
          <w:rFonts w:ascii="Times New Roman" w:hAnsi="Times New Roman"/>
        </w:rPr>
        <w:t>tabuľka</w:t>
      </w:r>
      <w:r w:rsidRPr="001A5C54" w:rsidR="00526A3B">
        <w:rPr>
          <w:rFonts w:ascii="Times New Roman" w:hAnsi="Times New Roman"/>
        </w:rPr>
        <w:t>:</w:t>
      </w:r>
    </w:p>
    <w:tbl>
      <w:tblPr>
        <w:tblStyle w:val="TableNormal"/>
        <w:tblW w:w="10064" w:type="dxa"/>
        <w:jc w:val="center"/>
        <w:tblInd w:w="142" w:type="dxa"/>
        <w:tblBorders>
          <w:top w:val="single" w:sz="8" w:space="0" w:color="auto"/>
          <w:left w:val="single" w:sz="8" w:space="0" w:color="auto"/>
          <w:bottom w:val="double" w:sz="6" w:space="0" w:color="auto"/>
          <w:right w:val="single" w:sz="8" w:space="0" w:color="auto"/>
          <w:insideH w:val="single" w:sz="4" w:space="0" w:color="auto"/>
          <w:insideV w:val="single" w:sz="4" w:space="0" w:color="auto"/>
        </w:tblBorders>
        <w:tblLayout w:type="fixed"/>
        <w:tblLook w:val="01E0"/>
      </w:tblPr>
      <w:tblGrid>
        <w:gridCol w:w="2929"/>
        <w:gridCol w:w="1262"/>
        <w:gridCol w:w="1262"/>
        <w:gridCol w:w="1122"/>
        <w:gridCol w:w="1261"/>
        <w:gridCol w:w="1122"/>
        <w:gridCol w:w="1106"/>
      </w:tblGrid>
      <w:tr>
        <w:tblPrEx>
          <w:tblW w:w="10064" w:type="dxa"/>
          <w:jc w:val="center"/>
          <w:tblInd w:w="142" w:type="dxa"/>
          <w:tblBorders>
            <w:top w:val="single" w:sz="8" w:space="0" w:color="auto"/>
            <w:left w:val="single" w:sz="8" w:space="0" w:color="auto"/>
            <w:bottom w:val="double" w:sz="6" w:space="0" w:color="auto"/>
            <w:right w:val="single" w:sz="8" w:space="0" w:color="auto"/>
            <w:insideH w:val="single" w:sz="4" w:space="0" w:color="auto"/>
            <w:insideV w:val="single" w:sz="4" w:space="0" w:color="auto"/>
          </w:tblBorders>
          <w:tblLayout w:type="fixed"/>
          <w:tblLook w:val="01E0"/>
        </w:tblPrEx>
        <w:trPr>
          <w:trHeight w:hRule="exact" w:val="340"/>
          <w:jc w:val="center"/>
        </w:trPr>
        <w:tc>
          <w:tcPr>
            <w:tcW w:w="2929"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26A3B" w:rsidRPr="006F1C76" w:rsidP="006F3414">
            <w:pPr>
              <w:bidi w:val="0"/>
              <w:jc w:val="center"/>
              <w:rPr>
                <w:rFonts w:ascii="Times New Roman" w:hAnsi="Times New Roman"/>
                <w:b/>
                <w:sz w:val="20"/>
                <w:szCs w:val="20"/>
              </w:rPr>
            </w:pPr>
            <w:r w:rsidRPr="006F1C76">
              <w:rPr>
                <w:rFonts w:ascii="Times New Roman" w:hAnsi="Times New Roman"/>
                <w:b/>
                <w:sz w:val="20"/>
                <w:szCs w:val="20"/>
              </w:rPr>
              <w:t>Oddiel</w:t>
            </w:r>
          </w:p>
          <w:p w:rsidR="00EC3874" w:rsidRPr="006F1C76" w:rsidP="00EC3874">
            <w:pPr>
              <w:bidi w:val="0"/>
              <w:rPr>
                <w:rFonts w:ascii="Times New Roman" w:hAnsi="Times New Roman"/>
                <w:b/>
                <w:sz w:val="20"/>
                <w:szCs w:val="20"/>
              </w:rPr>
            </w:pPr>
            <w:r w:rsidRPr="006F1C76">
              <w:rPr>
                <w:rFonts w:ascii="Times New Roman" w:hAnsi="Times New Roman"/>
                <w:b/>
                <w:sz w:val="20"/>
                <w:szCs w:val="20"/>
              </w:rPr>
              <w:t>(v tis.</w:t>
            </w:r>
            <w:r w:rsidR="004F2313">
              <w:rPr>
                <w:rFonts w:ascii="Times New Roman" w:hAnsi="Times New Roman"/>
                <w:b/>
                <w:sz w:val="20"/>
                <w:szCs w:val="20"/>
              </w:rPr>
              <w:t xml:space="preserve"> </w:t>
            </w:r>
            <w:r w:rsidRPr="006F1C76">
              <w:rPr>
                <w:rFonts w:ascii="Times New Roman" w:hAnsi="Times New Roman"/>
                <w:b/>
                <w:sz w:val="20"/>
                <w:szCs w:val="20"/>
              </w:rPr>
              <w:t>eur)</w:t>
            </w:r>
          </w:p>
        </w:tc>
        <w:tc>
          <w:tcPr>
            <w:tcW w:w="2524"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26A3B" w:rsidRPr="006F1C76" w:rsidP="006F3414">
            <w:pPr>
              <w:bidi w:val="0"/>
              <w:jc w:val="center"/>
              <w:rPr>
                <w:rFonts w:ascii="Times New Roman" w:hAnsi="Times New Roman"/>
                <w:b/>
                <w:sz w:val="20"/>
                <w:szCs w:val="20"/>
              </w:rPr>
            </w:pPr>
            <w:r w:rsidRPr="006F1C76">
              <w:rPr>
                <w:rFonts w:ascii="Times New Roman" w:hAnsi="Times New Roman"/>
                <w:b/>
                <w:sz w:val="20"/>
                <w:szCs w:val="20"/>
              </w:rPr>
              <w:t>Rozpočet 2011</w:t>
            </w:r>
          </w:p>
        </w:tc>
        <w:tc>
          <w:tcPr>
            <w:tcW w:w="3505"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26A3B" w:rsidRPr="006F1C76" w:rsidP="006F3414">
            <w:pPr>
              <w:bidi w:val="0"/>
              <w:jc w:val="center"/>
              <w:rPr>
                <w:rFonts w:ascii="Times New Roman" w:hAnsi="Times New Roman"/>
                <w:b/>
                <w:sz w:val="20"/>
                <w:szCs w:val="20"/>
              </w:rPr>
            </w:pPr>
            <w:r w:rsidRPr="006F1C76">
              <w:rPr>
                <w:rFonts w:ascii="Times New Roman" w:hAnsi="Times New Roman"/>
                <w:b/>
                <w:sz w:val="20"/>
                <w:szCs w:val="20"/>
              </w:rPr>
              <w:t>Skutočnosť</w:t>
            </w:r>
          </w:p>
        </w:tc>
        <w:tc>
          <w:tcPr>
            <w:tcW w:w="1106"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526A3B" w:rsidRPr="006F1C76" w:rsidP="006F3414">
            <w:pPr>
              <w:bidi w:val="0"/>
              <w:jc w:val="center"/>
              <w:rPr>
                <w:rFonts w:ascii="Times New Roman" w:hAnsi="Times New Roman"/>
                <w:b/>
                <w:sz w:val="20"/>
                <w:szCs w:val="20"/>
              </w:rPr>
            </w:pPr>
            <w:r w:rsidRPr="006F1C76">
              <w:rPr>
                <w:rFonts w:ascii="Times New Roman" w:hAnsi="Times New Roman"/>
                <w:b/>
                <w:sz w:val="20"/>
                <w:szCs w:val="20"/>
              </w:rPr>
              <w:t>Rozdiel</w:t>
            </w:r>
          </w:p>
        </w:tc>
      </w:tr>
      <w:tr>
        <w:tblPrEx>
          <w:tblW w:w="10064" w:type="dxa"/>
          <w:jc w:val="center"/>
          <w:tblInd w:w="142" w:type="dxa"/>
          <w:tblLayout w:type="fixed"/>
          <w:tblLook w:val="01E0"/>
        </w:tblPrEx>
        <w:trPr>
          <w:trHeight w:hRule="exact" w:val="284"/>
          <w:jc w:val="center"/>
        </w:trPr>
        <w:tc>
          <w:tcPr>
            <w:tcW w:w="2929"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spacing w:after="120" w:line="360" w:lineRule="auto"/>
              <w:jc w:val="both"/>
              <w:rPr>
                <w:rFonts w:ascii="Times New Roman" w:hAnsi="Times New Roman"/>
                <w:sz w:val="20"/>
                <w:szCs w:val="20"/>
              </w:rPr>
            </w:pPr>
          </w:p>
        </w:tc>
        <w:tc>
          <w:tcPr>
            <w:tcW w:w="126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jc w:val="center"/>
              <w:rPr>
                <w:rFonts w:ascii="Times New Roman" w:hAnsi="Times New Roman"/>
                <w:b/>
                <w:sz w:val="20"/>
                <w:szCs w:val="20"/>
              </w:rPr>
            </w:pPr>
            <w:r w:rsidR="00D866F7">
              <w:rPr>
                <w:rFonts w:ascii="Times New Roman" w:hAnsi="Times New Roman"/>
                <w:b/>
                <w:sz w:val="20"/>
                <w:szCs w:val="20"/>
              </w:rPr>
              <w:t>s</w:t>
            </w:r>
            <w:r w:rsidRPr="002042B1">
              <w:rPr>
                <w:rFonts w:ascii="Times New Roman" w:hAnsi="Times New Roman"/>
                <w:b/>
                <w:sz w:val="20"/>
                <w:szCs w:val="20"/>
              </w:rPr>
              <w:t>chválený</w:t>
            </w:r>
          </w:p>
        </w:tc>
        <w:tc>
          <w:tcPr>
            <w:tcW w:w="126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jc w:val="center"/>
              <w:rPr>
                <w:rFonts w:ascii="Times New Roman" w:hAnsi="Times New Roman"/>
                <w:b/>
                <w:sz w:val="20"/>
                <w:szCs w:val="20"/>
              </w:rPr>
            </w:pPr>
            <w:r w:rsidR="00D866F7">
              <w:rPr>
                <w:rFonts w:ascii="Times New Roman" w:hAnsi="Times New Roman"/>
                <w:b/>
                <w:sz w:val="20"/>
                <w:szCs w:val="20"/>
              </w:rPr>
              <w:t>u</w:t>
            </w:r>
            <w:r w:rsidRPr="002042B1">
              <w:rPr>
                <w:rFonts w:ascii="Times New Roman" w:hAnsi="Times New Roman"/>
                <w:b/>
                <w:sz w:val="20"/>
                <w:szCs w:val="20"/>
              </w:rPr>
              <w:t>pravený</w:t>
            </w:r>
          </w:p>
        </w:tc>
        <w:tc>
          <w:tcPr>
            <w:tcW w:w="112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jc w:val="center"/>
              <w:rPr>
                <w:rFonts w:ascii="Times New Roman" w:hAnsi="Times New Roman"/>
                <w:b/>
                <w:sz w:val="20"/>
                <w:szCs w:val="20"/>
              </w:rPr>
            </w:pPr>
            <w:r w:rsidRPr="002042B1">
              <w:rPr>
                <w:rFonts w:ascii="Times New Roman" w:hAnsi="Times New Roman"/>
                <w:b/>
                <w:sz w:val="20"/>
                <w:szCs w:val="20"/>
              </w:rPr>
              <w:t>2011</w:t>
            </w:r>
          </w:p>
        </w:tc>
        <w:tc>
          <w:tcPr>
            <w:tcW w:w="1261"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jc w:val="center"/>
              <w:rPr>
                <w:rFonts w:ascii="Times New Roman" w:hAnsi="Times New Roman"/>
                <w:b/>
                <w:sz w:val="20"/>
                <w:szCs w:val="20"/>
              </w:rPr>
            </w:pPr>
            <w:r w:rsidRPr="002042B1">
              <w:rPr>
                <w:rFonts w:ascii="Times New Roman" w:hAnsi="Times New Roman"/>
                <w:b/>
                <w:sz w:val="20"/>
                <w:szCs w:val="20"/>
              </w:rPr>
              <w:t>2010</w:t>
            </w:r>
          </w:p>
        </w:tc>
        <w:tc>
          <w:tcPr>
            <w:tcW w:w="1122" w:type="dxa"/>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526A3B" w:rsidRPr="002042B1" w:rsidP="00351C21">
            <w:pPr>
              <w:bidi w:val="0"/>
              <w:jc w:val="center"/>
              <w:rPr>
                <w:rFonts w:ascii="Times New Roman" w:hAnsi="Times New Roman"/>
                <w:b/>
                <w:sz w:val="20"/>
                <w:szCs w:val="20"/>
              </w:rPr>
            </w:pPr>
            <w:r w:rsidRPr="002042B1">
              <w:rPr>
                <w:rFonts w:ascii="Times New Roman" w:hAnsi="Times New Roman"/>
                <w:b/>
                <w:sz w:val="20"/>
                <w:szCs w:val="20"/>
              </w:rPr>
              <w:t>2009</w:t>
            </w:r>
          </w:p>
        </w:tc>
        <w:tc>
          <w:tcPr>
            <w:tcW w:w="1106" w:type="dxa"/>
            <w:vMerge/>
            <w:tcBorders>
              <w:top w:val="single" w:sz="4" w:space="0" w:color="FFFFFF"/>
              <w:left w:val="single" w:sz="4" w:space="0" w:color="FFFFFF"/>
              <w:bottom w:val="single" w:sz="4" w:space="0" w:color="auto"/>
              <w:right w:val="single" w:sz="4" w:space="0" w:color="FFFFFF"/>
            </w:tcBorders>
            <w:shd w:val="clear" w:color="auto" w:fill="000000"/>
            <w:textDirection w:val="lrTb"/>
            <w:vAlign w:val="top"/>
          </w:tcPr>
          <w:p w:rsidR="00526A3B" w:rsidRPr="002042B1" w:rsidP="00351C21">
            <w:pPr>
              <w:bidi w:val="0"/>
              <w:jc w:val="center"/>
              <w:rPr>
                <w:rFonts w:ascii="Times New Roman" w:hAnsi="Times New Roman"/>
                <w:b/>
                <w:sz w:val="20"/>
                <w:szCs w:val="20"/>
              </w:rPr>
            </w:pPr>
          </w:p>
        </w:tc>
      </w:tr>
      <w:tr>
        <w:tblPrEx>
          <w:tblW w:w="10064" w:type="dxa"/>
          <w:jc w:val="center"/>
          <w:tblInd w:w="142" w:type="dxa"/>
          <w:tblLayout w:type="fixed"/>
          <w:tblLook w:val="01E0"/>
        </w:tblPrEx>
        <w:trPr>
          <w:trHeight w:hRule="exact" w:val="284"/>
          <w:jc w:val="center"/>
        </w:trPr>
        <w:tc>
          <w:tcPr>
            <w:tcW w:w="2929"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1</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2</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3</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4</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5</w:t>
            </w:r>
          </w:p>
        </w:tc>
        <w:tc>
          <w:tcPr>
            <w:tcW w:w="1106" w:type="dxa"/>
            <w:tcBorders>
              <w:top w:val="single" w:sz="4" w:space="0" w:color="auto"/>
              <w:left w:val="single" w:sz="4" w:space="0" w:color="auto"/>
              <w:bottom w:val="single" w:sz="4" w:space="0" w:color="auto"/>
              <w:right w:val="single" w:sz="4" w:space="0" w:color="auto"/>
            </w:tcBorders>
            <w:textDirection w:val="lrTb"/>
            <w:vAlign w:val="center"/>
          </w:tcPr>
          <w:p w:rsidR="00526A3B" w:rsidRPr="00EC3874" w:rsidP="00351C21">
            <w:pPr>
              <w:pStyle w:val="ListParagraph"/>
              <w:widowControl w:val="0"/>
              <w:tabs>
                <w:tab w:val="left" w:pos="0"/>
                <w:tab w:val="left" w:pos="426"/>
              </w:tabs>
              <w:overflowPunct w:val="0"/>
              <w:autoSpaceDE w:val="0"/>
              <w:autoSpaceDN w:val="0"/>
              <w:bidi w:val="0"/>
              <w:adjustRightInd w:val="0"/>
              <w:spacing w:after="0" w:line="240" w:lineRule="auto"/>
              <w:ind w:left="0"/>
              <w:jc w:val="center"/>
              <w:textAlignment w:val="baseline"/>
              <w:rPr>
                <w:rFonts w:ascii="Times New Roman" w:hAnsi="Times New Roman"/>
                <w:b/>
                <w:sz w:val="20"/>
                <w:szCs w:val="20"/>
              </w:rPr>
            </w:pPr>
            <w:r w:rsidRPr="00EC3874">
              <w:rPr>
                <w:rFonts w:ascii="Times New Roman" w:hAnsi="Times New Roman"/>
                <w:b/>
                <w:sz w:val="20"/>
                <w:szCs w:val="20"/>
              </w:rPr>
              <w:t>6=3-2</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01 – Všeobecné verejné</w:t>
            </w:r>
            <w:r>
              <w:rPr>
                <w:rFonts w:ascii="Times New Roman" w:hAnsi="Times New Roman"/>
                <w:sz w:val="20"/>
                <w:szCs w:val="20"/>
              </w:rPr>
              <w:t xml:space="preserve"> </w:t>
            </w:r>
            <w:r w:rsidRPr="002042B1">
              <w:rPr>
                <w:rFonts w:ascii="Times New Roman" w:hAnsi="Times New Roman"/>
                <w:sz w:val="20"/>
                <w:szCs w:val="20"/>
              </w:rPr>
              <w:t>služby</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w:t>
            </w:r>
            <w:r w:rsidR="00790CCD">
              <w:rPr>
                <w:rFonts w:ascii="Times New Roman" w:hAnsi="Times New Roman"/>
                <w:sz w:val="20"/>
                <w:szCs w:val="20"/>
              </w:rPr>
              <w:t> </w:t>
            </w:r>
            <w:r w:rsidRPr="002042B1">
              <w:rPr>
                <w:rFonts w:ascii="Times New Roman" w:hAnsi="Times New Roman"/>
                <w:sz w:val="20"/>
                <w:szCs w:val="20"/>
              </w:rPr>
              <w:t>22</w:t>
            </w:r>
            <w:r w:rsidR="00790CCD">
              <w:rPr>
                <w:rFonts w:ascii="Times New Roman" w:hAnsi="Times New Roman"/>
                <w:sz w:val="20"/>
                <w:szCs w:val="20"/>
              </w:rPr>
              <w:t>3 003</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3 008 7</w:t>
            </w:r>
            <w:r w:rsidR="00790CCD">
              <w:rPr>
                <w:rFonts w:ascii="Times New Roman" w:hAnsi="Times New Roman"/>
                <w:sz w:val="20"/>
                <w:szCs w:val="20"/>
              </w:rPr>
              <w:t>58</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2 632 28</w:t>
            </w:r>
            <w:r w:rsidR="00790CCD">
              <w:rPr>
                <w:rFonts w:ascii="Times New Roman" w:hAnsi="Times New Roman"/>
                <w:sz w:val="20"/>
                <w:szCs w:val="20"/>
              </w:rPr>
              <w:t>3</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2 525 468</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2 381 131</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790CCD">
            <w:pPr>
              <w:bidi w:val="0"/>
              <w:jc w:val="right"/>
              <w:rPr>
                <w:rFonts w:ascii="Times New Roman" w:hAnsi="Times New Roman"/>
                <w:sz w:val="20"/>
                <w:szCs w:val="20"/>
              </w:rPr>
            </w:pPr>
            <w:r>
              <w:rPr>
                <w:rFonts w:ascii="Times New Roman" w:hAnsi="Times New Roman"/>
                <w:sz w:val="20"/>
                <w:szCs w:val="20"/>
              </w:rPr>
              <w:t>- 376 47</w:t>
            </w:r>
            <w:r w:rsidR="00790CCD">
              <w:rPr>
                <w:rFonts w:ascii="Times New Roman" w:hAnsi="Times New Roman"/>
                <w:sz w:val="20"/>
                <w:szCs w:val="20"/>
              </w:rPr>
              <w:t>5</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02 – Obrana</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665 120</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655 80</w:t>
            </w:r>
            <w:r w:rsidR="00790CCD">
              <w:rPr>
                <w:rFonts w:ascii="Times New Roman" w:hAnsi="Times New Roman"/>
                <w:sz w:val="20"/>
                <w:szCs w:val="20"/>
              </w:rPr>
              <w:t>4</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656 29</w:t>
            </w:r>
            <w:r w:rsidR="00790CCD">
              <w:rPr>
                <w:rFonts w:ascii="Times New Roman" w:hAnsi="Times New Roman"/>
                <w:sz w:val="20"/>
                <w:szCs w:val="20"/>
              </w:rPr>
              <w:t>8</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741 177</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874 723</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49</w:t>
            </w:r>
            <w:r w:rsidR="00F00010">
              <w:rPr>
                <w:rFonts w:ascii="Times New Roman" w:hAnsi="Times New Roman"/>
                <w:sz w:val="20"/>
                <w:szCs w:val="20"/>
              </w:rPr>
              <w:t>4</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03 – Verejný poriadok</w:t>
            </w:r>
            <w:r>
              <w:rPr>
                <w:rFonts w:ascii="Times New Roman" w:hAnsi="Times New Roman"/>
                <w:sz w:val="20"/>
                <w:szCs w:val="20"/>
              </w:rPr>
              <w:t xml:space="preserve"> </w:t>
            </w:r>
            <w:r w:rsidRPr="002042B1">
              <w:rPr>
                <w:rFonts w:ascii="Times New Roman" w:hAnsi="Times New Roman"/>
                <w:sz w:val="20"/>
                <w:szCs w:val="20"/>
              </w:rPr>
              <w:t>a bezpečnosť</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1 208 11</w:t>
            </w:r>
            <w:r w:rsidR="00790CCD">
              <w:rPr>
                <w:rFonts w:ascii="Times New Roman" w:hAnsi="Times New Roman"/>
                <w:sz w:val="20"/>
                <w:szCs w:val="20"/>
              </w:rPr>
              <w:t>6</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1 248 97</w:t>
            </w:r>
            <w:r w:rsidR="00790CCD">
              <w:rPr>
                <w:rFonts w:ascii="Times New Roman" w:hAnsi="Times New Roman"/>
                <w:sz w:val="20"/>
                <w:szCs w:val="20"/>
              </w:rPr>
              <w:t>7</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1 268 75</w:t>
            </w:r>
            <w:r w:rsidR="00790CCD">
              <w:rPr>
                <w:rFonts w:ascii="Times New Roman" w:hAnsi="Times New Roman"/>
                <w:sz w:val="20"/>
                <w:szCs w:val="20"/>
              </w:rPr>
              <w:t>8</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1 331 530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1 313 903</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19 7</w:t>
            </w:r>
            <w:r w:rsidR="00F00010">
              <w:rPr>
                <w:rFonts w:ascii="Times New Roman" w:hAnsi="Times New Roman"/>
                <w:sz w:val="20"/>
                <w:szCs w:val="20"/>
              </w:rPr>
              <w:t>81</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04 - Ekonomická oblasť</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3 812 7</w:t>
            </w:r>
            <w:r w:rsidR="00790CCD">
              <w:rPr>
                <w:rFonts w:ascii="Times New Roman" w:hAnsi="Times New Roman"/>
                <w:sz w:val="20"/>
                <w:szCs w:val="20"/>
              </w:rPr>
              <w:t>92</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4 828 7</w:t>
            </w:r>
            <w:r w:rsidR="00790CCD">
              <w:rPr>
                <w:rFonts w:ascii="Times New Roman" w:hAnsi="Times New Roman"/>
                <w:sz w:val="20"/>
                <w:szCs w:val="20"/>
              </w:rPr>
              <w:t>4</w:t>
            </w:r>
            <w:r w:rsidRPr="002042B1">
              <w:rPr>
                <w:rFonts w:ascii="Times New Roman" w:hAnsi="Times New Roman"/>
                <w:sz w:val="20"/>
                <w:szCs w:val="20"/>
              </w:rPr>
              <w:t>2</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3 393 8</w:t>
            </w:r>
            <w:r w:rsidR="00790CCD">
              <w:rPr>
                <w:rFonts w:ascii="Times New Roman" w:hAnsi="Times New Roman"/>
                <w:sz w:val="20"/>
                <w:szCs w:val="20"/>
              </w:rPr>
              <w:t>52</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3 299 506</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3 088 828</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- 1 434 8</w:t>
            </w:r>
            <w:r w:rsidR="00F00010">
              <w:rPr>
                <w:rFonts w:ascii="Times New Roman" w:hAnsi="Times New Roman"/>
                <w:sz w:val="20"/>
                <w:szCs w:val="20"/>
              </w:rPr>
              <w:t>90</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05 – Ochrana životného</w:t>
            </w:r>
            <w:r>
              <w:rPr>
                <w:rFonts w:ascii="Times New Roman" w:hAnsi="Times New Roman"/>
                <w:sz w:val="20"/>
                <w:szCs w:val="20"/>
              </w:rPr>
              <w:t xml:space="preserve"> </w:t>
            </w:r>
            <w:r w:rsidRPr="002042B1">
              <w:rPr>
                <w:rFonts w:ascii="Times New Roman" w:hAnsi="Times New Roman"/>
                <w:sz w:val="20"/>
                <w:szCs w:val="20"/>
              </w:rPr>
              <w:t>prostredia</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771 297</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 xml:space="preserve">642 </w:t>
            </w:r>
            <w:r w:rsidR="00790CCD">
              <w:rPr>
                <w:rFonts w:ascii="Times New Roman" w:hAnsi="Times New Roman"/>
                <w:sz w:val="20"/>
                <w:szCs w:val="20"/>
              </w:rPr>
              <w:t>699</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371 092</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242 324</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223 518</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- 271 60</w:t>
            </w:r>
            <w:r w:rsidR="00F00010">
              <w:rPr>
                <w:rFonts w:ascii="Times New Roman" w:hAnsi="Times New Roman"/>
                <w:sz w:val="20"/>
                <w:szCs w:val="20"/>
              </w:rPr>
              <w:t>7</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06 – Bývanie a</w:t>
            </w:r>
            <w:r>
              <w:rPr>
                <w:rFonts w:ascii="Times New Roman" w:hAnsi="Times New Roman"/>
                <w:sz w:val="20"/>
                <w:szCs w:val="20"/>
              </w:rPr>
              <w:t> </w:t>
            </w:r>
            <w:r w:rsidRPr="002042B1">
              <w:rPr>
                <w:rFonts w:ascii="Times New Roman" w:hAnsi="Times New Roman"/>
                <w:sz w:val="20"/>
                <w:szCs w:val="20"/>
              </w:rPr>
              <w:t>občianska</w:t>
            </w:r>
            <w:r>
              <w:rPr>
                <w:rFonts w:ascii="Times New Roman" w:hAnsi="Times New Roman"/>
                <w:sz w:val="20"/>
                <w:szCs w:val="20"/>
              </w:rPr>
              <w:t xml:space="preserve"> </w:t>
            </w:r>
            <w:r w:rsidRPr="002042B1">
              <w:rPr>
                <w:rFonts w:ascii="Times New Roman" w:hAnsi="Times New Roman"/>
                <w:sz w:val="20"/>
                <w:szCs w:val="20"/>
              </w:rPr>
              <w:t>vybavenosť</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178 518</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184 7</w:t>
            </w:r>
            <w:r w:rsidR="00790CCD">
              <w:rPr>
                <w:rFonts w:ascii="Times New Roman" w:hAnsi="Times New Roman"/>
                <w:sz w:val="20"/>
                <w:szCs w:val="20"/>
              </w:rPr>
              <w:t>30</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184 148</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170 670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283 171</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- 58</w:t>
            </w:r>
            <w:r w:rsidR="00F00010">
              <w:rPr>
                <w:rFonts w:ascii="Times New Roman" w:hAnsi="Times New Roman"/>
                <w:sz w:val="20"/>
                <w:szCs w:val="20"/>
              </w:rPr>
              <w:t>2</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07 – Zdravotníctvo</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1 400 6</w:t>
            </w:r>
            <w:r w:rsidR="00790CCD">
              <w:rPr>
                <w:rFonts w:ascii="Times New Roman" w:hAnsi="Times New Roman"/>
                <w:sz w:val="20"/>
                <w:szCs w:val="20"/>
              </w:rPr>
              <w:t>69</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1 427 4</w:t>
            </w:r>
            <w:r w:rsidR="00790CCD">
              <w:rPr>
                <w:rFonts w:ascii="Times New Roman" w:hAnsi="Times New Roman"/>
                <w:sz w:val="20"/>
                <w:szCs w:val="20"/>
              </w:rPr>
              <w:t>65</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1 376 26</w:t>
            </w:r>
            <w:r w:rsidR="00790CCD">
              <w:rPr>
                <w:rFonts w:ascii="Times New Roman" w:hAnsi="Times New Roman"/>
                <w:sz w:val="20"/>
                <w:szCs w:val="20"/>
              </w:rPr>
              <w:t>0</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1 492 881</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1 311 270</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- 51 20</w:t>
            </w:r>
            <w:r w:rsidR="00F00010">
              <w:rPr>
                <w:rFonts w:ascii="Times New Roman" w:hAnsi="Times New Roman"/>
                <w:sz w:val="20"/>
                <w:szCs w:val="20"/>
              </w:rPr>
              <w:t>5</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08 – Rekreácia, kultúra a náboženstvo</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239 93</w:t>
            </w:r>
            <w:r w:rsidR="00790CCD">
              <w:rPr>
                <w:rFonts w:ascii="Times New Roman" w:hAnsi="Times New Roman"/>
                <w:sz w:val="20"/>
                <w:szCs w:val="20"/>
              </w:rPr>
              <w:t>2</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316 19</w:t>
            </w:r>
            <w:r w:rsidR="00790CCD">
              <w:rPr>
                <w:rFonts w:ascii="Times New Roman" w:hAnsi="Times New Roman"/>
                <w:sz w:val="20"/>
                <w:szCs w:val="20"/>
              </w:rPr>
              <w:t>9</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259 67</w:t>
            </w:r>
            <w:r w:rsidR="00790CCD">
              <w:rPr>
                <w:rFonts w:ascii="Times New Roman" w:hAnsi="Times New Roman"/>
                <w:sz w:val="20"/>
                <w:szCs w:val="20"/>
              </w:rPr>
              <w:t>1</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319 766</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287 115</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- 56 52</w:t>
            </w:r>
            <w:r w:rsidR="00F00010">
              <w:rPr>
                <w:rFonts w:ascii="Times New Roman" w:hAnsi="Times New Roman"/>
                <w:sz w:val="20"/>
                <w:szCs w:val="20"/>
              </w:rPr>
              <w:t>8</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09 – Vzdelávanie</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1 913 4</w:t>
            </w:r>
            <w:r w:rsidR="00790CCD">
              <w:rPr>
                <w:rFonts w:ascii="Times New Roman" w:hAnsi="Times New Roman"/>
                <w:sz w:val="20"/>
                <w:szCs w:val="20"/>
              </w:rPr>
              <w:t>29</w:t>
            </w:r>
          </w:p>
        </w:tc>
        <w:tc>
          <w:tcPr>
            <w:tcW w:w="126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2 241 04</w:t>
            </w:r>
            <w:r w:rsidR="00790CCD">
              <w:rPr>
                <w:rFonts w:ascii="Times New Roman" w:hAnsi="Times New Roman"/>
                <w:sz w:val="20"/>
                <w:szCs w:val="20"/>
              </w:rPr>
              <w:t>2</w:t>
            </w:r>
          </w:p>
        </w:tc>
        <w:tc>
          <w:tcPr>
            <w:tcW w:w="112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1 761 90</w:t>
            </w:r>
            <w:r w:rsidR="00790CCD">
              <w:rPr>
                <w:rFonts w:ascii="Times New Roman" w:hAnsi="Times New Roman"/>
                <w:sz w:val="20"/>
                <w:szCs w:val="20"/>
              </w:rPr>
              <w:t>1</w:t>
            </w:r>
          </w:p>
        </w:tc>
        <w:tc>
          <w:tcPr>
            <w:tcW w:w="1261"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1 873 581</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1 847 257</w:t>
            </w:r>
          </w:p>
        </w:tc>
        <w:tc>
          <w:tcPr>
            <w:tcW w:w="1106" w:type="dxa"/>
            <w:tcBorders>
              <w:top w:val="sing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- 479 1</w:t>
            </w:r>
            <w:r w:rsidR="00F00010">
              <w:rPr>
                <w:rFonts w:ascii="Times New Roman" w:hAnsi="Times New Roman"/>
                <w:sz w:val="20"/>
                <w:szCs w:val="20"/>
              </w:rPr>
              <w:t>41</w:t>
            </w:r>
          </w:p>
        </w:tc>
      </w:tr>
      <w:tr>
        <w:tblPrEx>
          <w:tblW w:w="10064" w:type="dxa"/>
          <w:jc w:val="center"/>
          <w:tblInd w:w="142" w:type="dxa"/>
          <w:tblLayout w:type="fixed"/>
          <w:tblLook w:val="01E0"/>
        </w:tblPrEx>
        <w:trPr>
          <w:trHeight w:val="340"/>
          <w:jc w:val="center"/>
        </w:trPr>
        <w:tc>
          <w:tcPr>
            <w:tcW w:w="2929" w:type="dxa"/>
            <w:tcBorders>
              <w:top w:val="single" w:sz="4" w:space="0" w:color="auto"/>
              <w:left w:val="single" w:sz="8" w:space="0" w:color="auto"/>
              <w:bottom w:val="double" w:sz="4" w:space="0" w:color="auto"/>
              <w:right w:val="single" w:sz="4" w:space="0" w:color="auto"/>
            </w:tcBorders>
            <w:tcMar>
              <w:left w:w="28" w:type="dxa"/>
              <w:right w:w="28" w:type="dxa"/>
            </w:tcMar>
            <w:textDirection w:val="lrTb"/>
            <w:vAlign w:val="center"/>
          </w:tcPr>
          <w:p w:rsidR="00526A3B" w:rsidRPr="002042B1" w:rsidP="00351C21">
            <w:pPr>
              <w:bidi w:val="0"/>
              <w:rPr>
                <w:rFonts w:ascii="Times New Roman" w:hAnsi="Times New Roman"/>
                <w:sz w:val="20"/>
                <w:szCs w:val="20"/>
              </w:rPr>
            </w:pPr>
            <w:r w:rsidRPr="002042B1">
              <w:rPr>
                <w:rFonts w:ascii="Times New Roman" w:hAnsi="Times New Roman"/>
                <w:sz w:val="20"/>
                <w:szCs w:val="20"/>
              </w:rPr>
              <w:t>10 – Sociálne zabezpečenie</w:t>
            </w:r>
          </w:p>
        </w:tc>
        <w:tc>
          <w:tcPr>
            <w:tcW w:w="1262" w:type="dxa"/>
            <w:tcBorders>
              <w:top w:val="single" w:sz="4" w:space="0" w:color="auto"/>
              <w:left w:val="single" w:sz="4" w:space="0" w:color="auto"/>
              <w:bottom w:val="doub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3 544 </w:t>
            </w:r>
            <w:r w:rsidR="00790CCD">
              <w:rPr>
                <w:rFonts w:ascii="Times New Roman" w:hAnsi="Times New Roman"/>
                <w:sz w:val="20"/>
                <w:szCs w:val="20"/>
              </w:rPr>
              <w:t>897</w:t>
            </w:r>
          </w:p>
        </w:tc>
        <w:tc>
          <w:tcPr>
            <w:tcW w:w="1262" w:type="dxa"/>
            <w:tcBorders>
              <w:top w:val="single" w:sz="4" w:space="0" w:color="auto"/>
              <w:left w:val="single" w:sz="4" w:space="0" w:color="auto"/>
              <w:bottom w:val="double" w:sz="4" w:space="0" w:color="auto"/>
              <w:right w:val="single" w:sz="4" w:space="0" w:color="auto"/>
            </w:tcBorders>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3 542 85</w:t>
            </w:r>
            <w:r w:rsidR="00790CCD">
              <w:rPr>
                <w:rFonts w:ascii="Times New Roman" w:hAnsi="Times New Roman"/>
                <w:sz w:val="20"/>
                <w:szCs w:val="20"/>
              </w:rPr>
              <w:t>1</w:t>
            </w:r>
          </w:p>
        </w:tc>
        <w:tc>
          <w:tcPr>
            <w:tcW w:w="1122" w:type="dxa"/>
            <w:tcBorders>
              <w:top w:val="single" w:sz="4" w:space="0" w:color="auto"/>
              <w:left w:val="single" w:sz="4" w:space="0" w:color="auto"/>
              <w:bottom w:val="double" w:sz="4" w:space="0" w:color="auto"/>
              <w:right w:val="single" w:sz="4" w:space="0" w:color="auto"/>
            </w:tcBorders>
            <w:shd w:val="clear" w:color="auto" w:fill="D9D9D9"/>
            <w:textDirection w:val="lrTb"/>
            <w:vAlign w:val="center"/>
          </w:tcPr>
          <w:p w:rsidR="00526A3B" w:rsidRPr="002042B1" w:rsidP="00790CCD">
            <w:pPr>
              <w:bidi w:val="0"/>
              <w:jc w:val="right"/>
              <w:rPr>
                <w:rFonts w:ascii="Times New Roman" w:hAnsi="Times New Roman"/>
                <w:sz w:val="20"/>
                <w:szCs w:val="20"/>
              </w:rPr>
            </w:pPr>
            <w:r w:rsidRPr="002042B1">
              <w:rPr>
                <w:rFonts w:ascii="Times New Roman" w:hAnsi="Times New Roman"/>
                <w:sz w:val="20"/>
                <w:szCs w:val="20"/>
              </w:rPr>
              <w:t>3 373 7</w:t>
            </w:r>
            <w:r w:rsidR="00790CCD">
              <w:rPr>
                <w:rFonts w:ascii="Times New Roman" w:hAnsi="Times New Roman"/>
                <w:sz w:val="20"/>
                <w:szCs w:val="20"/>
              </w:rPr>
              <w:t>79</w:t>
            </w:r>
          </w:p>
        </w:tc>
        <w:tc>
          <w:tcPr>
            <w:tcW w:w="1261" w:type="dxa"/>
            <w:tcBorders>
              <w:top w:val="single" w:sz="4" w:space="0" w:color="auto"/>
              <w:left w:val="single" w:sz="4" w:space="0" w:color="auto"/>
              <w:bottom w:val="doub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3 340 108</w:t>
            </w:r>
          </w:p>
        </w:tc>
        <w:tc>
          <w:tcPr>
            <w:tcW w:w="1122" w:type="dxa"/>
            <w:tcBorders>
              <w:top w:val="single" w:sz="4" w:space="0" w:color="auto"/>
              <w:left w:val="single" w:sz="4" w:space="0" w:color="auto"/>
              <w:bottom w:val="double" w:sz="4" w:space="0" w:color="auto"/>
              <w:right w:val="single" w:sz="4" w:space="0" w:color="auto"/>
            </w:tcBorders>
            <w:textDirection w:val="lrTb"/>
            <w:vAlign w:val="center"/>
          </w:tcPr>
          <w:p w:rsidR="00526A3B" w:rsidRPr="002042B1" w:rsidP="00351C21">
            <w:pPr>
              <w:bidi w:val="0"/>
              <w:jc w:val="right"/>
              <w:rPr>
                <w:rFonts w:ascii="Times New Roman" w:hAnsi="Times New Roman"/>
                <w:sz w:val="20"/>
                <w:szCs w:val="20"/>
              </w:rPr>
            </w:pPr>
            <w:r w:rsidRPr="002042B1">
              <w:rPr>
                <w:rFonts w:ascii="Times New Roman" w:hAnsi="Times New Roman"/>
                <w:sz w:val="20"/>
                <w:szCs w:val="20"/>
              </w:rPr>
              <w:t>1 721 131</w:t>
            </w:r>
          </w:p>
        </w:tc>
        <w:tc>
          <w:tcPr>
            <w:tcW w:w="1106" w:type="dxa"/>
            <w:tcBorders>
              <w:top w:val="single" w:sz="4" w:space="0" w:color="auto"/>
              <w:left w:val="single" w:sz="4" w:space="0" w:color="auto"/>
              <w:bottom w:val="double" w:sz="4" w:space="0" w:color="auto"/>
              <w:right w:val="single" w:sz="8" w:space="0" w:color="auto"/>
            </w:tcBorders>
            <w:tcMar>
              <w:left w:w="28" w:type="dxa"/>
              <w:right w:w="57" w:type="dxa"/>
            </w:tcMar>
            <w:textDirection w:val="lrTb"/>
            <w:vAlign w:val="center"/>
          </w:tcPr>
          <w:p w:rsidR="00526A3B" w:rsidRPr="002042B1" w:rsidP="00F00010">
            <w:pPr>
              <w:bidi w:val="0"/>
              <w:jc w:val="right"/>
              <w:rPr>
                <w:rFonts w:ascii="Times New Roman" w:hAnsi="Times New Roman"/>
                <w:sz w:val="20"/>
                <w:szCs w:val="20"/>
              </w:rPr>
            </w:pPr>
            <w:r>
              <w:rPr>
                <w:rFonts w:ascii="Times New Roman" w:hAnsi="Times New Roman"/>
                <w:sz w:val="20"/>
                <w:szCs w:val="20"/>
              </w:rPr>
              <w:t>- 169 0</w:t>
            </w:r>
            <w:r w:rsidR="00F00010">
              <w:rPr>
                <w:rFonts w:ascii="Times New Roman" w:hAnsi="Times New Roman"/>
                <w:sz w:val="20"/>
                <w:szCs w:val="20"/>
              </w:rPr>
              <w:t>72</w:t>
            </w:r>
          </w:p>
        </w:tc>
      </w:tr>
      <w:tr>
        <w:tblPrEx>
          <w:tblW w:w="10064" w:type="dxa"/>
          <w:jc w:val="center"/>
          <w:tblInd w:w="142" w:type="dxa"/>
          <w:tblLayout w:type="fixed"/>
          <w:tblLook w:val="01E0"/>
        </w:tblPrEx>
        <w:trPr>
          <w:trHeight w:val="340"/>
          <w:jc w:val="center"/>
        </w:trPr>
        <w:tc>
          <w:tcPr>
            <w:tcW w:w="2929" w:type="dxa"/>
            <w:tcBorders>
              <w:top w:val="double" w:sz="4" w:space="0" w:color="auto"/>
              <w:left w:val="single" w:sz="8" w:space="0" w:color="auto"/>
              <w:bottom w:val="single" w:sz="4" w:space="0" w:color="auto"/>
              <w:right w:val="single" w:sz="4" w:space="0" w:color="auto"/>
            </w:tcBorders>
            <w:tcMar>
              <w:left w:w="28" w:type="dxa"/>
              <w:right w:w="28" w:type="dxa"/>
            </w:tcMar>
            <w:textDirection w:val="lrTb"/>
            <w:vAlign w:val="center"/>
          </w:tcPr>
          <w:p w:rsidR="00526A3B" w:rsidRPr="0013260D" w:rsidP="009A7963">
            <w:pPr>
              <w:bidi w:val="0"/>
              <w:rPr>
                <w:rFonts w:ascii="Times New Roman" w:hAnsi="Times New Roman"/>
                <w:b/>
                <w:bCs/>
                <w:sz w:val="20"/>
                <w:szCs w:val="20"/>
              </w:rPr>
            </w:pPr>
            <w:r w:rsidR="009A7963">
              <w:rPr>
                <w:rFonts w:ascii="Times New Roman" w:hAnsi="Times New Roman"/>
                <w:b/>
                <w:bCs/>
                <w:sz w:val="20"/>
                <w:szCs w:val="20"/>
              </w:rPr>
              <w:t>Spolu</w:t>
            </w:r>
          </w:p>
        </w:tc>
        <w:tc>
          <w:tcPr>
            <w:tcW w:w="1262" w:type="dxa"/>
            <w:tcBorders>
              <w:top w:val="double" w:sz="4" w:space="0" w:color="auto"/>
              <w:left w:val="single" w:sz="4" w:space="0" w:color="auto"/>
              <w:bottom w:val="single" w:sz="4" w:space="0" w:color="auto"/>
              <w:right w:val="single" w:sz="4" w:space="0" w:color="auto"/>
            </w:tcBorders>
            <w:textDirection w:val="lrTb"/>
            <w:vAlign w:val="center"/>
          </w:tcPr>
          <w:p w:rsidR="00526A3B" w:rsidRPr="0013260D" w:rsidP="00980416">
            <w:pPr>
              <w:bidi w:val="0"/>
              <w:jc w:val="right"/>
              <w:rPr>
                <w:rFonts w:ascii="Times New Roman" w:hAnsi="Times New Roman"/>
                <w:b/>
                <w:bCs/>
                <w:sz w:val="20"/>
                <w:szCs w:val="20"/>
              </w:rPr>
            </w:pPr>
            <w:r w:rsidRPr="0013260D">
              <w:rPr>
                <w:rFonts w:ascii="Times New Roman" w:hAnsi="Times New Roman"/>
                <w:b/>
                <w:bCs/>
                <w:sz w:val="20"/>
                <w:szCs w:val="20"/>
              </w:rPr>
              <w:t>16 957 7</w:t>
            </w:r>
            <w:r w:rsidR="00980416">
              <w:rPr>
                <w:rFonts w:ascii="Times New Roman" w:hAnsi="Times New Roman"/>
                <w:b/>
                <w:bCs/>
                <w:sz w:val="20"/>
                <w:szCs w:val="20"/>
              </w:rPr>
              <w:t>7</w:t>
            </w:r>
            <w:r w:rsidRPr="0013260D">
              <w:rPr>
                <w:rFonts w:ascii="Times New Roman" w:hAnsi="Times New Roman"/>
                <w:b/>
                <w:bCs/>
                <w:sz w:val="20"/>
                <w:szCs w:val="20"/>
              </w:rPr>
              <w:t>3</w:t>
            </w:r>
          </w:p>
        </w:tc>
        <w:tc>
          <w:tcPr>
            <w:tcW w:w="1262" w:type="dxa"/>
            <w:tcBorders>
              <w:top w:val="double" w:sz="4" w:space="0" w:color="auto"/>
              <w:left w:val="single" w:sz="4" w:space="0" w:color="auto"/>
              <w:bottom w:val="single" w:sz="4" w:space="0" w:color="auto"/>
              <w:right w:val="single" w:sz="4" w:space="0" w:color="auto"/>
            </w:tcBorders>
            <w:textDirection w:val="lrTb"/>
            <w:vAlign w:val="center"/>
          </w:tcPr>
          <w:p w:rsidR="00526A3B" w:rsidRPr="0013260D" w:rsidP="00351C21">
            <w:pPr>
              <w:bidi w:val="0"/>
              <w:jc w:val="right"/>
              <w:rPr>
                <w:rFonts w:ascii="Times New Roman" w:hAnsi="Times New Roman"/>
                <w:b/>
                <w:bCs/>
                <w:sz w:val="20"/>
                <w:szCs w:val="20"/>
              </w:rPr>
            </w:pPr>
            <w:r w:rsidRPr="0013260D">
              <w:rPr>
                <w:rFonts w:ascii="Times New Roman" w:hAnsi="Times New Roman"/>
                <w:b/>
                <w:bCs/>
                <w:sz w:val="20"/>
                <w:szCs w:val="20"/>
              </w:rPr>
              <w:t>18 097 267</w:t>
            </w:r>
          </w:p>
        </w:tc>
        <w:tc>
          <w:tcPr>
            <w:tcW w:w="1122" w:type="dxa"/>
            <w:tcBorders>
              <w:top w:val="double" w:sz="4" w:space="0" w:color="auto"/>
              <w:left w:val="single" w:sz="4" w:space="0" w:color="auto"/>
              <w:bottom w:val="single" w:sz="4" w:space="0" w:color="auto"/>
              <w:right w:val="single" w:sz="4" w:space="0" w:color="auto"/>
            </w:tcBorders>
            <w:shd w:val="clear" w:color="auto" w:fill="D9D9D9"/>
            <w:textDirection w:val="lrTb"/>
            <w:vAlign w:val="center"/>
          </w:tcPr>
          <w:p w:rsidR="00526A3B" w:rsidRPr="0013260D" w:rsidP="00351C21">
            <w:pPr>
              <w:bidi w:val="0"/>
              <w:jc w:val="right"/>
              <w:rPr>
                <w:rFonts w:ascii="Times New Roman" w:hAnsi="Times New Roman"/>
                <w:b/>
                <w:bCs/>
                <w:sz w:val="20"/>
                <w:szCs w:val="20"/>
              </w:rPr>
            </w:pPr>
            <w:r w:rsidRPr="0013260D">
              <w:rPr>
                <w:rFonts w:ascii="Times New Roman" w:hAnsi="Times New Roman"/>
                <w:b/>
                <w:bCs/>
                <w:sz w:val="20"/>
                <w:szCs w:val="20"/>
              </w:rPr>
              <w:t>15 278 042</w:t>
            </w:r>
          </w:p>
        </w:tc>
        <w:tc>
          <w:tcPr>
            <w:tcW w:w="1261" w:type="dxa"/>
            <w:tcBorders>
              <w:top w:val="double" w:sz="4" w:space="0" w:color="auto"/>
              <w:left w:val="single" w:sz="4" w:space="0" w:color="auto"/>
              <w:bottom w:val="single" w:sz="4" w:space="0" w:color="auto"/>
              <w:right w:val="single" w:sz="4" w:space="0" w:color="auto"/>
            </w:tcBorders>
            <w:textDirection w:val="lrTb"/>
            <w:vAlign w:val="center"/>
          </w:tcPr>
          <w:p w:rsidR="00526A3B" w:rsidRPr="0013260D" w:rsidP="00351C21">
            <w:pPr>
              <w:bidi w:val="0"/>
              <w:jc w:val="right"/>
              <w:rPr>
                <w:rFonts w:ascii="Times New Roman" w:hAnsi="Times New Roman"/>
                <w:b/>
                <w:bCs/>
                <w:sz w:val="20"/>
                <w:szCs w:val="20"/>
              </w:rPr>
            </w:pPr>
            <w:r w:rsidRPr="0013260D">
              <w:rPr>
                <w:rFonts w:ascii="Times New Roman" w:hAnsi="Times New Roman"/>
                <w:b/>
                <w:bCs/>
                <w:sz w:val="20"/>
                <w:szCs w:val="20"/>
              </w:rPr>
              <w:t>15 337 011</w:t>
            </w:r>
          </w:p>
        </w:tc>
        <w:tc>
          <w:tcPr>
            <w:tcW w:w="1122" w:type="dxa"/>
            <w:tcBorders>
              <w:top w:val="double" w:sz="4" w:space="0" w:color="auto"/>
              <w:left w:val="single" w:sz="4" w:space="0" w:color="auto"/>
              <w:bottom w:val="single" w:sz="4" w:space="0" w:color="auto"/>
              <w:right w:val="single" w:sz="4" w:space="0" w:color="auto"/>
            </w:tcBorders>
            <w:textDirection w:val="lrTb"/>
            <w:vAlign w:val="center"/>
          </w:tcPr>
          <w:p w:rsidR="00526A3B" w:rsidRPr="0013260D" w:rsidP="00351C21">
            <w:pPr>
              <w:bidi w:val="0"/>
              <w:jc w:val="right"/>
              <w:rPr>
                <w:rFonts w:ascii="Times New Roman" w:hAnsi="Times New Roman"/>
                <w:b/>
                <w:bCs/>
                <w:sz w:val="20"/>
                <w:szCs w:val="20"/>
              </w:rPr>
            </w:pPr>
            <w:r w:rsidRPr="0013260D">
              <w:rPr>
                <w:rFonts w:ascii="Times New Roman" w:hAnsi="Times New Roman"/>
                <w:b/>
                <w:bCs/>
                <w:sz w:val="20"/>
                <w:szCs w:val="20"/>
              </w:rPr>
              <w:t>13 332 047</w:t>
            </w:r>
          </w:p>
        </w:tc>
        <w:tc>
          <w:tcPr>
            <w:tcW w:w="1106" w:type="dxa"/>
            <w:tcBorders>
              <w:top w:val="double" w:sz="4" w:space="0" w:color="auto"/>
              <w:left w:val="single" w:sz="4" w:space="0" w:color="auto"/>
              <w:bottom w:val="single" w:sz="4" w:space="0" w:color="auto"/>
              <w:right w:val="single" w:sz="8" w:space="0" w:color="auto"/>
            </w:tcBorders>
            <w:tcMar>
              <w:left w:w="28" w:type="dxa"/>
              <w:right w:w="57" w:type="dxa"/>
            </w:tcMar>
            <w:textDirection w:val="lrTb"/>
            <w:vAlign w:val="center"/>
          </w:tcPr>
          <w:p w:rsidR="00526A3B" w:rsidRPr="0013260D" w:rsidP="00351C21">
            <w:pPr>
              <w:bidi w:val="0"/>
              <w:jc w:val="right"/>
              <w:rPr>
                <w:rFonts w:ascii="Times New Roman" w:hAnsi="Times New Roman"/>
                <w:b/>
                <w:bCs/>
                <w:sz w:val="20"/>
                <w:szCs w:val="20"/>
              </w:rPr>
            </w:pPr>
            <w:r w:rsidRPr="0013260D">
              <w:rPr>
                <w:rFonts w:ascii="Times New Roman" w:hAnsi="Times New Roman"/>
                <w:b/>
                <w:bCs/>
                <w:sz w:val="20"/>
                <w:szCs w:val="20"/>
              </w:rPr>
              <w:t>- 2 819 225</w:t>
            </w:r>
          </w:p>
        </w:tc>
      </w:tr>
    </w:tbl>
    <w:p w:rsidR="00526A3B" w:rsidRPr="008104CD" w:rsidP="00EC3874">
      <w:pPr>
        <w:pStyle w:val="Zakladnm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line="221" w:lineRule="atLeast"/>
        <w:rPr>
          <w:rFonts w:ascii="Times New Roman" w:hAnsi="Times New Roman"/>
          <w:sz w:val="20"/>
          <w:lang w:val="sk-SK"/>
        </w:rPr>
      </w:pPr>
      <w:r w:rsidRPr="008104CD">
        <w:rPr>
          <w:rFonts w:ascii="Times New Roman" w:hAnsi="Times New Roman"/>
          <w:sz w:val="20"/>
          <w:lang w:val="sk-SK"/>
        </w:rPr>
        <w:t>Zdroj: Ministerstvo financií SR</w:t>
      </w:r>
    </w:p>
    <w:p w:rsidR="00526A3B" w:rsidP="00B63D3F">
      <w:pPr>
        <w:bidi w:val="0"/>
        <w:spacing w:before="120" w:after="120" w:line="360" w:lineRule="auto"/>
        <w:jc w:val="both"/>
        <w:rPr>
          <w:rFonts w:ascii="Times New Roman" w:hAnsi="Times New Roman"/>
        </w:rPr>
      </w:pPr>
      <w:r>
        <w:rPr>
          <w:rFonts w:ascii="Times New Roman" w:hAnsi="Times New Roman"/>
        </w:rPr>
        <w:t xml:space="preserve">Najvyšší podiel </w:t>
      </w:r>
      <w:r w:rsidR="009A7963">
        <w:rPr>
          <w:rFonts w:ascii="Times New Roman" w:hAnsi="Times New Roman"/>
        </w:rPr>
        <w:t xml:space="preserve">22,2 % </w:t>
      </w:r>
      <w:r>
        <w:rPr>
          <w:rFonts w:ascii="Times New Roman" w:hAnsi="Times New Roman"/>
        </w:rPr>
        <w:t xml:space="preserve">z celkových výdavkov pripadá na oddiel 04 – </w:t>
      </w:r>
      <w:r w:rsidRPr="009A7963">
        <w:rPr>
          <w:rFonts w:ascii="Times New Roman" w:hAnsi="Times New Roman"/>
          <w:b/>
        </w:rPr>
        <w:t>Ekonomická oblasť</w:t>
      </w:r>
      <w:r>
        <w:rPr>
          <w:rFonts w:ascii="Times New Roman" w:hAnsi="Times New Roman"/>
        </w:rPr>
        <w:t xml:space="preserve">. Výdavky v tejto oblasti </w:t>
      </w:r>
      <w:r w:rsidR="009747E9">
        <w:rPr>
          <w:rFonts w:ascii="Times New Roman" w:hAnsi="Times New Roman"/>
        </w:rPr>
        <w:t>boli</w:t>
      </w:r>
      <w:r>
        <w:rPr>
          <w:rFonts w:ascii="Times New Roman" w:hAnsi="Times New Roman"/>
        </w:rPr>
        <w:t> relatívne stabilné aj v predchádzajúcich dvoch rokoch. Financujú sa nimi činnosti súvisiace s rôznymi druhmi dopravy a budovaním dopravnej infraštruktúry, s poľnohospodárstvom, lesníctvom, odvetviami palív a energie, ťažbou nerastných surovín a pod. V tejto skupine výdavkov sa v porovnaní s rozpočtom dosiahla najvyššia úspora, a to najmä v skupine výdavkov na dopravu – výstavbu a opravu diaľnic a ciest a technickú ochranu a obnovu železníc (715 2</w:t>
      </w:r>
      <w:r w:rsidR="00AD720E">
        <w:rPr>
          <w:rFonts w:ascii="Times New Roman" w:hAnsi="Times New Roman"/>
        </w:rPr>
        <w:t>41</w:t>
      </w:r>
      <w:r>
        <w:rPr>
          <w:rFonts w:ascii="Times New Roman" w:hAnsi="Times New Roman"/>
        </w:rPr>
        <w:t xml:space="preserve"> tis. eur) a na všeobecnú ekonomickú, obchodnú a pracovnú činnosť (248 44</w:t>
      </w:r>
      <w:r w:rsidR="00AD720E">
        <w:rPr>
          <w:rFonts w:ascii="Times New Roman" w:hAnsi="Times New Roman"/>
        </w:rPr>
        <w:t>8</w:t>
      </w:r>
      <w:r>
        <w:rPr>
          <w:rFonts w:ascii="Times New Roman" w:hAnsi="Times New Roman"/>
        </w:rPr>
        <w:t xml:space="preserve"> tis. eur), ktorá zahrnuje výdavky na činnosť ústredných orgánov kompetentných v tejto oblasti (Ministerstvo hospodárstva SR, Úrad priemyselného vlastníctva SR, Protimonopolný úrad SR a pod.). </w:t>
      </w:r>
    </w:p>
    <w:p w:rsidR="00526A3B" w:rsidRPr="001956DE" w:rsidP="00A92DE6">
      <w:pPr>
        <w:bidi w:val="0"/>
        <w:spacing w:before="120" w:after="120" w:line="360" w:lineRule="auto"/>
        <w:jc w:val="both"/>
        <w:rPr>
          <w:rFonts w:ascii="Times New Roman" w:hAnsi="Times New Roman"/>
        </w:rPr>
      </w:pPr>
      <w:r>
        <w:rPr>
          <w:rFonts w:ascii="Times New Roman" w:hAnsi="Times New Roman"/>
        </w:rPr>
        <w:t xml:space="preserve">Druhý najvyšší objem tvoria výdavky na </w:t>
      </w:r>
      <w:r w:rsidRPr="009A7963">
        <w:rPr>
          <w:rFonts w:ascii="Times New Roman" w:hAnsi="Times New Roman"/>
          <w:b/>
        </w:rPr>
        <w:t>sociálne zabezpečenie</w:t>
      </w:r>
      <w:r w:rsidR="009A7963">
        <w:rPr>
          <w:rFonts w:ascii="Times New Roman" w:hAnsi="Times New Roman"/>
        </w:rPr>
        <w:t xml:space="preserve"> (22,1 % celkových výdavkov</w:t>
      </w:r>
      <w:r>
        <w:rPr>
          <w:rFonts w:ascii="Times New Roman" w:hAnsi="Times New Roman"/>
        </w:rPr>
        <w:t xml:space="preserve">). Prostriedky štátneho rozpočtu sa vynakladajú na poskytovanie sociálnej ochrany v starobe, na podporu rodiny a detí, na sociálnu pomoc občanom v hmotnej a sociálnej núdzi, na chorobu, invaliditu a ťažké zdravotné postihnutie a pod. Významné </w:t>
      </w:r>
      <w:r w:rsidRPr="001956DE">
        <w:rPr>
          <w:rFonts w:ascii="Times New Roman" w:hAnsi="Times New Roman"/>
        </w:rPr>
        <w:t>zvýšenie týchto výdavkov medzi rokmi 2010 a 2009 bolo spôsobené nárastom skupiny výdavkov na zariadenia sociálnych služieb a na príspevky neštátnym subjektom poskytujúcim služby seniorom (2009: 210 194 tis. eur, 2010: 1 685 275 tis. eur.).</w:t>
      </w:r>
    </w:p>
    <w:p w:rsidR="00526A3B" w:rsidP="00A92DE6">
      <w:pPr>
        <w:bidi w:val="0"/>
        <w:spacing w:before="120" w:after="120" w:line="360" w:lineRule="auto"/>
        <w:jc w:val="both"/>
        <w:rPr>
          <w:rFonts w:ascii="Times New Roman" w:hAnsi="Times New Roman"/>
        </w:rPr>
      </w:pPr>
      <w:r>
        <w:rPr>
          <w:rFonts w:ascii="Times New Roman" w:hAnsi="Times New Roman"/>
        </w:rPr>
        <w:t xml:space="preserve">Výdavky na </w:t>
      </w:r>
      <w:r w:rsidRPr="009A7963">
        <w:rPr>
          <w:rFonts w:ascii="Times New Roman" w:hAnsi="Times New Roman"/>
          <w:b/>
        </w:rPr>
        <w:t>všeobecné verejné služby</w:t>
      </w:r>
      <w:r w:rsidRPr="009A7963">
        <w:rPr>
          <w:rFonts w:ascii="Times New Roman" w:hAnsi="Times New Roman"/>
        </w:rPr>
        <w:t xml:space="preserve"> </w:t>
      </w:r>
      <w:r w:rsidR="009A7963">
        <w:rPr>
          <w:rFonts w:ascii="Times New Roman" w:hAnsi="Times New Roman"/>
        </w:rPr>
        <w:t>(17,2 % z celkových výdavkov</w:t>
      </w:r>
      <w:r w:rsidRPr="00F75B76">
        <w:rPr>
          <w:rFonts w:ascii="Times New Roman" w:hAnsi="Times New Roman"/>
        </w:rPr>
        <w:t xml:space="preserve">) </w:t>
      </w:r>
      <w:r>
        <w:rPr>
          <w:rFonts w:ascii="Times New Roman" w:hAnsi="Times New Roman"/>
        </w:rPr>
        <w:t xml:space="preserve">v sledovanom období troch rokov mierne rástli: medziročný index 2010/2009 bol 1,06, index 2011/2010 bol 1,04. </w:t>
      </w:r>
      <w:r w:rsidR="009A7963">
        <w:rPr>
          <w:rFonts w:ascii="Times New Roman" w:hAnsi="Times New Roman"/>
        </w:rPr>
        <w:t>Tieto výdavky z</w:t>
      </w:r>
      <w:r w:rsidRPr="00F75B76">
        <w:rPr>
          <w:rFonts w:ascii="Times New Roman" w:hAnsi="Times New Roman"/>
        </w:rPr>
        <w:t>ahrnujú</w:t>
      </w:r>
      <w:r>
        <w:rPr>
          <w:rFonts w:ascii="Times New Roman" w:hAnsi="Times New Roman"/>
        </w:rPr>
        <w:t xml:space="preserve"> </w:t>
      </w:r>
      <w:r w:rsidR="009A7963">
        <w:rPr>
          <w:rFonts w:ascii="Times New Roman" w:hAnsi="Times New Roman"/>
        </w:rPr>
        <w:t>prostriedky</w:t>
      </w:r>
      <w:r>
        <w:rPr>
          <w:rFonts w:ascii="Times New Roman" w:hAnsi="Times New Roman"/>
        </w:rPr>
        <w:t xml:space="preserve"> verejnej správy na činnosť vymedzeného okruhu ústredných orgánov štátnej správy, výdavky na správu štátneho dlhu, na základný výskum, na zahraničnú hospodársku pomoc rozvojovým krajinám a krajinám v procese transformácie a pod.</w:t>
      </w:r>
    </w:p>
    <w:p w:rsidR="00526A3B" w:rsidP="00A92DE6">
      <w:pPr>
        <w:bidi w:val="0"/>
        <w:spacing w:before="120" w:after="120" w:line="360" w:lineRule="auto"/>
        <w:jc w:val="both"/>
        <w:rPr>
          <w:rFonts w:ascii="Times New Roman" w:hAnsi="Times New Roman"/>
        </w:rPr>
      </w:pPr>
      <w:r w:rsidRPr="005E4C1B">
        <w:rPr>
          <w:rFonts w:ascii="Times New Roman" w:hAnsi="Times New Roman"/>
        </w:rPr>
        <w:t xml:space="preserve">Výdavky na </w:t>
      </w:r>
      <w:r w:rsidRPr="009A7963">
        <w:rPr>
          <w:rFonts w:ascii="Times New Roman" w:hAnsi="Times New Roman"/>
          <w:b/>
        </w:rPr>
        <w:t>vzdelávanie</w:t>
      </w:r>
      <w:r>
        <w:rPr>
          <w:rFonts w:ascii="Times New Roman" w:hAnsi="Times New Roman"/>
        </w:rPr>
        <w:t>, ktoré boli v rokoch 2010 a 2009 v podstate stabilné, sa v roku 2011 medziročne znížili o 111 6</w:t>
      </w:r>
      <w:r w:rsidR="00AD720E">
        <w:rPr>
          <w:rFonts w:ascii="Times New Roman" w:hAnsi="Times New Roman"/>
        </w:rPr>
        <w:t>80</w:t>
      </w:r>
      <w:r>
        <w:rPr>
          <w:rFonts w:ascii="Times New Roman" w:hAnsi="Times New Roman"/>
        </w:rPr>
        <w:t xml:space="preserve"> tis. eur na 1 761 90</w:t>
      </w:r>
      <w:r w:rsidR="00C0393D">
        <w:rPr>
          <w:rFonts w:ascii="Times New Roman" w:hAnsi="Times New Roman"/>
        </w:rPr>
        <w:t>1</w:t>
      </w:r>
      <w:r>
        <w:rPr>
          <w:rFonts w:ascii="Times New Roman" w:hAnsi="Times New Roman"/>
        </w:rPr>
        <w:t xml:space="preserve"> tis. eur (11,5 % celkových výdavkov) a aj vo vzťahu k upravenému rozpočtu boli nižšie o 479 1</w:t>
      </w:r>
      <w:r w:rsidR="00AD720E">
        <w:rPr>
          <w:rFonts w:ascii="Times New Roman" w:hAnsi="Times New Roman"/>
        </w:rPr>
        <w:t>41</w:t>
      </w:r>
      <w:r>
        <w:rPr>
          <w:rFonts w:ascii="Times New Roman" w:hAnsi="Times New Roman"/>
        </w:rPr>
        <w:t xml:space="preserve"> tis. eur. Okrem financovania všetkých stupňov vzdelávania sa vynaložili aj na služby v školstve, napr. v oblasti stravovania, dopravy, lekárskej starostlivosti a pod. a na činnosť orgánov a organizácií, ktoré vzdelávanie zabezpečujú. Medziročne nižšie boli najmä výdavky na vysokoškolské vzdelávanie (2011: 359 4</w:t>
      </w:r>
      <w:r w:rsidR="00C0393D">
        <w:rPr>
          <w:rFonts w:ascii="Times New Roman" w:hAnsi="Times New Roman"/>
        </w:rPr>
        <w:t>59</w:t>
      </w:r>
      <w:r>
        <w:rPr>
          <w:rFonts w:ascii="Times New Roman" w:hAnsi="Times New Roman"/>
        </w:rPr>
        <w:t xml:space="preserve"> tis. eur, 2010: 453 364 tis. eur) a na stredoškolské vzdelávanie (2011: 496 6</w:t>
      </w:r>
      <w:r w:rsidR="00C0393D">
        <w:rPr>
          <w:rFonts w:ascii="Times New Roman" w:hAnsi="Times New Roman"/>
        </w:rPr>
        <w:t>59</w:t>
      </w:r>
      <w:r>
        <w:rPr>
          <w:rFonts w:ascii="Times New Roman" w:hAnsi="Times New Roman"/>
        </w:rPr>
        <w:t xml:space="preserve"> tis. eur, 2010: 506 000 tis. eur)</w:t>
      </w:r>
      <w:r w:rsidR="00812D93">
        <w:rPr>
          <w:rFonts w:ascii="Times New Roman" w:hAnsi="Times New Roman"/>
        </w:rPr>
        <w:t>.</w:t>
      </w:r>
    </w:p>
    <w:p w:rsidR="00526A3B" w:rsidP="00A92DE6">
      <w:pPr>
        <w:bidi w:val="0"/>
        <w:spacing w:before="120" w:after="120" w:line="360" w:lineRule="auto"/>
        <w:jc w:val="both"/>
        <w:rPr>
          <w:rFonts w:ascii="Arial Narrow" w:hAnsi="Arial Narrow"/>
          <w:sz w:val="22"/>
          <w:szCs w:val="22"/>
        </w:rPr>
      </w:pPr>
      <w:r>
        <w:rPr>
          <w:rFonts w:ascii="Times New Roman" w:hAnsi="Times New Roman"/>
        </w:rPr>
        <w:t xml:space="preserve">Na </w:t>
      </w:r>
      <w:r w:rsidRPr="009A7963">
        <w:rPr>
          <w:rFonts w:ascii="Times New Roman" w:hAnsi="Times New Roman"/>
          <w:b/>
        </w:rPr>
        <w:t>zdravotníctvo</w:t>
      </w:r>
      <w:r w:rsidRPr="009A7963">
        <w:rPr>
          <w:rFonts w:ascii="Times New Roman" w:hAnsi="Times New Roman"/>
        </w:rPr>
        <w:t>,</w:t>
      </w:r>
      <w:r>
        <w:rPr>
          <w:rFonts w:ascii="Times New Roman" w:hAnsi="Times New Roman"/>
        </w:rPr>
        <w:t xml:space="preserve"> ktoré zahrnuje činnosti ako je ústavná a ambulantná zdravotná starostlivosť, verejné zdravotné služby (prevádzka krvnej banky, zisťovanie chorôb, zber epidemiologických údajov) a pod. sa vynaložilo 1 376 26</w:t>
      </w:r>
      <w:r w:rsidR="00C0393D">
        <w:rPr>
          <w:rFonts w:ascii="Times New Roman" w:hAnsi="Times New Roman"/>
        </w:rPr>
        <w:t>0</w:t>
      </w:r>
      <w:r>
        <w:rPr>
          <w:rFonts w:ascii="Times New Roman" w:hAnsi="Times New Roman"/>
        </w:rPr>
        <w:t xml:space="preserve"> tis. eur (9,0 </w:t>
      </w:r>
      <w:r w:rsidR="00C36624">
        <w:rPr>
          <w:rFonts w:ascii="Times New Roman" w:hAnsi="Times New Roman"/>
        </w:rPr>
        <w:t>% celkových výdavkov). Je to o </w:t>
      </w:r>
      <w:r>
        <w:rPr>
          <w:rFonts w:ascii="Times New Roman" w:hAnsi="Times New Roman"/>
        </w:rPr>
        <w:t>takmer 65</w:t>
      </w:r>
      <w:r w:rsidR="009A7963">
        <w:rPr>
          <w:rFonts w:ascii="Times New Roman" w:hAnsi="Times New Roman"/>
        </w:rPr>
        <w:t> 000 tis</w:t>
      </w:r>
      <w:r>
        <w:rPr>
          <w:rFonts w:ascii="Times New Roman" w:hAnsi="Times New Roman"/>
        </w:rPr>
        <w:t>. eur viac ako v roku 2009, ale o 116 6</w:t>
      </w:r>
      <w:r w:rsidR="00AD720E">
        <w:rPr>
          <w:rFonts w:ascii="Times New Roman" w:hAnsi="Times New Roman"/>
        </w:rPr>
        <w:t>21</w:t>
      </w:r>
      <w:r>
        <w:rPr>
          <w:rFonts w:ascii="Times New Roman" w:hAnsi="Times New Roman"/>
        </w:rPr>
        <w:t xml:space="preserve"> tis. eur menej ako v roku 2010. Znížili sa najmä výdavky na činnosť inštitúcií zaradených v tomto oddiele funkčnej klasifikácie (Ministerstvo zdravotníctva SR, Štátny ústav pre kontrolu liečiv, Ústav zdravotníckych informácií a štatistiky a pod.) o 93 968 tis. eur a na ústavnú zdravotnú starostlivosť o 20 184 tis. eur.</w:t>
      </w:r>
    </w:p>
    <w:p w:rsidR="00526A3B" w:rsidRPr="008A4308" w:rsidP="00A92DE6">
      <w:pPr>
        <w:bidi w:val="0"/>
        <w:spacing w:before="120" w:after="120" w:line="360" w:lineRule="auto"/>
        <w:jc w:val="both"/>
        <w:rPr>
          <w:rFonts w:ascii="Times New Roman" w:hAnsi="Times New Roman"/>
        </w:rPr>
      </w:pPr>
      <w:r w:rsidRPr="008A4308">
        <w:rPr>
          <w:rFonts w:ascii="Times New Roman" w:hAnsi="Times New Roman"/>
        </w:rPr>
        <w:t>Pro</w:t>
      </w:r>
      <w:r>
        <w:rPr>
          <w:rFonts w:ascii="Times New Roman" w:hAnsi="Times New Roman"/>
        </w:rPr>
        <w:t>s</w:t>
      </w:r>
      <w:r w:rsidRPr="008A4308">
        <w:rPr>
          <w:rFonts w:ascii="Times New Roman" w:hAnsi="Times New Roman"/>
        </w:rPr>
        <w:t>triedkami vo výške 1 268</w:t>
      </w:r>
      <w:r>
        <w:rPr>
          <w:rFonts w:ascii="Times New Roman" w:hAnsi="Times New Roman"/>
        </w:rPr>
        <w:t> </w:t>
      </w:r>
      <w:r w:rsidRPr="008A4308">
        <w:rPr>
          <w:rFonts w:ascii="Times New Roman" w:hAnsi="Times New Roman"/>
        </w:rPr>
        <w:t>75</w:t>
      </w:r>
      <w:r w:rsidR="00C0393D">
        <w:rPr>
          <w:rFonts w:ascii="Times New Roman" w:hAnsi="Times New Roman"/>
        </w:rPr>
        <w:t>8</w:t>
      </w:r>
      <w:r>
        <w:rPr>
          <w:rFonts w:ascii="Times New Roman" w:hAnsi="Times New Roman"/>
        </w:rPr>
        <w:t xml:space="preserve"> tis. eur (8,3 % celkových výdavkov) sa financovali činnosti v odvetví </w:t>
      </w:r>
      <w:r w:rsidRPr="009A7963">
        <w:rPr>
          <w:rFonts w:ascii="Times New Roman" w:hAnsi="Times New Roman"/>
          <w:b/>
        </w:rPr>
        <w:t>Verejný poriadok a bezpečnosť</w:t>
      </w:r>
      <w:r>
        <w:rPr>
          <w:rFonts w:ascii="Times New Roman" w:hAnsi="Times New Roman"/>
        </w:rPr>
        <w:t xml:space="preserve">. Ide o policajné veci a služby, činnosť súdov, potreby väzenstva, ochranu pred požiarmi ako aj financovanie ústredných orgánov, ktoré tieto činnosti kompetenčne zabezpečujú. </w:t>
      </w:r>
    </w:p>
    <w:p w:rsidR="00526A3B" w:rsidRPr="00E217C6" w:rsidP="00A92DE6">
      <w:pPr>
        <w:bidi w:val="0"/>
        <w:spacing w:before="120" w:after="120" w:line="360" w:lineRule="auto"/>
        <w:jc w:val="both"/>
        <w:rPr>
          <w:rFonts w:ascii="Times New Roman" w:hAnsi="Times New Roman"/>
        </w:rPr>
      </w:pPr>
      <w:r w:rsidRPr="00E217C6">
        <w:rPr>
          <w:rFonts w:ascii="Times New Roman" w:hAnsi="Times New Roman"/>
        </w:rPr>
        <w:t xml:space="preserve">Klesajúci trend </w:t>
      </w:r>
      <w:r>
        <w:rPr>
          <w:rFonts w:ascii="Times New Roman" w:hAnsi="Times New Roman"/>
        </w:rPr>
        <w:t xml:space="preserve">za posledné tri roky vykazujú výdavky v oddiele </w:t>
      </w:r>
      <w:r w:rsidRPr="000E2C7C">
        <w:rPr>
          <w:rFonts w:ascii="Times New Roman" w:hAnsi="Times New Roman"/>
          <w:b/>
        </w:rPr>
        <w:t>Obrana</w:t>
      </w:r>
      <w:r>
        <w:rPr>
          <w:rFonts w:ascii="Times New Roman" w:hAnsi="Times New Roman"/>
        </w:rPr>
        <w:t>, ktoré v roku 2011 dosiahli 656 29</w:t>
      </w:r>
      <w:r w:rsidR="00C0393D">
        <w:rPr>
          <w:rFonts w:ascii="Times New Roman" w:hAnsi="Times New Roman"/>
        </w:rPr>
        <w:t>8</w:t>
      </w:r>
      <w:r>
        <w:rPr>
          <w:rFonts w:ascii="Times New Roman" w:hAnsi="Times New Roman"/>
        </w:rPr>
        <w:t xml:space="preserve"> tis. eur (4,3 % celkových výdavkov). Nižšie ako v roku 2010 boli najmä výdavky na vojenskú obranu (armáda, vojenské spravodajstvo, príprava obrannej infraštruktúry a pod.), a to o 74 488 tis. eur a na civilnú o</w:t>
      </w:r>
      <w:r w:rsidR="00AD720E">
        <w:rPr>
          <w:rFonts w:ascii="Times New Roman" w:hAnsi="Times New Roman"/>
        </w:rPr>
        <w:t>chr</w:t>
      </w:r>
      <w:r>
        <w:rPr>
          <w:rFonts w:ascii="Times New Roman" w:hAnsi="Times New Roman"/>
        </w:rPr>
        <w:t>anu o 7 079 tis. eur.</w:t>
      </w:r>
    </w:p>
    <w:p w:rsidR="00526A3B" w:rsidP="00A92DE6">
      <w:pPr>
        <w:bidi w:val="0"/>
        <w:spacing w:before="120" w:after="120" w:line="360" w:lineRule="auto"/>
        <w:jc w:val="both"/>
        <w:rPr>
          <w:rFonts w:ascii="Times New Roman" w:hAnsi="Times New Roman"/>
        </w:rPr>
      </w:pPr>
      <w:r w:rsidRPr="007C2899">
        <w:rPr>
          <w:rFonts w:ascii="Times New Roman" w:hAnsi="Times New Roman"/>
        </w:rPr>
        <w:t xml:space="preserve">Zostávajúce výdavky </w:t>
      </w:r>
      <w:r w:rsidR="004F0DFA">
        <w:rPr>
          <w:rFonts w:ascii="Times New Roman" w:hAnsi="Times New Roman"/>
        </w:rPr>
        <w:t xml:space="preserve">sa vynaložili v odvetví </w:t>
      </w:r>
      <w:r w:rsidRPr="000E2C7C">
        <w:rPr>
          <w:rFonts w:ascii="Times New Roman" w:hAnsi="Times New Roman"/>
          <w:b/>
        </w:rPr>
        <w:t>Ochrana životného prostredia</w:t>
      </w:r>
      <w:r>
        <w:rPr>
          <w:rFonts w:ascii="Times New Roman" w:hAnsi="Times New Roman"/>
        </w:rPr>
        <w:t xml:space="preserve"> (371 092 tis. eur) najmä na nakladanie s odpadovými vodami a znižovanie znečisťovania, </w:t>
      </w:r>
      <w:r w:rsidRPr="000E2C7C">
        <w:rPr>
          <w:rFonts w:ascii="Times New Roman" w:hAnsi="Times New Roman"/>
          <w:b/>
        </w:rPr>
        <w:t>Rekreácia, kultúra a náboženstvo</w:t>
      </w:r>
      <w:r>
        <w:rPr>
          <w:rFonts w:ascii="Times New Roman" w:hAnsi="Times New Roman"/>
        </w:rPr>
        <w:t xml:space="preserve"> (259 67</w:t>
      </w:r>
      <w:r w:rsidR="00C0393D">
        <w:rPr>
          <w:rFonts w:ascii="Times New Roman" w:hAnsi="Times New Roman"/>
        </w:rPr>
        <w:t>1</w:t>
      </w:r>
      <w:r>
        <w:rPr>
          <w:rFonts w:ascii="Times New Roman" w:hAnsi="Times New Roman"/>
        </w:rPr>
        <w:t xml:space="preserve"> tis. eur) najmä na kultúrne služby a náboženské a iné spoločenské služby a </w:t>
      </w:r>
      <w:r w:rsidRPr="000E2C7C">
        <w:rPr>
          <w:rFonts w:ascii="Times New Roman" w:hAnsi="Times New Roman"/>
          <w:b/>
        </w:rPr>
        <w:t>Bývanie a občianska vybavenosť</w:t>
      </w:r>
      <w:r w:rsidRPr="006F66C8">
        <w:rPr>
          <w:rFonts w:ascii="Times New Roman" w:hAnsi="Times New Roman"/>
        </w:rPr>
        <w:t xml:space="preserve"> </w:t>
      </w:r>
      <w:r>
        <w:rPr>
          <w:rFonts w:ascii="Times New Roman" w:hAnsi="Times New Roman"/>
        </w:rPr>
        <w:t>(184 148 tis. eur) v rozhodujúcej miere na rozvoj bývania.</w:t>
      </w:r>
    </w:p>
    <w:p w:rsidR="00C551C5" w:rsidRPr="007C2899" w:rsidP="00A92DE6">
      <w:pPr>
        <w:bidi w:val="0"/>
        <w:spacing w:before="120" w:after="120" w:line="360" w:lineRule="auto"/>
        <w:jc w:val="both"/>
        <w:rPr>
          <w:rFonts w:ascii="Times New Roman" w:hAnsi="Times New Roman"/>
        </w:rPr>
      </w:pPr>
      <w:r>
        <w:rPr>
          <w:rFonts w:ascii="Times New Roman" w:hAnsi="Times New Roman"/>
        </w:rPr>
        <w:t xml:space="preserve">Podrobný prehľad o výdavkov štátneho rozpočtu podľa funkčnej klasifikácie je uvedený v tab. </w:t>
      </w:r>
      <w:r w:rsidR="009747E9">
        <w:rPr>
          <w:rFonts w:ascii="Times New Roman" w:hAnsi="Times New Roman"/>
        </w:rPr>
        <w:br/>
      </w:r>
      <w:r>
        <w:rPr>
          <w:rFonts w:ascii="Times New Roman" w:hAnsi="Times New Roman"/>
        </w:rPr>
        <w:t xml:space="preserve">č. 11 tabuľkovej prílohy </w:t>
      </w:r>
      <w:r w:rsidR="009747E9">
        <w:rPr>
          <w:rFonts w:ascii="Times New Roman" w:hAnsi="Times New Roman"/>
        </w:rPr>
        <w:t>štátneho záverečného účtu</w:t>
      </w:r>
      <w:r>
        <w:rPr>
          <w:rFonts w:ascii="Times New Roman" w:hAnsi="Times New Roman"/>
        </w:rPr>
        <w:t>.</w:t>
      </w:r>
    </w:p>
    <w:p w:rsidR="00526A3B" w:rsidRPr="00D07062" w:rsidP="00DD509A">
      <w:pPr>
        <w:pStyle w:val="Heading3"/>
        <w:bidi w:val="0"/>
        <w:spacing w:before="100" w:beforeAutospacing="1" w:after="100" w:afterAutospacing="1" w:line="360" w:lineRule="auto"/>
        <w:jc w:val="center"/>
        <w:rPr>
          <w:rFonts w:ascii="Times New Roman" w:hAnsi="Times New Roman"/>
          <w:color w:val="auto"/>
        </w:rPr>
      </w:pPr>
      <w:bookmarkStart w:id="33" w:name="_Toc322614761"/>
      <w:r w:rsidR="00F8582D">
        <w:rPr>
          <w:rFonts w:ascii="Times New Roman" w:hAnsi="Times New Roman"/>
          <w:color w:val="auto"/>
        </w:rPr>
        <w:t>3.4</w:t>
      </w:r>
      <w:r w:rsidRPr="00D07062" w:rsidR="00D07062">
        <w:rPr>
          <w:rFonts w:ascii="Times New Roman" w:hAnsi="Times New Roman"/>
          <w:color w:val="auto"/>
        </w:rPr>
        <w:t>.</w:t>
      </w:r>
      <w:r w:rsidR="006D2101">
        <w:rPr>
          <w:rFonts w:ascii="Times New Roman" w:hAnsi="Times New Roman"/>
          <w:color w:val="auto"/>
        </w:rPr>
        <w:t>3</w:t>
      </w:r>
      <w:r w:rsidR="000E33A7">
        <w:rPr>
          <w:rFonts w:ascii="Times New Roman" w:hAnsi="Times New Roman"/>
          <w:color w:val="auto"/>
        </w:rPr>
        <w:t>.</w:t>
      </w:r>
      <w:r w:rsidRPr="00D07062">
        <w:rPr>
          <w:rFonts w:ascii="Times New Roman" w:hAnsi="Times New Roman"/>
          <w:color w:val="auto"/>
        </w:rPr>
        <w:t xml:space="preserve"> Výdavky štátneho rozpočtu podľa programov</w:t>
      </w:r>
      <w:bookmarkEnd w:id="33"/>
    </w:p>
    <w:p w:rsidR="00526A3B" w:rsidP="004C1F8C">
      <w:pPr>
        <w:bidi w:val="0"/>
        <w:spacing w:before="120" w:after="120" w:line="360" w:lineRule="auto"/>
        <w:ind w:firstLine="709"/>
        <w:jc w:val="both"/>
        <w:rPr>
          <w:rFonts w:ascii="Times New Roman" w:hAnsi="Times New Roman"/>
        </w:rPr>
      </w:pPr>
      <w:r w:rsidRPr="000C0EF0">
        <w:rPr>
          <w:rFonts w:ascii="Times New Roman" w:hAnsi="Times New Roman"/>
        </w:rPr>
        <w:t xml:space="preserve">Výdavky štátneho rozpočtu </w:t>
      </w:r>
      <w:r>
        <w:rPr>
          <w:rFonts w:ascii="Times New Roman" w:hAnsi="Times New Roman"/>
        </w:rPr>
        <w:t>na jednotlivé programy sa stanovuj</w:t>
      </w:r>
      <w:r w:rsidR="00C36624">
        <w:rPr>
          <w:rFonts w:ascii="Times New Roman" w:hAnsi="Times New Roman"/>
        </w:rPr>
        <w:t xml:space="preserve">ú v prílohe k zákonu o štátnom </w:t>
      </w:r>
      <w:r>
        <w:rPr>
          <w:rFonts w:ascii="Times New Roman" w:hAnsi="Times New Roman"/>
        </w:rPr>
        <w:t xml:space="preserve">rozpočte na príslušný rozpočtový rok. </w:t>
      </w:r>
      <w:r w:rsidRPr="00435810">
        <w:rPr>
          <w:rFonts w:ascii="Times New Roman" w:hAnsi="Times New Roman"/>
        </w:rPr>
        <w:t>Programové rozpočtovanie triedi rozpočet výdavkov podľa programov a k týmto programom priraďuje disponibilné zdroje, pričom dôležitý je efekt a výsledky, ktoré tieto zdroje dokážu priniesť. Pri správnom upl</w:t>
      </w:r>
      <w:r w:rsidR="00C36624">
        <w:rPr>
          <w:rFonts w:ascii="Times New Roman" w:hAnsi="Times New Roman"/>
        </w:rPr>
        <w:t xml:space="preserve">atňovaní umožňuje tento systém </w:t>
      </w:r>
      <w:r w:rsidRPr="00435810">
        <w:rPr>
          <w:rFonts w:ascii="Times New Roman" w:hAnsi="Times New Roman"/>
        </w:rPr>
        <w:t xml:space="preserve">posilniť strednodobý charakter rozpočtovania, vyhnúť sa fiškálnemu stresu, zvýšiť efektívnosť použitia rozpočtových prostriedkov, zvýšiť transparentnosť štátneho rozpočtu a informovanosť o tom, do ktorých oblastí jeho zdroje smerujú. </w:t>
      </w:r>
    </w:p>
    <w:p w:rsidR="00526A3B" w:rsidRPr="000C0EF0" w:rsidP="00C221B0">
      <w:pPr>
        <w:pStyle w:val="BodyText"/>
        <w:bidi w:val="0"/>
        <w:spacing w:before="120" w:line="360" w:lineRule="auto"/>
        <w:jc w:val="both"/>
        <w:rPr>
          <w:rFonts w:ascii="Times New Roman" w:hAnsi="Times New Roman"/>
        </w:rPr>
      </w:pPr>
      <w:r>
        <w:rPr>
          <w:rFonts w:ascii="Times New Roman" w:hAnsi="Times New Roman"/>
        </w:rPr>
        <w:t xml:space="preserve">Súhrnné údaje o programoch </w:t>
      </w:r>
      <w:r w:rsidRPr="000C0EF0">
        <w:rPr>
          <w:rFonts w:ascii="Times New Roman" w:hAnsi="Times New Roman"/>
        </w:rPr>
        <w:t>realizovan</w:t>
      </w:r>
      <w:r>
        <w:rPr>
          <w:rFonts w:ascii="Times New Roman" w:hAnsi="Times New Roman"/>
        </w:rPr>
        <w:t>ých</w:t>
      </w:r>
      <w:r w:rsidR="00C36624">
        <w:rPr>
          <w:rFonts w:ascii="Times New Roman" w:hAnsi="Times New Roman"/>
        </w:rPr>
        <w:t xml:space="preserve"> v rozpočtovom roku 2011 </w:t>
      </w:r>
      <w:r w:rsidRPr="000C0EF0">
        <w:rPr>
          <w:rFonts w:ascii="Times New Roman" w:hAnsi="Times New Roman"/>
        </w:rPr>
        <w:t>v jednotlivých kapitolách štátneho rozpočtu sú uvedené v</w:t>
      </w:r>
      <w:r w:rsidR="00B63D3F">
        <w:rPr>
          <w:rFonts w:ascii="Times New Roman" w:hAnsi="Times New Roman"/>
        </w:rPr>
        <w:t> </w:t>
      </w:r>
      <w:r w:rsidRPr="000C0EF0">
        <w:rPr>
          <w:rFonts w:ascii="Times New Roman" w:hAnsi="Times New Roman"/>
        </w:rPr>
        <w:t>tab</w:t>
      </w:r>
      <w:r w:rsidR="00B63D3F">
        <w:rPr>
          <w:rFonts w:ascii="Times New Roman" w:hAnsi="Times New Roman"/>
          <w:lang w:val="sk-SK" w:eastAsia="x-none"/>
        </w:rPr>
        <w:t>.</w:t>
      </w:r>
      <w:r w:rsidRPr="000C0EF0">
        <w:rPr>
          <w:rFonts w:ascii="Times New Roman" w:hAnsi="Times New Roman"/>
        </w:rPr>
        <w:t xml:space="preserve"> č. </w:t>
      </w:r>
      <w:r w:rsidR="00C908BD">
        <w:rPr>
          <w:rFonts w:ascii="Times New Roman" w:hAnsi="Times New Roman"/>
          <w:lang w:val="sk-SK" w:eastAsia="x-none"/>
        </w:rPr>
        <w:t>15</w:t>
      </w:r>
      <w:r w:rsidR="00B63D3F">
        <w:rPr>
          <w:rFonts w:ascii="Times New Roman" w:hAnsi="Times New Roman"/>
          <w:lang w:val="sk-SK" w:eastAsia="x-none"/>
        </w:rPr>
        <w:t xml:space="preserve"> </w:t>
      </w:r>
      <w:r w:rsidRPr="000C0EF0">
        <w:rPr>
          <w:rFonts w:ascii="Times New Roman" w:hAnsi="Times New Roman"/>
        </w:rPr>
        <w:t xml:space="preserve">tabuľkovej </w:t>
      </w:r>
      <w:r w:rsidR="00B63D3F">
        <w:rPr>
          <w:rFonts w:ascii="Times New Roman" w:hAnsi="Times New Roman"/>
          <w:lang w:val="sk-SK" w:eastAsia="x-none"/>
        </w:rPr>
        <w:t>prílohy</w:t>
      </w:r>
      <w:r w:rsidRPr="000C0EF0">
        <w:rPr>
          <w:rFonts w:ascii="Times New Roman" w:hAnsi="Times New Roman"/>
        </w:rPr>
        <w:t xml:space="preserve"> štátneho záverečného účtu. </w:t>
      </w:r>
      <w:r w:rsidRPr="00C908BD">
        <w:rPr>
          <w:rFonts w:ascii="Times New Roman" w:hAnsi="Times New Roman"/>
          <w:b/>
        </w:rPr>
        <w:t>Podrobne sa vyhodnotenie plnenia programovej štruktúry výdavkov uvádza v záverečných účtoch kapitol štátneho rozpočtu</w:t>
      </w:r>
      <w:r w:rsidRPr="00C908BD">
        <w:rPr>
          <w:rFonts w:ascii="Times New Roman" w:hAnsi="Times New Roman"/>
        </w:rPr>
        <w:t>.</w:t>
      </w:r>
      <w:r w:rsidRPr="000C0EF0">
        <w:rPr>
          <w:rFonts w:ascii="Times New Roman" w:hAnsi="Times New Roman"/>
        </w:rPr>
        <w:t xml:space="preserve"> </w:t>
      </w:r>
      <w:r>
        <w:rPr>
          <w:rFonts w:ascii="Times New Roman" w:hAnsi="Times New Roman"/>
        </w:rPr>
        <w:t xml:space="preserve">Správca kapitoly je totiž podľa § 9 ods. 4 písm. e) zákona o rozpočtových pravidlách verejnej správy povinný </w:t>
      </w:r>
      <w:r w:rsidRPr="000C0EF0">
        <w:rPr>
          <w:rFonts w:ascii="Times New Roman" w:hAnsi="Times New Roman"/>
        </w:rPr>
        <w:t>monitorovať</w:t>
      </w:r>
      <w:r w:rsidR="00C36624">
        <w:rPr>
          <w:rFonts w:ascii="Times New Roman" w:hAnsi="Times New Roman"/>
        </w:rPr>
        <w:t xml:space="preserve"> a hodnotiť plnenie </w:t>
      </w:r>
      <w:r w:rsidRPr="000C0EF0">
        <w:rPr>
          <w:rFonts w:ascii="Times New Roman" w:hAnsi="Times New Roman"/>
        </w:rPr>
        <w:t>programov vlády rozpočtovaných v rámci kapitoly</w:t>
      </w:r>
      <w:r>
        <w:rPr>
          <w:rFonts w:ascii="Times New Roman" w:hAnsi="Times New Roman"/>
        </w:rPr>
        <w:t>.</w:t>
      </w:r>
    </w:p>
    <w:p w:rsidR="00B57C93" w:rsidRPr="00B57C93" w:rsidP="00DD509A">
      <w:pPr>
        <w:pStyle w:val="Heading2"/>
        <w:bidi w:val="0"/>
        <w:spacing w:before="100" w:beforeAutospacing="1" w:after="100" w:afterAutospacing="1" w:line="360" w:lineRule="auto"/>
        <w:jc w:val="center"/>
        <w:rPr>
          <w:rFonts w:ascii="Times New Roman" w:hAnsi="Times New Roman"/>
          <w:color w:val="auto"/>
          <w:sz w:val="24"/>
          <w:szCs w:val="24"/>
        </w:rPr>
      </w:pPr>
      <w:bookmarkStart w:id="34" w:name="_Toc322614762"/>
      <w:r w:rsidRPr="00B57C93">
        <w:rPr>
          <w:rFonts w:ascii="Times New Roman" w:hAnsi="Times New Roman"/>
          <w:color w:val="auto"/>
          <w:sz w:val="24"/>
          <w:szCs w:val="24"/>
        </w:rPr>
        <w:t>3.5</w:t>
      </w:r>
      <w:r w:rsidR="00E01089">
        <w:rPr>
          <w:rFonts w:ascii="Times New Roman" w:hAnsi="Times New Roman"/>
          <w:color w:val="auto"/>
          <w:sz w:val="24"/>
          <w:szCs w:val="24"/>
        </w:rPr>
        <w:t>.</w:t>
      </w:r>
      <w:r w:rsidRPr="00B57C93">
        <w:rPr>
          <w:rFonts w:ascii="Times New Roman" w:hAnsi="Times New Roman"/>
          <w:color w:val="auto"/>
          <w:sz w:val="24"/>
          <w:szCs w:val="24"/>
        </w:rPr>
        <w:t xml:space="preserve"> Vzťahy štátneho rozpočtu k Európskej únii</w:t>
      </w:r>
      <w:bookmarkEnd w:id="34"/>
    </w:p>
    <w:p w:rsidR="00B57C93" w:rsidP="00A92DE6">
      <w:pPr>
        <w:bidi w:val="0"/>
        <w:spacing w:before="120" w:after="120" w:line="360" w:lineRule="auto"/>
        <w:ind w:firstLine="709"/>
        <w:jc w:val="both"/>
        <w:rPr>
          <w:rFonts w:ascii="Times New Roman" w:hAnsi="Times New Roman"/>
        </w:rPr>
      </w:pPr>
      <w:r>
        <w:rPr>
          <w:rFonts w:ascii="Times New Roman" w:hAnsi="Times New Roman"/>
        </w:rPr>
        <w:t xml:space="preserve">Zákonom o štátnom rozpočte na rok 2011 bola čistá finančná pozícia Slovenskej republiky voči rozpočtu Európskej únie rozpočtovaná na úrovni </w:t>
      </w:r>
      <w:r w:rsidRPr="00DB78F9">
        <w:rPr>
          <w:rFonts w:ascii="Times New Roman" w:hAnsi="Times New Roman"/>
        </w:rPr>
        <w:t>2 821 398 tis. eur</w:t>
      </w:r>
      <w:r w:rsidR="00C908BD">
        <w:rPr>
          <w:rFonts w:ascii="Times New Roman" w:hAnsi="Times New Roman"/>
        </w:rPr>
        <w:t>, a to</w:t>
      </w:r>
      <w:r>
        <w:rPr>
          <w:rFonts w:ascii="Times New Roman" w:hAnsi="Times New Roman"/>
        </w:rPr>
        <w:t xml:space="preserve"> na základe odvodov a príspevkov Slovenskej republiky do všeobecného rozpočtu Európskej únie rozpočtovaných vo výške 751 340 tis. eur a na základe rozpočtovaných príjmov z rozpočtu Európskej únie vrátane odhadu grantov, určených zákonom o štátnom rozpočte v objeme 3 572 738 tis. eur. </w:t>
      </w:r>
    </w:p>
    <w:p w:rsidR="00B57C93" w:rsidP="00A92DE6">
      <w:pPr>
        <w:bidi w:val="0"/>
        <w:spacing w:before="120" w:after="120" w:line="360" w:lineRule="auto"/>
        <w:jc w:val="both"/>
        <w:rPr>
          <w:rFonts w:ascii="Times New Roman" w:hAnsi="Times New Roman"/>
        </w:rPr>
      </w:pPr>
      <w:r w:rsidRPr="00C908BD">
        <w:rPr>
          <w:rFonts w:ascii="Times New Roman" w:hAnsi="Times New Roman"/>
          <w:b/>
        </w:rPr>
        <w:t>Odvody Slovenskej republiky do rozpočtu Európskej únie</w:t>
      </w:r>
      <w:r>
        <w:rPr>
          <w:rFonts w:ascii="Times New Roman" w:hAnsi="Times New Roman"/>
        </w:rPr>
        <w:t xml:space="preserve"> </w:t>
      </w:r>
      <w:r w:rsidR="00C908BD">
        <w:rPr>
          <w:rFonts w:ascii="Times New Roman" w:hAnsi="Times New Roman"/>
        </w:rPr>
        <w:t>(</w:t>
      </w:r>
      <w:r>
        <w:rPr>
          <w:rFonts w:ascii="Times New Roman" w:hAnsi="Times New Roman"/>
        </w:rPr>
        <w:t>zdroj založený na DPH, zdroj založený na HND, podiel SR na korekcii Veľkej Británie a podiel SR na korekciách pre Holandsko a</w:t>
      </w:r>
      <w:r w:rsidR="00C908BD">
        <w:rPr>
          <w:rFonts w:ascii="Times New Roman" w:hAnsi="Times New Roman"/>
        </w:rPr>
        <w:t> </w:t>
      </w:r>
      <w:r>
        <w:rPr>
          <w:rFonts w:ascii="Times New Roman" w:hAnsi="Times New Roman"/>
        </w:rPr>
        <w:t>Švédsko</w:t>
      </w:r>
      <w:r w:rsidR="00C908BD">
        <w:rPr>
          <w:rFonts w:ascii="Times New Roman" w:hAnsi="Times New Roman"/>
        </w:rPr>
        <w:t>)</w:t>
      </w:r>
      <w:r>
        <w:rPr>
          <w:rFonts w:ascii="Times New Roman" w:hAnsi="Times New Roman"/>
        </w:rPr>
        <w:t xml:space="preserve">, boli po rozpočtových opatreniach upravené na úroveň 582 159 tis. eur. V roku 2011 dosiahli odvody výšku 582 139 tis. eur, čo znamená zvýšenie oproti roku 2010 o 61 869 tis. eur. Okrem odvodov rozpočtovaných v kapitole Všeobecná pokladničná správa, odviedla Slovenská republika tzv. tradičné vlastné zdroje </w:t>
      </w:r>
      <w:r w:rsidR="00C908BD">
        <w:rPr>
          <w:rFonts w:ascii="Times New Roman" w:hAnsi="Times New Roman"/>
        </w:rPr>
        <w:t>(</w:t>
      </w:r>
      <w:r>
        <w:rPr>
          <w:rFonts w:ascii="Times New Roman" w:hAnsi="Times New Roman"/>
        </w:rPr>
        <w:t>clo a odvody a poplatky v sektore cukru</w:t>
      </w:r>
      <w:r w:rsidR="00C908BD">
        <w:rPr>
          <w:rFonts w:ascii="Times New Roman" w:hAnsi="Times New Roman"/>
        </w:rPr>
        <w:t>)</w:t>
      </w:r>
      <w:r>
        <w:rPr>
          <w:rFonts w:ascii="Times New Roman" w:hAnsi="Times New Roman"/>
        </w:rPr>
        <w:t xml:space="preserve"> v objeme 117 393 tis. eur, čo znamená zvýšenie oproti rozpočtovanej sume o 22 593 tis. eur, ale zníženie oproti úrovni predchádzajúceho roka o 10 135 tis. eur.</w:t>
      </w:r>
    </w:p>
    <w:p w:rsidR="00B57C93" w:rsidP="00A92DE6">
      <w:pPr>
        <w:bidi w:val="0"/>
        <w:spacing w:before="120" w:after="120" w:line="360" w:lineRule="auto"/>
        <w:jc w:val="both"/>
        <w:rPr>
          <w:rFonts w:ascii="Times New Roman" w:hAnsi="Times New Roman"/>
        </w:rPr>
      </w:pPr>
      <w:r>
        <w:rPr>
          <w:rFonts w:ascii="Times New Roman" w:hAnsi="Times New Roman"/>
        </w:rPr>
        <w:t>Na základe rozhodnutia Rady EÚ číslo 1642/09 o strope pre ročnú sumu príspevkov členských štátov na financovanie Európskeho rozvojového fondu v roku 2011 boli prvýkrát rozpočtované príspevky Slovenskej republiky do Európskeho rozvojovéh</w:t>
      </w:r>
      <w:r w:rsidR="00314AC9">
        <w:rPr>
          <w:rFonts w:ascii="Times New Roman" w:hAnsi="Times New Roman"/>
        </w:rPr>
        <w:t>o fondu v objeme 6 363 tis. eur,</w:t>
      </w:r>
      <w:r>
        <w:rPr>
          <w:rFonts w:ascii="Times New Roman" w:hAnsi="Times New Roman"/>
        </w:rPr>
        <w:t xml:space="preserve"> po úpravách rozpočtu 6 342 tis. eur. Slovenská republika uhradila príspevok Európskej komisii v objeme 5 124 tis. eur.</w:t>
      </w:r>
    </w:p>
    <w:p w:rsidR="00B57C93" w:rsidP="00A92DE6">
      <w:pPr>
        <w:bidi w:val="0"/>
        <w:spacing w:before="120" w:after="120" w:line="360" w:lineRule="auto"/>
        <w:jc w:val="both"/>
        <w:rPr>
          <w:rFonts w:ascii="Times New Roman" w:hAnsi="Times New Roman"/>
        </w:rPr>
      </w:pPr>
      <w:r w:rsidRPr="00C908BD">
        <w:rPr>
          <w:rFonts w:ascii="Times New Roman" w:hAnsi="Times New Roman"/>
          <w:b/>
        </w:rPr>
        <w:t>Rozpočtované príjmy Slovenskej republiky z rozpočtu Európskej únie</w:t>
      </w:r>
      <w:r>
        <w:rPr>
          <w:rFonts w:ascii="Times New Roman" w:hAnsi="Times New Roman"/>
        </w:rPr>
        <w:t xml:space="preserve"> boli po úpravách o zdroje z predchádzajúcich rokov zvýšené o 405 485 tis. eur a dosiahli úroveň 2 041 093 tis. eur. Príjmy štátneho rozpočtu Slovenskej republiky z rozpočtu EÚ vrátane príjmov z grantov boli v roku 2011 oproti roku 2010 vyššie o 368 610 tis. eur.</w:t>
      </w:r>
    </w:p>
    <w:p w:rsidR="002B331D" w:rsidP="00E01089">
      <w:pPr>
        <w:bidi w:val="0"/>
        <w:spacing w:before="120" w:line="360" w:lineRule="auto"/>
        <w:jc w:val="both"/>
        <w:rPr>
          <w:rFonts w:ascii="Times New Roman" w:hAnsi="Times New Roman"/>
        </w:rPr>
      </w:pPr>
      <w:r w:rsidRPr="00E01089">
        <w:rPr>
          <w:rFonts w:ascii="Times New Roman" w:hAnsi="Times New Roman"/>
          <w:b/>
        </w:rPr>
        <w:t>Celkovo Slovenská republika od vstupu do Európskej únie odviedla do všeobecného rozpočtu Európskej únie spolu 4 563 713 tis. eur a získala 8 540 17</w:t>
      </w:r>
      <w:r w:rsidR="00E01089">
        <w:rPr>
          <w:rFonts w:ascii="Times New Roman" w:hAnsi="Times New Roman"/>
          <w:b/>
        </w:rPr>
        <w:t>6</w:t>
      </w:r>
      <w:r w:rsidRPr="00E01089">
        <w:rPr>
          <w:rFonts w:ascii="Times New Roman" w:hAnsi="Times New Roman"/>
          <w:b/>
        </w:rPr>
        <w:t xml:space="preserve"> tis. eur</w:t>
      </w:r>
      <w:r>
        <w:rPr>
          <w:rFonts w:ascii="Times New Roman" w:hAnsi="Times New Roman"/>
        </w:rPr>
        <w:t>. Kladné saldo čistej finančnej pozície Slovenskej republiky vo vzťahu k rozpočtu Európskej únie v štátnom rozpočte na hotovostnom princípe tak dosahuje od roku 2004 celkovo 3 976 46</w:t>
      </w:r>
      <w:r w:rsidR="00E01089">
        <w:rPr>
          <w:rFonts w:ascii="Times New Roman" w:hAnsi="Times New Roman"/>
        </w:rPr>
        <w:t>3</w:t>
      </w:r>
      <w:r>
        <w:rPr>
          <w:rFonts w:ascii="Times New Roman" w:hAnsi="Times New Roman"/>
        </w:rPr>
        <w:t xml:space="preserve"> tis. eur.</w:t>
      </w:r>
    </w:p>
    <w:tbl>
      <w:tblPr>
        <w:tblStyle w:val="TableNormal"/>
        <w:tblW w:w="8165" w:type="dxa"/>
        <w:jc w:val="center"/>
        <w:tblInd w:w="55" w:type="dxa"/>
        <w:tblCellMar>
          <w:left w:w="70" w:type="dxa"/>
          <w:right w:w="70" w:type="dxa"/>
        </w:tblCellMar>
        <w:tblLook w:val="04A0"/>
      </w:tblPr>
      <w:tblGrid>
        <w:gridCol w:w="1319"/>
        <w:gridCol w:w="2126"/>
        <w:gridCol w:w="2311"/>
        <w:gridCol w:w="2409"/>
      </w:tblGrid>
      <w:tr>
        <w:tblPrEx>
          <w:tblW w:w="8165" w:type="dxa"/>
          <w:jc w:val="center"/>
          <w:tblInd w:w="55" w:type="dxa"/>
          <w:tblCellMar>
            <w:left w:w="70" w:type="dxa"/>
            <w:right w:w="70" w:type="dxa"/>
          </w:tblCellMar>
          <w:tblLook w:val="04A0"/>
        </w:tblPrEx>
        <w:trPr>
          <w:trHeight w:val="255"/>
          <w:jc w:val="center"/>
        </w:trPr>
        <w:tc>
          <w:tcPr>
            <w:tcW w:w="1319" w:type="dxa"/>
            <w:tcBorders>
              <w:top w:val="single" w:sz="4" w:space="0" w:color="auto"/>
              <w:left w:val="none" w:sz="0" w:space="0" w:color="auto"/>
              <w:bottom w:val="single" w:sz="4" w:space="0" w:color="FFFFFF"/>
              <w:right w:val="single" w:sz="4" w:space="0" w:color="FFFFFF"/>
            </w:tcBorders>
            <w:shd w:val="clear" w:color="auto" w:fill="000000"/>
            <w:noWrap/>
            <w:textDirection w:val="lrTb"/>
            <w:vAlign w:val="center"/>
            <w:hideMark/>
          </w:tcPr>
          <w:p w:rsidR="002B331D">
            <w:pPr>
              <w:bidi w:val="0"/>
              <w:jc w:val="center"/>
              <w:rPr>
                <w:rFonts w:ascii="Times New Roman" w:eastAsia="Calibri" w:hAnsi="Times New Roman"/>
                <w:b/>
                <w:bCs/>
                <w:sz w:val="20"/>
                <w:szCs w:val="20"/>
              </w:rPr>
            </w:pPr>
            <w:r w:rsidRPr="00E01089">
              <w:rPr>
                <w:rFonts w:ascii="Times New Roman" w:eastAsia="Calibri" w:hAnsi="Times New Roman"/>
                <w:b/>
                <w:bCs/>
                <w:sz w:val="20"/>
                <w:szCs w:val="20"/>
              </w:rPr>
              <w:t>Rok</w:t>
            </w:r>
          </w:p>
          <w:p w:rsidR="00172BEE" w:rsidRPr="00E01089" w:rsidP="00172BEE">
            <w:pPr>
              <w:bidi w:val="0"/>
              <w:rPr>
                <w:rFonts w:ascii="Times New Roman" w:eastAsia="Calibri" w:hAnsi="Times New Roman"/>
                <w:b/>
                <w:bCs/>
                <w:sz w:val="20"/>
                <w:szCs w:val="20"/>
              </w:rPr>
            </w:pPr>
            <w:r>
              <w:rPr>
                <w:rFonts w:ascii="Times New Roman" w:eastAsia="Calibri" w:hAnsi="Times New Roman"/>
                <w:b/>
                <w:bCs/>
                <w:sz w:val="20"/>
                <w:szCs w:val="20"/>
              </w:rPr>
              <w:t>(v tis. eur)</w:t>
            </w:r>
          </w:p>
        </w:tc>
        <w:tc>
          <w:tcPr>
            <w:tcW w:w="2126" w:type="dxa"/>
            <w:tcBorders>
              <w:top w:val="single" w:sz="4" w:space="0" w:color="auto"/>
              <w:left w:val="single" w:sz="4" w:space="0" w:color="FFFFFF"/>
              <w:bottom w:val="single" w:sz="4" w:space="0" w:color="FFFFFF"/>
              <w:right w:val="single" w:sz="4" w:space="0" w:color="FFFFFF"/>
            </w:tcBorders>
            <w:shd w:val="clear" w:color="auto" w:fill="000000"/>
            <w:noWrap/>
            <w:textDirection w:val="lrTb"/>
            <w:vAlign w:val="center"/>
            <w:hideMark/>
          </w:tcPr>
          <w:p w:rsidR="002B331D" w:rsidRPr="00E01089">
            <w:pPr>
              <w:bidi w:val="0"/>
              <w:jc w:val="center"/>
              <w:rPr>
                <w:rFonts w:ascii="Times New Roman" w:eastAsia="Calibri" w:hAnsi="Times New Roman" w:hint="default"/>
                <w:b/>
                <w:bCs/>
                <w:sz w:val="20"/>
                <w:szCs w:val="20"/>
              </w:rPr>
            </w:pPr>
            <w:r w:rsidRPr="00E01089">
              <w:rPr>
                <w:rFonts w:ascii="Times New Roman" w:eastAsia="Calibri" w:hAnsi="Times New Roman" w:hint="default"/>
                <w:b/>
                <w:bCs/>
                <w:sz w:val="20"/>
                <w:szCs w:val="20"/>
              </w:rPr>
              <w:t>Celkové</w:t>
            </w:r>
            <w:r w:rsidRPr="00E01089">
              <w:rPr>
                <w:rFonts w:ascii="Times New Roman" w:eastAsia="Calibri" w:hAnsi="Times New Roman" w:hint="default"/>
                <w:b/>
                <w:bCs/>
                <w:sz w:val="20"/>
                <w:szCs w:val="20"/>
              </w:rPr>
              <w:t xml:space="preserve"> prí</w:t>
            </w:r>
            <w:r w:rsidRPr="00E01089">
              <w:rPr>
                <w:rFonts w:ascii="Times New Roman" w:eastAsia="Calibri" w:hAnsi="Times New Roman" w:hint="default"/>
                <w:b/>
                <w:bCs/>
                <w:sz w:val="20"/>
                <w:szCs w:val="20"/>
              </w:rPr>
              <w:t>jmy</w:t>
            </w:r>
          </w:p>
        </w:tc>
        <w:tc>
          <w:tcPr>
            <w:tcW w:w="2311" w:type="dxa"/>
            <w:tcBorders>
              <w:top w:val="single" w:sz="4" w:space="0" w:color="auto"/>
              <w:left w:val="single" w:sz="4" w:space="0" w:color="FFFFFF"/>
              <w:bottom w:val="single" w:sz="4" w:space="0" w:color="FFFFFF"/>
              <w:right w:val="single" w:sz="4" w:space="0" w:color="FFFFFF"/>
            </w:tcBorders>
            <w:shd w:val="clear" w:color="auto" w:fill="000000"/>
            <w:noWrap/>
            <w:textDirection w:val="lrTb"/>
            <w:vAlign w:val="center"/>
            <w:hideMark/>
          </w:tcPr>
          <w:p w:rsidR="002B331D" w:rsidRPr="00E01089" w:rsidP="00172BEE">
            <w:pPr>
              <w:bidi w:val="0"/>
              <w:jc w:val="center"/>
              <w:rPr>
                <w:rFonts w:ascii="Times New Roman" w:eastAsia="Calibri" w:hAnsi="Times New Roman" w:hint="default"/>
                <w:b/>
                <w:bCs/>
                <w:sz w:val="20"/>
                <w:szCs w:val="20"/>
              </w:rPr>
            </w:pPr>
            <w:r w:rsidRPr="00E01089">
              <w:rPr>
                <w:rFonts w:ascii="Times New Roman" w:eastAsia="Calibri" w:hAnsi="Times New Roman" w:hint="default"/>
                <w:b/>
                <w:bCs/>
                <w:sz w:val="20"/>
                <w:szCs w:val="20"/>
              </w:rPr>
              <w:t>Celkové</w:t>
            </w:r>
            <w:r w:rsidRPr="00E01089">
              <w:rPr>
                <w:rFonts w:ascii="Times New Roman" w:eastAsia="Calibri" w:hAnsi="Times New Roman" w:hint="default"/>
                <w:b/>
                <w:bCs/>
                <w:sz w:val="20"/>
                <w:szCs w:val="20"/>
              </w:rPr>
              <w:t xml:space="preserve"> odvody a prí</w:t>
            </w:r>
            <w:r w:rsidRPr="00E01089">
              <w:rPr>
                <w:rFonts w:ascii="Times New Roman" w:eastAsia="Calibri" w:hAnsi="Times New Roman" w:hint="default"/>
                <w:b/>
                <w:bCs/>
                <w:sz w:val="20"/>
                <w:szCs w:val="20"/>
              </w:rPr>
              <w:t>spevky</w:t>
            </w:r>
          </w:p>
        </w:tc>
        <w:tc>
          <w:tcPr>
            <w:tcW w:w="2409" w:type="dxa"/>
            <w:tcBorders>
              <w:top w:val="single" w:sz="4" w:space="0" w:color="auto"/>
              <w:left w:val="single" w:sz="4" w:space="0" w:color="FFFFFF"/>
              <w:bottom w:val="single" w:sz="4" w:space="0" w:color="FFFFFF"/>
              <w:right w:val="none" w:sz="0" w:space="0" w:color="auto"/>
            </w:tcBorders>
            <w:shd w:val="clear" w:color="auto" w:fill="000000"/>
            <w:textDirection w:val="lrTb"/>
            <w:vAlign w:val="center"/>
            <w:hideMark/>
          </w:tcPr>
          <w:p w:rsidR="002B331D" w:rsidRPr="00E01089" w:rsidP="00172BEE">
            <w:pPr>
              <w:bidi w:val="0"/>
              <w:jc w:val="center"/>
              <w:rPr>
                <w:rFonts w:ascii="Times New Roman" w:eastAsia="Calibri" w:hAnsi="Times New Roman" w:hint="default"/>
                <w:b/>
                <w:bCs/>
                <w:sz w:val="20"/>
                <w:szCs w:val="20"/>
              </w:rPr>
            </w:pPr>
            <w:r w:rsidRPr="00E01089">
              <w:rPr>
                <w:rFonts w:ascii="Times New Roman" w:eastAsia="Calibri" w:hAnsi="Times New Roman" w:hint="default"/>
                <w:b/>
                <w:bCs/>
                <w:sz w:val="20"/>
                <w:szCs w:val="20"/>
              </w:rPr>
              <w:t>Č</w:t>
            </w:r>
            <w:r w:rsidRPr="00E01089">
              <w:rPr>
                <w:rFonts w:ascii="Times New Roman" w:eastAsia="Calibri" w:hAnsi="Times New Roman" w:hint="default"/>
                <w:b/>
                <w:bCs/>
                <w:sz w:val="20"/>
                <w:szCs w:val="20"/>
              </w:rPr>
              <w:t>istá</w:t>
            </w:r>
            <w:r w:rsidRPr="00E01089">
              <w:rPr>
                <w:rFonts w:ascii="Times New Roman" w:eastAsia="Calibri" w:hAnsi="Times New Roman" w:hint="default"/>
                <w:b/>
                <w:bCs/>
                <w:sz w:val="20"/>
                <w:szCs w:val="20"/>
              </w:rPr>
              <w:t xml:space="preserve"> finanč</w:t>
            </w:r>
            <w:r w:rsidRPr="00E01089">
              <w:rPr>
                <w:rFonts w:ascii="Times New Roman" w:eastAsia="Calibri" w:hAnsi="Times New Roman" w:hint="default"/>
                <w:b/>
                <w:bCs/>
                <w:sz w:val="20"/>
                <w:szCs w:val="20"/>
              </w:rPr>
              <w:t>ná</w:t>
            </w:r>
            <w:r w:rsidRPr="00E01089">
              <w:rPr>
                <w:rFonts w:ascii="Times New Roman" w:eastAsia="Calibri" w:hAnsi="Times New Roman" w:hint="default"/>
                <w:b/>
                <w:bCs/>
                <w:sz w:val="20"/>
                <w:szCs w:val="20"/>
              </w:rPr>
              <w:t xml:space="preserve"> pozí</w:t>
            </w:r>
            <w:r w:rsidRPr="00E01089">
              <w:rPr>
                <w:rFonts w:ascii="Times New Roman" w:eastAsia="Calibri" w:hAnsi="Times New Roman" w:hint="default"/>
                <w:b/>
                <w:bCs/>
                <w:sz w:val="20"/>
                <w:szCs w:val="20"/>
              </w:rPr>
              <w:t>cia</w:t>
            </w:r>
          </w:p>
        </w:tc>
      </w:tr>
      <w:tr>
        <w:tblPrEx>
          <w:tblW w:w="8165" w:type="dxa"/>
          <w:jc w:val="center"/>
          <w:tblInd w:w="55" w:type="dxa"/>
          <w:tblCellMar>
            <w:left w:w="70" w:type="dxa"/>
            <w:right w:w="70" w:type="dxa"/>
          </w:tblCellMar>
          <w:tblLook w:val="04A0"/>
        </w:tblPrEx>
        <w:trPr>
          <w:trHeight w:val="255"/>
          <w:jc w:val="center"/>
        </w:trPr>
        <w:tc>
          <w:tcPr>
            <w:tcW w:w="1319" w:type="dxa"/>
            <w:tcBorders>
              <w:top w:val="single" w:sz="4" w:space="0" w:color="FFFFFF"/>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2004</w:t>
            </w:r>
          </w:p>
        </w:tc>
        <w:tc>
          <w:tcPr>
            <w:tcW w:w="2126" w:type="dxa"/>
            <w:tcBorders>
              <w:top w:val="single" w:sz="4" w:space="0" w:color="FFFFFF"/>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303 9</w:t>
            </w:r>
            <w:r w:rsidR="00136749">
              <w:rPr>
                <w:rFonts w:ascii="Times New Roman" w:eastAsia="Calibri" w:hAnsi="Times New Roman"/>
                <w:sz w:val="20"/>
                <w:szCs w:val="20"/>
              </w:rPr>
              <w:t>90</w:t>
            </w:r>
          </w:p>
        </w:tc>
        <w:tc>
          <w:tcPr>
            <w:tcW w:w="2311" w:type="dxa"/>
            <w:tcBorders>
              <w:top w:val="single" w:sz="4" w:space="0" w:color="FFFFFF"/>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290 689</w:t>
            </w:r>
          </w:p>
        </w:tc>
        <w:tc>
          <w:tcPr>
            <w:tcW w:w="2409" w:type="dxa"/>
            <w:tcBorders>
              <w:top w:val="single" w:sz="4" w:space="0" w:color="FFFFFF"/>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13 301</w:t>
            </w:r>
          </w:p>
        </w:tc>
      </w:tr>
      <w:tr>
        <w:tblPrEx>
          <w:tblW w:w="8165" w:type="dxa"/>
          <w:jc w:val="center"/>
          <w:tblInd w:w="55" w:type="dxa"/>
          <w:tblCellMar>
            <w:left w:w="70" w:type="dxa"/>
            <w:right w:w="70" w:type="dxa"/>
          </w:tblCellMar>
          <w:tblLook w:val="04A0"/>
        </w:tblPrEx>
        <w:trPr>
          <w:trHeight w:val="25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2005*</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704 99</w:t>
            </w:r>
            <w:r w:rsidR="00136749">
              <w:rPr>
                <w:rFonts w:ascii="Times New Roman" w:eastAsia="Calibri" w:hAnsi="Times New Roman"/>
                <w:sz w:val="20"/>
                <w:szCs w:val="20"/>
              </w:rPr>
              <w:t>3</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136749">
              <w:rPr>
                <w:rFonts w:ascii="Times New Roman" w:eastAsia="Calibri" w:hAnsi="Times New Roman"/>
                <w:sz w:val="20"/>
                <w:szCs w:val="20"/>
              </w:rPr>
              <w:t>485 614</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219 379</w:t>
            </w:r>
          </w:p>
        </w:tc>
      </w:tr>
      <w:tr>
        <w:tblPrEx>
          <w:tblW w:w="8165" w:type="dxa"/>
          <w:jc w:val="center"/>
          <w:tblInd w:w="55" w:type="dxa"/>
          <w:tblCellMar>
            <w:left w:w="70" w:type="dxa"/>
            <w:right w:w="70" w:type="dxa"/>
          </w:tblCellMar>
          <w:tblLook w:val="04A0"/>
        </w:tblPrEx>
        <w:trPr>
          <w:trHeight w:val="25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2006</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893 6</w:t>
            </w:r>
            <w:r w:rsidRPr="00E01089">
              <w:rPr>
                <w:rFonts w:ascii="Times New Roman" w:eastAsia="Calibri" w:hAnsi="Times New Roman"/>
                <w:sz w:val="20"/>
                <w:szCs w:val="20"/>
              </w:rPr>
              <w:t>23</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136749">
              <w:rPr>
                <w:rFonts w:ascii="Times New Roman" w:eastAsia="Calibri" w:hAnsi="Times New Roman"/>
                <w:sz w:val="20"/>
                <w:szCs w:val="20"/>
              </w:rPr>
              <w:t>526 326</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367 297</w:t>
            </w:r>
          </w:p>
        </w:tc>
      </w:tr>
      <w:tr>
        <w:tblPrEx>
          <w:tblW w:w="8165" w:type="dxa"/>
          <w:jc w:val="center"/>
          <w:tblInd w:w="55" w:type="dxa"/>
          <w:tblCellMar>
            <w:left w:w="70" w:type="dxa"/>
            <w:right w:w="70" w:type="dxa"/>
          </w:tblCellMar>
          <w:tblLook w:val="04A0"/>
        </w:tblPrEx>
        <w:trPr>
          <w:trHeight w:val="25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2007</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910 83</w:t>
            </w:r>
            <w:r w:rsidR="00136749">
              <w:rPr>
                <w:rFonts w:ascii="Times New Roman" w:eastAsia="Calibri" w:hAnsi="Times New Roman"/>
                <w:sz w:val="20"/>
                <w:szCs w:val="20"/>
              </w:rPr>
              <w:t>8</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136749">
              <w:rPr>
                <w:rFonts w:ascii="Times New Roman" w:eastAsia="Calibri" w:hAnsi="Times New Roman"/>
                <w:sz w:val="20"/>
                <w:szCs w:val="20"/>
              </w:rPr>
              <w:t>589 799</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321 038</w:t>
            </w:r>
          </w:p>
        </w:tc>
      </w:tr>
      <w:tr>
        <w:tblPrEx>
          <w:tblW w:w="8165" w:type="dxa"/>
          <w:jc w:val="center"/>
          <w:tblInd w:w="55" w:type="dxa"/>
          <w:tblCellMar>
            <w:left w:w="70" w:type="dxa"/>
            <w:right w:w="70" w:type="dxa"/>
          </w:tblCellMar>
          <w:tblLook w:val="04A0"/>
        </w:tblPrEx>
        <w:trPr>
          <w:trHeight w:val="25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2008</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893 497</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00136749">
              <w:rPr>
                <w:rFonts w:ascii="Times New Roman" w:eastAsia="Calibri" w:hAnsi="Times New Roman"/>
                <w:sz w:val="20"/>
                <w:szCs w:val="20"/>
              </w:rPr>
              <w:t>643 374</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250 123</w:t>
            </w:r>
          </w:p>
        </w:tc>
      </w:tr>
      <w:tr>
        <w:tblPrEx>
          <w:tblW w:w="8165" w:type="dxa"/>
          <w:jc w:val="center"/>
          <w:tblInd w:w="55" w:type="dxa"/>
          <w:tblCellMar>
            <w:left w:w="70" w:type="dxa"/>
            <w:right w:w="70" w:type="dxa"/>
          </w:tblCellMar>
          <w:tblLook w:val="04A0"/>
        </w:tblPrEx>
        <w:trPr>
          <w:trHeight w:val="25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sz w:val="20"/>
                <w:szCs w:val="20"/>
              </w:rPr>
            </w:pPr>
            <w:r w:rsidRPr="00E01089">
              <w:rPr>
                <w:rFonts w:ascii="Times New Roman" w:eastAsia="Calibri" w:hAnsi="Times New Roman"/>
                <w:sz w:val="20"/>
                <w:szCs w:val="20"/>
              </w:rPr>
              <w:t>2009</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sz w:val="20"/>
                <w:szCs w:val="20"/>
              </w:rPr>
            </w:pPr>
            <w:r w:rsidRPr="00E01089">
              <w:rPr>
                <w:rFonts w:ascii="Times New Roman" w:eastAsia="Calibri" w:hAnsi="Times New Roman"/>
                <w:sz w:val="20"/>
                <w:szCs w:val="20"/>
              </w:rPr>
              <w:t>1 119 65</w:t>
            </w:r>
            <w:r w:rsidR="00136749">
              <w:rPr>
                <w:rFonts w:ascii="Times New Roman" w:eastAsia="Calibri" w:hAnsi="Times New Roman"/>
                <w:sz w:val="20"/>
                <w:szCs w:val="20"/>
              </w:rPr>
              <w:t>9</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Pr="00E01089">
              <w:rPr>
                <w:rFonts w:ascii="Times New Roman" w:eastAsia="Calibri" w:hAnsi="Times New Roman"/>
                <w:sz w:val="20"/>
                <w:szCs w:val="20"/>
              </w:rPr>
              <w:t>695 726</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sz w:val="20"/>
                <w:szCs w:val="20"/>
              </w:rPr>
            </w:pPr>
            <w:r w:rsidR="005F1220">
              <w:rPr>
                <w:rFonts w:ascii="Times New Roman" w:eastAsia="Calibri" w:hAnsi="Times New Roman"/>
                <w:sz w:val="20"/>
                <w:szCs w:val="20"/>
              </w:rPr>
              <w:t>423 932</w:t>
            </w:r>
          </w:p>
        </w:tc>
      </w:tr>
      <w:tr>
        <w:tblPrEx>
          <w:tblW w:w="8165" w:type="dxa"/>
          <w:jc w:val="center"/>
          <w:tblInd w:w="55" w:type="dxa"/>
          <w:tblCellMar>
            <w:left w:w="70" w:type="dxa"/>
            <w:right w:w="70" w:type="dxa"/>
          </w:tblCellMar>
          <w:tblLook w:val="04A0"/>
        </w:tblPrEx>
        <w:trPr>
          <w:trHeight w:val="175"/>
          <w:jc w:val="center"/>
        </w:trPr>
        <w:tc>
          <w:tcPr>
            <w:tcW w:w="1319" w:type="dxa"/>
            <w:tcBorders>
              <w:top w:val="nil"/>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bCs/>
                <w:sz w:val="20"/>
                <w:szCs w:val="20"/>
              </w:rPr>
            </w:pPr>
            <w:r w:rsidRPr="00E01089">
              <w:rPr>
                <w:rFonts w:ascii="Times New Roman" w:eastAsia="Calibri" w:hAnsi="Times New Roman"/>
                <w:bCs/>
                <w:sz w:val="20"/>
                <w:szCs w:val="20"/>
              </w:rPr>
              <w:t>2010</w:t>
            </w:r>
          </w:p>
        </w:tc>
        <w:tc>
          <w:tcPr>
            <w:tcW w:w="2126" w:type="dxa"/>
            <w:tcBorders>
              <w:top w:val="nil"/>
              <w:left w:val="nil"/>
              <w:bottom w:val="single" w:sz="4"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bCs/>
                <w:sz w:val="20"/>
                <w:szCs w:val="20"/>
                <w:highlight w:val="yellow"/>
              </w:rPr>
            </w:pPr>
            <w:r w:rsidRPr="00E01089">
              <w:rPr>
                <w:rFonts w:ascii="Times New Roman" w:eastAsia="Calibri" w:hAnsi="Times New Roman"/>
                <w:bCs/>
                <w:sz w:val="20"/>
                <w:szCs w:val="20"/>
              </w:rPr>
              <w:t>1 672 483</w:t>
            </w:r>
          </w:p>
        </w:tc>
        <w:tc>
          <w:tcPr>
            <w:tcW w:w="2311"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bCs/>
                <w:sz w:val="20"/>
                <w:szCs w:val="20"/>
                <w:highlight w:val="yellow"/>
              </w:rPr>
            </w:pPr>
            <w:r w:rsidR="005F1220">
              <w:rPr>
                <w:rFonts w:ascii="Times New Roman" w:eastAsia="Calibri" w:hAnsi="Times New Roman"/>
                <w:bCs/>
                <w:sz w:val="20"/>
                <w:szCs w:val="20"/>
              </w:rPr>
              <w:t>627 529</w:t>
            </w:r>
          </w:p>
        </w:tc>
        <w:tc>
          <w:tcPr>
            <w:tcW w:w="2409" w:type="dxa"/>
            <w:tcBorders>
              <w:top w:val="nil"/>
              <w:left w:val="nil"/>
              <w:bottom w:val="single" w:sz="4"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bCs/>
                <w:sz w:val="20"/>
                <w:szCs w:val="20"/>
                <w:highlight w:val="yellow"/>
              </w:rPr>
            </w:pPr>
            <w:r w:rsidR="005F1220">
              <w:rPr>
                <w:rFonts w:ascii="Times New Roman" w:eastAsia="Calibri" w:hAnsi="Times New Roman"/>
                <w:bCs/>
                <w:sz w:val="20"/>
                <w:szCs w:val="20"/>
              </w:rPr>
              <w:t>1 044 955</w:t>
            </w:r>
          </w:p>
        </w:tc>
      </w:tr>
      <w:tr>
        <w:tblPrEx>
          <w:tblW w:w="8165" w:type="dxa"/>
          <w:jc w:val="center"/>
          <w:tblInd w:w="55" w:type="dxa"/>
          <w:tblCellMar>
            <w:left w:w="70" w:type="dxa"/>
            <w:right w:w="70" w:type="dxa"/>
          </w:tblCellMar>
          <w:tblLook w:val="04A0"/>
        </w:tblPrEx>
        <w:trPr>
          <w:trHeight w:val="270"/>
          <w:jc w:val="center"/>
        </w:trPr>
        <w:tc>
          <w:tcPr>
            <w:tcW w:w="1319" w:type="dxa"/>
            <w:tcBorders>
              <w:top w:val="single" w:sz="4" w:space="0" w:color="auto"/>
              <w:left w:val="single" w:sz="4" w:space="0" w:color="auto"/>
              <w:bottom w:val="double" w:sz="6" w:space="0" w:color="auto"/>
              <w:right w:val="single" w:sz="4" w:space="0" w:color="auto"/>
            </w:tcBorders>
            <w:noWrap/>
            <w:textDirection w:val="lrTb"/>
            <w:vAlign w:val="bottom"/>
            <w:hideMark/>
          </w:tcPr>
          <w:p w:rsidR="002B331D" w:rsidRPr="00E01089">
            <w:pPr>
              <w:bidi w:val="0"/>
              <w:rPr>
                <w:rFonts w:ascii="Times New Roman" w:eastAsia="Calibri" w:hAnsi="Times New Roman"/>
                <w:bCs/>
                <w:sz w:val="20"/>
                <w:szCs w:val="20"/>
              </w:rPr>
            </w:pPr>
            <w:r w:rsidRPr="00E01089">
              <w:rPr>
                <w:rFonts w:ascii="Times New Roman" w:eastAsia="Calibri" w:hAnsi="Times New Roman"/>
                <w:bCs/>
                <w:sz w:val="20"/>
                <w:szCs w:val="20"/>
              </w:rPr>
              <w:t>2011</w:t>
            </w:r>
          </w:p>
        </w:tc>
        <w:tc>
          <w:tcPr>
            <w:tcW w:w="2126" w:type="dxa"/>
            <w:tcBorders>
              <w:top w:val="single" w:sz="4" w:space="0" w:color="auto"/>
              <w:left w:val="nil"/>
              <w:bottom w:val="double" w:sz="6" w:space="0" w:color="auto"/>
              <w:right w:val="single" w:sz="4" w:space="0" w:color="auto"/>
            </w:tcBorders>
            <w:noWrap/>
            <w:textDirection w:val="lrTb"/>
            <w:vAlign w:val="bottom"/>
            <w:hideMark/>
          </w:tcPr>
          <w:p w:rsidR="002B331D" w:rsidRPr="00E01089" w:rsidP="00136749">
            <w:pPr>
              <w:bidi w:val="0"/>
              <w:jc w:val="right"/>
              <w:rPr>
                <w:rFonts w:ascii="Times New Roman" w:eastAsia="Calibri" w:hAnsi="Times New Roman"/>
                <w:bCs/>
                <w:sz w:val="20"/>
                <w:szCs w:val="20"/>
              </w:rPr>
            </w:pPr>
            <w:r w:rsidRPr="00E01089">
              <w:rPr>
                <w:rFonts w:ascii="Times New Roman" w:eastAsia="Calibri" w:hAnsi="Times New Roman"/>
                <w:bCs/>
                <w:sz w:val="20"/>
                <w:szCs w:val="20"/>
              </w:rPr>
              <w:t>2 041 093</w:t>
            </w:r>
          </w:p>
        </w:tc>
        <w:tc>
          <w:tcPr>
            <w:tcW w:w="2311" w:type="dxa"/>
            <w:tcBorders>
              <w:top w:val="single" w:sz="4" w:space="0" w:color="auto"/>
              <w:left w:val="nil"/>
              <w:bottom w:val="double" w:sz="6"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bCs/>
                <w:sz w:val="20"/>
                <w:szCs w:val="20"/>
              </w:rPr>
            </w:pPr>
            <w:r w:rsidR="005F1220">
              <w:rPr>
                <w:rFonts w:ascii="Times New Roman" w:eastAsia="Calibri" w:hAnsi="Times New Roman"/>
                <w:bCs/>
                <w:sz w:val="20"/>
                <w:szCs w:val="20"/>
              </w:rPr>
              <w:t>704 656</w:t>
            </w:r>
          </w:p>
        </w:tc>
        <w:tc>
          <w:tcPr>
            <w:tcW w:w="2409" w:type="dxa"/>
            <w:tcBorders>
              <w:top w:val="single" w:sz="4" w:space="0" w:color="auto"/>
              <w:left w:val="nil"/>
              <w:bottom w:val="double" w:sz="6" w:space="0" w:color="auto"/>
              <w:right w:val="single" w:sz="4" w:space="0" w:color="auto"/>
            </w:tcBorders>
            <w:noWrap/>
            <w:textDirection w:val="lrTb"/>
            <w:vAlign w:val="bottom"/>
            <w:hideMark/>
          </w:tcPr>
          <w:p w:rsidR="002B331D" w:rsidRPr="00E01089">
            <w:pPr>
              <w:bidi w:val="0"/>
              <w:jc w:val="right"/>
              <w:rPr>
                <w:rFonts w:ascii="Times New Roman" w:eastAsia="Calibri" w:hAnsi="Times New Roman"/>
                <w:bCs/>
                <w:sz w:val="20"/>
                <w:szCs w:val="20"/>
              </w:rPr>
            </w:pPr>
            <w:r w:rsidR="005F1220">
              <w:rPr>
                <w:rFonts w:ascii="Times New Roman" w:eastAsia="Calibri" w:hAnsi="Times New Roman"/>
                <w:bCs/>
                <w:sz w:val="20"/>
                <w:szCs w:val="20"/>
              </w:rPr>
              <w:t>1 336 438</w:t>
            </w:r>
          </w:p>
        </w:tc>
      </w:tr>
      <w:tr>
        <w:tblPrEx>
          <w:tblW w:w="8165" w:type="dxa"/>
          <w:jc w:val="center"/>
          <w:tblInd w:w="55" w:type="dxa"/>
          <w:tblCellMar>
            <w:left w:w="70" w:type="dxa"/>
            <w:right w:w="70" w:type="dxa"/>
          </w:tblCellMar>
          <w:tblLook w:val="04A0"/>
        </w:tblPrEx>
        <w:trPr>
          <w:trHeight w:val="270"/>
          <w:jc w:val="center"/>
        </w:trPr>
        <w:tc>
          <w:tcPr>
            <w:tcW w:w="1319" w:type="dxa"/>
            <w:tcBorders>
              <w:top w:val="double" w:sz="6" w:space="0" w:color="auto"/>
              <w:left w:val="single" w:sz="4" w:space="0" w:color="auto"/>
              <w:bottom w:val="single" w:sz="4" w:space="0" w:color="auto"/>
              <w:right w:val="single" w:sz="4" w:space="0" w:color="auto"/>
            </w:tcBorders>
            <w:noWrap/>
            <w:textDirection w:val="lrTb"/>
            <w:vAlign w:val="bottom"/>
            <w:hideMark/>
          </w:tcPr>
          <w:p w:rsidR="002B331D" w:rsidRPr="00E01089">
            <w:pPr>
              <w:bidi w:val="0"/>
              <w:rPr>
                <w:rFonts w:ascii="Times New Roman" w:eastAsia="Calibri" w:hAnsi="Times New Roman"/>
                <w:b/>
                <w:bCs/>
                <w:sz w:val="20"/>
                <w:szCs w:val="20"/>
              </w:rPr>
            </w:pPr>
            <w:r w:rsidRPr="00E01089">
              <w:rPr>
                <w:rFonts w:ascii="Times New Roman" w:eastAsia="Calibri" w:hAnsi="Times New Roman"/>
                <w:b/>
                <w:bCs/>
                <w:sz w:val="20"/>
                <w:szCs w:val="20"/>
              </w:rPr>
              <w:t>Spolu</w:t>
            </w:r>
          </w:p>
        </w:tc>
        <w:tc>
          <w:tcPr>
            <w:tcW w:w="2126" w:type="dxa"/>
            <w:tcBorders>
              <w:top w:val="double" w:sz="6" w:space="0" w:color="auto"/>
              <w:left w:val="nil"/>
              <w:bottom w:val="single" w:sz="4" w:space="0" w:color="auto"/>
              <w:right w:val="single" w:sz="4" w:space="0" w:color="auto"/>
            </w:tcBorders>
            <w:noWrap/>
            <w:textDirection w:val="lrTb"/>
            <w:vAlign w:val="bottom"/>
            <w:hideMark/>
          </w:tcPr>
          <w:p w:rsidR="002B331D" w:rsidRPr="00E01089" w:rsidP="00E01089">
            <w:pPr>
              <w:bidi w:val="0"/>
              <w:jc w:val="right"/>
              <w:rPr>
                <w:rFonts w:ascii="Times New Roman" w:eastAsia="Calibri" w:hAnsi="Times New Roman"/>
                <w:b/>
                <w:bCs/>
                <w:sz w:val="20"/>
                <w:szCs w:val="20"/>
              </w:rPr>
            </w:pPr>
            <w:r w:rsidRPr="00E01089">
              <w:rPr>
                <w:rFonts w:ascii="Times New Roman" w:eastAsia="Calibri" w:hAnsi="Times New Roman"/>
                <w:b/>
                <w:bCs/>
                <w:sz w:val="20"/>
                <w:szCs w:val="20"/>
              </w:rPr>
              <w:t>8 540 17</w:t>
            </w:r>
            <w:r w:rsidR="00E01089">
              <w:rPr>
                <w:rFonts w:ascii="Times New Roman" w:eastAsia="Calibri" w:hAnsi="Times New Roman"/>
                <w:b/>
                <w:bCs/>
                <w:sz w:val="20"/>
                <w:szCs w:val="20"/>
              </w:rPr>
              <w:t>6</w:t>
            </w:r>
          </w:p>
        </w:tc>
        <w:tc>
          <w:tcPr>
            <w:tcW w:w="2311" w:type="dxa"/>
            <w:tcBorders>
              <w:top w:val="double" w:sz="6" w:space="0" w:color="auto"/>
              <w:left w:val="nil"/>
              <w:bottom w:val="single" w:sz="4" w:space="0" w:color="auto"/>
              <w:right w:val="single" w:sz="4" w:space="0" w:color="auto"/>
            </w:tcBorders>
            <w:noWrap/>
            <w:textDirection w:val="lrTb"/>
            <w:vAlign w:val="bottom"/>
            <w:hideMark/>
          </w:tcPr>
          <w:p w:rsidR="002B331D" w:rsidRPr="00E01089" w:rsidP="00E01089">
            <w:pPr>
              <w:bidi w:val="0"/>
              <w:jc w:val="right"/>
              <w:rPr>
                <w:rFonts w:ascii="Times New Roman" w:eastAsia="Calibri" w:hAnsi="Times New Roman"/>
                <w:b/>
                <w:bCs/>
                <w:sz w:val="20"/>
                <w:szCs w:val="20"/>
              </w:rPr>
            </w:pPr>
            <w:r w:rsidRPr="00E01089">
              <w:rPr>
                <w:rFonts w:ascii="Times New Roman" w:eastAsia="Calibri" w:hAnsi="Times New Roman"/>
                <w:b/>
                <w:bCs/>
                <w:sz w:val="20"/>
                <w:szCs w:val="20"/>
              </w:rPr>
              <w:t>4 563 713</w:t>
            </w:r>
          </w:p>
        </w:tc>
        <w:tc>
          <w:tcPr>
            <w:tcW w:w="2409" w:type="dxa"/>
            <w:tcBorders>
              <w:top w:val="double" w:sz="6" w:space="0" w:color="auto"/>
              <w:left w:val="nil"/>
              <w:bottom w:val="single" w:sz="4" w:space="0" w:color="auto"/>
              <w:right w:val="single" w:sz="4" w:space="0" w:color="auto"/>
            </w:tcBorders>
            <w:noWrap/>
            <w:textDirection w:val="lrTb"/>
            <w:vAlign w:val="bottom"/>
            <w:hideMark/>
          </w:tcPr>
          <w:p w:rsidR="002B331D" w:rsidRPr="00E01089" w:rsidP="00E01089">
            <w:pPr>
              <w:bidi w:val="0"/>
              <w:jc w:val="right"/>
              <w:rPr>
                <w:rFonts w:ascii="Times New Roman" w:eastAsia="Calibri" w:hAnsi="Times New Roman"/>
                <w:b/>
                <w:bCs/>
                <w:sz w:val="20"/>
                <w:szCs w:val="20"/>
              </w:rPr>
            </w:pPr>
            <w:r w:rsidRPr="00E01089">
              <w:rPr>
                <w:rFonts w:ascii="Times New Roman" w:eastAsia="Calibri" w:hAnsi="Times New Roman"/>
                <w:b/>
                <w:bCs/>
                <w:sz w:val="20"/>
                <w:szCs w:val="20"/>
              </w:rPr>
              <w:t>3 976 46</w:t>
            </w:r>
            <w:r w:rsidR="00E01089">
              <w:rPr>
                <w:rFonts w:ascii="Times New Roman" w:eastAsia="Calibri" w:hAnsi="Times New Roman"/>
                <w:b/>
                <w:bCs/>
                <w:sz w:val="20"/>
                <w:szCs w:val="20"/>
              </w:rPr>
              <w:t>3</w:t>
            </w:r>
          </w:p>
        </w:tc>
      </w:tr>
    </w:tbl>
    <w:p w:rsidR="002B331D" w:rsidRPr="00E01089" w:rsidP="002B331D">
      <w:pPr>
        <w:bidi w:val="0"/>
        <w:spacing w:before="120" w:line="360" w:lineRule="auto"/>
        <w:rPr>
          <w:rFonts w:ascii="Times New Roman" w:hAnsi="Times New Roman"/>
          <w:sz w:val="20"/>
          <w:szCs w:val="20"/>
        </w:rPr>
      </w:pPr>
      <w:r w:rsidRPr="00E01089">
        <w:rPr>
          <w:rFonts w:ascii="Times New Roman" w:hAnsi="Times New Roman"/>
          <w:sz w:val="20"/>
          <w:szCs w:val="20"/>
        </w:rPr>
        <w:t>*Po započítaní dodatočných odvodov na základe časovej výnimky zo zdroja, založeného na HND za rok 2004.</w:t>
      </w:r>
    </w:p>
    <w:p w:rsidR="002B331D" w:rsidRPr="00E01089" w:rsidP="002B331D">
      <w:pPr>
        <w:bidi w:val="0"/>
        <w:spacing w:after="120" w:line="360" w:lineRule="auto"/>
        <w:rPr>
          <w:rFonts w:ascii="Times New Roman" w:hAnsi="Times New Roman"/>
          <w:sz w:val="20"/>
          <w:szCs w:val="20"/>
        </w:rPr>
      </w:pPr>
      <w:r w:rsidRPr="00E01089">
        <w:rPr>
          <w:rFonts w:ascii="Times New Roman" w:hAnsi="Times New Roman"/>
          <w:sz w:val="20"/>
          <w:szCs w:val="20"/>
        </w:rPr>
        <w:t>Zdroj: Ministerstvo financií SR</w:t>
      </w:r>
    </w:p>
    <w:p w:rsidR="00B57C93" w:rsidP="00A92DE6">
      <w:pPr>
        <w:bidi w:val="0"/>
        <w:spacing w:before="120" w:after="120" w:line="360" w:lineRule="auto"/>
        <w:jc w:val="both"/>
        <w:rPr>
          <w:rFonts w:ascii="Times New Roman" w:hAnsi="Times New Roman"/>
        </w:rPr>
      </w:pPr>
      <w:r w:rsidRPr="00E01089">
        <w:rPr>
          <w:rFonts w:ascii="Times New Roman" w:hAnsi="Times New Roman"/>
        </w:rPr>
        <w:t>Čistá finančná pozícia Slovenskej republiky voči rozpočtu Európskej únie</w:t>
      </w:r>
      <w:r>
        <w:rPr>
          <w:rFonts w:ascii="Times New Roman" w:hAnsi="Times New Roman"/>
        </w:rPr>
        <w:t xml:space="preserve"> na základe realizovaných odvodov a príspevkov SR do rozpočtu EÚ a na základe skutočných príjmov štátneho rozpočtu Slovenskej republiky z rozpočtu EÚ dosiahla úroveň 1 336 437 tis. eur. Zvýšenie oproti roku 2010 o 291 483 tis. eur odráža trend postupného zvyšovania čistej finančnej pozície od začiatku programového obdobia.</w:t>
      </w:r>
    </w:p>
    <w:p w:rsidR="006858F5" w:rsidP="00A92DE6">
      <w:pPr>
        <w:bidi w:val="0"/>
        <w:spacing w:before="120" w:after="120" w:line="360" w:lineRule="auto"/>
        <w:jc w:val="both"/>
        <w:rPr>
          <w:rFonts w:ascii="Times New Roman" w:hAnsi="Times New Roman"/>
        </w:rPr>
      </w:pPr>
      <w:r w:rsidR="00B57C93">
        <w:rPr>
          <w:rFonts w:ascii="Times New Roman" w:hAnsi="Times New Roman"/>
        </w:rPr>
        <w:t xml:space="preserve">Čistú finančnú pozíciu Slovenskej republiky voči rozpočtu Európskej únie v roku 2011 </w:t>
      </w:r>
      <w:r w:rsidR="008B5CB3">
        <w:rPr>
          <w:rFonts w:ascii="Times New Roman" w:hAnsi="Times New Roman"/>
        </w:rPr>
        <w:t>poskytuje nasledovná tabuľka</w:t>
      </w:r>
      <w:r>
        <w:rPr>
          <w:rFonts w:ascii="Times New Roman" w:hAnsi="Times New Roman"/>
        </w:rPr>
        <w:t>:</w:t>
      </w:r>
    </w:p>
    <w:tbl>
      <w:tblPr>
        <w:tblStyle w:val="TableNormal"/>
        <w:tblW w:w="9851" w:type="dxa"/>
        <w:tblLayout w:type="fixed"/>
        <w:tblCellMar>
          <w:left w:w="70" w:type="dxa"/>
          <w:right w:w="70" w:type="dxa"/>
        </w:tblCellMar>
        <w:tblLook w:val="04A0"/>
      </w:tblPr>
      <w:tblGrid>
        <w:gridCol w:w="55"/>
        <w:gridCol w:w="2709"/>
        <w:gridCol w:w="267"/>
        <w:gridCol w:w="1008"/>
        <w:gridCol w:w="796"/>
        <w:gridCol w:w="338"/>
        <w:gridCol w:w="654"/>
        <w:gridCol w:w="622"/>
        <w:gridCol w:w="370"/>
        <w:gridCol w:w="710"/>
        <w:gridCol w:w="196"/>
        <w:gridCol w:w="654"/>
        <w:gridCol w:w="338"/>
        <w:gridCol w:w="371"/>
        <w:gridCol w:w="763"/>
      </w:tblGrid>
      <w:tr>
        <w:tblPrEx>
          <w:tblW w:w="9851" w:type="dxa"/>
          <w:tblLayout w:type="fixed"/>
          <w:tblCellMar>
            <w:left w:w="70" w:type="dxa"/>
            <w:right w:w="70" w:type="dxa"/>
          </w:tblCellMar>
          <w:tblLook w:val="04A0"/>
        </w:tblPrEx>
        <w:trPr>
          <w:gridBefore w:val="1"/>
          <w:wBefore w:w="55" w:type="dxa"/>
          <w:trHeight w:val="299"/>
        </w:trPr>
        <w:tc>
          <w:tcPr>
            <w:tcW w:w="2709" w:type="dxa"/>
            <w:vMerge w:val="restart"/>
            <w:tcBorders>
              <w:top w:val="single" w:sz="8" w:space="0" w:color="FFFFFF"/>
              <w:left w:val="single" w:sz="8" w:space="0" w:color="FFFFFF"/>
              <w:bottom w:val="none" w:sz="0" w:space="0" w:color="auto"/>
              <w:right w:val="single" w:sz="8" w:space="0" w:color="FFFFFF"/>
            </w:tcBorders>
            <w:shd w:val="clear" w:color="auto" w:fill="000000"/>
            <w:noWrap/>
            <w:textDirection w:val="lrTb"/>
            <w:vAlign w:val="center"/>
            <w:hideMark/>
          </w:tcPr>
          <w:p w:rsidR="00E907C7"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Ukazovateľ</w:t>
            </w:r>
          </w:p>
          <w:p w:rsidR="00E907C7"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 </w:t>
            </w:r>
          </w:p>
          <w:p w:rsidR="00E907C7" w:rsidRPr="00CE2354" w:rsidP="00E907C7">
            <w:pPr>
              <w:bidi w:val="0"/>
              <w:rPr>
                <w:rFonts w:ascii="Times New Roman" w:hAnsi="Times New Roman"/>
                <w:b/>
                <w:bCs/>
                <w:color w:val="FFFFFF"/>
                <w:sz w:val="20"/>
                <w:szCs w:val="20"/>
              </w:rPr>
            </w:pPr>
            <w:r>
              <w:rPr>
                <w:rFonts w:ascii="Times New Roman" w:hAnsi="Times New Roman"/>
                <w:b/>
                <w:bCs/>
                <w:color w:val="FFFFFF"/>
                <w:sz w:val="20"/>
                <w:szCs w:val="20"/>
              </w:rPr>
              <w:t>(v tis.</w:t>
            </w:r>
            <w:r w:rsidR="00F95AFA">
              <w:rPr>
                <w:rFonts w:ascii="Times New Roman" w:hAnsi="Times New Roman"/>
                <w:b/>
                <w:bCs/>
                <w:color w:val="FFFFFF"/>
                <w:sz w:val="20"/>
                <w:szCs w:val="20"/>
              </w:rPr>
              <w:t xml:space="preserve"> </w:t>
            </w:r>
            <w:r>
              <w:rPr>
                <w:rFonts w:ascii="Times New Roman" w:hAnsi="Times New Roman"/>
                <w:b/>
                <w:bCs/>
                <w:color w:val="FFFFFF"/>
                <w:sz w:val="20"/>
                <w:szCs w:val="20"/>
              </w:rPr>
              <w:t>eur)</w:t>
            </w:r>
          </w:p>
        </w:tc>
        <w:tc>
          <w:tcPr>
            <w:tcW w:w="2409" w:type="dxa"/>
            <w:gridSpan w:val="4"/>
            <w:tcBorders>
              <w:top w:val="single" w:sz="8" w:space="0" w:color="FFFFFF"/>
              <w:left w:val="single" w:sz="8" w:space="0" w:color="FFFFFF"/>
              <w:bottom w:val="single" w:sz="8" w:space="0" w:color="FFFFFF"/>
              <w:right w:val="single" w:sz="8" w:space="0" w:color="FFFFFF"/>
            </w:tcBorders>
            <w:shd w:val="clear" w:color="auto" w:fill="000000"/>
            <w:noWrap/>
            <w:textDirection w:val="lrTb"/>
            <w:vAlign w:val="bottom"/>
            <w:hideMark/>
          </w:tcPr>
          <w:p w:rsidR="00E907C7" w:rsidRPr="00CE2354" w:rsidP="00481E61">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Rozpočet 2011</w:t>
            </w:r>
          </w:p>
        </w:tc>
        <w:tc>
          <w:tcPr>
            <w:tcW w:w="3544" w:type="dxa"/>
            <w:gridSpan w:val="7"/>
            <w:tcBorders>
              <w:top w:val="single" w:sz="8" w:space="0" w:color="FFFFFF"/>
              <w:left w:val="single" w:sz="8" w:space="0" w:color="FFFFFF"/>
              <w:bottom w:val="single" w:sz="8" w:space="0" w:color="FFFFFF"/>
              <w:right w:val="single" w:sz="8" w:space="0" w:color="FFFFFF"/>
            </w:tcBorders>
            <w:shd w:val="clear" w:color="auto" w:fill="000000"/>
            <w:textDirection w:val="lrTb"/>
            <w:vAlign w:val="bottom"/>
            <w:hideMark/>
          </w:tcPr>
          <w:p w:rsidR="00E907C7" w:rsidRPr="00CE2354" w:rsidP="00481E61">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Skutočnosť</w:t>
            </w:r>
          </w:p>
        </w:tc>
        <w:tc>
          <w:tcPr>
            <w:tcW w:w="1134" w:type="dxa"/>
            <w:gridSpan w:val="2"/>
            <w:vMerge w:val="restart"/>
            <w:tcBorders>
              <w:top w:val="single" w:sz="8" w:space="0" w:color="FFFFFF"/>
              <w:left w:val="single" w:sz="8" w:space="0" w:color="FFFFFF"/>
              <w:bottom w:val="none" w:sz="0" w:space="0" w:color="auto"/>
              <w:right w:val="single" w:sz="8" w:space="0" w:color="FFFFFF"/>
            </w:tcBorders>
            <w:shd w:val="clear" w:color="auto" w:fill="000000"/>
            <w:textDirection w:val="lrTb"/>
            <w:vAlign w:val="center"/>
            <w:hideMark/>
          </w:tcPr>
          <w:p w:rsidR="00E907C7" w:rsidRPr="00CE2354" w:rsidP="00481E61">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Rozdiel </w:t>
            </w:r>
          </w:p>
        </w:tc>
      </w:tr>
      <w:tr>
        <w:tblPrEx>
          <w:tblW w:w="9851" w:type="dxa"/>
          <w:tblLayout w:type="fixed"/>
          <w:tblCellMar>
            <w:left w:w="70" w:type="dxa"/>
            <w:right w:w="70" w:type="dxa"/>
          </w:tblCellMar>
          <w:tblLook w:val="04A0"/>
        </w:tblPrEx>
        <w:trPr>
          <w:gridBefore w:val="1"/>
          <w:wBefore w:w="55" w:type="dxa"/>
          <w:trHeight w:val="249"/>
        </w:trPr>
        <w:tc>
          <w:tcPr>
            <w:tcW w:w="2709" w:type="dxa"/>
            <w:vMerge/>
            <w:tcBorders>
              <w:top w:val="none" w:sz="0" w:space="0" w:color="auto"/>
              <w:left w:val="single" w:sz="8" w:space="0" w:color="FFFFFF"/>
              <w:bottom w:val="single" w:sz="4" w:space="0" w:color="auto"/>
              <w:right w:val="single" w:sz="8" w:space="0" w:color="FFFFFF"/>
            </w:tcBorders>
            <w:shd w:val="clear" w:color="auto" w:fill="000000"/>
            <w:noWrap/>
            <w:textDirection w:val="lrTb"/>
            <w:vAlign w:val="center"/>
            <w:hideMark/>
          </w:tcPr>
          <w:p w:rsidR="00CE2354" w:rsidRPr="00CE2354" w:rsidP="00903AC8">
            <w:pPr>
              <w:bidi w:val="0"/>
              <w:jc w:val="center"/>
              <w:rPr>
                <w:rFonts w:ascii="Times New Roman" w:hAnsi="Times New Roman"/>
                <w:b/>
                <w:bCs/>
                <w:color w:val="FFFFFF"/>
                <w:sz w:val="20"/>
                <w:szCs w:val="20"/>
              </w:rPr>
            </w:pPr>
          </w:p>
        </w:tc>
        <w:tc>
          <w:tcPr>
            <w:tcW w:w="1275"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schválený</w:t>
            </w: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upravený</w:t>
            </w:r>
          </w:p>
        </w:tc>
        <w:tc>
          <w:tcPr>
            <w:tcW w:w="1276"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 2011</w:t>
            </w:r>
          </w:p>
        </w:tc>
        <w:tc>
          <w:tcPr>
            <w:tcW w:w="1276" w:type="dxa"/>
            <w:gridSpan w:val="3"/>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 2010</w:t>
            </w:r>
          </w:p>
        </w:tc>
        <w:tc>
          <w:tcPr>
            <w:tcW w:w="992"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r w:rsidRPr="00CE2354">
              <w:rPr>
                <w:rFonts w:ascii="Times New Roman" w:hAnsi="Times New Roman"/>
                <w:b/>
                <w:bCs/>
                <w:color w:val="FFFFFF"/>
                <w:sz w:val="20"/>
                <w:szCs w:val="20"/>
              </w:rPr>
              <w:t>2009 </w:t>
            </w:r>
          </w:p>
        </w:tc>
        <w:tc>
          <w:tcPr>
            <w:tcW w:w="1134" w:type="dxa"/>
            <w:gridSpan w:val="2"/>
            <w:vMerge/>
            <w:tcBorders>
              <w:top w:val="none" w:sz="0" w:space="0" w:color="auto"/>
              <w:left w:val="single" w:sz="8" w:space="0" w:color="FFFFFF"/>
              <w:bottom w:val="single" w:sz="4" w:space="0" w:color="auto"/>
              <w:right w:val="single" w:sz="8" w:space="0" w:color="FFFFFF"/>
            </w:tcBorders>
            <w:shd w:val="clear" w:color="auto" w:fill="000000"/>
            <w:textDirection w:val="lrTb"/>
            <w:vAlign w:val="center"/>
            <w:hideMark/>
          </w:tcPr>
          <w:p w:rsidR="00CE2354" w:rsidRPr="00CE2354" w:rsidP="00903AC8">
            <w:pPr>
              <w:bidi w:val="0"/>
              <w:jc w:val="center"/>
              <w:rPr>
                <w:rFonts w:ascii="Times New Roman" w:hAnsi="Times New Roman"/>
                <w:b/>
                <w:bCs/>
                <w:color w:val="FFFFFF"/>
                <w:sz w:val="20"/>
                <w:szCs w:val="20"/>
              </w:rPr>
            </w:pPr>
          </w:p>
        </w:tc>
      </w:tr>
      <w:tr>
        <w:tblPrEx>
          <w:tblW w:w="9851" w:type="dxa"/>
          <w:tblLayout w:type="fixed"/>
          <w:tblCellMar>
            <w:left w:w="70" w:type="dxa"/>
            <w:right w:w="70" w:type="dxa"/>
          </w:tblCellMar>
          <w:tblLook w:val="04A0"/>
        </w:tblPrEx>
        <w:trPr>
          <w:gridBefore w:val="1"/>
          <w:wBefore w:w="55" w:type="dxa"/>
          <w:trHeight w:val="345"/>
        </w:trPr>
        <w:tc>
          <w:tcPr>
            <w:tcW w:w="270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CE2354" w:rsidRPr="004B18B6" w:rsidP="00903AC8">
            <w:pPr>
              <w:bidi w:val="0"/>
              <w:jc w:val="center"/>
              <w:rPr>
                <w:rFonts w:ascii="Times New Roman" w:hAnsi="Times New Roman"/>
                <w:b/>
                <w:bCs/>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CE2354" w:rsidRPr="004B18B6" w:rsidP="00903AC8">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6=3-2</w:t>
            </w:r>
          </w:p>
        </w:tc>
      </w:tr>
      <w:tr>
        <w:tblPrEx>
          <w:tblW w:w="9851" w:type="dxa"/>
          <w:tblLayout w:type="fixed"/>
          <w:tblCellMar>
            <w:left w:w="70" w:type="dxa"/>
            <w:right w:w="70" w:type="dxa"/>
          </w:tblCellMar>
          <w:tblLook w:val="04A0"/>
        </w:tblPrEx>
        <w:trPr>
          <w:gridBefore w:val="1"/>
          <w:wBefore w:w="55" w:type="dxa"/>
          <w:trHeight w:val="345"/>
        </w:trPr>
        <w:tc>
          <w:tcPr>
            <w:tcW w:w="2709" w:type="dxa"/>
            <w:tcBorders>
              <w:top w:val="single" w:sz="4" w:space="0" w:color="auto"/>
              <w:left w:val="single" w:sz="4" w:space="0" w:color="auto"/>
              <w:bottom w:val="single" w:sz="4" w:space="0" w:color="auto"/>
              <w:right w:val="single" w:sz="4" w:space="0" w:color="auto"/>
            </w:tcBorders>
            <w:textDirection w:val="lrTb"/>
            <w:vAlign w:val="center"/>
            <w:hideMark/>
          </w:tcPr>
          <w:p w:rsidR="00261B74" w:rsidRPr="00261B74" w:rsidP="00261B74">
            <w:pPr>
              <w:bidi w:val="0"/>
              <w:rPr>
                <w:rFonts w:ascii="Times New Roman" w:hAnsi="Times New Roman"/>
                <w:color w:val="000000"/>
                <w:sz w:val="20"/>
                <w:szCs w:val="20"/>
              </w:rPr>
            </w:pPr>
            <w:r w:rsidRPr="00261B74">
              <w:rPr>
                <w:rFonts w:ascii="Times New Roman" w:hAnsi="Times New Roman"/>
                <w:color w:val="000000"/>
                <w:sz w:val="20"/>
                <w:szCs w:val="20"/>
              </w:rPr>
              <w:t>Tradičné vlastné zdroje</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94 800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94 800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117 393</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107 259</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83 610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481E61">
            <w:pPr>
              <w:bidi w:val="0"/>
              <w:jc w:val="right"/>
              <w:rPr>
                <w:rFonts w:ascii="Times New Roman" w:hAnsi="Times New Roman"/>
                <w:color w:val="000000"/>
                <w:sz w:val="20"/>
                <w:szCs w:val="20"/>
              </w:rPr>
            </w:pPr>
            <w:r w:rsidRPr="00261B74">
              <w:rPr>
                <w:rFonts w:ascii="Times New Roman" w:hAnsi="Times New Roman"/>
                <w:color w:val="000000"/>
                <w:sz w:val="20"/>
                <w:szCs w:val="20"/>
              </w:rPr>
              <w:t>22 593</w:t>
            </w:r>
          </w:p>
        </w:tc>
      </w:tr>
      <w:tr>
        <w:tblPrEx>
          <w:tblW w:w="9851" w:type="dxa"/>
          <w:tblLayout w:type="fixed"/>
          <w:tblCellMar>
            <w:left w:w="70" w:type="dxa"/>
            <w:right w:w="70" w:type="dxa"/>
          </w:tblCellMar>
          <w:tblLook w:val="04A0"/>
        </w:tblPrEx>
        <w:trPr>
          <w:gridBefore w:val="1"/>
          <w:wBefore w:w="55" w:type="dxa"/>
          <w:trHeight w:val="719"/>
        </w:trPr>
        <w:tc>
          <w:tcPr>
            <w:tcW w:w="2709" w:type="dxa"/>
            <w:tcBorders>
              <w:top w:val="single" w:sz="4" w:space="0" w:color="auto"/>
              <w:left w:val="single" w:sz="4" w:space="0" w:color="auto"/>
              <w:bottom w:val="single" w:sz="4" w:space="0" w:color="auto"/>
              <w:right w:val="single" w:sz="4" w:space="0" w:color="auto"/>
            </w:tcBorders>
            <w:textDirection w:val="lrTb"/>
            <w:vAlign w:val="center"/>
            <w:hideMark/>
          </w:tcPr>
          <w:p w:rsidR="00261B74" w:rsidRPr="00261B74" w:rsidP="00261B74">
            <w:pPr>
              <w:bidi w:val="0"/>
              <w:rPr>
                <w:rFonts w:ascii="Times New Roman" w:hAnsi="Times New Roman"/>
                <w:color w:val="000000"/>
                <w:sz w:val="20"/>
                <w:szCs w:val="20"/>
              </w:rPr>
            </w:pPr>
            <w:r w:rsidRPr="00261B74">
              <w:rPr>
                <w:rFonts w:ascii="Times New Roman" w:hAnsi="Times New Roman"/>
                <w:color w:val="000000"/>
                <w:sz w:val="20"/>
                <w:szCs w:val="20"/>
              </w:rPr>
              <w:t xml:space="preserve">Odvody SR do rozpočtu EÚ bez tradičných vlastných zdrojov </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650 177</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582 159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582 139</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520 270</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612 116</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481E61">
            <w:pPr>
              <w:bidi w:val="0"/>
              <w:jc w:val="right"/>
              <w:rPr>
                <w:rFonts w:ascii="Times New Roman" w:hAnsi="Times New Roman"/>
                <w:color w:val="000000"/>
                <w:sz w:val="20"/>
                <w:szCs w:val="20"/>
              </w:rPr>
            </w:pPr>
            <w:r w:rsidRPr="00261B74">
              <w:rPr>
                <w:rFonts w:ascii="Times New Roman" w:hAnsi="Times New Roman"/>
                <w:color w:val="000000"/>
                <w:sz w:val="20"/>
                <w:szCs w:val="20"/>
              </w:rPr>
              <w:t>-20</w:t>
            </w:r>
          </w:p>
        </w:tc>
      </w:tr>
      <w:tr>
        <w:tblPrEx>
          <w:tblW w:w="9851" w:type="dxa"/>
          <w:tblLayout w:type="fixed"/>
          <w:tblCellMar>
            <w:left w:w="70" w:type="dxa"/>
            <w:right w:w="70" w:type="dxa"/>
          </w:tblCellMar>
          <w:tblLook w:val="04A0"/>
        </w:tblPrEx>
        <w:trPr>
          <w:gridBefore w:val="1"/>
          <w:wBefore w:w="55" w:type="dxa"/>
          <w:trHeight w:val="403"/>
        </w:trPr>
        <w:tc>
          <w:tcPr>
            <w:tcW w:w="2709" w:type="dxa"/>
            <w:tcBorders>
              <w:top w:val="single" w:sz="4" w:space="0" w:color="auto"/>
              <w:left w:val="single" w:sz="4" w:space="0" w:color="auto"/>
              <w:bottom w:val="single" w:sz="4" w:space="0" w:color="auto"/>
              <w:right w:val="single" w:sz="4" w:space="0" w:color="auto"/>
            </w:tcBorders>
            <w:textDirection w:val="lrTb"/>
            <w:vAlign w:val="center"/>
            <w:hideMark/>
          </w:tcPr>
          <w:p w:rsidR="00261B74" w:rsidRPr="00261B74" w:rsidP="00261B74">
            <w:pPr>
              <w:bidi w:val="0"/>
              <w:rPr>
                <w:rFonts w:ascii="Times New Roman" w:hAnsi="Times New Roman"/>
                <w:color w:val="000000"/>
                <w:sz w:val="20"/>
                <w:szCs w:val="20"/>
              </w:rPr>
            </w:pPr>
            <w:r w:rsidRPr="00261B74">
              <w:rPr>
                <w:rFonts w:ascii="Times New Roman" w:hAnsi="Times New Roman"/>
                <w:color w:val="000000"/>
                <w:sz w:val="20"/>
                <w:szCs w:val="20"/>
              </w:rPr>
              <w:t>Príspevky do Európskeho rozvojového fondu</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6 363</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6 342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5 124</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481E61">
            <w:pPr>
              <w:bidi w:val="0"/>
              <w:jc w:val="right"/>
              <w:rPr>
                <w:rFonts w:ascii="Times New Roman" w:hAnsi="Times New Roman"/>
                <w:color w:val="000000"/>
                <w:sz w:val="20"/>
                <w:szCs w:val="20"/>
              </w:rPr>
            </w:pPr>
            <w:r w:rsidRPr="00261B74">
              <w:rPr>
                <w:rFonts w:ascii="Times New Roman" w:hAnsi="Times New Roman"/>
                <w:color w:val="000000"/>
                <w:sz w:val="20"/>
                <w:szCs w:val="20"/>
              </w:rPr>
              <w:t>-1 218</w:t>
            </w:r>
          </w:p>
        </w:tc>
      </w:tr>
      <w:tr>
        <w:tblPrEx>
          <w:tblW w:w="9851" w:type="dxa"/>
          <w:tblLayout w:type="fixed"/>
          <w:tblCellMar>
            <w:left w:w="70" w:type="dxa"/>
            <w:right w:w="70" w:type="dxa"/>
          </w:tblCellMar>
          <w:tblLook w:val="04A0"/>
        </w:tblPrEx>
        <w:trPr>
          <w:gridBefore w:val="1"/>
          <w:wBefore w:w="55" w:type="dxa"/>
          <w:trHeight w:val="270"/>
        </w:trPr>
        <w:tc>
          <w:tcPr>
            <w:tcW w:w="2709" w:type="dxa"/>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rPr>
                <w:rFonts w:ascii="Times New Roman" w:hAnsi="Times New Roman"/>
                <w:b/>
                <w:bCs/>
                <w:color w:val="000000"/>
                <w:sz w:val="20"/>
                <w:szCs w:val="20"/>
              </w:rPr>
            </w:pPr>
            <w:r w:rsidRPr="00481E61">
              <w:rPr>
                <w:rFonts w:ascii="Times New Roman" w:hAnsi="Times New Roman"/>
                <w:b/>
                <w:bCs/>
                <w:color w:val="000000"/>
                <w:sz w:val="20"/>
                <w:szCs w:val="20"/>
              </w:rPr>
              <w:t>Odvody a príspevky SR spolu</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751 340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683 301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704 656</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627 529</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695 726</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481E61" w:rsidP="00481E61">
            <w:pPr>
              <w:bidi w:val="0"/>
              <w:jc w:val="right"/>
              <w:rPr>
                <w:rFonts w:ascii="Times New Roman" w:hAnsi="Times New Roman"/>
                <w:b/>
                <w:color w:val="000000"/>
                <w:sz w:val="20"/>
                <w:szCs w:val="20"/>
              </w:rPr>
            </w:pPr>
            <w:r w:rsidRPr="00481E61">
              <w:rPr>
                <w:rFonts w:ascii="Times New Roman" w:hAnsi="Times New Roman"/>
                <w:b/>
                <w:color w:val="000000"/>
                <w:sz w:val="20"/>
                <w:szCs w:val="20"/>
              </w:rPr>
              <w:t>21 355</w:t>
            </w:r>
          </w:p>
        </w:tc>
      </w:tr>
      <w:tr>
        <w:tblPrEx>
          <w:tblW w:w="9851" w:type="dxa"/>
          <w:tblLayout w:type="fixed"/>
          <w:tblCellMar>
            <w:left w:w="70" w:type="dxa"/>
            <w:right w:w="70" w:type="dxa"/>
          </w:tblCellMar>
          <w:tblLook w:val="04A0"/>
        </w:tblPrEx>
        <w:trPr>
          <w:gridBefore w:val="1"/>
          <w:wBefore w:w="55" w:type="dxa"/>
          <w:trHeight w:val="489"/>
        </w:trPr>
        <w:tc>
          <w:tcPr>
            <w:tcW w:w="2709" w:type="dxa"/>
            <w:tcBorders>
              <w:top w:val="single" w:sz="4" w:space="0" w:color="auto"/>
              <w:left w:val="single" w:sz="4" w:space="0" w:color="auto"/>
              <w:bottom w:val="single" w:sz="4" w:space="0" w:color="auto"/>
              <w:right w:val="single" w:sz="4" w:space="0" w:color="auto"/>
            </w:tcBorders>
            <w:textDirection w:val="lrTb"/>
            <w:vAlign w:val="center"/>
            <w:hideMark/>
          </w:tcPr>
          <w:p w:rsidR="00261B74" w:rsidRPr="00261B74" w:rsidP="00261B74">
            <w:pPr>
              <w:bidi w:val="0"/>
              <w:rPr>
                <w:rFonts w:ascii="Times New Roman" w:hAnsi="Times New Roman"/>
                <w:color w:val="000000"/>
                <w:sz w:val="20"/>
                <w:szCs w:val="20"/>
              </w:rPr>
            </w:pPr>
            <w:r w:rsidRPr="00261B74">
              <w:rPr>
                <w:rFonts w:ascii="Times New Roman" w:hAnsi="Times New Roman"/>
                <w:color w:val="000000"/>
                <w:sz w:val="20"/>
                <w:szCs w:val="20"/>
              </w:rPr>
              <w:t>Príjmy z EÚ zaradené do príjmov štátneho rozpočtu</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3 343 890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3 978 223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2 031 344</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1 663 319</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1 110 499</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EC78AC">
            <w:pPr>
              <w:bidi w:val="0"/>
              <w:jc w:val="right"/>
              <w:rPr>
                <w:rFonts w:ascii="Times New Roman" w:hAnsi="Times New Roman"/>
                <w:color w:val="000000"/>
                <w:sz w:val="20"/>
                <w:szCs w:val="20"/>
              </w:rPr>
            </w:pPr>
            <w:r w:rsidRPr="00261B74">
              <w:rPr>
                <w:rFonts w:ascii="Times New Roman" w:hAnsi="Times New Roman"/>
                <w:color w:val="000000"/>
                <w:sz w:val="20"/>
                <w:szCs w:val="20"/>
              </w:rPr>
              <w:t>-1 946 87</w:t>
            </w:r>
            <w:r w:rsidR="00EC78AC">
              <w:rPr>
                <w:rFonts w:ascii="Times New Roman" w:hAnsi="Times New Roman"/>
                <w:color w:val="000000"/>
                <w:sz w:val="20"/>
                <w:szCs w:val="20"/>
              </w:rPr>
              <w:t>9</w:t>
            </w:r>
          </w:p>
        </w:tc>
      </w:tr>
      <w:tr>
        <w:tblPrEx>
          <w:tblW w:w="9851" w:type="dxa"/>
          <w:tblLayout w:type="fixed"/>
          <w:tblCellMar>
            <w:left w:w="70" w:type="dxa"/>
            <w:right w:w="70" w:type="dxa"/>
          </w:tblCellMar>
          <w:tblLook w:val="04A0"/>
        </w:tblPrEx>
        <w:trPr>
          <w:gridBefore w:val="1"/>
          <w:wBefore w:w="55" w:type="dxa"/>
          <w:trHeight w:val="397"/>
        </w:trPr>
        <w:tc>
          <w:tcPr>
            <w:tcW w:w="2709" w:type="dxa"/>
            <w:tcBorders>
              <w:top w:val="single" w:sz="4" w:space="0" w:color="auto"/>
              <w:left w:val="single" w:sz="4" w:space="0" w:color="auto"/>
              <w:bottom w:val="single" w:sz="4" w:space="0" w:color="auto"/>
              <w:right w:val="single" w:sz="4" w:space="0" w:color="auto"/>
            </w:tcBorders>
            <w:textDirection w:val="lrTb"/>
            <w:vAlign w:val="center"/>
            <w:hideMark/>
          </w:tcPr>
          <w:p w:rsidR="00261B74" w:rsidRPr="00261B74" w:rsidP="00261B74">
            <w:pPr>
              <w:bidi w:val="0"/>
              <w:rPr>
                <w:rFonts w:ascii="Times New Roman" w:hAnsi="Times New Roman"/>
                <w:color w:val="000000"/>
                <w:sz w:val="20"/>
                <w:szCs w:val="20"/>
              </w:rPr>
            </w:pPr>
            <w:r w:rsidRPr="00261B74">
              <w:rPr>
                <w:rFonts w:ascii="Times New Roman" w:hAnsi="Times New Roman"/>
                <w:color w:val="000000"/>
                <w:sz w:val="20"/>
                <w:szCs w:val="20"/>
              </w:rPr>
              <w:t>Príjmy z EÚ nezaradené do príjmov štátneho rozpočtu</w:t>
            </w:r>
          </w:p>
        </w:tc>
        <w:tc>
          <w:tcPr>
            <w:tcW w:w="1275"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228 848</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EC78AC" w:rsidP="00261B74">
            <w:pPr>
              <w:bidi w:val="0"/>
              <w:jc w:val="right"/>
              <w:rPr>
                <w:rFonts w:ascii="Times New Roman" w:hAnsi="Times New Roman"/>
                <w:iCs/>
                <w:color w:val="000000"/>
                <w:sz w:val="20"/>
                <w:szCs w:val="20"/>
              </w:rPr>
            </w:pPr>
            <w:r w:rsidRPr="00EC78AC">
              <w:rPr>
                <w:rFonts w:ascii="Times New Roman" w:hAnsi="Times New Roman"/>
                <w:iCs/>
                <w:color w:val="000000"/>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EC78AC" w:rsidP="00261B74">
            <w:pPr>
              <w:bidi w:val="0"/>
              <w:jc w:val="right"/>
              <w:rPr>
                <w:rFonts w:ascii="Times New Roman" w:hAnsi="Times New Roman"/>
                <w:color w:val="000000"/>
                <w:sz w:val="20"/>
                <w:szCs w:val="20"/>
              </w:rPr>
            </w:pPr>
            <w:r w:rsidRPr="00EC78AC">
              <w:rPr>
                <w:rFonts w:ascii="Times New Roman" w:hAnsi="Times New Roman"/>
                <w:color w:val="000000"/>
                <w:sz w:val="20"/>
                <w:szCs w:val="20"/>
              </w:rPr>
              <w:t>9 749</w:t>
            </w:r>
          </w:p>
        </w:tc>
        <w:tc>
          <w:tcPr>
            <w:tcW w:w="1276"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9 164</w:t>
            </w:r>
          </w:p>
        </w:tc>
        <w:tc>
          <w:tcPr>
            <w:tcW w:w="99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261B74">
            <w:pPr>
              <w:bidi w:val="0"/>
              <w:jc w:val="right"/>
              <w:rPr>
                <w:rFonts w:ascii="Times New Roman" w:hAnsi="Times New Roman"/>
                <w:color w:val="000000"/>
                <w:sz w:val="20"/>
                <w:szCs w:val="20"/>
              </w:rPr>
            </w:pPr>
            <w:r w:rsidRPr="00261B74">
              <w:rPr>
                <w:rFonts w:ascii="Times New Roman" w:hAnsi="Times New Roman"/>
                <w:color w:val="000000"/>
                <w:sz w:val="20"/>
                <w:szCs w:val="20"/>
              </w:rPr>
              <w:t>9 159</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61B74" w:rsidRPr="00261B74" w:rsidP="00481E61">
            <w:pPr>
              <w:bidi w:val="0"/>
              <w:jc w:val="right"/>
              <w:rPr>
                <w:rFonts w:ascii="Times New Roman" w:hAnsi="Times New Roman"/>
                <w:color w:val="000000"/>
                <w:sz w:val="20"/>
                <w:szCs w:val="20"/>
              </w:rPr>
            </w:pPr>
            <w:r w:rsidRPr="00261B74">
              <w:rPr>
                <w:rFonts w:ascii="Times New Roman" w:hAnsi="Times New Roman"/>
                <w:color w:val="000000"/>
                <w:sz w:val="20"/>
                <w:szCs w:val="20"/>
              </w:rPr>
              <w:t>9 749</w:t>
            </w:r>
          </w:p>
        </w:tc>
      </w:tr>
      <w:tr>
        <w:tblPrEx>
          <w:tblW w:w="9851" w:type="dxa"/>
          <w:tblLayout w:type="fixed"/>
          <w:tblCellMar>
            <w:left w:w="70" w:type="dxa"/>
            <w:right w:w="70" w:type="dxa"/>
          </w:tblCellMar>
          <w:tblLook w:val="04A0"/>
        </w:tblPrEx>
        <w:trPr>
          <w:gridBefore w:val="1"/>
          <w:wBefore w:w="55" w:type="dxa"/>
          <w:trHeight w:val="525"/>
        </w:trPr>
        <w:tc>
          <w:tcPr>
            <w:tcW w:w="2709" w:type="dxa"/>
            <w:tcBorders>
              <w:top w:val="single" w:sz="4" w:space="0" w:color="auto"/>
              <w:left w:val="single" w:sz="4" w:space="0" w:color="auto"/>
              <w:bottom w:val="double" w:sz="6" w:space="0" w:color="auto"/>
              <w:right w:val="single" w:sz="4" w:space="0" w:color="auto"/>
            </w:tcBorders>
            <w:textDirection w:val="lrTb"/>
            <w:vAlign w:val="center"/>
            <w:hideMark/>
          </w:tcPr>
          <w:p w:rsidR="00261B74" w:rsidRPr="00481E61" w:rsidP="00261B74">
            <w:pPr>
              <w:bidi w:val="0"/>
              <w:rPr>
                <w:rFonts w:ascii="Times New Roman" w:hAnsi="Times New Roman"/>
                <w:b/>
                <w:bCs/>
                <w:color w:val="000000"/>
                <w:sz w:val="20"/>
                <w:szCs w:val="20"/>
              </w:rPr>
            </w:pPr>
            <w:r w:rsidRPr="00481E61">
              <w:rPr>
                <w:rFonts w:ascii="Times New Roman" w:hAnsi="Times New Roman"/>
                <w:b/>
                <w:bCs/>
                <w:color w:val="000000"/>
                <w:sz w:val="20"/>
                <w:szCs w:val="20"/>
              </w:rPr>
              <w:t>Spolu príjmy z rozpočtu Európskej únie</w:t>
            </w:r>
          </w:p>
        </w:tc>
        <w:tc>
          <w:tcPr>
            <w:tcW w:w="1275"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3 572 738</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3 978 223</w:t>
            </w:r>
          </w:p>
        </w:tc>
        <w:tc>
          <w:tcPr>
            <w:tcW w:w="1276" w:type="dxa"/>
            <w:gridSpan w:val="2"/>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2 041 093</w:t>
            </w:r>
          </w:p>
        </w:tc>
        <w:tc>
          <w:tcPr>
            <w:tcW w:w="1276" w:type="dxa"/>
            <w:gridSpan w:val="3"/>
            <w:tcBorders>
              <w:top w:val="single" w:sz="4" w:space="0" w:color="auto"/>
              <w:left w:val="single" w:sz="4" w:space="0" w:color="auto"/>
              <w:bottom w:val="double" w:sz="6"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1 672 483</w:t>
            </w:r>
          </w:p>
        </w:tc>
        <w:tc>
          <w:tcPr>
            <w:tcW w:w="992"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1 119 658</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261B74" w:rsidRPr="00481E61" w:rsidP="00EC78AC">
            <w:pPr>
              <w:bidi w:val="0"/>
              <w:jc w:val="right"/>
              <w:rPr>
                <w:rFonts w:ascii="Times New Roman" w:hAnsi="Times New Roman"/>
                <w:b/>
                <w:color w:val="000000"/>
                <w:sz w:val="20"/>
                <w:szCs w:val="20"/>
              </w:rPr>
            </w:pPr>
            <w:r w:rsidR="00EC78AC">
              <w:rPr>
                <w:rFonts w:ascii="Times New Roman" w:hAnsi="Times New Roman"/>
                <w:b/>
                <w:color w:val="000000"/>
                <w:sz w:val="20"/>
                <w:szCs w:val="20"/>
              </w:rPr>
              <w:t>-1 937 130</w:t>
            </w:r>
          </w:p>
        </w:tc>
      </w:tr>
      <w:tr>
        <w:tblPrEx>
          <w:tblW w:w="9851" w:type="dxa"/>
          <w:tblLayout w:type="fixed"/>
          <w:tblCellMar>
            <w:left w:w="70" w:type="dxa"/>
            <w:right w:w="70" w:type="dxa"/>
          </w:tblCellMar>
          <w:tblLook w:val="04A0"/>
        </w:tblPrEx>
        <w:trPr>
          <w:gridBefore w:val="1"/>
          <w:wBefore w:w="55" w:type="dxa"/>
          <w:trHeight w:val="270"/>
        </w:trPr>
        <w:tc>
          <w:tcPr>
            <w:tcW w:w="2709" w:type="dxa"/>
            <w:tcBorders>
              <w:top w:val="double" w:sz="6" w:space="0" w:color="auto"/>
              <w:left w:val="single" w:sz="4" w:space="0" w:color="auto"/>
              <w:bottom w:val="single" w:sz="4" w:space="0" w:color="auto"/>
              <w:right w:val="single" w:sz="4" w:space="0" w:color="auto"/>
            </w:tcBorders>
            <w:textDirection w:val="lrTb"/>
            <w:vAlign w:val="center"/>
            <w:hideMark/>
          </w:tcPr>
          <w:p w:rsidR="00261B74" w:rsidRPr="00481E61" w:rsidP="00261B74">
            <w:pPr>
              <w:bidi w:val="0"/>
              <w:rPr>
                <w:rFonts w:ascii="Times New Roman" w:hAnsi="Times New Roman"/>
                <w:b/>
                <w:bCs/>
                <w:color w:val="000000"/>
                <w:sz w:val="20"/>
                <w:szCs w:val="20"/>
              </w:rPr>
            </w:pPr>
            <w:r w:rsidRPr="00481E61">
              <w:rPr>
                <w:rFonts w:ascii="Times New Roman" w:hAnsi="Times New Roman"/>
                <w:b/>
                <w:bCs/>
                <w:color w:val="000000"/>
                <w:sz w:val="20"/>
                <w:szCs w:val="20"/>
              </w:rPr>
              <w:t xml:space="preserve">Čistá finančná pozícia </w:t>
            </w:r>
          </w:p>
        </w:tc>
        <w:tc>
          <w:tcPr>
            <w:tcW w:w="1275"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2 821 398</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3 294 922</w:t>
            </w:r>
          </w:p>
        </w:tc>
        <w:tc>
          <w:tcPr>
            <w:tcW w:w="1276" w:type="dxa"/>
            <w:gridSpan w:val="2"/>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1 336 437</w:t>
            </w:r>
          </w:p>
        </w:tc>
        <w:tc>
          <w:tcPr>
            <w:tcW w:w="1276" w:type="dxa"/>
            <w:gridSpan w:val="3"/>
            <w:tcBorders>
              <w:top w:val="double" w:sz="6"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1 044 954</w:t>
            </w:r>
          </w:p>
        </w:tc>
        <w:tc>
          <w:tcPr>
            <w:tcW w:w="992"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261B74" w:rsidRPr="00481E61" w:rsidP="00261B74">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423 932</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261B74" w:rsidRPr="00481E61" w:rsidP="00481E61">
            <w:pPr>
              <w:bidi w:val="0"/>
              <w:jc w:val="right"/>
              <w:rPr>
                <w:rFonts w:ascii="Times New Roman" w:hAnsi="Times New Roman"/>
                <w:b/>
                <w:color w:val="000000"/>
                <w:sz w:val="20"/>
                <w:szCs w:val="20"/>
              </w:rPr>
            </w:pPr>
            <w:r w:rsidRPr="00481E61">
              <w:rPr>
                <w:rFonts w:ascii="Times New Roman" w:hAnsi="Times New Roman"/>
                <w:b/>
                <w:color w:val="000000"/>
                <w:sz w:val="20"/>
                <w:szCs w:val="20"/>
              </w:rPr>
              <w:t>-1 958 485</w:t>
            </w:r>
          </w:p>
        </w:tc>
      </w:tr>
      <w:tr>
        <w:tblPrEx>
          <w:tblW w:w="9851" w:type="dxa"/>
          <w:tblLayout w:type="fixed"/>
          <w:tblCellMar>
            <w:left w:w="70" w:type="dxa"/>
            <w:right w:w="70" w:type="dxa"/>
          </w:tblCellMar>
          <w:tblLook w:val="04A0"/>
        </w:tblPrEx>
        <w:trPr>
          <w:gridAfter w:val="1"/>
          <w:wAfter w:w="763" w:type="dxa"/>
          <w:trHeight w:val="270"/>
        </w:trPr>
        <w:tc>
          <w:tcPr>
            <w:tcW w:w="3031" w:type="dxa"/>
            <w:gridSpan w:val="3"/>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r w:rsidRPr="00E907C7">
              <w:rPr>
                <w:rFonts w:ascii="Times New Roman" w:hAnsi="Times New Roman"/>
                <w:iCs/>
                <w:sz w:val="18"/>
                <w:szCs w:val="18"/>
              </w:rPr>
              <w:t>Zdroj: Ministerstvo financií SR</w:t>
            </w:r>
          </w:p>
        </w:tc>
        <w:tc>
          <w:tcPr>
            <w:tcW w:w="1008" w:type="dxa"/>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796" w:type="dxa"/>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992" w:type="dxa"/>
            <w:gridSpan w:val="2"/>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992" w:type="dxa"/>
            <w:gridSpan w:val="2"/>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710" w:type="dxa"/>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850" w:type="dxa"/>
            <w:gridSpan w:val="2"/>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c>
          <w:tcPr>
            <w:tcW w:w="709" w:type="dxa"/>
            <w:gridSpan w:val="2"/>
            <w:tcBorders>
              <w:top w:val="single" w:sz="4" w:space="0" w:color="auto"/>
              <w:left w:val="nil"/>
              <w:bottom w:val="nil"/>
              <w:right w:val="nil"/>
            </w:tcBorders>
            <w:noWrap/>
            <w:textDirection w:val="lrTb"/>
            <w:vAlign w:val="bottom"/>
            <w:hideMark/>
          </w:tcPr>
          <w:p w:rsidR="00B57C93" w:rsidRPr="00E907C7" w:rsidP="00F72899">
            <w:pPr>
              <w:bidi w:val="0"/>
              <w:rPr>
                <w:rFonts w:ascii="Times New Roman" w:hAnsi="Times New Roman"/>
                <w:iCs/>
                <w:sz w:val="18"/>
                <w:szCs w:val="18"/>
              </w:rPr>
            </w:pPr>
          </w:p>
        </w:tc>
      </w:tr>
    </w:tbl>
    <w:p w:rsidR="00B57C93" w:rsidP="00DD509A">
      <w:pPr>
        <w:bidi w:val="0"/>
        <w:spacing w:before="100" w:beforeAutospacing="1" w:after="100" w:afterAutospacing="1" w:line="360" w:lineRule="auto"/>
        <w:jc w:val="both"/>
        <w:rPr>
          <w:rFonts w:ascii="Times New Roman" w:hAnsi="Times New Roman"/>
        </w:rPr>
      </w:pPr>
      <w:r>
        <w:rPr>
          <w:rFonts w:ascii="Times New Roman" w:hAnsi="Times New Roman"/>
        </w:rPr>
        <w:t xml:space="preserve">Kladné saldo čistej finančnej pozície v roku 2011 na úrovni 40,6 % rozpočtovanej sumy je dosiahnuté z dôvodu postupného zvyšovania príjmov štátneho rozpočtu z prostriedkov EÚ. Z dosiahnutých príjmov z EÚ tvorili odvody </w:t>
      </w:r>
      <w:r w:rsidR="003C536C">
        <w:rPr>
          <w:rFonts w:ascii="Times New Roman" w:hAnsi="Times New Roman"/>
        </w:rPr>
        <w:t>do</w:t>
      </w:r>
      <w:r>
        <w:rPr>
          <w:rFonts w:ascii="Times New Roman" w:hAnsi="Times New Roman"/>
        </w:rPr>
        <w:t xml:space="preserve"> EÚ len 35 %.</w:t>
      </w:r>
    </w:p>
    <w:p w:rsidR="00B57C93" w:rsidRPr="00B57C93" w:rsidP="001C241F">
      <w:pPr>
        <w:pStyle w:val="Heading3"/>
        <w:bidi w:val="0"/>
        <w:spacing w:before="100" w:beforeAutospacing="1" w:after="100" w:afterAutospacing="1" w:line="360" w:lineRule="auto"/>
        <w:jc w:val="center"/>
        <w:rPr>
          <w:rFonts w:ascii="Times New Roman" w:hAnsi="Times New Roman"/>
          <w:color w:val="auto"/>
        </w:rPr>
      </w:pPr>
      <w:bookmarkStart w:id="35" w:name="_Toc322614763"/>
      <w:r w:rsidRPr="00B57C93">
        <w:rPr>
          <w:rFonts w:ascii="Times New Roman" w:hAnsi="Times New Roman"/>
          <w:color w:val="auto"/>
        </w:rPr>
        <w:t>3.5.1</w:t>
      </w:r>
      <w:r w:rsidR="00E01089">
        <w:rPr>
          <w:rFonts w:ascii="Times New Roman" w:hAnsi="Times New Roman"/>
          <w:color w:val="auto"/>
        </w:rPr>
        <w:t>.</w:t>
      </w:r>
      <w:r w:rsidRPr="00B57C93">
        <w:rPr>
          <w:rFonts w:ascii="Times New Roman" w:hAnsi="Times New Roman"/>
          <w:color w:val="auto"/>
        </w:rPr>
        <w:t xml:space="preserve"> Príjmy z rozpočtu EÚ</w:t>
      </w:r>
      <w:bookmarkEnd w:id="35"/>
    </w:p>
    <w:p w:rsidR="00B57C93" w:rsidP="004D431A">
      <w:pPr>
        <w:bidi w:val="0"/>
        <w:spacing w:before="120" w:after="120" w:line="360" w:lineRule="auto"/>
        <w:ind w:firstLine="709"/>
        <w:jc w:val="both"/>
        <w:rPr>
          <w:rFonts w:ascii="Times New Roman" w:hAnsi="Times New Roman"/>
        </w:rPr>
      </w:pPr>
      <w:r>
        <w:rPr>
          <w:rFonts w:ascii="Times New Roman" w:hAnsi="Times New Roman"/>
        </w:rPr>
        <w:t>V štátnom rozpočte na rok 2011 boli p</w:t>
      </w:r>
      <w:r w:rsidRPr="008323AA">
        <w:rPr>
          <w:rFonts w:ascii="Times New Roman" w:hAnsi="Times New Roman"/>
        </w:rPr>
        <w:t>ríjmy z rozpočtu Európskej únie, zaradené do príjmov štátneho rozpočtu</w:t>
      </w:r>
      <w:r>
        <w:rPr>
          <w:rFonts w:ascii="Times New Roman" w:hAnsi="Times New Roman"/>
        </w:rPr>
        <w:t>, rozpočtované na II. programové obdobie na úrovni 3 343 890</w:t>
      </w:r>
      <w:r w:rsidRPr="008323AA">
        <w:rPr>
          <w:rFonts w:ascii="Times New Roman" w:hAnsi="Times New Roman"/>
        </w:rPr>
        <w:t xml:space="preserve"> tis. </w:t>
      </w:r>
      <w:r>
        <w:rPr>
          <w:rFonts w:ascii="Times New Roman" w:hAnsi="Times New Roman"/>
        </w:rPr>
        <w:t>eur, po úprave o nenaplnené príjmy z predchádzajúcich rokov na úrovni 3 978 223 tis. eur.</w:t>
      </w:r>
    </w:p>
    <w:p w:rsidR="00B57C93" w:rsidP="004D431A">
      <w:pPr>
        <w:bidi w:val="0"/>
        <w:spacing w:before="120" w:after="120" w:line="360" w:lineRule="auto"/>
        <w:jc w:val="both"/>
        <w:rPr>
          <w:rFonts w:ascii="Times New Roman" w:hAnsi="Times New Roman"/>
        </w:rPr>
      </w:pPr>
      <w:r>
        <w:rPr>
          <w:rFonts w:ascii="Times New Roman" w:hAnsi="Times New Roman"/>
        </w:rPr>
        <w:t xml:space="preserve">V roku 2011 bolo na základe schválených realizovaných výdavkov z prostriedkov Európskej únie dosiahnuté skutočné plnenie príjmov, zaradených do príjmov štátneho rozpočtu v objeme 2 031 344 tis. eur. Medziročné zvýšenie plnenia príjmov o 368 025 tis. eur ovplyvnilo najmä vyššie plnenie príjmov za štrukturálne fondy II. programového obdobia o 395 513 tis. eur, za Európsky poľnohospodársky záručný fond o 35 265 tis. eur a vyššie plnenie príjmov za Kohézny fond II. programového obdobia o 11 298 tis. eur. </w:t>
      </w:r>
    </w:p>
    <w:p w:rsidR="00B57C93" w:rsidP="004D431A">
      <w:pPr>
        <w:bidi w:val="0"/>
        <w:spacing w:before="120" w:after="120" w:line="360" w:lineRule="auto"/>
        <w:jc w:val="both"/>
        <w:rPr>
          <w:rFonts w:ascii="Times New Roman" w:hAnsi="Times New Roman"/>
        </w:rPr>
      </w:pPr>
      <w:r>
        <w:rPr>
          <w:rFonts w:ascii="Times New Roman" w:hAnsi="Times New Roman"/>
        </w:rPr>
        <w:t>Na plnenie príjmov v roku 2011 pozitívne vplývalo ukončenie implementácie programov I. programového obdobia zaradením záverečných platieb do príjmov štátneho rozpočtu za: Európsky poľnohospodársky usmerňovací a záručný fond</w:t>
      </w:r>
      <w:r w:rsidR="003C536C">
        <w:rPr>
          <w:rFonts w:ascii="Times New Roman" w:hAnsi="Times New Roman"/>
        </w:rPr>
        <w:t xml:space="preserve"> </w:t>
      </w:r>
      <w:r>
        <w:rPr>
          <w:rFonts w:ascii="Times New Roman" w:hAnsi="Times New Roman"/>
        </w:rPr>
        <w:t>–</w:t>
      </w:r>
      <w:r w:rsidR="003C536C">
        <w:rPr>
          <w:rFonts w:ascii="Times New Roman" w:hAnsi="Times New Roman"/>
        </w:rPr>
        <w:t xml:space="preserve"> </w:t>
      </w:r>
      <w:r>
        <w:rPr>
          <w:rFonts w:ascii="Times New Roman" w:hAnsi="Times New Roman"/>
        </w:rPr>
        <w:t>záručná sekcia v objeme 19 848 tis. eur, Jednotný programový dokument NUTS II Bratislava cieľ 2 v objeme 973 tis. eur, Program Iniciatívy ES INTERREG IIIA Poľsko</w:t>
      </w:r>
      <w:r w:rsidR="003C536C">
        <w:rPr>
          <w:rFonts w:ascii="Times New Roman" w:hAnsi="Times New Roman"/>
        </w:rPr>
        <w:t xml:space="preserve"> </w:t>
      </w:r>
      <w:r>
        <w:rPr>
          <w:rFonts w:ascii="Times New Roman" w:hAnsi="Times New Roman"/>
        </w:rPr>
        <w:t>–</w:t>
      </w:r>
      <w:r w:rsidR="003C536C">
        <w:rPr>
          <w:rFonts w:ascii="Times New Roman" w:hAnsi="Times New Roman"/>
        </w:rPr>
        <w:t xml:space="preserve"> </w:t>
      </w:r>
      <w:r>
        <w:rPr>
          <w:rFonts w:ascii="Times New Roman" w:hAnsi="Times New Roman"/>
        </w:rPr>
        <w:t xml:space="preserve">Slovenská republika v objeme 393 tis. eur, </w:t>
      </w:r>
      <w:r w:rsidRPr="00B62250">
        <w:rPr>
          <w:rFonts w:ascii="Times New Roman" w:hAnsi="Times New Roman"/>
        </w:rPr>
        <w:t xml:space="preserve">Program susedstva </w:t>
      </w:r>
      <w:r>
        <w:rPr>
          <w:rFonts w:ascii="Times New Roman" w:hAnsi="Times New Roman"/>
        </w:rPr>
        <w:t xml:space="preserve">INTERREG IIIA </w:t>
      </w:r>
      <w:r w:rsidRPr="00B62250">
        <w:rPr>
          <w:rFonts w:ascii="Times New Roman" w:hAnsi="Times New Roman"/>
        </w:rPr>
        <w:t>Maďarsko</w:t>
      </w:r>
      <w:r w:rsidR="003C536C">
        <w:rPr>
          <w:rFonts w:ascii="Times New Roman" w:hAnsi="Times New Roman"/>
        </w:rPr>
        <w:t xml:space="preserve"> </w:t>
      </w:r>
      <w:r w:rsidRPr="00B62250">
        <w:rPr>
          <w:rFonts w:ascii="Times New Roman" w:hAnsi="Times New Roman"/>
        </w:rPr>
        <w:t>-</w:t>
      </w:r>
      <w:r w:rsidR="003C536C">
        <w:rPr>
          <w:rFonts w:ascii="Times New Roman" w:hAnsi="Times New Roman"/>
        </w:rPr>
        <w:t xml:space="preserve"> </w:t>
      </w:r>
      <w:r w:rsidRPr="00B62250">
        <w:rPr>
          <w:rFonts w:ascii="Times New Roman" w:hAnsi="Times New Roman"/>
        </w:rPr>
        <w:t>Slovenská republika</w:t>
      </w:r>
      <w:r w:rsidR="003C536C">
        <w:rPr>
          <w:rFonts w:ascii="Times New Roman" w:hAnsi="Times New Roman"/>
        </w:rPr>
        <w:t xml:space="preserve"> </w:t>
      </w:r>
      <w:r>
        <w:rPr>
          <w:rFonts w:ascii="Times New Roman" w:hAnsi="Times New Roman"/>
        </w:rPr>
        <w:t>–</w:t>
      </w:r>
      <w:r w:rsidR="003C536C">
        <w:rPr>
          <w:rFonts w:ascii="Times New Roman" w:hAnsi="Times New Roman"/>
        </w:rPr>
        <w:t xml:space="preserve"> </w:t>
      </w:r>
      <w:r w:rsidRPr="00B62250">
        <w:rPr>
          <w:rFonts w:ascii="Times New Roman" w:hAnsi="Times New Roman"/>
        </w:rPr>
        <w:t>Ukrajina</w:t>
      </w:r>
      <w:r>
        <w:rPr>
          <w:rFonts w:ascii="Times New Roman" w:hAnsi="Times New Roman"/>
        </w:rPr>
        <w:t xml:space="preserve"> vo výške 488 tis. eur a Program Iniciatívy ES Slovenská republika – Česká re</w:t>
      </w:r>
      <w:r w:rsidR="00C36624">
        <w:rPr>
          <w:rFonts w:ascii="Times New Roman" w:hAnsi="Times New Roman"/>
        </w:rPr>
        <w:t xml:space="preserve">publika v objeme 238 tis. eur. </w:t>
      </w:r>
      <w:r>
        <w:rPr>
          <w:rFonts w:ascii="Times New Roman" w:hAnsi="Times New Roman"/>
        </w:rPr>
        <w:t xml:space="preserve">Vplyv </w:t>
      </w:r>
      <w:r w:rsidR="00C36624">
        <w:rPr>
          <w:rFonts w:ascii="Times New Roman" w:hAnsi="Times New Roman"/>
        </w:rPr>
        <w:br/>
      </w:r>
      <w:r>
        <w:rPr>
          <w:rFonts w:ascii="Times New Roman" w:hAnsi="Times New Roman"/>
        </w:rPr>
        <w:t>I. programového obdobia na štátny rozpočet bude zhodnotený po prijatí záverečných platieb na všetky programové dokumenty.</w:t>
      </w:r>
    </w:p>
    <w:p w:rsidR="00B57C93" w:rsidP="004D431A">
      <w:pPr>
        <w:bidi w:val="0"/>
        <w:spacing w:before="120" w:after="120" w:line="360" w:lineRule="auto"/>
        <w:jc w:val="both"/>
        <w:rPr>
          <w:rFonts w:ascii="Times New Roman" w:hAnsi="Times New Roman"/>
        </w:rPr>
      </w:pPr>
      <w:r w:rsidRPr="008323AA">
        <w:rPr>
          <w:rFonts w:ascii="Times New Roman" w:hAnsi="Times New Roman"/>
        </w:rPr>
        <w:t>Nižšie uvedené plnenie príjmov predstavuje prostriedky Európskej únie v roku 20</w:t>
      </w:r>
      <w:r>
        <w:rPr>
          <w:rFonts w:ascii="Times New Roman" w:hAnsi="Times New Roman"/>
        </w:rPr>
        <w:t>11</w:t>
      </w:r>
      <w:r w:rsidR="003C536C">
        <w:rPr>
          <w:rFonts w:ascii="Times New Roman" w:hAnsi="Times New Roman"/>
        </w:rPr>
        <w:t xml:space="preserve"> </w:t>
      </w:r>
      <w:r w:rsidRPr="008323AA">
        <w:rPr>
          <w:rFonts w:ascii="Times New Roman" w:hAnsi="Times New Roman"/>
        </w:rPr>
        <w:t>podľa fondov:</w:t>
      </w:r>
    </w:p>
    <w:tbl>
      <w:tblPr>
        <w:tblStyle w:val="TableNormal"/>
        <w:tblW w:w="9654" w:type="dxa"/>
        <w:tblInd w:w="55" w:type="dxa"/>
        <w:tblCellMar>
          <w:left w:w="70" w:type="dxa"/>
          <w:right w:w="70" w:type="dxa"/>
        </w:tblCellMar>
        <w:tblLook w:val="04A0"/>
      </w:tblPr>
      <w:tblGrid>
        <w:gridCol w:w="2142"/>
        <w:gridCol w:w="1417"/>
        <w:gridCol w:w="1276"/>
        <w:gridCol w:w="1276"/>
        <w:gridCol w:w="1275"/>
        <w:gridCol w:w="1134"/>
        <w:gridCol w:w="1134"/>
      </w:tblGrid>
      <w:tr>
        <w:tblPrEx>
          <w:tblW w:w="9654" w:type="dxa"/>
          <w:tblInd w:w="55" w:type="dxa"/>
          <w:tblCellMar>
            <w:left w:w="70" w:type="dxa"/>
            <w:right w:w="70" w:type="dxa"/>
          </w:tblCellMar>
          <w:tblLook w:val="04A0"/>
        </w:tblPrEx>
        <w:trPr>
          <w:trHeight w:val="345"/>
        </w:trPr>
        <w:tc>
          <w:tcPr>
            <w:tcW w:w="2142" w:type="dxa"/>
            <w:vMerge w:val="restart"/>
            <w:tcBorders>
              <w:top w:val="single" w:sz="8" w:space="0" w:color="FFFFFF"/>
              <w:left w:val="single" w:sz="8" w:space="0" w:color="FFFFFF"/>
              <w:bottom w:val="none" w:sz="0" w:space="0" w:color="auto"/>
              <w:right w:val="single" w:sz="8" w:space="0" w:color="FFFFFF"/>
            </w:tcBorders>
            <w:shd w:val="clear" w:color="auto" w:fill="000000"/>
            <w:noWrap/>
            <w:textDirection w:val="lrTb"/>
            <w:vAlign w:val="center"/>
            <w:hideMark/>
          </w:tcPr>
          <w:p w:rsidR="00CE2354" w:rsidRPr="003C536C" w:rsidP="00EF2B06">
            <w:pPr>
              <w:bidi w:val="0"/>
              <w:jc w:val="center"/>
              <w:rPr>
                <w:rFonts w:ascii="Times New Roman" w:hAnsi="Times New Roman"/>
                <w:b/>
                <w:bCs/>
                <w:color w:val="FFFFFF"/>
                <w:sz w:val="20"/>
                <w:szCs w:val="20"/>
              </w:rPr>
            </w:pPr>
            <w:r w:rsidRPr="003C536C">
              <w:rPr>
                <w:rFonts w:ascii="Times New Roman" w:hAnsi="Times New Roman"/>
                <w:b/>
                <w:bCs/>
                <w:color w:val="FFFFFF"/>
                <w:sz w:val="20"/>
                <w:szCs w:val="20"/>
              </w:rPr>
              <w:t>Ukazovateľ</w:t>
            </w:r>
          </w:p>
          <w:p w:rsidR="00E907C7" w:rsidRPr="003C536C" w:rsidP="00EF2B06">
            <w:pPr>
              <w:bidi w:val="0"/>
              <w:jc w:val="center"/>
              <w:rPr>
                <w:rFonts w:ascii="Times New Roman" w:hAnsi="Times New Roman"/>
                <w:b/>
                <w:bCs/>
                <w:color w:val="FFFFFF"/>
                <w:sz w:val="20"/>
                <w:szCs w:val="20"/>
              </w:rPr>
            </w:pPr>
          </w:p>
          <w:p w:rsidR="00CE2354" w:rsidRPr="003C536C" w:rsidP="00E907C7">
            <w:pPr>
              <w:bidi w:val="0"/>
              <w:rPr>
                <w:rFonts w:ascii="Times New Roman" w:hAnsi="Times New Roman"/>
                <w:b/>
                <w:bCs/>
                <w:color w:val="FFFFFF"/>
                <w:sz w:val="20"/>
                <w:szCs w:val="20"/>
              </w:rPr>
            </w:pPr>
            <w:r w:rsidRPr="003C536C" w:rsidR="00E907C7">
              <w:rPr>
                <w:rFonts w:ascii="Times New Roman" w:hAnsi="Times New Roman"/>
                <w:b/>
                <w:bCs/>
                <w:color w:val="FFFFFF"/>
                <w:sz w:val="20"/>
                <w:szCs w:val="20"/>
              </w:rPr>
              <w:t>(v tis.</w:t>
            </w:r>
            <w:r w:rsidRPr="003C536C" w:rsidR="00F95AFA">
              <w:rPr>
                <w:rFonts w:ascii="Times New Roman" w:hAnsi="Times New Roman"/>
                <w:b/>
                <w:bCs/>
                <w:color w:val="FFFFFF"/>
                <w:sz w:val="20"/>
                <w:szCs w:val="20"/>
              </w:rPr>
              <w:t xml:space="preserve"> </w:t>
            </w:r>
            <w:r w:rsidRPr="003C536C" w:rsidR="00E907C7">
              <w:rPr>
                <w:rFonts w:ascii="Times New Roman" w:hAnsi="Times New Roman"/>
                <w:b/>
                <w:bCs/>
                <w:color w:val="FFFFFF"/>
                <w:sz w:val="20"/>
                <w:szCs w:val="20"/>
              </w:rPr>
              <w:t>eur)</w:t>
            </w:r>
            <w:r w:rsidRPr="003C536C">
              <w:rPr>
                <w:rFonts w:ascii="Times New Roman" w:hAnsi="Times New Roman"/>
                <w:b/>
                <w:bCs/>
                <w:color w:val="FFFFFF"/>
                <w:sz w:val="20"/>
                <w:szCs w:val="20"/>
              </w:rPr>
              <w:t> </w:t>
            </w:r>
          </w:p>
        </w:tc>
        <w:tc>
          <w:tcPr>
            <w:tcW w:w="2693" w:type="dxa"/>
            <w:gridSpan w:val="2"/>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CE2354" w:rsidRPr="003C536C" w:rsidP="00481E61">
            <w:pPr>
              <w:bidi w:val="0"/>
              <w:jc w:val="center"/>
              <w:rPr>
                <w:rFonts w:ascii="Times New Roman" w:hAnsi="Times New Roman"/>
                <w:b/>
                <w:bCs/>
                <w:color w:val="FFFFFF"/>
                <w:sz w:val="20"/>
                <w:szCs w:val="20"/>
              </w:rPr>
            </w:pPr>
            <w:r w:rsidRPr="003C536C">
              <w:rPr>
                <w:rFonts w:ascii="Times New Roman" w:hAnsi="Times New Roman"/>
                <w:b/>
                <w:bCs/>
                <w:color w:val="FFFFFF"/>
                <w:sz w:val="20"/>
                <w:szCs w:val="20"/>
              </w:rPr>
              <w:t>Rozpočet 2011 </w:t>
            </w:r>
          </w:p>
        </w:tc>
        <w:tc>
          <w:tcPr>
            <w:tcW w:w="3685" w:type="dxa"/>
            <w:gridSpan w:val="3"/>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CE2354" w:rsidRPr="003C536C" w:rsidP="00481E61">
            <w:pPr>
              <w:bidi w:val="0"/>
              <w:jc w:val="center"/>
              <w:rPr>
                <w:rFonts w:ascii="Times New Roman" w:hAnsi="Times New Roman"/>
                <w:b/>
                <w:bCs/>
                <w:color w:val="FFFFFF"/>
                <w:sz w:val="20"/>
                <w:szCs w:val="20"/>
              </w:rPr>
            </w:pPr>
            <w:r w:rsidRPr="003C536C">
              <w:rPr>
                <w:rFonts w:ascii="Times New Roman" w:hAnsi="Times New Roman"/>
                <w:b/>
                <w:bCs/>
                <w:color w:val="FFFFFF"/>
                <w:sz w:val="20"/>
                <w:szCs w:val="20"/>
              </w:rPr>
              <w:t xml:space="preserve">Skutočnosť </w:t>
            </w:r>
          </w:p>
        </w:tc>
        <w:tc>
          <w:tcPr>
            <w:tcW w:w="1134" w:type="dxa"/>
            <w:vMerge w:val="restart"/>
            <w:tcBorders>
              <w:top w:val="single" w:sz="8" w:space="0" w:color="FFFFFF"/>
              <w:left w:val="single" w:sz="8" w:space="0" w:color="FFFFFF"/>
              <w:bottom w:val="none" w:sz="0" w:space="0" w:color="auto"/>
              <w:right w:val="single" w:sz="8" w:space="0" w:color="FFFFFF"/>
            </w:tcBorders>
            <w:shd w:val="clear" w:color="auto" w:fill="000000"/>
            <w:textDirection w:val="lrTb"/>
            <w:vAlign w:val="center"/>
            <w:hideMark/>
          </w:tcPr>
          <w:p w:rsidR="00CE2354" w:rsidRPr="003C536C" w:rsidP="00481E61">
            <w:pPr>
              <w:bidi w:val="0"/>
              <w:jc w:val="center"/>
              <w:rPr>
                <w:rFonts w:ascii="Times New Roman" w:hAnsi="Times New Roman"/>
                <w:b/>
                <w:bCs/>
                <w:color w:val="FFFFFF"/>
                <w:sz w:val="20"/>
                <w:szCs w:val="20"/>
              </w:rPr>
            </w:pPr>
            <w:r w:rsidRPr="003C536C">
              <w:rPr>
                <w:rFonts w:ascii="Times New Roman" w:hAnsi="Times New Roman"/>
                <w:b/>
                <w:bCs/>
                <w:color w:val="FFFFFF"/>
                <w:sz w:val="20"/>
                <w:szCs w:val="20"/>
              </w:rPr>
              <w:t>Rozdiel </w:t>
            </w:r>
          </w:p>
        </w:tc>
      </w:tr>
      <w:tr>
        <w:tblPrEx>
          <w:tblW w:w="9654" w:type="dxa"/>
          <w:tblInd w:w="55" w:type="dxa"/>
          <w:tblCellMar>
            <w:left w:w="70" w:type="dxa"/>
            <w:right w:w="70" w:type="dxa"/>
          </w:tblCellMar>
          <w:tblLook w:val="04A0"/>
        </w:tblPrEx>
        <w:trPr>
          <w:trHeight w:val="345"/>
        </w:trPr>
        <w:tc>
          <w:tcPr>
            <w:tcW w:w="2142" w:type="dxa"/>
            <w:vMerge/>
            <w:tcBorders>
              <w:top w:val="none" w:sz="0" w:space="0" w:color="auto"/>
              <w:left w:val="single" w:sz="8" w:space="0" w:color="FFFFFF"/>
              <w:bottom w:val="single" w:sz="8" w:space="0" w:color="auto"/>
              <w:right w:val="single" w:sz="8" w:space="0" w:color="FFFFFF"/>
            </w:tcBorders>
            <w:shd w:val="clear" w:color="auto" w:fill="000000"/>
            <w:noWrap/>
            <w:textDirection w:val="lrTb"/>
            <w:vAlign w:val="center"/>
            <w:hideMark/>
          </w:tcPr>
          <w:p w:rsidR="00CE2354" w:rsidRPr="004B18B6" w:rsidP="00EF2B06">
            <w:pPr>
              <w:bidi w:val="0"/>
              <w:jc w:val="center"/>
              <w:rPr>
                <w:rFonts w:ascii="Times New Roman" w:hAnsi="Times New Roman"/>
                <w:b/>
                <w:bCs/>
                <w:color w:val="FFFFFF"/>
                <w:sz w:val="20"/>
                <w:szCs w:val="20"/>
              </w:rPr>
            </w:pPr>
          </w:p>
        </w:tc>
        <w:tc>
          <w:tcPr>
            <w:tcW w:w="1417" w:type="dxa"/>
            <w:tcBorders>
              <w:top w:val="single" w:sz="8" w:space="0" w:color="FFFFFF"/>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schválený</w:t>
            </w:r>
          </w:p>
        </w:tc>
        <w:tc>
          <w:tcPr>
            <w:tcW w:w="1276" w:type="dxa"/>
            <w:tcBorders>
              <w:top w:val="single" w:sz="8" w:space="0" w:color="FFFFFF"/>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upravený</w:t>
            </w:r>
          </w:p>
        </w:tc>
        <w:tc>
          <w:tcPr>
            <w:tcW w:w="1276" w:type="dxa"/>
            <w:tcBorders>
              <w:top w:val="single" w:sz="8" w:space="0" w:color="FFFFFF"/>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 2011</w:t>
            </w:r>
          </w:p>
        </w:tc>
        <w:tc>
          <w:tcPr>
            <w:tcW w:w="1275" w:type="dxa"/>
            <w:tcBorders>
              <w:top w:val="single" w:sz="8" w:space="0" w:color="FFFFFF"/>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 2010</w:t>
            </w:r>
          </w:p>
        </w:tc>
        <w:tc>
          <w:tcPr>
            <w:tcW w:w="1134" w:type="dxa"/>
            <w:tcBorders>
              <w:top w:val="single" w:sz="8" w:space="0" w:color="FFFFFF"/>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r w:rsidRPr="004B18B6">
              <w:rPr>
                <w:rFonts w:ascii="Times New Roman" w:hAnsi="Times New Roman"/>
                <w:b/>
                <w:bCs/>
                <w:color w:val="FFFFFF"/>
                <w:sz w:val="20"/>
                <w:szCs w:val="20"/>
              </w:rPr>
              <w:t>2009 </w:t>
            </w:r>
          </w:p>
        </w:tc>
        <w:tc>
          <w:tcPr>
            <w:tcW w:w="1134" w:type="dxa"/>
            <w:vMerge/>
            <w:tcBorders>
              <w:top w:val="none" w:sz="0" w:space="0" w:color="auto"/>
              <w:left w:val="single" w:sz="8" w:space="0" w:color="FFFFFF"/>
              <w:bottom w:val="single" w:sz="8" w:space="0" w:color="auto"/>
              <w:right w:val="single" w:sz="8" w:space="0" w:color="FFFFFF"/>
            </w:tcBorders>
            <w:shd w:val="clear" w:color="auto" w:fill="000000"/>
            <w:textDirection w:val="lrTb"/>
            <w:vAlign w:val="center"/>
            <w:hideMark/>
          </w:tcPr>
          <w:p w:rsidR="00CE2354" w:rsidRPr="004B18B6" w:rsidP="00EF2B06">
            <w:pPr>
              <w:bidi w:val="0"/>
              <w:jc w:val="center"/>
              <w:rPr>
                <w:rFonts w:ascii="Times New Roman" w:hAnsi="Times New Roman"/>
                <w:b/>
                <w:bCs/>
                <w:color w:val="FFFFFF"/>
                <w:sz w:val="20"/>
                <w:szCs w:val="20"/>
              </w:rPr>
            </w:pPr>
          </w:p>
        </w:tc>
      </w:tr>
      <w:tr>
        <w:tblPrEx>
          <w:tblW w:w="9654" w:type="dxa"/>
          <w:tblInd w:w="55" w:type="dxa"/>
          <w:tblCellMar>
            <w:left w:w="70" w:type="dxa"/>
            <w:right w:w="70" w:type="dxa"/>
          </w:tblCellMar>
          <w:tblLook w:val="04A0"/>
        </w:tblPrEx>
        <w:trPr>
          <w:trHeight w:val="345"/>
        </w:trPr>
        <w:tc>
          <w:tcPr>
            <w:tcW w:w="2142" w:type="dxa"/>
            <w:tcBorders>
              <w:top w:val="single" w:sz="8" w:space="0" w:color="auto"/>
              <w:left w:val="single" w:sz="8" w:space="0" w:color="auto"/>
              <w:bottom w:val="single" w:sz="8" w:space="0" w:color="auto"/>
              <w:right w:val="single" w:sz="8" w:space="0" w:color="auto"/>
            </w:tcBorders>
            <w:shd w:val="clear" w:color="auto" w:fill="FFFFFF"/>
            <w:noWrap/>
            <w:textDirection w:val="lrTb"/>
            <w:vAlign w:val="center"/>
            <w:hideMark/>
          </w:tcPr>
          <w:p w:rsidR="00EF2B06" w:rsidRPr="00E907C7" w:rsidP="00EF2B06">
            <w:pPr>
              <w:bidi w:val="0"/>
              <w:jc w:val="center"/>
              <w:rPr>
                <w:rFonts w:ascii="Times New Roman" w:hAnsi="Times New Roman"/>
                <w:b/>
                <w:bCs/>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noWrap/>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noWrap/>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2</w:t>
            </w:r>
          </w:p>
        </w:tc>
        <w:tc>
          <w:tcPr>
            <w:tcW w:w="1276" w:type="dxa"/>
            <w:tcBorders>
              <w:top w:val="single" w:sz="8" w:space="0" w:color="auto"/>
              <w:left w:val="single" w:sz="8" w:space="0" w:color="auto"/>
              <w:bottom w:val="single" w:sz="8" w:space="0" w:color="auto"/>
              <w:right w:val="single" w:sz="8" w:space="0" w:color="auto"/>
            </w:tcBorders>
            <w:shd w:val="clear" w:color="auto" w:fill="D9D9D9"/>
            <w:noWrap/>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3</w:t>
            </w:r>
          </w:p>
        </w:tc>
        <w:tc>
          <w:tcPr>
            <w:tcW w:w="1275" w:type="dxa"/>
            <w:tcBorders>
              <w:top w:val="single" w:sz="8" w:space="0" w:color="auto"/>
              <w:left w:val="single" w:sz="8" w:space="0" w:color="auto"/>
              <w:bottom w:val="single" w:sz="8" w:space="0" w:color="auto"/>
              <w:right w:val="single" w:sz="8" w:space="0" w:color="auto"/>
            </w:tcBorders>
            <w:shd w:val="clear" w:color="auto" w:fill="FFFFFF"/>
            <w:noWrap/>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4</w:t>
            </w:r>
          </w:p>
        </w:tc>
        <w:tc>
          <w:tcPr>
            <w:tcW w:w="1134" w:type="dxa"/>
            <w:tcBorders>
              <w:top w:val="single" w:sz="8" w:space="0" w:color="auto"/>
              <w:left w:val="single" w:sz="8" w:space="0" w:color="auto"/>
              <w:bottom w:val="single" w:sz="8" w:space="0" w:color="auto"/>
              <w:right w:val="single" w:sz="8" w:space="0" w:color="auto"/>
            </w:tcBorders>
            <w:shd w:val="clear" w:color="auto" w:fill="FFFFFF"/>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5</w:t>
            </w:r>
          </w:p>
        </w:tc>
        <w:tc>
          <w:tcPr>
            <w:tcW w:w="1134" w:type="dxa"/>
            <w:tcBorders>
              <w:top w:val="single" w:sz="8" w:space="0" w:color="auto"/>
              <w:left w:val="single" w:sz="8" w:space="0" w:color="auto"/>
              <w:bottom w:val="single" w:sz="8" w:space="0" w:color="auto"/>
              <w:right w:val="single" w:sz="8" w:space="0" w:color="auto"/>
            </w:tcBorders>
            <w:shd w:val="clear" w:color="auto" w:fill="FFFFFF"/>
            <w:noWrap/>
            <w:textDirection w:val="lrTb"/>
            <w:vAlign w:val="center"/>
            <w:hideMark/>
          </w:tcPr>
          <w:p w:rsidR="00EF2B06" w:rsidRPr="00E907C7" w:rsidP="00EF2B06">
            <w:pPr>
              <w:bidi w:val="0"/>
              <w:jc w:val="center"/>
              <w:rPr>
                <w:rFonts w:ascii="Times New Roman" w:hAnsi="Times New Roman"/>
                <w:b/>
                <w:bCs/>
                <w:sz w:val="20"/>
                <w:szCs w:val="20"/>
              </w:rPr>
            </w:pPr>
            <w:r w:rsidRPr="00E907C7">
              <w:rPr>
                <w:rFonts w:ascii="Times New Roman" w:hAnsi="Times New Roman"/>
                <w:b/>
                <w:bCs/>
                <w:sz w:val="20"/>
                <w:szCs w:val="20"/>
              </w:rPr>
              <w:t>6=3-2</w:t>
            </w:r>
          </w:p>
        </w:tc>
      </w:tr>
      <w:tr>
        <w:tblPrEx>
          <w:tblW w:w="9654" w:type="dxa"/>
          <w:tblInd w:w="55" w:type="dxa"/>
          <w:tblCellMar>
            <w:left w:w="70" w:type="dxa"/>
            <w:right w:w="70" w:type="dxa"/>
          </w:tblCellMar>
          <w:tblLook w:val="04A0"/>
        </w:tblPrEx>
        <w:trPr>
          <w:trHeight w:val="345"/>
        </w:trPr>
        <w:tc>
          <w:tcPr>
            <w:tcW w:w="2142" w:type="dxa"/>
            <w:tcBorders>
              <w:top w:val="single" w:sz="8" w:space="0" w:color="auto"/>
              <w:left w:val="single" w:sz="8" w:space="0" w:color="auto"/>
              <w:bottom w:val="single" w:sz="8" w:space="0" w:color="auto"/>
              <w:right w:val="single" w:sz="8" w:space="0" w:color="auto"/>
            </w:tcBorders>
            <w:noWrap/>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Záručná sekcia EAGGF</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276"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w:t>
            </w:r>
            <w:r w:rsidR="00AC2F46">
              <w:rPr>
                <w:rFonts w:ascii="Times New Roman" w:hAnsi="Times New Roman"/>
                <w:iCs/>
                <w:color w:val="000000"/>
                <w:sz w:val="20"/>
                <w:szCs w:val="20"/>
              </w:rPr>
              <w:t>9</w:t>
            </w:r>
            <w:r w:rsidRPr="003C536C">
              <w:rPr>
                <w:rFonts w:ascii="Times New Roman" w:hAnsi="Times New Roman"/>
                <w:iCs/>
                <w:color w:val="000000"/>
                <w:sz w:val="20"/>
                <w:szCs w:val="20"/>
              </w:rPr>
              <w:t xml:space="preserve"> 848</w:t>
            </w:r>
          </w:p>
        </w:tc>
        <w:tc>
          <w:tcPr>
            <w:tcW w:w="1275"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134" w:type="dxa"/>
            <w:tcBorders>
              <w:top w:val="single" w:sz="8" w:space="0" w:color="auto"/>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color w:val="000000"/>
                <w:sz w:val="20"/>
                <w:szCs w:val="20"/>
              </w:rPr>
            </w:pPr>
            <w:r w:rsidRPr="003C536C">
              <w:rPr>
                <w:rFonts w:ascii="Times New Roman" w:hAnsi="Times New Roman"/>
                <w:color w:val="000000"/>
                <w:sz w:val="20"/>
                <w:szCs w:val="20"/>
              </w:rPr>
              <w:t>1</w:t>
            </w:r>
            <w:r w:rsidR="00AC2F46">
              <w:rPr>
                <w:rFonts w:ascii="Times New Roman" w:hAnsi="Times New Roman"/>
                <w:color w:val="000000"/>
                <w:sz w:val="20"/>
                <w:szCs w:val="20"/>
              </w:rPr>
              <w:t>9</w:t>
            </w:r>
            <w:r w:rsidRPr="003C536C">
              <w:rPr>
                <w:rFonts w:ascii="Times New Roman" w:hAnsi="Times New Roman"/>
                <w:color w:val="000000"/>
                <w:sz w:val="20"/>
                <w:szCs w:val="20"/>
              </w:rPr>
              <w:t xml:space="preserve"> 848</w:t>
            </w:r>
          </w:p>
        </w:tc>
      </w:tr>
      <w:tr>
        <w:tblPrEx>
          <w:tblW w:w="9654" w:type="dxa"/>
          <w:tblInd w:w="55" w:type="dxa"/>
          <w:tblCellMar>
            <w:left w:w="70" w:type="dxa"/>
            <w:right w:w="70" w:type="dxa"/>
          </w:tblCellMar>
          <w:tblLook w:val="04A0"/>
        </w:tblPrEx>
        <w:trPr>
          <w:trHeight w:val="345"/>
        </w:trPr>
        <w:tc>
          <w:tcPr>
            <w:tcW w:w="2142" w:type="dxa"/>
            <w:tcBorders>
              <w:top w:val="nil"/>
              <w:left w:val="single" w:sz="8" w:space="0" w:color="auto"/>
              <w:bottom w:val="single" w:sz="8" w:space="0" w:color="auto"/>
              <w:right w:val="single" w:sz="8" w:space="0" w:color="auto"/>
            </w:tcBorders>
            <w:noWrap/>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EAGF</w:t>
            </w:r>
          </w:p>
        </w:tc>
        <w:tc>
          <w:tcPr>
            <w:tcW w:w="1417"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307 024</w:t>
            </w:r>
          </w:p>
        </w:tc>
        <w:tc>
          <w:tcPr>
            <w:tcW w:w="1276"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309 404</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290 354</w:t>
            </w:r>
          </w:p>
        </w:tc>
        <w:tc>
          <w:tcPr>
            <w:tcW w:w="1275"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255 089</w:t>
            </w:r>
          </w:p>
        </w:tc>
        <w:tc>
          <w:tcPr>
            <w:tcW w:w="1134" w:type="dxa"/>
            <w:tcBorders>
              <w:top w:val="nil"/>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237 441</w:t>
            </w:r>
          </w:p>
        </w:tc>
        <w:tc>
          <w:tcPr>
            <w:tcW w:w="1134"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color w:val="000000"/>
                <w:sz w:val="20"/>
                <w:szCs w:val="20"/>
              </w:rPr>
            </w:pPr>
            <w:r w:rsidRPr="003C536C">
              <w:rPr>
                <w:rFonts w:ascii="Times New Roman" w:hAnsi="Times New Roman"/>
                <w:color w:val="000000"/>
                <w:sz w:val="20"/>
                <w:szCs w:val="20"/>
              </w:rPr>
              <w:t>-19 050</w:t>
            </w:r>
          </w:p>
        </w:tc>
      </w:tr>
      <w:tr>
        <w:tblPrEx>
          <w:tblW w:w="9654" w:type="dxa"/>
          <w:tblInd w:w="55" w:type="dxa"/>
          <w:tblCellMar>
            <w:left w:w="70" w:type="dxa"/>
            <w:right w:w="70" w:type="dxa"/>
          </w:tblCellMar>
          <w:tblLook w:val="04A0"/>
        </w:tblPrEx>
        <w:trPr>
          <w:trHeight w:val="345"/>
        </w:trPr>
        <w:tc>
          <w:tcPr>
            <w:tcW w:w="2142" w:type="dxa"/>
            <w:tcBorders>
              <w:top w:val="nil"/>
              <w:left w:val="single" w:sz="8" w:space="0" w:color="auto"/>
              <w:bottom w:val="single" w:sz="8" w:space="0" w:color="auto"/>
              <w:right w:val="single" w:sz="8" w:space="0" w:color="auto"/>
            </w:tcBorders>
            <w:noWrap/>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EAFRD</w:t>
            </w:r>
          </w:p>
        </w:tc>
        <w:tc>
          <w:tcPr>
            <w:tcW w:w="1417"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325 404</w:t>
            </w:r>
          </w:p>
        </w:tc>
        <w:tc>
          <w:tcPr>
            <w:tcW w:w="1276"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538 200</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300 085</w:t>
            </w:r>
          </w:p>
        </w:tc>
        <w:tc>
          <w:tcPr>
            <w:tcW w:w="1275"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349 429</w:t>
            </w:r>
          </w:p>
        </w:tc>
        <w:tc>
          <w:tcPr>
            <w:tcW w:w="1134" w:type="dxa"/>
            <w:tcBorders>
              <w:top w:val="nil"/>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289 877</w:t>
            </w:r>
          </w:p>
        </w:tc>
        <w:tc>
          <w:tcPr>
            <w:tcW w:w="1134"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color w:val="000000"/>
                <w:sz w:val="20"/>
                <w:szCs w:val="20"/>
              </w:rPr>
            </w:pPr>
            <w:r w:rsidRPr="003C536C">
              <w:rPr>
                <w:rFonts w:ascii="Times New Roman" w:hAnsi="Times New Roman"/>
                <w:color w:val="000000"/>
                <w:sz w:val="20"/>
                <w:szCs w:val="20"/>
              </w:rPr>
              <w:t>-238 115</w:t>
            </w:r>
          </w:p>
        </w:tc>
      </w:tr>
      <w:tr>
        <w:tblPrEx>
          <w:tblW w:w="9654" w:type="dxa"/>
          <w:tblInd w:w="55" w:type="dxa"/>
          <w:tblCellMar>
            <w:left w:w="70" w:type="dxa"/>
            <w:right w:w="70" w:type="dxa"/>
          </w:tblCellMar>
          <w:tblLook w:val="04A0"/>
        </w:tblPrEx>
        <w:trPr>
          <w:trHeight w:val="345"/>
        </w:trPr>
        <w:tc>
          <w:tcPr>
            <w:tcW w:w="2142" w:type="dxa"/>
            <w:tcBorders>
              <w:top w:val="nil"/>
              <w:left w:val="single" w:sz="8" w:space="0" w:color="auto"/>
              <w:bottom w:val="single" w:sz="8" w:space="0" w:color="auto"/>
              <w:right w:val="single" w:sz="8" w:space="0" w:color="auto"/>
            </w:tcBorders>
            <w:noWrap/>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EFF</w:t>
            </w:r>
          </w:p>
        </w:tc>
        <w:tc>
          <w:tcPr>
            <w:tcW w:w="1417"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2 595</w:t>
            </w:r>
          </w:p>
        </w:tc>
        <w:tc>
          <w:tcPr>
            <w:tcW w:w="1276"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4 254</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1 257</w:t>
            </w:r>
          </w:p>
        </w:tc>
        <w:tc>
          <w:tcPr>
            <w:tcW w:w="1275" w:type="dxa"/>
            <w:tcBorders>
              <w:top w:val="nil"/>
              <w:left w:val="nil"/>
              <w:bottom w:val="single" w:sz="8" w:space="0" w:color="auto"/>
              <w:right w:val="single" w:sz="8" w:space="0" w:color="auto"/>
            </w:tcBorders>
            <w:noWrap/>
            <w:textDirection w:val="lrTb"/>
            <w:vAlign w:val="center"/>
            <w:hideMark/>
          </w:tcPr>
          <w:p w:rsidR="00EF2B06" w:rsidRPr="003C536C" w:rsidP="00AC2F46">
            <w:pPr>
              <w:bidi w:val="0"/>
              <w:jc w:val="right"/>
              <w:rPr>
                <w:rFonts w:ascii="Times New Roman" w:hAnsi="Times New Roman"/>
                <w:iCs/>
                <w:color w:val="000000"/>
                <w:sz w:val="20"/>
                <w:szCs w:val="20"/>
              </w:rPr>
            </w:pPr>
            <w:r w:rsidRPr="003C536C">
              <w:rPr>
                <w:rFonts w:ascii="Times New Roman" w:hAnsi="Times New Roman"/>
                <w:iCs/>
                <w:color w:val="000000"/>
                <w:sz w:val="20"/>
                <w:szCs w:val="20"/>
              </w:rPr>
              <w:t>1 51</w:t>
            </w:r>
            <w:r w:rsidR="00AC2F46">
              <w:rPr>
                <w:rFonts w:ascii="Times New Roman" w:hAnsi="Times New Roman"/>
                <w:iCs/>
                <w:color w:val="000000"/>
                <w:sz w:val="20"/>
                <w:szCs w:val="20"/>
              </w:rPr>
              <w:t>9</w:t>
            </w:r>
          </w:p>
        </w:tc>
        <w:tc>
          <w:tcPr>
            <w:tcW w:w="1134" w:type="dxa"/>
            <w:tcBorders>
              <w:top w:val="nil"/>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478</w:t>
            </w:r>
          </w:p>
        </w:tc>
        <w:tc>
          <w:tcPr>
            <w:tcW w:w="1134" w:type="dxa"/>
            <w:tcBorders>
              <w:top w:val="nil"/>
              <w:left w:val="nil"/>
              <w:bottom w:val="single" w:sz="8" w:space="0" w:color="auto"/>
              <w:right w:val="single" w:sz="8" w:space="0" w:color="auto"/>
            </w:tcBorders>
            <w:noWrap/>
            <w:textDirection w:val="lrTb"/>
            <w:vAlign w:val="center"/>
            <w:hideMark/>
          </w:tcPr>
          <w:p w:rsidR="00EF2B06" w:rsidRPr="003C536C" w:rsidP="00AC2F46">
            <w:pPr>
              <w:bidi w:val="0"/>
              <w:jc w:val="right"/>
              <w:rPr>
                <w:rFonts w:ascii="Times New Roman" w:hAnsi="Times New Roman"/>
                <w:color w:val="000000"/>
                <w:sz w:val="20"/>
                <w:szCs w:val="20"/>
              </w:rPr>
            </w:pPr>
            <w:r w:rsidRPr="003C536C">
              <w:rPr>
                <w:rFonts w:ascii="Times New Roman" w:hAnsi="Times New Roman"/>
                <w:color w:val="000000"/>
                <w:sz w:val="20"/>
                <w:szCs w:val="20"/>
              </w:rPr>
              <w:t>-2 99</w:t>
            </w:r>
            <w:r w:rsidR="00AC2F46">
              <w:rPr>
                <w:rFonts w:ascii="Times New Roman" w:hAnsi="Times New Roman"/>
                <w:color w:val="000000"/>
                <w:sz w:val="20"/>
                <w:szCs w:val="20"/>
              </w:rPr>
              <w:t>7</w:t>
            </w:r>
          </w:p>
        </w:tc>
      </w:tr>
      <w:tr>
        <w:tblPrEx>
          <w:tblW w:w="9654" w:type="dxa"/>
          <w:tblInd w:w="55" w:type="dxa"/>
          <w:tblCellMar>
            <w:left w:w="70" w:type="dxa"/>
            <w:right w:w="70" w:type="dxa"/>
          </w:tblCellMar>
          <w:tblLook w:val="04A0"/>
        </w:tblPrEx>
        <w:trPr>
          <w:trHeight w:val="345"/>
        </w:trPr>
        <w:tc>
          <w:tcPr>
            <w:tcW w:w="2142" w:type="dxa"/>
            <w:tcBorders>
              <w:top w:val="nil"/>
              <w:left w:val="single" w:sz="8" w:space="0" w:color="auto"/>
              <w:bottom w:val="single" w:sz="8" w:space="0" w:color="auto"/>
              <w:right w:val="single" w:sz="8" w:space="0" w:color="auto"/>
            </w:tcBorders>
            <w:noWrap/>
            <w:textDirection w:val="lrTb"/>
            <w:vAlign w:val="center"/>
            <w:hideMark/>
          </w:tcPr>
          <w:p w:rsidR="00EF2B06" w:rsidRPr="00481E61" w:rsidP="00EF2B06">
            <w:pPr>
              <w:bidi w:val="0"/>
              <w:rPr>
                <w:rFonts w:ascii="Times New Roman" w:hAnsi="Times New Roman"/>
                <w:b/>
                <w:bCs/>
                <w:color w:val="000000"/>
                <w:sz w:val="20"/>
                <w:szCs w:val="20"/>
              </w:rPr>
            </w:pPr>
            <w:r w:rsidRPr="00481E61">
              <w:rPr>
                <w:rFonts w:ascii="Times New Roman" w:hAnsi="Times New Roman"/>
                <w:b/>
                <w:bCs/>
                <w:color w:val="000000"/>
                <w:sz w:val="20"/>
                <w:szCs w:val="20"/>
              </w:rPr>
              <w:t>Poľnohospodárske fondy spolu</w:t>
            </w:r>
          </w:p>
        </w:tc>
        <w:tc>
          <w:tcPr>
            <w:tcW w:w="1417" w:type="dxa"/>
            <w:tcBorders>
              <w:top w:val="nil"/>
              <w:left w:val="nil"/>
              <w:bottom w:val="single" w:sz="8" w:space="0" w:color="auto"/>
              <w:right w:val="single" w:sz="8" w:space="0" w:color="auto"/>
            </w:tcBorders>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635 023</w:t>
            </w:r>
          </w:p>
        </w:tc>
        <w:tc>
          <w:tcPr>
            <w:tcW w:w="1276" w:type="dxa"/>
            <w:tcBorders>
              <w:top w:val="nil"/>
              <w:left w:val="nil"/>
              <w:bottom w:val="single" w:sz="8" w:space="0" w:color="auto"/>
              <w:right w:val="single" w:sz="8" w:space="0" w:color="auto"/>
            </w:tcBorders>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851 858</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61</w:t>
            </w:r>
            <w:r w:rsidR="00AC2F46">
              <w:rPr>
                <w:rFonts w:ascii="Times New Roman" w:hAnsi="Times New Roman"/>
                <w:b/>
                <w:bCs/>
                <w:color w:val="000000"/>
                <w:sz w:val="20"/>
                <w:szCs w:val="20"/>
              </w:rPr>
              <w:t>1</w:t>
            </w:r>
            <w:r w:rsidRPr="00481E61">
              <w:rPr>
                <w:rFonts w:ascii="Times New Roman" w:hAnsi="Times New Roman"/>
                <w:b/>
                <w:bCs/>
                <w:color w:val="000000"/>
                <w:sz w:val="20"/>
                <w:szCs w:val="20"/>
              </w:rPr>
              <w:t xml:space="preserve"> 544</w:t>
            </w:r>
          </w:p>
        </w:tc>
        <w:tc>
          <w:tcPr>
            <w:tcW w:w="1275" w:type="dxa"/>
            <w:tcBorders>
              <w:top w:val="nil"/>
              <w:left w:val="nil"/>
              <w:bottom w:val="single" w:sz="8" w:space="0" w:color="auto"/>
              <w:right w:val="single" w:sz="8" w:space="0" w:color="auto"/>
            </w:tcBorders>
            <w:noWrap/>
            <w:textDirection w:val="lrTb"/>
            <w:vAlign w:val="center"/>
            <w:hideMark/>
          </w:tcPr>
          <w:p w:rsidR="00EF2B06" w:rsidRPr="00481E61" w:rsidP="00AC2F4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606 03</w:t>
            </w:r>
            <w:r w:rsidR="00AC2F46">
              <w:rPr>
                <w:rFonts w:ascii="Times New Roman" w:hAnsi="Times New Roman"/>
                <w:b/>
                <w:bCs/>
                <w:color w:val="000000"/>
                <w:sz w:val="20"/>
                <w:szCs w:val="20"/>
              </w:rPr>
              <w:t>7</w:t>
            </w:r>
          </w:p>
        </w:tc>
        <w:tc>
          <w:tcPr>
            <w:tcW w:w="1134" w:type="dxa"/>
            <w:tcBorders>
              <w:top w:val="nil"/>
              <w:left w:val="nil"/>
              <w:bottom w:val="single" w:sz="8" w:space="0" w:color="auto"/>
              <w:right w:val="single" w:sz="8" w:space="0" w:color="auto"/>
            </w:tcBorders>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527 796</w:t>
            </w:r>
          </w:p>
        </w:tc>
        <w:tc>
          <w:tcPr>
            <w:tcW w:w="1134" w:type="dxa"/>
            <w:tcBorders>
              <w:top w:val="nil"/>
              <w:left w:val="nil"/>
              <w:bottom w:val="single" w:sz="8" w:space="0" w:color="auto"/>
              <w:right w:val="single" w:sz="8" w:space="0" w:color="auto"/>
            </w:tcBorders>
            <w:noWrap/>
            <w:textDirection w:val="lrTb"/>
            <w:vAlign w:val="center"/>
            <w:hideMark/>
          </w:tcPr>
          <w:p w:rsidR="00EF2B06" w:rsidRPr="00481E61" w:rsidP="00AC2F46">
            <w:pPr>
              <w:bidi w:val="0"/>
              <w:jc w:val="right"/>
              <w:rPr>
                <w:rFonts w:ascii="Times New Roman" w:hAnsi="Times New Roman"/>
                <w:b/>
                <w:color w:val="000000"/>
                <w:sz w:val="20"/>
                <w:szCs w:val="20"/>
              </w:rPr>
            </w:pPr>
            <w:r w:rsidRPr="00481E61">
              <w:rPr>
                <w:rFonts w:ascii="Times New Roman" w:hAnsi="Times New Roman"/>
                <w:b/>
                <w:color w:val="000000"/>
                <w:sz w:val="20"/>
                <w:szCs w:val="20"/>
              </w:rPr>
              <w:t>-</w:t>
            </w:r>
            <w:r w:rsidR="00AC2F46">
              <w:rPr>
                <w:rFonts w:ascii="Times New Roman" w:hAnsi="Times New Roman"/>
                <w:b/>
                <w:color w:val="000000"/>
                <w:sz w:val="20"/>
                <w:szCs w:val="20"/>
              </w:rPr>
              <w:t>240</w:t>
            </w:r>
            <w:r w:rsidRPr="00481E61">
              <w:rPr>
                <w:rFonts w:ascii="Times New Roman" w:hAnsi="Times New Roman"/>
                <w:b/>
                <w:color w:val="000000"/>
                <w:sz w:val="20"/>
                <w:szCs w:val="20"/>
              </w:rPr>
              <w:t xml:space="preserve"> 314</w:t>
            </w:r>
          </w:p>
        </w:tc>
      </w:tr>
      <w:tr>
        <w:tblPrEx>
          <w:tblW w:w="9654" w:type="dxa"/>
          <w:tblInd w:w="55" w:type="dxa"/>
          <w:tblCellMar>
            <w:left w:w="70" w:type="dxa"/>
            <w:right w:w="70" w:type="dxa"/>
          </w:tblCellMar>
          <w:tblLook w:val="04A0"/>
        </w:tblPrEx>
        <w:trPr>
          <w:trHeight w:val="525"/>
        </w:trPr>
        <w:tc>
          <w:tcPr>
            <w:tcW w:w="2142" w:type="dxa"/>
            <w:tcBorders>
              <w:top w:val="single" w:sz="8" w:space="0" w:color="auto"/>
              <w:left w:val="single" w:sz="8" w:space="0" w:color="auto"/>
              <w:bottom w:val="single" w:sz="8" w:space="0" w:color="auto"/>
              <w:right w:val="single" w:sz="8" w:space="0" w:color="auto"/>
            </w:tcBorders>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Štrukturálne fondy I. programové obdobie</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276"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9 815</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2 089</w:t>
            </w:r>
          </w:p>
        </w:tc>
        <w:tc>
          <w:tcPr>
            <w:tcW w:w="1275"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45 443</w:t>
            </w:r>
          </w:p>
        </w:tc>
        <w:tc>
          <w:tcPr>
            <w:tcW w:w="1134" w:type="dxa"/>
            <w:tcBorders>
              <w:top w:val="single" w:sz="8" w:space="0" w:color="auto"/>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56 771</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color w:val="000000"/>
                <w:sz w:val="20"/>
                <w:szCs w:val="20"/>
              </w:rPr>
            </w:pPr>
            <w:r w:rsidRPr="003C536C">
              <w:rPr>
                <w:rFonts w:ascii="Times New Roman" w:hAnsi="Times New Roman"/>
                <w:color w:val="000000"/>
                <w:sz w:val="20"/>
                <w:szCs w:val="20"/>
              </w:rPr>
              <w:t>-7 726</w:t>
            </w:r>
          </w:p>
        </w:tc>
      </w:tr>
      <w:tr>
        <w:tblPrEx>
          <w:tblW w:w="9654" w:type="dxa"/>
          <w:tblInd w:w="55" w:type="dxa"/>
          <w:tblCellMar>
            <w:left w:w="70" w:type="dxa"/>
            <w:right w:w="70" w:type="dxa"/>
          </w:tblCellMar>
          <w:tblLook w:val="04A0"/>
        </w:tblPrEx>
        <w:trPr>
          <w:trHeight w:val="525"/>
        </w:trPr>
        <w:tc>
          <w:tcPr>
            <w:tcW w:w="2142" w:type="dxa"/>
            <w:tcBorders>
              <w:top w:val="nil"/>
              <w:left w:val="single" w:sz="8" w:space="0" w:color="auto"/>
              <w:bottom w:val="single" w:sz="8" w:space="0" w:color="auto"/>
              <w:right w:val="single" w:sz="8" w:space="0" w:color="auto"/>
            </w:tcBorders>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Štrukturálne fondy II. programové obdobie</w:t>
            </w:r>
          </w:p>
        </w:tc>
        <w:tc>
          <w:tcPr>
            <w:tcW w:w="1417"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1 843 307</w:t>
            </w:r>
          </w:p>
        </w:tc>
        <w:tc>
          <w:tcPr>
            <w:tcW w:w="1276"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2 117 283</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1 081 790</w:t>
            </w:r>
          </w:p>
        </w:tc>
        <w:tc>
          <w:tcPr>
            <w:tcW w:w="1275"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686 277</w:t>
            </w:r>
          </w:p>
        </w:tc>
        <w:tc>
          <w:tcPr>
            <w:tcW w:w="1134" w:type="dxa"/>
            <w:tcBorders>
              <w:top w:val="nil"/>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311 847</w:t>
            </w:r>
          </w:p>
        </w:tc>
        <w:tc>
          <w:tcPr>
            <w:tcW w:w="1134" w:type="dxa"/>
            <w:tcBorders>
              <w:top w:val="nil"/>
              <w:left w:val="nil"/>
              <w:bottom w:val="single" w:sz="8" w:space="0" w:color="auto"/>
              <w:right w:val="single" w:sz="8" w:space="0" w:color="auto"/>
            </w:tcBorders>
            <w:noWrap/>
            <w:textDirection w:val="lrTb"/>
            <w:vAlign w:val="center"/>
            <w:hideMark/>
          </w:tcPr>
          <w:p w:rsidR="00EF2B06" w:rsidRPr="003C536C" w:rsidP="007C4F44">
            <w:pPr>
              <w:bidi w:val="0"/>
              <w:jc w:val="right"/>
              <w:rPr>
                <w:rFonts w:ascii="Times New Roman" w:hAnsi="Times New Roman"/>
                <w:color w:val="000000"/>
                <w:sz w:val="20"/>
                <w:szCs w:val="20"/>
              </w:rPr>
            </w:pPr>
            <w:r w:rsidRPr="003C536C">
              <w:rPr>
                <w:rFonts w:ascii="Times New Roman" w:hAnsi="Times New Roman"/>
                <w:color w:val="000000"/>
                <w:sz w:val="20"/>
                <w:szCs w:val="20"/>
              </w:rPr>
              <w:t>-1 035 49</w:t>
            </w:r>
            <w:r w:rsidR="007C4F44">
              <w:rPr>
                <w:rFonts w:ascii="Times New Roman" w:hAnsi="Times New Roman"/>
                <w:color w:val="000000"/>
                <w:sz w:val="20"/>
                <w:szCs w:val="20"/>
              </w:rPr>
              <w:t>3</w:t>
            </w:r>
          </w:p>
        </w:tc>
      </w:tr>
      <w:tr>
        <w:tblPrEx>
          <w:tblW w:w="9654" w:type="dxa"/>
          <w:tblInd w:w="55" w:type="dxa"/>
          <w:tblCellMar>
            <w:left w:w="70" w:type="dxa"/>
            <w:right w:w="70" w:type="dxa"/>
          </w:tblCellMar>
          <w:tblLook w:val="04A0"/>
        </w:tblPrEx>
        <w:trPr>
          <w:trHeight w:val="525"/>
        </w:trPr>
        <w:tc>
          <w:tcPr>
            <w:tcW w:w="2142" w:type="dxa"/>
            <w:tcBorders>
              <w:top w:val="nil"/>
              <w:left w:val="single" w:sz="8" w:space="0" w:color="auto"/>
              <w:bottom w:val="single" w:sz="8" w:space="0" w:color="auto"/>
              <w:right w:val="single" w:sz="8" w:space="0" w:color="auto"/>
            </w:tcBorders>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Kohézny fond I. programové obdobie</w:t>
            </w:r>
          </w:p>
        </w:tc>
        <w:tc>
          <w:tcPr>
            <w:tcW w:w="1417"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0</w:t>
            </w:r>
          </w:p>
        </w:tc>
        <w:tc>
          <w:tcPr>
            <w:tcW w:w="1276" w:type="dxa"/>
            <w:tcBorders>
              <w:top w:val="nil"/>
              <w:left w:val="nil"/>
              <w:bottom w:val="single" w:sz="8" w:space="0" w:color="auto"/>
              <w:right w:val="single" w:sz="8" w:space="0" w:color="auto"/>
            </w:tcBorders>
            <w:noWrap/>
            <w:textDirection w:val="lrTb"/>
            <w:vAlign w:val="center"/>
            <w:hideMark/>
          </w:tcPr>
          <w:p w:rsidR="00EF2B06" w:rsidRPr="003C536C" w:rsidP="007D7C73">
            <w:pPr>
              <w:bidi w:val="0"/>
              <w:jc w:val="right"/>
              <w:rPr>
                <w:rFonts w:ascii="Times New Roman" w:hAnsi="Times New Roman"/>
                <w:iCs/>
                <w:color w:val="000000"/>
                <w:sz w:val="20"/>
                <w:szCs w:val="20"/>
              </w:rPr>
            </w:pPr>
            <w:r w:rsidRPr="003C536C">
              <w:rPr>
                <w:rFonts w:ascii="Times New Roman" w:hAnsi="Times New Roman"/>
                <w:iCs/>
                <w:color w:val="000000"/>
                <w:sz w:val="20"/>
                <w:szCs w:val="20"/>
              </w:rPr>
              <w:t>79 26</w:t>
            </w:r>
            <w:r w:rsidR="007D7C73">
              <w:rPr>
                <w:rFonts w:ascii="Times New Roman" w:hAnsi="Times New Roman"/>
                <w:iCs/>
                <w:color w:val="000000"/>
                <w:sz w:val="20"/>
                <w:szCs w:val="20"/>
              </w:rPr>
              <w:t>7</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19 599</w:t>
            </w:r>
          </w:p>
        </w:tc>
        <w:tc>
          <w:tcPr>
            <w:tcW w:w="1275" w:type="dxa"/>
            <w:tcBorders>
              <w:top w:val="nil"/>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20 538</w:t>
            </w:r>
          </w:p>
        </w:tc>
        <w:tc>
          <w:tcPr>
            <w:tcW w:w="1134" w:type="dxa"/>
            <w:tcBorders>
              <w:top w:val="nil"/>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34 035</w:t>
            </w:r>
          </w:p>
        </w:tc>
        <w:tc>
          <w:tcPr>
            <w:tcW w:w="1134" w:type="dxa"/>
            <w:tcBorders>
              <w:top w:val="nil"/>
              <w:left w:val="nil"/>
              <w:bottom w:val="single" w:sz="8" w:space="0" w:color="auto"/>
              <w:right w:val="single" w:sz="8" w:space="0" w:color="auto"/>
            </w:tcBorders>
            <w:noWrap/>
            <w:textDirection w:val="lrTb"/>
            <w:vAlign w:val="center"/>
            <w:hideMark/>
          </w:tcPr>
          <w:p w:rsidR="00EF2B06" w:rsidRPr="003C536C" w:rsidP="007D7C73">
            <w:pPr>
              <w:bidi w:val="0"/>
              <w:jc w:val="right"/>
              <w:rPr>
                <w:rFonts w:ascii="Times New Roman" w:hAnsi="Times New Roman"/>
                <w:color w:val="000000"/>
                <w:sz w:val="20"/>
                <w:szCs w:val="20"/>
              </w:rPr>
            </w:pPr>
            <w:r w:rsidRPr="003C536C">
              <w:rPr>
                <w:rFonts w:ascii="Times New Roman" w:hAnsi="Times New Roman"/>
                <w:color w:val="000000"/>
                <w:sz w:val="20"/>
                <w:szCs w:val="20"/>
              </w:rPr>
              <w:t>-59 66</w:t>
            </w:r>
            <w:r w:rsidR="007D7C73">
              <w:rPr>
                <w:rFonts w:ascii="Times New Roman" w:hAnsi="Times New Roman"/>
                <w:color w:val="000000"/>
                <w:sz w:val="20"/>
                <w:szCs w:val="20"/>
              </w:rPr>
              <w:t>8</w:t>
            </w:r>
          </w:p>
        </w:tc>
      </w:tr>
      <w:tr>
        <w:tblPrEx>
          <w:tblW w:w="9654" w:type="dxa"/>
          <w:tblInd w:w="55" w:type="dxa"/>
          <w:tblCellMar>
            <w:left w:w="70" w:type="dxa"/>
            <w:right w:w="70" w:type="dxa"/>
          </w:tblCellMar>
          <w:tblLook w:val="04A0"/>
        </w:tblPrEx>
        <w:trPr>
          <w:trHeight w:val="525"/>
        </w:trPr>
        <w:tc>
          <w:tcPr>
            <w:tcW w:w="2142" w:type="dxa"/>
            <w:tcBorders>
              <w:top w:val="single" w:sz="8" w:space="0" w:color="auto"/>
              <w:left w:val="single" w:sz="8" w:space="0" w:color="auto"/>
              <w:bottom w:val="single" w:sz="8" w:space="0" w:color="auto"/>
              <w:right w:val="single" w:sz="8" w:space="0" w:color="auto"/>
            </w:tcBorders>
            <w:textDirection w:val="lrTb"/>
            <w:vAlign w:val="center"/>
            <w:hideMark/>
          </w:tcPr>
          <w:p w:rsidR="00EF2B06" w:rsidRPr="003C536C" w:rsidP="00EF2B06">
            <w:pPr>
              <w:bidi w:val="0"/>
              <w:rPr>
                <w:rFonts w:ascii="Times New Roman" w:hAnsi="Times New Roman"/>
                <w:iCs/>
                <w:color w:val="000000"/>
                <w:sz w:val="20"/>
                <w:szCs w:val="20"/>
              </w:rPr>
            </w:pPr>
            <w:r w:rsidRPr="003C536C">
              <w:rPr>
                <w:rFonts w:ascii="Times New Roman" w:hAnsi="Times New Roman"/>
                <w:iCs/>
                <w:color w:val="000000"/>
                <w:sz w:val="20"/>
                <w:szCs w:val="20"/>
              </w:rPr>
              <w:t>Kohézny fond II. programové obdobie</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865 560</w:t>
            </w:r>
          </w:p>
        </w:tc>
        <w:tc>
          <w:tcPr>
            <w:tcW w:w="1276"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920 000</w:t>
            </w:r>
          </w:p>
        </w:tc>
        <w:tc>
          <w:tcPr>
            <w:tcW w:w="1276" w:type="dxa"/>
            <w:tcBorders>
              <w:top w:val="single" w:sz="8" w:space="0" w:color="auto"/>
              <w:left w:val="nil"/>
              <w:bottom w:val="single" w:sz="8" w:space="0" w:color="auto"/>
              <w:right w:val="single" w:sz="8" w:space="0" w:color="auto"/>
            </w:tcBorders>
            <w:shd w:val="clear" w:color="auto" w:fill="D9D9D9"/>
            <w:noWrap/>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316 322</w:t>
            </w:r>
          </w:p>
        </w:tc>
        <w:tc>
          <w:tcPr>
            <w:tcW w:w="1275"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7D7C73">
            <w:pPr>
              <w:bidi w:val="0"/>
              <w:jc w:val="right"/>
              <w:rPr>
                <w:rFonts w:ascii="Times New Roman" w:hAnsi="Times New Roman"/>
                <w:iCs/>
                <w:color w:val="000000"/>
                <w:sz w:val="20"/>
                <w:szCs w:val="20"/>
              </w:rPr>
            </w:pPr>
            <w:r w:rsidRPr="003C536C">
              <w:rPr>
                <w:rFonts w:ascii="Times New Roman" w:hAnsi="Times New Roman"/>
                <w:iCs/>
                <w:color w:val="000000"/>
                <w:sz w:val="20"/>
                <w:szCs w:val="20"/>
              </w:rPr>
              <w:t>305 02</w:t>
            </w:r>
            <w:r w:rsidR="007D7C73">
              <w:rPr>
                <w:rFonts w:ascii="Times New Roman" w:hAnsi="Times New Roman"/>
                <w:iCs/>
                <w:color w:val="000000"/>
                <w:sz w:val="20"/>
                <w:szCs w:val="20"/>
              </w:rPr>
              <w:t>4</w:t>
            </w:r>
          </w:p>
        </w:tc>
        <w:tc>
          <w:tcPr>
            <w:tcW w:w="1134" w:type="dxa"/>
            <w:tcBorders>
              <w:top w:val="single" w:sz="8" w:space="0" w:color="auto"/>
              <w:left w:val="nil"/>
              <w:bottom w:val="single" w:sz="8" w:space="0" w:color="auto"/>
              <w:right w:val="single" w:sz="8" w:space="0" w:color="auto"/>
            </w:tcBorders>
            <w:textDirection w:val="lrTb"/>
            <w:vAlign w:val="center"/>
            <w:hideMark/>
          </w:tcPr>
          <w:p w:rsidR="00EF2B06" w:rsidRPr="003C536C" w:rsidP="00EF2B06">
            <w:pPr>
              <w:bidi w:val="0"/>
              <w:jc w:val="right"/>
              <w:rPr>
                <w:rFonts w:ascii="Times New Roman" w:hAnsi="Times New Roman"/>
                <w:iCs/>
                <w:color w:val="000000"/>
                <w:sz w:val="20"/>
                <w:szCs w:val="20"/>
              </w:rPr>
            </w:pPr>
            <w:r w:rsidRPr="003C536C">
              <w:rPr>
                <w:rFonts w:ascii="Times New Roman" w:hAnsi="Times New Roman"/>
                <w:iCs/>
                <w:color w:val="000000"/>
                <w:sz w:val="20"/>
                <w:szCs w:val="20"/>
              </w:rPr>
              <w:t>180 050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EF2B06" w:rsidRPr="003C536C" w:rsidP="00EF2B06">
            <w:pPr>
              <w:bidi w:val="0"/>
              <w:jc w:val="right"/>
              <w:rPr>
                <w:rFonts w:ascii="Times New Roman" w:hAnsi="Times New Roman"/>
                <w:color w:val="000000"/>
                <w:sz w:val="20"/>
                <w:szCs w:val="20"/>
              </w:rPr>
            </w:pPr>
            <w:r w:rsidRPr="003C536C">
              <w:rPr>
                <w:rFonts w:ascii="Times New Roman" w:hAnsi="Times New Roman"/>
                <w:color w:val="000000"/>
                <w:sz w:val="20"/>
                <w:szCs w:val="20"/>
              </w:rPr>
              <w:t>-603 678</w:t>
            </w:r>
          </w:p>
        </w:tc>
      </w:tr>
      <w:tr>
        <w:tblPrEx>
          <w:tblW w:w="9654" w:type="dxa"/>
          <w:tblInd w:w="55" w:type="dxa"/>
          <w:tblCellMar>
            <w:left w:w="70" w:type="dxa"/>
            <w:right w:w="70" w:type="dxa"/>
          </w:tblCellMar>
          <w:tblLook w:val="04A0"/>
        </w:tblPrEx>
        <w:trPr>
          <w:trHeight w:val="345"/>
        </w:trPr>
        <w:tc>
          <w:tcPr>
            <w:tcW w:w="2142" w:type="dxa"/>
            <w:tcBorders>
              <w:top w:val="single" w:sz="8" w:space="0" w:color="auto"/>
              <w:left w:val="single" w:sz="8" w:space="0" w:color="auto"/>
              <w:bottom w:val="double" w:sz="6" w:space="0" w:color="auto"/>
              <w:right w:val="single" w:sz="8" w:space="0" w:color="auto"/>
            </w:tcBorders>
            <w:noWrap/>
            <w:textDirection w:val="lrTb"/>
            <w:vAlign w:val="center"/>
            <w:hideMark/>
          </w:tcPr>
          <w:p w:rsidR="00EF2B06" w:rsidRPr="00481E61" w:rsidP="00EF2B06">
            <w:pPr>
              <w:bidi w:val="0"/>
              <w:rPr>
                <w:rFonts w:ascii="Times New Roman" w:hAnsi="Times New Roman"/>
                <w:b/>
                <w:bCs/>
                <w:color w:val="000000"/>
                <w:sz w:val="20"/>
                <w:szCs w:val="20"/>
              </w:rPr>
            </w:pPr>
            <w:r w:rsidRPr="00481E61">
              <w:rPr>
                <w:rFonts w:ascii="Times New Roman" w:hAnsi="Times New Roman"/>
                <w:b/>
                <w:bCs/>
                <w:color w:val="000000"/>
                <w:sz w:val="20"/>
                <w:szCs w:val="20"/>
              </w:rPr>
              <w:t>Štrukturálne operácie spolu</w:t>
            </w:r>
          </w:p>
        </w:tc>
        <w:tc>
          <w:tcPr>
            <w:tcW w:w="1417" w:type="dxa"/>
            <w:tcBorders>
              <w:top w:val="single" w:sz="8" w:space="0" w:color="auto"/>
              <w:left w:val="nil"/>
              <w:bottom w:val="double" w:sz="6" w:space="0" w:color="auto"/>
              <w:right w:val="single" w:sz="8" w:space="0" w:color="auto"/>
            </w:tcBorders>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2 708 867</w:t>
            </w:r>
          </w:p>
        </w:tc>
        <w:tc>
          <w:tcPr>
            <w:tcW w:w="1276" w:type="dxa"/>
            <w:tcBorders>
              <w:top w:val="single" w:sz="8" w:space="0" w:color="auto"/>
              <w:left w:val="nil"/>
              <w:bottom w:val="double" w:sz="6" w:space="0" w:color="auto"/>
              <w:right w:val="single" w:sz="8" w:space="0" w:color="auto"/>
            </w:tcBorders>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3 126 365</w:t>
            </w:r>
          </w:p>
        </w:tc>
        <w:tc>
          <w:tcPr>
            <w:tcW w:w="1276" w:type="dxa"/>
            <w:tcBorders>
              <w:top w:val="single" w:sz="8" w:space="0" w:color="auto"/>
              <w:left w:val="nil"/>
              <w:bottom w:val="double" w:sz="6" w:space="0" w:color="auto"/>
              <w:right w:val="single" w:sz="8" w:space="0" w:color="auto"/>
            </w:tcBorders>
            <w:shd w:val="clear" w:color="auto" w:fill="D9D9D9"/>
            <w:noWrap/>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1 419 800</w:t>
            </w:r>
          </w:p>
        </w:tc>
        <w:tc>
          <w:tcPr>
            <w:tcW w:w="1275" w:type="dxa"/>
            <w:tcBorders>
              <w:top w:val="single" w:sz="8" w:space="0" w:color="auto"/>
              <w:left w:val="nil"/>
              <w:bottom w:val="double" w:sz="6" w:space="0" w:color="auto"/>
              <w:right w:val="single" w:sz="8" w:space="0" w:color="auto"/>
            </w:tcBorders>
            <w:noWrap/>
            <w:textDirection w:val="lrTb"/>
            <w:vAlign w:val="center"/>
            <w:hideMark/>
          </w:tcPr>
          <w:p w:rsidR="00EF2B06" w:rsidRPr="00481E61" w:rsidP="007D7C73">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1 057 28</w:t>
            </w:r>
            <w:r w:rsidR="007D7C73">
              <w:rPr>
                <w:rFonts w:ascii="Times New Roman" w:hAnsi="Times New Roman"/>
                <w:b/>
                <w:bCs/>
                <w:color w:val="000000"/>
                <w:sz w:val="20"/>
                <w:szCs w:val="20"/>
              </w:rPr>
              <w:t>2</w:t>
            </w:r>
          </w:p>
        </w:tc>
        <w:tc>
          <w:tcPr>
            <w:tcW w:w="1134" w:type="dxa"/>
            <w:tcBorders>
              <w:top w:val="single" w:sz="8" w:space="0" w:color="auto"/>
              <w:left w:val="nil"/>
              <w:bottom w:val="double" w:sz="6" w:space="0" w:color="auto"/>
              <w:right w:val="single" w:sz="8" w:space="0" w:color="auto"/>
            </w:tcBorders>
            <w:textDirection w:val="lrTb"/>
            <w:vAlign w:val="center"/>
            <w:hideMark/>
          </w:tcPr>
          <w:p w:rsidR="00EF2B06" w:rsidRPr="00481E61" w:rsidP="00EF2B06">
            <w:pPr>
              <w:bidi w:val="0"/>
              <w:jc w:val="right"/>
              <w:rPr>
                <w:rFonts w:ascii="Times New Roman" w:hAnsi="Times New Roman"/>
                <w:b/>
                <w:bCs/>
                <w:color w:val="000000"/>
                <w:sz w:val="20"/>
                <w:szCs w:val="20"/>
              </w:rPr>
            </w:pPr>
            <w:r w:rsidRPr="00481E61">
              <w:rPr>
                <w:rFonts w:ascii="Times New Roman" w:hAnsi="Times New Roman"/>
                <w:b/>
                <w:bCs/>
                <w:color w:val="000000"/>
                <w:sz w:val="20"/>
                <w:szCs w:val="20"/>
              </w:rPr>
              <w:t>582 703</w:t>
            </w:r>
          </w:p>
        </w:tc>
        <w:tc>
          <w:tcPr>
            <w:tcW w:w="1134" w:type="dxa"/>
            <w:tcBorders>
              <w:top w:val="single" w:sz="8" w:space="0" w:color="auto"/>
              <w:left w:val="nil"/>
              <w:bottom w:val="double" w:sz="6" w:space="0" w:color="auto"/>
              <w:right w:val="single" w:sz="8" w:space="0" w:color="auto"/>
            </w:tcBorders>
            <w:noWrap/>
            <w:textDirection w:val="lrTb"/>
            <w:vAlign w:val="center"/>
            <w:hideMark/>
          </w:tcPr>
          <w:p w:rsidR="00EF2B06" w:rsidRPr="00481E61" w:rsidP="00EF2B06">
            <w:pPr>
              <w:bidi w:val="0"/>
              <w:jc w:val="right"/>
              <w:rPr>
                <w:rFonts w:ascii="Times New Roman" w:hAnsi="Times New Roman"/>
                <w:b/>
                <w:color w:val="000000"/>
                <w:sz w:val="20"/>
                <w:szCs w:val="20"/>
              </w:rPr>
            </w:pPr>
            <w:r w:rsidRPr="00481E61">
              <w:rPr>
                <w:rFonts w:ascii="Times New Roman" w:hAnsi="Times New Roman"/>
                <w:b/>
                <w:color w:val="000000"/>
                <w:sz w:val="20"/>
                <w:szCs w:val="20"/>
              </w:rPr>
              <w:t>-1 706 565</w:t>
            </w:r>
          </w:p>
        </w:tc>
      </w:tr>
      <w:tr>
        <w:tblPrEx>
          <w:tblW w:w="9654" w:type="dxa"/>
          <w:tblInd w:w="55" w:type="dxa"/>
          <w:tblCellMar>
            <w:left w:w="70" w:type="dxa"/>
            <w:right w:w="70" w:type="dxa"/>
          </w:tblCellMar>
          <w:tblLook w:val="04A0"/>
        </w:tblPrEx>
        <w:trPr>
          <w:trHeight w:val="345"/>
        </w:trPr>
        <w:tc>
          <w:tcPr>
            <w:tcW w:w="2142" w:type="dxa"/>
            <w:tcBorders>
              <w:top w:val="double" w:sz="6" w:space="0" w:color="auto"/>
              <w:left w:val="single" w:sz="8" w:space="0" w:color="auto"/>
              <w:bottom w:val="single" w:sz="8" w:space="0" w:color="auto"/>
              <w:right w:val="single" w:sz="8" w:space="0" w:color="auto"/>
            </w:tcBorders>
            <w:noWrap/>
            <w:textDirection w:val="lrTb"/>
            <w:vAlign w:val="center"/>
            <w:hideMark/>
          </w:tcPr>
          <w:p w:rsidR="00EF2B06" w:rsidRPr="00481E61" w:rsidP="00CE2354">
            <w:pPr>
              <w:tabs>
                <w:tab w:val="left" w:pos="142"/>
              </w:tabs>
              <w:bidi w:val="0"/>
              <w:rPr>
                <w:rFonts w:ascii="Times New Roman" w:hAnsi="Times New Roman"/>
                <w:b/>
                <w:bCs/>
                <w:color w:val="000000"/>
                <w:sz w:val="20"/>
                <w:szCs w:val="20"/>
              </w:rPr>
            </w:pPr>
            <w:r w:rsidRPr="00481E61">
              <w:rPr>
                <w:rFonts w:ascii="Times New Roman" w:hAnsi="Times New Roman"/>
                <w:b/>
                <w:bCs/>
                <w:color w:val="000000"/>
                <w:sz w:val="20"/>
                <w:szCs w:val="20"/>
              </w:rPr>
              <w:t xml:space="preserve">Spolu príjmy zaradené do príjmov ŠR </w:t>
            </w:r>
          </w:p>
        </w:tc>
        <w:tc>
          <w:tcPr>
            <w:tcW w:w="1417" w:type="dxa"/>
            <w:tcBorders>
              <w:top w:val="double" w:sz="6" w:space="0" w:color="auto"/>
              <w:left w:val="nil"/>
              <w:bottom w:val="single" w:sz="8" w:space="0" w:color="auto"/>
              <w:right w:val="single" w:sz="8" w:space="0" w:color="auto"/>
            </w:tcBorders>
            <w:noWrap/>
            <w:textDirection w:val="lrTb"/>
            <w:vAlign w:val="center"/>
            <w:hideMark/>
          </w:tcPr>
          <w:p w:rsidR="00EF2B06" w:rsidRPr="00481E61" w:rsidP="00CE2354">
            <w:pPr>
              <w:tabs>
                <w:tab w:val="left" w:pos="142"/>
              </w:tabs>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3 343 890</w:t>
            </w:r>
          </w:p>
        </w:tc>
        <w:tc>
          <w:tcPr>
            <w:tcW w:w="1276" w:type="dxa"/>
            <w:tcBorders>
              <w:top w:val="double" w:sz="6" w:space="0" w:color="auto"/>
              <w:left w:val="nil"/>
              <w:bottom w:val="single" w:sz="8" w:space="0" w:color="auto"/>
              <w:right w:val="single" w:sz="8" w:space="0" w:color="auto"/>
            </w:tcBorders>
            <w:noWrap/>
            <w:textDirection w:val="lrTb"/>
            <w:vAlign w:val="center"/>
            <w:hideMark/>
          </w:tcPr>
          <w:p w:rsidR="00EF2B06" w:rsidRPr="00481E61" w:rsidP="00CE2354">
            <w:pPr>
              <w:tabs>
                <w:tab w:val="left" w:pos="142"/>
              </w:tabs>
              <w:bidi w:val="0"/>
              <w:jc w:val="right"/>
              <w:rPr>
                <w:rFonts w:ascii="Times New Roman" w:hAnsi="Times New Roman"/>
                <w:b/>
                <w:bCs/>
                <w:color w:val="000000"/>
                <w:sz w:val="20"/>
                <w:szCs w:val="20"/>
              </w:rPr>
            </w:pPr>
            <w:r w:rsidRPr="00481E61">
              <w:rPr>
                <w:rFonts w:ascii="Times New Roman" w:hAnsi="Times New Roman"/>
                <w:b/>
                <w:bCs/>
                <w:color w:val="000000"/>
                <w:sz w:val="20"/>
                <w:szCs w:val="20"/>
              </w:rPr>
              <w:t>3 978 223</w:t>
            </w:r>
          </w:p>
        </w:tc>
        <w:tc>
          <w:tcPr>
            <w:tcW w:w="1276" w:type="dxa"/>
            <w:tcBorders>
              <w:top w:val="double" w:sz="6" w:space="0" w:color="auto"/>
              <w:left w:val="nil"/>
              <w:bottom w:val="single" w:sz="8" w:space="0" w:color="auto"/>
              <w:right w:val="single" w:sz="8" w:space="0" w:color="auto"/>
            </w:tcBorders>
            <w:shd w:val="clear" w:color="auto" w:fill="D9D9D9"/>
            <w:noWrap/>
            <w:textDirection w:val="lrTb"/>
            <w:vAlign w:val="center"/>
            <w:hideMark/>
          </w:tcPr>
          <w:p w:rsidR="00EF2B06" w:rsidRPr="00481E61" w:rsidP="00CE2354">
            <w:pPr>
              <w:tabs>
                <w:tab w:val="left" w:pos="142"/>
              </w:tabs>
              <w:bidi w:val="0"/>
              <w:jc w:val="right"/>
              <w:rPr>
                <w:rFonts w:ascii="Times New Roman" w:hAnsi="Times New Roman"/>
                <w:b/>
                <w:bCs/>
                <w:color w:val="000000"/>
                <w:sz w:val="20"/>
                <w:szCs w:val="20"/>
              </w:rPr>
            </w:pPr>
            <w:r w:rsidRPr="00481E61">
              <w:rPr>
                <w:rFonts w:ascii="Times New Roman" w:hAnsi="Times New Roman"/>
                <w:b/>
                <w:bCs/>
                <w:color w:val="000000"/>
                <w:sz w:val="20"/>
                <w:szCs w:val="20"/>
              </w:rPr>
              <w:t>2 031 344</w:t>
            </w:r>
          </w:p>
        </w:tc>
        <w:tc>
          <w:tcPr>
            <w:tcW w:w="1275" w:type="dxa"/>
            <w:tcBorders>
              <w:top w:val="double" w:sz="6" w:space="0" w:color="auto"/>
              <w:left w:val="nil"/>
              <w:bottom w:val="single" w:sz="8" w:space="0" w:color="auto"/>
              <w:right w:val="single" w:sz="8" w:space="0" w:color="auto"/>
            </w:tcBorders>
            <w:noWrap/>
            <w:textDirection w:val="lrTb"/>
            <w:vAlign w:val="center"/>
            <w:hideMark/>
          </w:tcPr>
          <w:p w:rsidR="00EF2B06" w:rsidRPr="00481E61" w:rsidP="00CE2354">
            <w:pPr>
              <w:tabs>
                <w:tab w:val="left" w:pos="142"/>
              </w:tabs>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1 663 319</w:t>
            </w:r>
          </w:p>
        </w:tc>
        <w:tc>
          <w:tcPr>
            <w:tcW w:w="1134" w:type="dxa"/>
            <w:tcBorders>
              <w:top w:val="double" w:sz="6" w:space="0" w:color="auto"/>
              <w:left w:val="nil"/>
              <w:bottom w:val="single" w:sz="8" w:space="0" w:color="auto"/>
              <w:right w:val="single" w:sz="8" w:space="0" w:color="auto"/>
            </w:tcBorders>
            <w:textDirection w:val="lrTb"/>
            <w:vAlign w:val="center"/>
            <w:hideMark/>
          </w:tcPr>
          <w:p w:rsidR="00EF2B06" w:rsidRPr="00481E61" w:rsidP="00CE2354">
            <w:pPr>
              <w:tabs>
                <w:tab w:val="left" w:pos="142"/>
              </w:tabs>
              <w:bidi w:val="0"/>
              <w:jc w:val="right"/>
              <w:rPr>
                <w:rFonts w:ascii="Times New Roman" w:hAnsi="Times New Roman"/>
                <w:b/>
                <w:bCs/>
                <w:color w:val="000000"/>
                <w:sz w:val="20"/>
                <w:szCs w:val="20"/>
              </w:rPr>
            </w:pPr>
            <w:r w:rsidRPr="00481E61">
              <w:rPr>
                <w:rFonts w:ascii="Times New Roman" w:hAnsi="Times New Roman"/>
                <w:b/>
                <w:bCs/>
                <w:color w:val="000000"/>
                <w:sz w:val="20"/>
                <w:szCs w:val="20"/>
              </w:rPr>
              <w:t>1 110 499</w:t>
            </w:r>
          </w:p>
        </w:tc>
        <w:tc>
          <w:tcPr>
            <w:tcW w:w="1134" w:type="dxa"/>
            <w:tcBorders>
              <w:top w:val="double" w:sz="6" w:space="0" w:color="auto"/>
              <w:left w:val="nil"/>
              <w:bottom w:val="single" w:sz="8" w:space="0" w:color="auto"/>
              <w:right w:val="single" w:sz="8" w:space="0" w:color="auto"/>
            </w:tcBorders>
            <w:noWrap/>
            <w:textDirection w:val="lrTb"/>
            <w:vAlign w:val="center"/>
            <w:hideMark/>
          </w:tcPr>
          <w:p w:rsidR="00EF2B06" w:rsidRPr="00481E61" w:rsidP="007D7C73">
            <w:pPr>
              <w:tabs>
                <w:tab w:val="left" w:pos="142"/>
              </w:tabs>
              <w:bidi w:val="0"/>
              <w:jc w:val="right"/>
              <w:rPr>
                <w:rFonts w:ascii="Times New Roman" w:hAnsi="Times New Roman"/>
                <w:b/>
                <w:color w:val="000000"/>
                <w:sz w:val="20"/>
                <w:szCs w:val="20"/>
              </w:rPr>
            </w:pPr>
            <w:r w:rsidRPr="00481E61">
              <w:rPr>
                <w:rFonts w:ascii="Times New Roman" w:hAnsi="Times New Roman"/>
                <w:b/>
                <w:color w:val="000000"/>
                <w:sz w:val="20"/>
                <w:szCs w:val="20"/>
              </w:rPr>
              <w:t>-1 946 87</w:t>
            </w:r>
            <w:r w:rsidR="007D7C73">
              <w:rPr>
                <w:rFonts w:ascii="Times New Roman" w:hAnsi="Times New Roman"/>
                <w:b/>
                <w:color w:val="000000"/>
                <w:sz w:val="20"/>
                <w:szCs w:val="20"/>
              </w:rPr>
              <w:t>9</w:t>
            </w:r>
          </w:p>
        </w:tc>
      </w:tr>
    </w:tbl>
    <w:p w:rsidR="00CE2354" w:rsidRPr="00CE2354" w:rsidP="00CE2354">
      <w:pPr>
        <w:tabs>
          <w:tab w:val="left" w:pos="142"/>
        </w:tabs>
        <w:bidi w:val="0"/>
        <w:spacing w:line="360" w:lineRule="auto"/>
        <w:jc w:val="both"/>
        <w:rPr>
          <w:rFonts w:ascii="Times New Roman" w:hAnsi="Times New Roman"/>
          <w:sz w:val="20"/>
          <w:szCs w:val="20"/>
        </w:rPr>
      </w:pPr>
      <w:r w:rsidRPr="00CE2354">
        <w:rPr>
          <w:rFonts w:ascii="Times New Roman" w:hAnsi="Times New Roman"/>
          <w:sz w:val="20"/>
          <w:szCs w:val="20"/>
        </w:rPr>
        <w:t>Zdroj:</w:t>
      </w:r>
      <w:r>
        <w:rPr>
          <w:rFonts w:ascii="Times New Roman" w:hAnsi="Times New Roman"/>
          <w:sz w:val="20"/>
          <w:szCs w:val="20"/>
        </w:rPr>
        <w:t xml:space="preserve"> </w:t>
      </w:r>
      <w:r w:rsidRPr="00CE2354">
        <w:rPr>
          <w:rFonts w:ascii="Times New Roman" w:hAnsi="Times New Roman"/>
          <w:sz w:val="20"/>
          <w:szCs w:val="20"/>
        </w:rPr>
        <w:t>M</w:t>
      </w:r>
      <w:r w:rsidR="00481E61">
        <w:rPr>
          <w:rFonts w:ascii="Times New Roman" w:hAnsi="Times New Roman"/>
          <w:sz w:val="20"/>
          <w:szCs w:val="20"/>
        </w:rPr>
        <w:t>inisterstvo financií</w:t>
      </w:r>
      <w:r w:rsidRPr="00CE2354">
        <w:rPr>
          <w:rFonts w:ascii="Times New Roman" w:hAnsi="Times New Roman"/>
          <w:sz w:val="20"/>
          <w:szCs w:val="20"/>
        </w:rPr>
        <w:t xml:space="preserve"> SR</w:t>
      </w:r>
    </w:p>
    <w:p w:rsidR="00B57C93" w:rsidP="004D431A">
      <w:pPr>
        <w:bidi w:val="0"/>
        <w:spacing w:before="120" w:after="120" w:line="360" w:lineRule="auto"/>
        <w:jc w:val="both"/>
        <w:rPr>
          <w:rFonts w:ascii="Times New Roman" w:hAnsi="Times New Roman"/>
        </w:rPr>
      </w:pPr>
      <w:r>
        <w:rPr>
          <w:rFonts w:ascii="Times New Roman" w:hAnsi="Times New Roman"/>
        </w:rPr>
        <w:t xml:space="preserve">Viac ako 50 % skutočných príjmov tvorili príjmy zo štrukturálnych fondov II. programového obdobia v objeme 1 081 790 tis. eur, 30 % tvorili príjmy za poľnohospodárske fondy v objeme 611 544 tis. eur. </w:t>
      </w:r>
    </w:p>
    <w:p w:rsidR="00B57C93" w:rsidP="004D431A">
      <w:pPr>
        <w:bidi w:val="0"/>
        <w:spacing w:before="120" w:after="120" w:line="360" w:lineRule="auto"/>
        <w:jc w:val="both"/>
        <w:rPr>
          <w:rFonts w:ascii="Times New Roman" w:hAnsi="Times New Roman"/>
        </w:rPr>
      </w:pPr>
      <w:r>
        <w:rPr>
          <w:rFonts w:ascii="Times New Roman" w:hAnsi="Times New Roman"/>
        </w:rPr>
        <w:t xml:space="preserve">V plnení </w:t>
      </w:r>
      <w:r w:rsidRPr="004D431A">
        <w:rPr>
          <w:rFonts w:ascii="Times New Roman" w:hAnsi="Times New Roman"/>
          <w:b/>
        </w:rPr>
        <w:t>príjmov za štrukturálne operácie</w:t>
      </w:r>
      <w:r>
        <w:rPr>
          <w:rFonts w:ascii="Times New Roman" w:hAnsi="Times New Roman"/>
        </w:rPr>
        <w:t xml:space="preserve"> na úrovni 45,4 % upraveného rozpočtu sa prejavuje časový nesúlad medzi rozpočtovaním príjmov na úrovni rozpočtovaných výdavkov a plnením príjmov z dôvodu využitia systému predfinancovania a zálohových platieb na úrovni prijímateľov. Tento trend bude podstatne eliminovaný v štádiu ukončovania programového obdobia. Odlišný vývoj je v príjmoch z Európskeho poľnohospodárskeho záručného fondu. Plnenie príjmov na úrovni 93,8 % upraveného rozpočtu vyplýva z rozdielneho charakteru príjmov, ktorých rozpočet predstavuje tzv. obálku na daný rok. </w:t>
      </w:r>
    </w:p>
    <w:p w:rsidR="00B57C93" w:rsidP="004D431A">
      <w:pPr>
        <w:bidi w:val="0"/>
        <w:spacing w:before="120" w:after="120" w:line="360" w:lineRule="auto"/>
        <w:jc w:val="both"/>
        <w:rPr>
          <w:rFonts w:ascii="Times New Roman" w:hAnsi="Times New Roman"/>
        </w:rPr>
      </w:pPr>
      <w:r w:rsidRPr="004D431A">
        <w:rPr>
          <w:rFonts w:ascii="Times New Roman" w:hAnsi="Times New Roman"/>
          <w:b/>
        </w:rPr>
        <w:t>Príjmy z grantov Európskej únie</w:t>
      </w:r>
      <w:r>
        <w:rPr>
          <w:rFonts w:ascii="Times New Roman" w:hAnsi="Times New Roman"/>
        </w:rPr>
        <w:t xml:space="preserve">, odhadované v štátnom rozpočte na rok 2011 vo výške 282 150 tis. eur, boli použité prostredníctvom príjmov štátneho rozpočtu vo výške 9 749 tis. eur. Na celkovom medziročnom zvýšení o 585 tis. eur má podiel najmä plnenie príjmov za programy Európskej územnej spolupráce v objeme 1 534 tis. eur. Príjmy z grantov v príjmoch štátneho rozpočtu </w:t>
      </w:r>
      <w:r w:rsidR="00E01089">
        <w:rPr>
          <w:rFonts w:ascii="Times New Roman" w:hAnsi="Times New Roman"/>
        </w:rPr>
        <w:t>poskytuje nasledovná tabuľka</w:t>
      </w:r>
      <w:r>
        <w:rPr>
          <w:rFonts w:ascii="Times New Roman" w:hAnsi="Times New Roman"/>
        </w:rPr>
        <w:t>:</w:t>
      </w:r>
    </w:p>
    <w:tbl>
      <w:tblPr>
        <w:tblStyle w:val="TableNormal"/>
        <w:tblW w:w="9325" w:type="dxa"/>
        <w:jc w:val="center"/>
        <w:tblInd w:w="55" w:type="dxa"/>
        <w:tblCellMar>
          <w:left w:w="70" w:type="dxa"/>
          <w:right w:w="70" w:type="dxa"/>
        </w:tblCellMar>
        <w:tblLook w:val="04A0"/>
      </w:tblPr>
      <w:tblGrid>
        <w:gridCol w:w="2567"/>
        <w:gridCol w:w="283"/>
        <w:gridCol w:w="851"/>
        <w:gridCol w:w="109"/>
        <w:gridCol w:w="900"/>
        <w:gridCol w:w="125"/>
        <w:gridCol w:w="519"/>
        <w:gridCol w:w="585"/>
        <w:gridCol w:w="123"/>
        <w:gridCol w:w="709"/>
        <w:gridCol w:w="302"/>
        <w:gridCol w:w="438"/>
        <w:gridCol w:w="696"/>
        <w:gridCol w:w="826"/>
        <w:gridCol w:w="292"/>
      </w:tblGrid>
      <w:tr>
        <w:tblPrEx>
          <w:tblW w:w="9325" w:type="dxa"/>
          <w:jc w:val="center"/>
          <w:tblInd w:w="55" w:type="dxa"/>
          <w:tblCellMar>
            <w:left w:w="70" w:type="dxa"/>
            <w:right w:w="70" w:type="dxa"/>
          </w:tblCellMar>
          <w:tblLook w:val="04A0"/>
        </w:tblPrEx>
        <w:trPr>
          <w:trHeight w:val="345"/>
          <w:jc w:val="center"/>
        </w:trPr>
        <w:tc>
          <w:tcPr>
            <w:tcW w:w="2567" w:type="dxa"/>
            <w:vMerge w:val="restart"/>
            <w:tcBorders>
              <w:top w:val="single" w:sz="8" w:space="0" w:color="FFFFFF"/>
              <w:left w:val="single" w:sz="8" w:space="0" w:color="FFFFFF"/>
              <w:bottom w:val="none" w:sz="0" w:space="0" w:color="auto"/>
              <w:right w:val="single" w:sz="8" w:space="0" w:color="FFFFFF"/>
            </w:tcBorders>
            <w:shd w:val="clear" w:color="auto" w:fill="000000"/>
            <w:noWrap/>
            <w:textDirection w:val="lrTb"/>
            <w:vAlign w:val="center"/>
            <w:hideMark/>
          </w:tcPr>
          <w:p w:rsidR="00481E61" w:rsidRPr="00C554D5" w:rsidP="00481E61">
            <w:pPr>
              <w:bidi w:val="0"/>
              <w:jc w:val="center"/>
              <w:rPr>
                <w:rFonts w:ascii="Times New Roman" w:hAnsi="Times New Roman"/>
                <w:b/>
                <w:bCs/>
                <w:color w:val="FFFFFF"/>
                <w:sz w:val="20"/>
                <w:szCs w:val="20"/>
              </w:rPr>
            </w:pPr>
            <w:r w:rsidRPr="00C554D5" w:rsidR="00084C2D">
              <w:rPr>
                <w:rFonts w:ascii="Times New Roman" w:hAnsi="Times New Roman"/>
                <w:b/>
                <w:bCs/>
                <w:color w:val="FFFFFF"/>
                <w:sz w:val="20"/>
                <w:szCs w:val="20"/>
              </w:rPr>
              <w:t>Ukazovateľ</w:t>
            </w:r>
          </w:p>
          <w:p w:rsidR="00481E61" w:rsidRPr="00C554D5" w:rsidP="00481E61">
            <w:pPr>
              <w:bidi w:val="0"/>
              <w:rPr>
                <w:rFonts w:ascii="Times New Roman" w:hAnsi="Times New Roman"/>
                <w:b/>
                <w:bCs/>
                <w:color w:val="FFFFFF"/>
                <w:sz w:val="20"/>
                <w:szCs w:val="20"/>
              </w:rPr>
            </w:pPr>
          </w:p>
          <w:p w:rsidR="00084C2D" w:rsidRPr="00C554D5" w:rsidP="00481E61">
            <w:pPr>
              <w:bidi w:val="0"/>
              <w:rPr>
                <w:rFonts w:ascii="Times New Roman" w:hAnsi="Times New Roman"/>
                <w:b/>
                <w:bCs/>
                <w:color w:val="FFFFFF"/>
                <w:sz w:val="20"/>
                <w:szCs w:val="20"/>
              </w:rPr>
            </w:pPr>
            <w:r w:rsidRPr="00C554D5" w:rsidR="00481E61">
              <w:rPr>
                <w:rFonts w:ascii="Times New Roman" w:hAnsi="Times New Roman"/>
                <w:b/>
                <w:bCs/>
                <w:color w:val="FFFFFF"/>
                <w:sz w:val="20"/>
                <w:szCs w:val="20"/>
              </w:rPr>
              <w:t>(v tis.</w:t>
            </w:r>
            <w:r w:rsidRPr="00C554D5" w:rsidR="00F95AFA">
              <w:rPr>
                <w:rFonts w:ascii="Times New Roman" w:hAnsi="Times New Roman"/>
                <w:b/>
                <w:bCs/>
                <w:color w:val="FFFFFF"/>
                <w:sz w:val="20"/>
                <w:szCs w:val="20"/>
              </w:rPr>
              <w:t xml:space="preserve"> </w:t>
            </w:r>
            <w:r w:rsidRPr="00C554D5" w:rsidR="00481E61">
              <w:rPr>
                <w:rFonts w:ascii="Times New Roman" w:hAnsi="Times New Roman"/>
                <w:b/>
                <w:bCs/>
                <w:color w:val="FFFFFF"/>
                <w:sz w:val="20"/>
                <w:szCs w:val="20"/>
              </w:rPr>
              <w:t>eur)</w:t>
            </w:r>
            <w:r w:rsidRPr="00C554D5">
              <w:rPr>
                <w:rFonts w:ascii="Times New Roman" w:hAnsi="Times New Roman"/>
                <w:b/>
                <w:bCs/>
                <w:color w:val="FFFFFF"/>
                <w:sz w:val="20"/>
                <w:szCs w:val="20"/>
              </w:rPr>
              <w:t> </w:t>
            </w:r>
          </w:p>
        </w:tc>
        <w:tc>
          <w:tcPr>
            <w:tcW w:w="2268" w:type="dxa"/>
            <w:gridSpan w:val="5"/>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084C2D" w:rsidRPr="00C554D5" w:rsidP="00481E61">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Rozpočet 2011 </w:t>
            </w:r>
          </w:p>
        </w:tc>
        <w:tc>
          <w:tcPr>
            <w:tcW w:w="3372" w:type="dxa"/>
            <w:gridSpan w:val="7"/>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084C2D" w:rsidRPr="00C554D5" w:rsidP="00481E61">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 xml:space="preserve">Skutočnosť </w:t>
            </w:r>
          </w:p>
        </w:tc>
        <w:tc>
          <w:tcPr>
            <w:tcW w:w="1118" w:type="dxa"/>
            <w:gridSpan w:val="2"/>
            <w:vMerge w:val="restart"/>
            <w:tcBorders>
              <w:top w:val="single" w:sz="8" w:space="0" w:color="FFFFFF"/>
              <w:left w:val="single" w:sz="8" w:space="0" w:color="FFFFFF"/>
              <w:bottom w:val="none" w:sz="0" w:space="0" w:color="auto"/>
              <w:right w:val="single" w:sz="8" w:space="0" w:color="FFFFFF"/>
            </w:tcBorders>
            <w:shd w:val="clear" w:color="auto" w:fill="000000"/>
            <w:textDirection w:val="lrTb"/>
            <w:vAlign w:val="center"/>
            <w:hideMark/>
          </w:tcPr>
          <w:p w:rsidR="00084C2D" w:rsidRPr="00C554D5" w:rsidP="00481E61">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Rozdiel </w:t>
            </w:r>
          </w:p>
        </w:tc>
      </w:tr>
      <w:tr>
        <w:tblPrEx>
          <w:tblW w:w="9325" w:type="dxa"/>
          <w:jc w:val="center"/>
          <w:tblInd w:w="55" w:type="dxa"/>
          <w:tblCellMar>
            <w:left w:w="70" w:type="dxa"/>
            <w:right w:w="70" w:type="dxa"/>
          </w:tblCellMar>
          <w:tblLook w:val="04A0"/>
        </w:tblPrEx>
        <w:trPr>
          <w:trHeight w:val="345"/>
          <w:jc w:val="center"/>
        </w:trPr>
        <w:tc>
          <w:tcPr>
            <w:tcW w:w="2567" w:type="dxa"/>
            <w:vMerge/>
            <w:tcBorders>
              <w:top w:val="none" w:sz="0" w:space="0" w:color="auto"/>
              <w:left w:val="single" w:sz="8" w:space="0" w:color="FFFFFF"/>
              <w:bottom w:val="single" w:sz="4" w:space="0" w:color="auto"/>
              <w:right w:val="single" w:sz="8" w:space="0" w:color="FFFFFF"/>
            </w:tcBorders>
            <w:shd w:val="clear" w:color="auto" w:fill="000000"/>
            <w:noWrap/>
            <w:textDirection w:val="lrTb"/>
            <w:vAlign w:val="center"/>
            <w:hideMark/>
          </w:tcPr>
          <w:p w:rsidR="00084C2D" w:rsidRPr="00C554D5" w:rsidP="00903AC8">
            <w:pPr>
              <w:bidi w:val="0"/>
              <w:jc w:val="center"/>
              <w:rPr>
                <w:rFonts w:ascii="Times New Roman" w:hAnsi="Times New Roman"/>
                <w:b/>
                <w:bCs/>
                <w:color w:val="FFFFFF"/>
                <w:sz w:val="20"/>
                <w:szCs w:val="20"/>
              </w:rPr>
            </w:pP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schválený</w:t>
            </w:r>
          </w:p>
        </w:tc>
        <w:tc>
          <w:tcPr>
            <w:tcW w:w="1134" w:type="dxa"/>
            <w:gridSpan w:val="3"/>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upravený</w:t>
            </w:r>
          </w:p>
        </w:tc>
        <w:tc>
          <w:tcPr>
            <w:tcW w:w="110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 2011</w:t>
            </w:r>
          </w:p>
        </w:tc>
        <w:tc>
          <w:tcPr>
            <w:tcW w:w="1134" w:type="dxa"/>
            <w:gridSpan w:val="3"/>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 2010</w:t>
            </w: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r w:rsidRPr="00C554D5">
              <w:rPr>
                <w:rFonts w:ascii="Times New Roman" w:hAnsi="Times New Roman"/>
                <w:b/>
                <w:bCs/>
                <w:color w:val="FFFFFF"/>
                <w:sz w:val="20"/>
                <w:szCs w:val="20"/>
              </w:rPr>
              <w:t>2009 </w:t>
            </w:r>
          </w:p>
        </w:tc>
        <w:tc>
          <w:tcPr>
            <w:tcW w:w="1118" w:type="dxa"/>
            <w:gridSpan w:val="2"/>
            <w:vMerge/>
            <w:tcBorders>
              <w:top w:val="none" w:sz="0" w:space="0" w:color="auto"/>
              <w:left w:val="single" w:sz="8" w:space="0" w:color="FFFFFF"/>
              <w:bottom w:val="single" w:sz="4" w:space="0" w:color="auto"/>
              <w:right w:val="single" w:sz="8" w:space="0" w:color="FFFFFF"/>
            </w:tcBorders>
            <w:shd w:val="clear" w:color="auto" w:fill="000000"/>
            <w:textDirection w:val="lrTb"/>
            <w:vAlign w:val="center"/>
            <w:hideMark/>
          </w:tcPr>
          <w:p w:rsidR="00084C2D" w:rsidRPr="00C554D5" w:rsidP="00903AC8">
            <w:pPr>
              <w:bidi w:val="0"/>
              <w:jc w:val="center"/>
              <w:rPr>
                <w:rFonts w:ascii="Times New Roman" w:hAnsi="Times New Roman"/>
                <w:b/>
                <w:bCs/>
                <w:color w:val="FFFFFF"/>
                <w:sz w:val="20"/>
                <w:szCs w:val="20"/>
              </w:rPr>
            </w:pPr>
          </w:p>
        </w:tc>
      </w:tr>
      <w:tr>
        <w:tblPrEx>
          <w:tblW w:w="9325" w:type="dxa"/>
          <w:jc w:val="center"/>
          <w:tblInd w:w="55" w:type="dxa"/>
          <w:tblCellMar>
            <w:left w:w="70" w:type="dxa"/>
            <w:right w:w="70" w:type="dxa"/>
          </w:tblCellMar>
          <w:tblLook w:val="04A0"/>
        </w:tblPrEx>
        <w:trPr>
          <w:trHeight w:val="345"/>
          <w:jc w:val="center"/>
        </w:trPr>
        <w:tc>
          <w:tcPr>
            <w:tcW w:w="25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084C2D" w:rsidRPr="00C554D5" w:rsidP="00903AC8">
            <w:pPr>
              <w:bidi w:val="0"/>
              <w:jc w:val="center"/>
              <w:rPr>
                <w:rFonts w:ascii="Times New Roman" w:hAnsi="Times New Roman"/>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2</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5</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084C2D" w:rsidRPr="00C554D5" w:rsidP="00903AC8">
            <w:pPr>
              <w:bidi w:val="0"/>
              <w:jc w:val="center"/>
              <w:rPr>
                <w:rFonts w:ascii="Times New Roman" w:hAnsi="Times New Roman"/>
                <w:b/>
                <w:bCs/>
                <w:sz w:val="20"/>
                <w:szCs w:val="20"/>
              </w:rPr>
            </w:pPr>
            <w:r w:rsidRPr="00C554D5">
              <w:rPr>
                <w:rFonts w:ascii="Times New Roman" w:hAnsi="Times New Roman"/>
                <w:b/>
                <w:bCs/>
                <w:sz w:val="20"/>
                <w:szCs w:val="20"/>
              </w:rPr>
              <w:t>6=3-2</w:t>
            </w:r>
          </w:p>
        </w:tc>
      </w:tr>
      <w:tr>
        <w:tblPrEx>
          <w:tblW w:w="9325" w:type="dxa"/>
          <w:jc w:val="center"/>
          <w:tblInd w:w="55" w:type="dxa"/>
          <w:tblCellMar>
            <w:left w:w="70" w:type="dxa"/>
            <w:right w:w="70" w:type="dxa"/>
          </w:tblCellMar>
          <w:tblLook w:val="04A0"/>
        </w:tblPrEx>
        <w:trPr>
          <w:trHeight w:val="345"/>
          <w:jc w:val="center"/>
        </w:trPr>
        <w:tc>
          <w:tcPr>
            <w:tcW w:w="2567" w:type="dxa"/>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rPr>
                <w:rFonts w:ascii="Times New Roman" w:hAnsi="Times New Roman"/>
                <w:color w:val="000000"/>
                <w:sz w:val="20"/>
                <w:szCs w:val="20"/>
              </w:rPr>
            </w:pPr>
            <w:r w:rsidRPr="00C554D5">
              <w:rPr>
                <w:rFonts w:ascii="Times New Roman" w:hAnsi="Times New Roman"/>
                <w:color w:val="000000"/>
                <w:sz w:val="20"/>
                <w:szCs w:val="20"/>
              </w:rPr>
              <w:t>Vnútorné politiky EÚ</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60445">
            <w:pPr>
              <w:bidi w:val="0"/>
              <w:jc w:val="right"/>
              <w:rPr>
                <w:rFonts w:ascii="Times New Roman" w:hAnsi="Times New Roman"/>
                <w:color w:val="000000"/>
                <w:sz w:val="20"/>
                <w:szCs w:val="20"/>
              </w:rPr>
            </w:pPr>
            <w:r w:rsidRPr="00CB537E">
              <w:rPr>
                <w:rFonts w:ascii="Times New Roman" w:hAnsi="Times New Roman"/>
                <w:color w:val="000000"/>
                <w:sz w:val="20"/>
                <w:szCs w:val="20"/>
              </w:rPr>
              <w:t>174 4</w:t>
            </w:r>
            <w:r w:rsidRPr="00CB537E" w:rsidR="00C60445">
              <w:rPr>
                <w:rFonts w:ascii="Times New Roman" w:hAnsi="Times New Roman"/>
                <w:color w:val="000000"/>
                <w:sz w:val="20"/>
                <w:szCs w:val="20"/>
              </w:rPr>
              <w:t>80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8 215</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9 046</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9 159</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8 215</w:t>
            </w:r>
          </w:p>
        </w:tc>
      </w:tr>
      <w:tr>
        <w:tblPrEx>
          <w:tblW w:w="9325" w:type="dxa"/>
          <w:jc w:val="center"/>
          <w:tblInd w:w="55" w:type="dxa"/>
          <w:tblCellMar>
            <w:left w:w="70" w:type="dxa"/>
            <w:right w:w="70" w:type="dxa"/>
          </w:tblCellMar>
          <w:tblLook w:val="04A0"/>
        </w:tblPrEx>
        <w:trPr>
          <w:trHeight w:val="495"/>
          <w:jc w:val="center"/>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084C2D" w:rsidRPr="00C554D5" w:rsidP="00084C2D">
            <w:pPr>
              <w:bidi w:val="0"/>
              <w:rPr>
                <w:rFonts w:ascii="Times New Roman" w:hAnsi="Times New Roman"/>
                <w:color w:val="000000"/>
                <w:sz w:val="20"/>
                <w:szCs w:val="20"/>
              </w:rPr>
            </w:pPr>
            <w:r w:rsidRPr="00C554D5">
              <w:rPr>
                <w:rFonts w:ascii="Times New Roman" w:hAnsi="Times New Roman"/>
                <w:color w:val="000000"/>
                <w:sz w:val="20"/>
                <w:szCs w:val="20"/>
              </w:rPr>
              <w:t xml:space="preserve">Programy európskej územnej spolupráce </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54 368</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1 534</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118</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1 534</w:t>
            </w:r>
          </w:p>
        </w:tc>
      </w:tr>
      <w:tr>
        <w:tblPrEx>
          <w:tblW w:w="9325" w:type="dxa"/>
          <w:jc w:val="center"/>
          <w:tblInd w:w="55" w:type="dxa"/>
          <w:tblCellMar>
            <w:left w:w="70" w:type="dxa"/>
            <w:right w:w="70" w:type="dxa"/>
          </w:tblCellMar>
          <w:tblLook w:val="04A0"/>
        </w:tblPrEx>
        <w:trPr>
          <w:trHeight w:val="521"/>
          <w:jc w:val="center"/>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084C2D" w:rsidRPr="00C554D5" w:rsidP="00084C2D">
            <w:pPr>
              <w:bidi w:val="0"/>
              <w:rPr>
                <w:rFonts w:ascii="Times New Roman" w:hAnsi="Times New Roman"/>
                <w:b/>
                <w:bCs/>
                <w:color w:val="000000"/>
                <w:sz w:val="20"/>
                <w:szCs w:val="20"/>
              </w:rPr>
            </w:pPr>
            <w:r w:rsidRPr="00C554D5">
              <w:rPr>
                <w:rFonts w:ascii="Times New Roman" w:hAnsi="Times New Roman"/>
                <w:b/>
                <w:bCs/>
                <w:color w:val="000000"/>
                <w:sz w:val="20"/>
                <w:szCs w:val="20"/>
              </w:rPr>
              <w:t>Spolu príjmy z rozpočtu EÚ nezaradené do príjmov ŠR</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60445">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228 84</w:t>
            </w:r>
            <w:r w:rsidRPr="00CB537E" w:rsidR="00C60445">
              <w:rPr>
                <w:rFonts w:ascii="Times New Roman" w:hAnsi="Times New Roman"/>
                <w:b/>
                <w:bCs/>
                <w:color w:val="000000"/>
                <w:sz w:val="20"/>
                <w:szCs w:val="20"/>
              </w:rPr>
              <w:t>8</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9 749</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9 164</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9 159</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9 749</w:t>
            </w:r>
          </w:p>
        </w:tc>
      </w:tr>
      <w:tr>
        <w:tblPrEx>
          <w:tblW w:w="9325" w:type="dxa"/>
          <w:jc w:val="center"/>
          <w:tblInd w:w="55" w:type="dxa"/>
          <w:tblCellMar>
            <w:left w:w="70" w:type="dxa"/>
            <w:right w:w="70" w:type="dxa"/>
          </w:tblCellMar>
          <w:tblLook w:val="04A0"/>
        </w:tblPrEx>
        <w:trPr>
          <w:trHeight w:val="345"/>
          <w:jc w:val="center"/>
        </w:trPr>
        <w:tc>
          <w:tcPr>
            <w:tcW w:w="2567" w:type="dxa"/>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rPr>
                <w:rFonts w:ascii="Times New Roman" w:hAnsi="Times New Roman"/>
                <w:color w:val="000000"/>
                <w:sz w:val="20"/>
                <w:szCs w:val="20"/>
              </w:rPr>
            </w:pPr>
            <w:r w:rsidRPr="00C554D5">
              <w:rPr>
                <w:rFonts w:ascii="Times New Roman" w:hAnsi="Times New Roman"/>
                <w:color w:val="000000"/>
                <w:sz w:val="20"/>
                <w:szCs w:val="20"/>
              </w:rPr>
              <w:t>Finančný mechanizmus EHP</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20 808</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2</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r>
      <w:tr>
        <w:tblPrEx>
          <w:tblW w:w="9325" w:type="dxa"/>
          <w:jc w:val="center"/>
          <w:tblInd w:w="55" w:type="dxa"/>
          <w:tblCellMar>
            <w:left w:w="70" w:type="dxa"/>
            <w:right w:w="70" w:type="dxa"/>
          </w:tblCellMar>
          <w:tblLook w:val="04A0"/>
        </w:tblPrEx>
        <w:trPr>
          <w:trHeight w:val="345"/>
          <w:jc w:val="center"/>
        </w:trPr>
        <w:tc>
          <w:tcPr>
            <w:tcW w:w="2567" w:type="dxa"/>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rPr>
                <w:rFonts w:ascii="Times New Roman" w:hAnsi="Times New Roman"/>
                <w:color w:val="000000"/>
                <w:sz w:val="20"/>
                <w:szCs w:val="20"/>
              </w:rPr>
            </w:pPr>
            <w:r w:rsidRPr="00C554D5">
              <w:rPr>
                <w:rFonts w:ascii="Times New Roman" w:hAnsi="Times New Roman"/>
                <w:color w:val="000000"/>
                <w:sz w:val="20"/>
                <w:szCs w:val="20"/>
              </w:rPr>
              <w:t>Nórsky finančný mechanizmus</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24 192</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r>
      <w:tr>
        <w:tblPrEx>
          <w:tblW w:w="9325" w:type="dxa"/>
          <w:jc w:val="center"/>
          <w:tblInd w:w="55" w:type="dxa"/>
          <w:tblCellMar>
            <w:left w:w="70" w:type="dxa"/>
            <w:right w:w="70" w:type="dxa"/>
          </w:tblCellMar>
          <w:tblLook w:val="04A0"/>
        </w:tblPrEx>
        <w:trPr>
          <w:trHeight w:val="495"/>
          <w:jc w:val="center"/>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084C2D" w:rsidRPr="00C554D5" w:rsidP="00084C2D">
            <w:pPr>
              <w:bidi w:val="0"/>
              <w:rPr>
                <w:rFonts w:ascii="Times New Roman" w:hAnsi="Times New Roman"/>
                <w:color w:val="000000"/>
                <w:sz w:val="20"/>
                <w:szCs w:val="20"/>
              </w:rPr>
            </w:pPr>
            <w:r w:rsidRPr="00C554D5">
              <w:rPr>
                <w:rFonts w:ascii="Times New Roman" w:hAnsi="Times New Roman"/>
                <w:color w:val="000000"/>
                <w:sz w:val="20"/>
                <w:szCs w:val="20"/>
              </w:rPr>
              <w:t>Švajčiarsky finančný mechanizmus</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60445">
            <w:pPr>
              <w:bidi w:val="0"/>
              <w:jc w:val="right"/>
              <w:rPr>
                <w:rFonts w:ascii="Times New Roman" w:hAnsi="Times New Roman"/>
                <w:iCs/>
                <w:color w:val="000000"/>
                <w:sz w:val="20"/>
                <w:szCs w:val="20"/>
              </w:rPr>
            </w:pPr>
            <w:r w:rsidRPr="00CB537E">
              <w:rPr>
                <w:rFonts w:ascii="Times New Roman" w:hAnsi="Times New Roman"/>
                <w:iCs/>
                <w:color w:val="000000"/>
                <w:sz w:val="20"/>
                <w:szCs w:val="20"/>
              </w:rPr>
              <w:t>8 30</w:t>
            </w:r>
            <w:r w:rsidRPr="00CB537E" w:rsidR="00C60445">
              <w:rPr>
                <w:rFonts w:ascii="Times New Roman" w:hAnsi="Times New Roman"/>
                <w:iCs/>
                <w:color w:val="000000"/>
                <w:sz w:val="20"/>
                <w:szCs w:val="20"/>
              </w:rPr>
              <w:t>2</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CB537E">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iCs/>
                <w:color w:val="000000"/>
                <w:sz w:val="20"/>
                <w:szCs w:val="20"/>
              </w:rPr>
            </w:pPr>
            <w:r w:rsidRPr="00CB537E">
              <w:rPr>
                <w:rFonts w:ascii="Times New Roman" w:hAnsi="Times New Roman"/>
                <w:iCs/>
                <w:color w:val="000000"/>
                <w:sz w:val="20"/>
                <w:szCs w:val="20"/>
              </w:rPr>
              <w:t>0</w:t>
            </w:r>
          </w:p>
        </w:tc>
        <w:tc>
          <w:tcPr>
            <w:tcW w:w="111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r>
      <w:tr>
        <w:tblPrEx>
          <w:tblW w:w="9325" w:type="dxa"/>
          <w:jc w:val="center"/>
          <w:tblInd w:w="55" w:type="dxa"/>
          <w:tblCellMar>
            <w:left w:w="70" w:type="dxa"/>
            <w:right w:w="70" w:type="dxa"/>
          </w:tblCellMar>
          <w:tblLook w:val="04A0"/>
        </w:tblPrEx>
        <w:trPr>
          <w:trHeight w:val="575"/>
          <w:jc w:val="center"/>
        </w:trPr>
        <w:tc>
          <w:tcPr>
            <w:tcW w:w="2567" w:type="dxa"/>
            <w:tcBorders>
              <w:top w:val="single" w:sz="4" w:space="0" w:color="auto"/>
              <w:left w:val="single" w:sz="4" w:space="0" w:color="auto"/>
              <w:bottom w:val="double" w:sz="6" w:space="0" w:color="auto"/>
              <w:right w:val="single" w:sz="4" w:space="0" w:color="auto"/>
            </w:tcBorders>
            <w:textDirection w:val="lrTb"/>
            <w:vAlign w:val="center"/>
            <w:hideMark/>
          </w:tcPr>
          <w:p w:rsidR="00084C2D" w:rsidRPr="00C554D5" w:rsidP="00084C2D">
            <w:pPr>
              <w:bidi w:val="0"/>
              <w:rPr>
                <w:rFonts w:ascii="Times New Roman" w:hAnsi="Times New Roman"/>
                <w:b/>
                <w:bCs/>
                <w:color w:val="000000"/>
                <w:sz w:val="20"/>
                <w:szCs w:val="20"/>
              </w:rPr>
            </w:pPr>
            <w:r w:rsidR="00502D45">
              <w:rPr>
                <w:rFonts w:ascii="Times New Roman" w:hAnsi="Times New Roman"/>
                <w:b/>
                <w:bCs/>
                <w:color w:val="000000"/>
                <w:sz w:val="20"/>
                <w:szCs w:val="20"/>
              </w:rPr>
              <w:t>Spolu ostatné príjmy</w:t>
            </w:r>
            <w:r w:rsidRPr="00C554D5">
              <w:rPr>
                <w:rFonts w:ascii="Times New Roman" w:hAnsi="Times New Roman"/>
                <w:b/>
                <w:bCs/>
                <w:color w:val="000000"/>
                <w:sz w:val="20"/>
                <w:szCs w:val="20"/>
              </w:rPr>
              <w:t xml:space="preserve"> nezaradené do príjmov štátneho rozpočtu</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084C2D" w:rsidRPr="00CB537E" w:rsidP="00C60445">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53 30</w:t>
            </w:r>
            <w:r w:rsidRPr="00CB537E" w:rsidR="00C60445">
              <w:rPr>
                <w:rFonts w:ascii="Times New Roman" w:hAnsi="Times New Roman"/>
                <w:b/>
                <w:bCs/>
                <w:color w:val="000000"/>
                <w:sz w:val="20"/>
                <w:szCs w:val="20"/>
              </w:rPr>
              <w:t>2</w:t>
            </w:r>
          </w:p>
        </w:tc>
        <w:tc>
          <w:tcPr>
            <w:tcW w:w="1134" w:type="dxa"/>
            <w:gridSpan w:val="3"/>
            <w:tcBorders>
              <w:top w:val="single" w:sz="4" w:space="0" w:color="auto"/>
              <w:left w:val="single" w:sz="4" w:space="0" w:color="auto"/>
              <w:bottom w:val="double" w:sz="6" w:space="0" w:color="auto"/>
              <w:right w:val="single" w:sz="4" w:space="0" w:color="auto"/>
            </w:tcBorders>
            <w:noWrap/>
            <w:textDirection w:val="lrTb"/>
            <w:vAlign w:val="center"/>
            <w:hideMark/>
          </w:tcPr>
          <w:p w:rsidR="00084C2D" w:rsidRPr="00CB537E" w:rsidP="00CB537E">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0</w:t>
            </w:r>
          </w:p>
        </w:tc>
        <w:tc>
          <w:tcPr>
            <w:tcW w:w="1104" w:type="dxa"/>
            <w:gridSpan w:val="2"/>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0</w:t>
            </w:r>
          </w:p>
        </w:tc>
        <w:tc>
          <w:tcPr>
            <w:tcW w:w="1134" w:type="dxa"/>
            <w:gridSpan w:val="3"/>
            <w:tcBorders>
              <w:top w:val="single" w:sz="4" w:space="0" w:color="auto"/>
              <w:left w:val="single" w:sz="4" w:space="0" w:color="auto"/>
              <w:bottom w:val="double" w:sz="6" w:space="0" w:color="auto"/>
              <w:right w:val="single" w:sz="4" w:space="0" w:color="auto"/>
            </w:tcBorders>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0</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084C2D" w:rsidRPr="00CB537E" w:rsidP="00084C2D">
            <w:pPr>
              <w:bidi w:val="0"/>
              <w:jc w:val="right"/>
              <w:rPr>
                <w:rFonts w:ascii="Times New Roman" w:hAnsi="Times New Roman"/>
                <w:b/>
                <w:bCs/>
                <w:color w:val="000000"/>
                <w:sz w:val="20"/>
                <w:szCs w:val="20"/>
              </w:rPr>
            </w:pPr>
            <w:r w:rsidRPr="00CB537E">
              <w:rPr>
                <w:rFonts w:ascii="Times New Roman" w:hAnsi="Times New Roman"/>
                <w:b/>
                <w:bCs/>
                <w:color w:val="000000"/>
                <w:sz w:val="20"/>
                <w:szCs w:val="20"/>
              </w:rPr>
              <w:t>2</w:t>
            </w:r>
          </w:p>
        </w:tc>
        <w:tc>
          <w:tcPr>
            <w:tcW w:w="1118"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084C2D" w:rsidRPr="00CB537E" w:rsidP="00084C2D">
            <w:pPr>
              <w:bidi w:val="0"/>
              <w:jc w:val="right"/>
              <w:rPr>
                <w:rFonts w:ascii="Times New Roman" w:hAnsi="Times New Roman"/>
                <w:color w:val="000000"/>
                <w:sz w:val="20"/>
                <w:szCs w:val="20"/>
              </w:rPr>
            </w:pPr>
            <w:r w:rsidRPr="00CB537E">
              <w:rPr>
                <w:rFonts w:ascii="Times New Roman" w:hAnsi="Times New Roman"/>
                <w:color w:val="000000"/>
                <w:sz w:val="20"/>
                <w:szCs w:val="20"/>
              </w:rPr>
              <w:t>0</w:t>
            </w:r>
          </w:p>
        </w:tc>
      </w:tr>
      <w:tr>
        <w:tblPrEx>
          <w:tblW w:w="9325" w:type="dxa"/>
          <w:jc w:val="center"/>
          <w:tblInd w:w="55" w:type="dxa"/>
          <w:tblCellMar>
            <w:left w:w="70" w:type="dxa"/>
            <w:right w:w="70" w:type="dxa"/>
          </w:tblCellMar>
          <w:tblLook w:val="04A0"/>
        </w:tblPrEx>
        <w:trPr>
          <w:trHeight w:val="380"/>
          <w:jc w:val="center"/>
        </w:trPr>
        <w:tc>
          <w:tcPr>
            <w:tcW w:w="2567" w:type="dxa"/>
            <w:tcBorders>
              <w:top w:val="double" w:sz="6" w:space="0" w:color="auto"/>
              <w:left w:val="single" w:sz="4" w:space="0" w:color="auto"/>
              <w:bottom w:val="single" w:sz="4" w:space="0" w:color="auto"/>
              <w:right w:val="single" w:sz="4" w:space="0" w:color="auto"/>
            </w:tcBorders>
            <w:textDirection w:val="lrTb"/>
            <w:vAlign w:val="center"/>
            <w:hideMark/>
          </w:tcPr>
          <w:p w:rsidR="00084C2D" w:rsidRPr="00C554D5" w:rsidP="00084C2D">
            <w:pPr>
              <w:bidi w:val="0"/>
              <w:rPr>
                <w:rFonts w:ascii="Times New Roman" w:hAnsi="Times New Roman"/>
                <w:b/>
                <w:bCs/>
                <w:color w:val="000000"/>
                <w:sz w:val="20"/>
                <w:szCs w:val="20"/>
              </w:rPr>
            </w:pPr>
            <w:r w:rsidRPr="00C554D5">
              <w:rPr>
                <w:rFonts w:ascii="Times New Roman" w:hAnsi="Times New Roman"/>
                <w:b/>
                <w:bCs/>
                <w:color w:val="000000"/>
                <w:sz w:val="20"/>
                <w:szCs w:val="20"/>
              </w:rPr>
              <w:t xml:space="preserve">Spolu príjmy nezaradené do príjmov ŠR </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jc w:val="right"/>
              <w:rPr>
                <w:rFonts w:ascii="Times New Roman" w:hAnsi="Times New Roman"/>
                <w:b/>
                <w:bCs/>
                <w:color w:val="000000"/>
                <w:sz w:val="20"/>
                <w:szCs w:val="20"/>
              </w:rPr>
            </w:pPr>
            <w:r w:rsidRPr="00C554D5">
              <w:rPr>
                <w:rFonts w:ascii="Times New Roman" w:hAnsi="Times New Roman"/>
                <w:b/>
                <w:bCs/>
                <w:color w:val="000000"/>
                <w:sz w:val="20"/>
                <w:szCs w:val="20"/>
              </w:rPr>
              <w:t>282 150</w:t>
            </w:r>
          </w:p>
        </w:tc>
        <w:tc>
          <w:tcPr>
            <w:tcW w:w="1134" w:type="dxa"/>
            <w:gridSpan w:val="3"/>
            <w:tcBorders>
              <w:top w:val="double" w:sz="6" w:space="0" w:color="auto"/>
              <w:left w:val="single" w:sz="4" w:space="0" w:color="auto"/>
              <w:bottom w:val="single" w:sz="4" w:space="0" w:color="auto"/>
              <w:right w:val="single" w:sz="4" w:space="0" w:color="auto"/>
            </w:tcBorders>
            <w:noWrap/>
            <w:textDirection w:val="lrTb"/>
            <w:vAlign w:val="center"/>
            <w:hideMark/>
          </w:tcPr>
          <w:p w:rsidR="00084C2D" w:rsidRPr="00C554D5" w:rsidP="00CB537E">
            <w:pPr>
              <w:bidi w:val="0"/>
              <w:jc w:val="right"/>
              <w:rPr>
                <w:rFonts w:ascii="Times New Roman" w:hAnsi="Times New Roman"/>
                <w:b/>
                <w:bCs/>
                <w:color w:val="000000"/>
                <w:sz w:val="20"/>
                <w:szCs w:val="20"/>
              </w:rPr>
            </w:pPr>
            <w:r w:rsidRPr="00C554D5">
              <w:rPr>
                <w:rFonts w:ascii="Times New Roman" w:hAnsi="Times New Roman"/>
                <w:b/>
                <w:bCs/>
                <w:color w:val="000000"/>
                <w:sz w:val="20"/>
                <w:szCs w:val="20"/>
              </w:rPr>
              <w:t>0</w:t>
            </w:r>
          </w:p>
        </w:tc>
        <w:tc>
          <w:tcPr>
            <w:tcW w:w="1104" w:type="dxa"/>
            <w:gridSpan w:val="2"/>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084C2D" w:rsidRPr="00C554D5" w:rsidP="00084C2D">
            <w:pPr>
              <w:bidi w:val="0"/>
              <w:jc w:val="right"/>
              <w:rPr>
                <w:rFonts w:ascii="Times New Roman" w:hAnsi="Times New Roman"/>
                <w:b/>
                <w:bCs/>
                <w:color w:val="000000"/>
                <w:sz w:val="20"/>
                <w:szCs w:val="20"/>
              </w:rPr>
            </w:pPr>
            <w:r w:rsidRPr="00C554D5">
              <w:rPr>
                <w:rFonts w:ascii="Times New Roman" w:hAnsi="Times New Roman"/>
                <w:b/>
                <w:bCs/>
                <w:color w:val="000000"/>
                <w:sz w:val="20"/>
                <w:szCs w:val="20"/>
              </w:rPr>
              <w:t>9 749</w:t>
            </w:r>
          </w:p>
        </w:tc>
        <w:tc>
          <w:tcPr>
            <w:tcW w:w="1134" w:type="dxa"/>
            <w:gridSpan w:val="3"/>
            <w:tcBorders>
              <w:top w:val="double" w:sz="6"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jc w:val="right"/>
              <w:rPr>
                <w:rFonts w:ascii="Times New Roman" w:hAnsi="Times New Roman"/>
                <w:b/>
                <w:bCs/>
                <w:color w:val="000000"/>
                <w:sz w:val="20"/>
                <w:szCs w:val="20"/>
              </w:rPr>
            </w:pPr>
            <w:r w:rsidRPr="00C554D5">
              <w:rPr>
                <w:rFonts w:ascii="Times New Roman" w:hAnsi="Times New Roman"/>
                <w:b/>
                <w:bCs/>
                <w:color w:val="000000"/>
                <w:sz w:val="20"/>
                <w:szCs w:val="20"/>
              </w:rPr>
              <w:t>9 164</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jc w:val="right"/>
              <w:rPr>
                <w:rFonts w:ascii="Times New Roman" w:hAnsi="Times New Roman"/>
                <w:b/>
                <w:bCs/>
                <w:color w:val="000000"/>
                <w:sz w:val="20"/>
                <w:szCs w:val="20"/>
              </w:rPr>
            </w:pPr>
            <w:r w:rsidRPr="00C554D5">
              <w:rPr>
                <w:rFonts w:ascii="Times New Roman" w:hAnsi="Times New Roman"/>
                <w:b/>
                <w:bCs/>
                <w:color w:val="000000"/>
                <w:sz w:val="20"/>
                <w:szCs w:val="20"/>
              </w:rPr>
              <w:t>9 161</w:t>
            </w:r>
          </w:p>
        </w:tc>
        <w:tc>
          <w:tcPr>
            <w:tcW w:w="1118"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084C2D" w:rsidRPr="00C554D5" w:rsidP="00084C2D">
            <w:pPr>
              <w:bidi w:val="0"/>
              <w:jc w:val="right"/>
              <w:rPr>
                <w:rFonts w:ascii="Times New Roman" w:hAnsi="Times New Roman"/>
                <w:color w:val="000000"/>
                <w:sz w:val="20"/>
                <w:szCs w:val="20"/>
              </w:rPr>
            </w:pPr>
            <w:r w:rsidRPr="00C554D5">
              <w:rPr>
                <w:rFonts w:ascii="Times New Roman" w:hAnsi="Times New Roman"/>
                <w:color w:val="000000"/>
                <w:sz w:val="20"/>
                <w:szCs w:val="20"/>
              </w:rPr>
              <w:t>9 749</w:t>
            </w:r>
          </w:p>
        </w:tc>
      </w:tr>
      <w:tr>
        <w:tblPrEx>
          <w:tblW w:w="9325" w:type="dxa"/>
          <w:jc w:val="center"/>
          <w:tblInd w:w="55" w:type="dxa"/>
          <w:tblCellMar>
            <w:left w:w="70" w:type="dxa"/>
            <w:right w:w="70" w:type="dxa"/>
          </w:tblCellMar>
          <w:tblLook w:val="04A0"/>
        </w:tblPrEx>
        <w:trPr>
          <w:gridAfter w:val="1"/>
          <w:wAfter w:w="292" w:type="dxa"/>
          <w:trHeight w:val="270"/>
          <w:jc w:val="center"/>
        </w:trPr>
        <w:tc>
          <w:tcPr>
            <w:tcW w:w="2850" w:type="dxa"/>
            <w:gridSpan w:val="2"/>
            <w:tcBorders>
              <w:top w:val="single" w:sz="4" w:space="0" w:color="auto"/>
              <w:left w:val="nil"/>
              <w:bottom w:val="nil"/>
              <w:right w:val="nil"/>
            </w:tcBorders>
            <w:noWrap/>
            <w:textDirection w:val="lrTb"/>
            <w:vAlign w:val="bottom"/>
            <w:hideMark/>
          </w:tcPr>
          <w:p w:rsidR="00B57C93" w:rsidRPr="00481E61" w:rsidP="00F72899">
            <w:pPr>
              <w:bidi w:val="0"/>
              <w:rPr>
                <w:rFonts w:ascii="Times New Roman" w:hAnsi="Times New Roman"/>
                <w:iCs/>
                <w:sz w:val="20"/>
                <w:szCs w:val="20"/>
              </w:rPr>
            </w:pPr>
            <w:r w:rsidRPr="00481E61">
              <w:rPr>
                <w:rFonts w:ascii="Times New Roman" w:hAnsi="Times New Roman"/>
                <w:iCs/>
                <w:sz w:val="20"/>
                <w:szCs w:val="20"/>
              </w:rPr>
              <w:t>Zdroj: Ministerstvo financií SR</w:t>
            </w:r>
          </w:p>
        </w:tc>
        <w:tc>
          <w:tcPr>
            <w:tcW w:w="960" w:type="dxa"/>
            <w:gridSpan w:val="2"/>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900" w:type="dxa"/>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644" w:type="dxa"/>
            <w:gridSpan w:val="2"/>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708" w:type="dxa"/>
            <w:gridSpan w:val="2"/>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709" w:type="dxa"/>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740" w:type="dxa"/>
            <w:gridSpan w:val="2"/>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696" w:type="dxa"/>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c>
          <w:tcPr>
            <w:tcW w:w="826" w:type="dxa"/>
            <w:tcBorders>
              <w:top w:val="single" w:sz="4" w:space="0" w:color="auto"/>
              <w:left w:val="nil"/>
              <w:bottom w:val="nil"/>
              <w:right w:val="nil"/>
            </w:tcBorders>
            <w:noWrap/>
            <w:textDirection w:val="lrTb"/>
            <w:vAlign w:val="bottom"/>
            <w:hideMark/>
          </w:tcPr>
          <w:p w:rsidR="00B57C93" w:rsidRPr="00481E61" w:rsidP="00F72899">
            <w:pPr>
              <w:bidi w:val="0"/>
              <w:rPr>
                <w:rFonts w:ascii="Arial" w:hAnsi="Arial" w:cs="Arial"/>
                <w:sz w:val="20"/>
                <w:szCs w:val="20"/>
              </w:rPr>
            </w:pPr>
          </w:p>
        </w:tc>
      </w:tr>
    </w:tbl>
    <w:p w:rsidR="00B57C93" w:rsidRPr="00B57C93" w:rsidP="0017400C">
      <w:pPr>
        <w:pStyle w:val="Heading3"/>
        <w:bidi w:val="0"/>
        <w:spacing w:before="100" w:beforeAutospacing="1" w:after="100" w:afterAutospacing="1" w:line="360" w:lineRule="auto"/>
        <w:jc w:val="center"/>
        <w:rPr>
          <w:rFonts w:ascii="Times New Roman" w:hAnsi="Times New Roman"/>
          <w:color w:val="auto"/>
        </w:rPr>
      </w:pPr>
      <w:bookmarkStart w:id="36" w:name="_Toc322614764"/>
      <w:r w:rsidRPr="00B57C93">
        <w:rPr>
          <w:rFonts w:ascii="Times New Roman" w:hAnsi="Times New Roman"/>
          <w:color w:val="auto"/>
        </w:rPr>
        <w:t>3</w:t>
      </w:r>
      <w:r w:rsidR="0035660E">
        <w:rPr>
          <w:rFonts w:ascii="Times New Roman" w:hAnsi="Times New Roman"/>
          <w:color w:val="auto"/>
        </w:rPr>
        <w:t>.5.2</w:t>
      </w:r>
      <w:r w:rsidR="00E01089">
        <w:rPr>
          <w:rFonts w:ascii="Times New Roman" w:hAnsi="Times New Roman"/>
          <w:color w:val="auto"/>
        </w:rPr>
        <w:t>.</w:t>
      </w:r>
      <w:r w:rsidR="0035660E">
        <w:rPr>
          <w:rFonts w:ascii="Times New Roman" w:hAnsi="Times New Roman"/>
          <w:color w:val="auto"/>
        </w:rPr>
        <w:t xml:space="preserve"> Výdavky štátneho rozpočtu </w:t>
      </w:r>
      <w:r w:rsidRPr="00B57C93">
        <w:rPr>
          <w:rFonts w:ascii="Times New Roman" w:hAnsi="Times New Roman"/>
          <w:color w:val="auto"/>
        </w:rPr>
        <w:t>rozpočtované vo väzbe na príjmy z EÚ</w:t>
      </w:r>
      <w:bookmarkEnd w:id="36"/>
    </w:p>
    <w:p w:rsidR="00F65240" w:rsidP="00F65240">
      <w:pPr>
        <w:bidi w:val="0"/>
        <w:spacing w:before="120" w:after="120" w:line="360" w:lineRule="auto"/>
        <w:ind w:firstLine="709"/>
        <w:jc w:val="both"/>
        <w:rPr>
          <w:rFonts w:ascii="Times New Roman" w:hAnsi="Times New Roman"/>
        </w:rPr>
      </w:pPr>
      <w:r>
        <w:rPr>
          <w:rFonts w:ascii="Times New Roman" w:hAnsi="Times New Roman"/>
        </w:rPr>
        <w:t>Prostriedky EÚ</w:t>
      </w:r>
      <w:r w:rsidR="00B57C93">
        <w:rPr>
          <w:rFonts w:ascii="Times New Roman" w:hAnsi="Times New Roman"/>
        </w:rPr>
        <w:t xml:space="preserve"> zaradené do výdavkov štátneho rozpočtu boli rozpočtované na úrovni príjmov, teda v objeme 3 343 890 tis. eur, po úprave o výdavky z predchádzajúcich rokov v zmysle § 8 zákona č. 523/2004 Z. z. vo výške 4 189 203 tis. eur. Čerpanie výdavkov na úrovni 2 091 380 tis. eur predstavuje medziročné zvýšenie o 198 724 tis. eur. Výdavky na štrukturálne fondy v objeme 1 094 652 tis. eur tvorili 52,3 </w:t>
      </w:r>
      <w:r w:rsidR="00C36624">
        <w:rPr>
          <w:rFonts w:ascii="Times New Roman" w:hAnsi="Times New Roman"/>
        </w:rPr>
        <w:t>% z celkového objemu výdavkov a</w:t>
      </w:r>
      <w:r w:rsidR="00B57C93">
        <w:rPr>
          <w:rFonts w:ascii="Times New Roman" w:hAnsi="Times New Roman"/>
        </w:rPr>
        <w:t> odrážajú zrýchlenie implementácie operačných programov II. programového obdobia. Čerpanie výdavkov na I. programové obdobie predstavuje dofinancovanie projektov Kohézneho fondu</w:t>
      </w:r>
      <w:r w:rsidR="00BC136F">
        <w:rPr>
          <w:rFonts w:ascii="Times New Roman" w:hAnsi="Times New Roman"/>
        </w:rPr>
        <w:t xml:space="preserve"> </w:t>
      </w:r>
      <w:r w:rsidR="00B57C93">
        <w:rPr>
          <w:rFonts w:ascii="Times New Roman" w:hAnsi="Times New Roman"/>
        </w:rPr>
        <w:t xml:space="preserve">a riešenie finančných opráv voči rozpočtu EK. Výdavky na poľnohospodárske fondy tvorili 29,0 % celkového </w:t>
      </w:r>
      <w:r w:rsidR="00B324BC">
        <w:rPr>
          <w:rFonts w:ascii="Times New Roman" w:hAnsi="Times New Roman"/>
        </w:rPr>
        <w:t>objemu a dosiahli úroveň 605 98</w:t>
      </w:r>
      <w:r w:rsidR="00B57C93">
        <w:rPr>
          <w:rFonts w:ascii="Times New Roman" w:hAnsi="Times New Roman"/>
        </w:rPr>
        <w:t>6 tis. eur.</w:t>
      </w:r>
    </w:p>
    <w:p w:rsidR="00B324BC" w:rsidP="00F65240">
      <w:pPr>
        <w:bidi w:val="0"/>
        <w:spacing w:before="120" w:after="120" w:line="360" w:lineRule="auto"/>
        <w:ind w:firstLine="709"/>
        <w:jc w:val="both"/>
        <w:rPr>
          <w:rFonts w:ascii="Times New Roman" w:hAnsi="Times New Roman"/>
        </w:rPr>
      </w:pPr>
      <w:r>
        <w:rPr>
          <w:rFonts w:ascii="Times New Roman" w:hAnsi="Times New Roman"/>
        </w:rPr>
        <w:t>Prehľad o výdavkoch za prostriedky EÚ zaradených do výdavkov štátneho rozpočtu poskytuje nasledovná tabuľka:</w:t>
      </w:r>
    </w:p>
    <w:tbl>
      <w:tblPr>
        <w:tblStyle w:val="TableNormal"/>
        <w:tblW w:w="9465" w:type="dxa"/>
        <w:jc w:val="center"/>
        <w:tblInd w:w="-572" w:type="dxa"/>
        <w:tblLayout w:type="fixed"/>
        <w:tblCellMar>
          <w:left w:w="70" w:type="dxa"/>
          <w:right w:w="70" w:type="dxa"/>
        </w:tblCellMar>
        <w:tblLook w:val="04A0"/>
      </w:tblPr>
      <w:tblGrid>
        <w:gridCol w:w="627"/>
        <w:gridCol w:w="1821"/>
        <w:gridCol w:w="799"/>
        <w:gridCol w:w="230"/>
        <w:gridCol w:w="1276"/>
        <w:gridCol w:w="1168"/>
        <w:gridCol w:w="1276"/>
        <w:gridCol w:w="1134"/>
        <w:gridCol w:w="1134"/>
      </w:tblGrid>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vMerge w:val="restart"/>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FF535C" w:rsidRPr="00CE7357" w:rsidP="00B324B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Ukazovateľ</w:t>
            </w:r>
          </w:p>
          <w:p w:rsidR="00FF535C" w:rsidRPr="00CE7357" w:rsidP="00FF535C">
            <w:pPr>
              <w:bidi w:val="0"/>
              <w:rPr>
                <w:rFonts w:ascii="Times New Roman" w:hAnsi="Times New Roman"/>
                <w:b/>
                <w:bCs/>
                <w:color w:val="FFFFFF"/>
                <w:sz w:val="20"/>
                <w:szCs w:val="20"/>
              </w:rPr>
            </w:pPr>
            <w:r w:rsidRPr="00CE7357">
              <w:rPr>
                <w:rFonts w:ascii="Times New Roman" w:hAnsi="Times New Roman"/>
                <w:b/>
                <w:bCs/>
                <w:color w:val="FFFFFF"/>
                <w:sz w:val="20"/>
                <w:szCs w:val="20"/>
              </w:rPr>
              <w:t>(v tis. eur)</w:t>
            </w:r>
          </w:p>
        </w:tc>
        <w:tc>
          <w:tcPr>
            <w:tcW w:w="2305" w:type="dxa"/>
            <w:gridSpan w:val="3"/>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FF535C" w:rsidRPr="00CE7357" w:rsidP="00B324B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Rozpočet 2011</w:t>
            </w:r>
          </w:p>
        </w:tc>
        <w:tc>
          <w:tcPr>
            <w:tcW w:w="3578" w:type="dxa"/>
            <w:gridSpan w:val="3"/>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FF535C" w:rsidRPr="00CE7357" w:rsidP="00FF535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 xml:space="preserve">Skutočnosť </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FF535C" w:rsidRPr="00CE7357" w:rsidP="00B324B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Rozdiel</w:t>
            </w: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vMerge/>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B324BC">
            <w:pPr>
              <w:bidi w:val="0"/>
              <w:rPr>
                <w:rFonts w:ascii="Times New Roman" w:hAnsi="Times New Roman"/>
                <w:b/>
                <w:bCs/>
                <w:color w:val="FFFFFF"/>
                <w:sz w:val="20"/>
                <w:szCs w:val="20"/>
              </w:rPr>
            </w:pPr>
          </w:p>
        </w:tc>
        <w:tc>
          <w:tcPr>
            <w:tcW w:w="1029"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B324B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schválený</w:t>
            </w:r>
          </w:p>
        </w:tc>
        <w:tc>
          <w:tcPr>
            <w:tcW w:w="1276" w:type="dxa"/>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B324BC">
            <w:pPr>
              <w:bidi w:val="0"/>
              <w:jc w:val="center"/>
              <w:rPr>
                <w:rFonts w:ascii="Times New Roman" w:hAnsi="Times New Roman"/>
                <w:b/>
                <w:bCs/>
                <w:color w:val="FFFFFF"/>
                <w:sz w:val="20"/>
                <w:szCs w:val="20"/>
              </w:rPr>
            </w:pPr>
            <w:r w:rsidRPr="00CE7357">
              <w:rPr>
                <w:rFonts w:ascii="Times New Roman" w:hAnsi="Times New Roman"/>
                <w:b/>
                <w:bCs/>
                <w:color w:val="FFFFFF"/>
                <w:sz w:val="20"/>
                <w:szCs w:val="20"/>
              </w:rPr>
              <w:t>upravený</w:t>
            </w:r>
          </w:p>
        </w:tc>
        <w:tc>
          <w:tcPr>
            <w:tcW w:w="1168" w:type="dxa"/>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FF535C">
            <w:pPr>
              <w:bidi w:val="0"/>
              <w:jc w:val="center"/>
              <w:rPr>
                <w:rFonts w:ascii="Times New Roman" w:hAnsi="Times New Roman"/>
                <w:b/>
                <w:bCs/>
                <w:color w:val="FFFFFF"/>
                <w:sz w:val="20"/>
                <w:szCs w:val="20"/>
              </w:rPr>
            </w:pPr>
            <w:r w:rsidRPr="00CE7357" w:rsidR="00FF535C">
              <w:rPr>
                <w:rFonts w:ascii="Times New Roman" w:hAnsi="Times New Roman"/>
                <w:b/>
                <w:bCs/>
                <w:color w:val="FFFFFF"/>
                <w:sz w:val="20"/>
                <w:szCs w:val="20"/>
              </w:rPr>
              <w:t>2011</w:t>
            </w:r>
          </w:p>
        </w:tc>
        <w:tc>
          <w:tcPr>
            <w:tcW w:w="1276" w:type="dxa"/>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FF535C">
            <w:pPr>
              <w:bidi w:val="0"/>
              <w:jc w:val="center"/>
              <w:rPr>
                <w:rFonts w:ascii="Times New Roman" w:hAnsi="Times New Roman"/>
                <w:b/>
                <w:bCs/>
                <w:color w:val="FFFFFF"/>
                <w:sz w:val="20"/>
                <w:szCs w:val="20"/>
              </w:rPr>
            </w:pPr>
            <w:r w:rsidRPr="00CE7357" w:rsidR="00FF535C">
              <w:rPr>
                <w:rFonts w:ascii="Times New Roman" w:hAnsi="Times New Roman"/>
                <w:b/>
                <w:bCs/>
                <w:color w:val="FFFFFF"/>
                <w:sz w:val="20"/>
                <w:szCs w:val="20"/>
              </w:rPr>
              <w:t>2010</w:t>
            </w:r>
          </w:p>
        </w:tc>
        <w:tc>
          <w:tcPr>
            <w:tcW w:w="1134" w:type="dxa"/>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FF535C">
            <w:pPr>
              <w:bidi w:val="0"/>
              <w:jc w:val="center"/>
              <w:rPr>
                <w:rFonts w:ascii="Times New Roman" w:hAnsi="Times New Roman"/>
                <w:b/>
                <w:bCs/>
                <w:color w:val="FFFFFF"/>
                <w:sz w:val="20"/>
                <w:szCs w:val="20"/>
              </w:rPr>
            </w:pPr>
            <w:r w:rsidRPr="00CE7357" w:rsidR="00FF535C">
              <w:rPr>
                <w:rFonts w:ascii="Times New Roman" w:hAnsi="Times New Roman"/>
                <w:b/>
                <w:bCs/>
                <w:color w:val="FFFFFF"/>
                <w:sz w:val="20"/>
                <w:szCs w:val="20"/>
              </w:rPr>
              <w:t>2009</w:t>
            </w:r>
          </w:p>
        </w:tc>
        <w:tc>
          <w:tcPr>
            <w:tcW w:w="1134" w:type="dxa"/>
            <w:vMerge/>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B324BC" w:rsidRPr="00CE7357" w:rsidP="00B324BC">
            <w:pPr>
              <w:bidi w:val="0"/>
              <w:rPr>
                <w:rFonts w:ascii="Times New Roman" w:hAnsi="Times New Roman"/>
                <w:b/>
                <w:bCs/>
                <w:color w:val="FFFFFF"/>
                <w:sz w:val="20"/>
                <w:szCs w:val="20"/>
              </w:rPr>
            </w:pP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2</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center"/>
              <w:rPr>
                <w:rFonts w:ascii="Times New Roman" w:hAnsi="Times New Roman"/>
                <w:b/>
                <w:bCs/>
                <w:color w:val="000000"/>
                <w:sz w:val="20"/>
                <w:szCs w:val="20"/>
              </w:rPr>
            </w:pPr>
            <w:r w:rsidRPr="00B324BC">
              <w:rPr>
                <w:rFonts w:ascii="Times New Roman" w:hAnsi="Times New Roman"/>
                <w:b/>
                <w:bCs/>
                <w:color w:val="000000"/>
                <w:sz w:val="20"/>
                <w:szCs w:val="20"/>
              </w:rPr>
              <w:t>6=3-2</w:t>
            </w: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Záručná sekcia EAGGF</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3 035</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3 035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1 730</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0</w:t>
            </w: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EAGF priame platby</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278 359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278 369</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278 369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243 742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227 044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0</w:t>
            </w:r>
          </w:p>
        </w:tc>
      </w:tr>
      <w:tr>
        <w:tblPrEx>
          <w:tblW w:w="9465" w:type="dxa"/>
          <w:jc w:val="center"/>
          <w:tblInd w:w="-572" w:type="dxa"/>
          <w:tblLayout w:type="fixed"/>
          <w:tblCellMar>
            <w:left w:w="70" w:type="dxa"/>
            <w:right w:w="70" w:type="dxa"/>
          </w:tblCellMar>
          <w:tblLook w:val="04A0"/>
        </w:tblPrEx>
        <w:trPr>
          <w:trHeight w:val="445"/>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EAGF trhovo orientované výdavky</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28 665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28 665</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9 864</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10 918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37 566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-18 802</w:t>
            </w: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EAFRD</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325 404</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551 549</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313 473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367 769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327 742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-238 076</w:t>
            </w:r>
          </w:p>
        </w:tc>
      </w:tr>
      <w:tr>
        <w:tblPrEx>
          <w:tblW w:w="9465" w:type="dxa"/>
          <w:jc w:val="center"/>
          <w:tblInd w:w="-572" w:type="dxa"/>
          <w:tblLayout w:type="fixed"/>
          <w:tblCellMar>
            <w:left w:w="70" w:type="dxa"/>
            <w:right w:w="70" w:type="dxa"/>
          </w:tblCellMar>
          <w:tblLook w:val="04A0"/>
        </w:tblPrEx>
        <w:trPr>
          <w:trHeight w:val="345"/>
          <w:jc w:val="center"/>
        </w:trPr>
        <w:tc>
          <w:tcPr>
            <w:tcW w:w="244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EFF</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2 595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4 238</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1 242</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1 501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465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-2 996</w:t>
            </w:r>
          </w:p>
        </w:tc>
      </w:tr>
      <w:tr>
        <w:tblPrEx>
          <w:tblW w:w="9465" w:type="dxa"/>
          <w:jc w:val="center"/>
          <w:tblInd w:w="-572" w:type="dxa"/>
          <w:tblLayout w:type="fixed"/>
          <w:tblCellMar>
            <w:left w:w="70" w:type="dxa"/>
            <w:right w:w="70" w:type="dxa"/>
          </w:tblCellMar>
          <w:tblLook w:val="04A0"/>
        </w:tblPrEx>
        <w:trPr>
          <w:trHeight w:val="363"/>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b/>
                <w:bCs/>
                <w:color w:val="000000"/>
                <w:sz w:val="20"/>
                <w:szCs w:val="20"/>
              </w:rPr>
            </w:pPr>
            <w:r w:rsidRPr="00052AAD">
              <w:rPr>
                <w:rFonts w:ascii="Times New Roman" w:hAnsi="Times New Roman"/>
                <w:b/>
                <w:bCs/>
                <w:color w:val="000000"/>
                <w:sz w:val="20"/>
                <w:szCs w:val="20"/>
              </w:rPr>
              <w:t>Poľnohospodárske fondy spolu</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b/>
                <w:bCs/>
                <w:color w:val="000000"/>
                <w:sz w:val="20"/>
                <w:szCs w:val="20"/>
              </w:rPr>
            </w:pPr>
            <w:r w:rsidRPr="00052AAD">
              <w:rPr>
                <w:rFonts w:ascii="Times New Roman" w:hAnsi="Times New Roman"/>
                <w:b/>
                <w:bCs/>
                <w:color w:val="000000"/>
                <w:sz w:val="20"/>
                <w:szCs w:val="20"/>
              </w:rPr>
              <w:t>635 023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b/>
                <w:bCs/>
                <w:color w:val="000000"/>
                <w:sz w:val="20"/>
                <w:szCs w:val="20"/>
              </w:rPr>
            </w:pPr>
            <w:r w:rsidRPr="00052AAD">
              <w:rPr>
                <w:rFonts w:ascii="Times New Roman" w:hAnsi="Times New Roman"/>
                <w:b/>
                <w:bCs/>
                <w:color w:val="000000"/>
                <w:sz w:val="20"/>
                <w:szCs w:val="20"/>
              </w:rPr>
              <w:t>865 856</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b/>
                <w:bCs/>
                <w:color w:val="000000"/>
                <w:sz w:val="20"/>
                <w:szCs w:val="20"/>
              </w:rPr>
            </w:pPr>
            <w:r w:rsidRPr="00052AAD">
              <w:rPr>
                <w:rFonts w:ascii="Times New Roman" w:hAnsi="Times New Roman"/>
                <w:b/>
                <w:bCs/>
                <w:color w:val="000000"/>
                <w:sz w:val="20"/>
                <w:szCs w:val="20"/>
              </w:rPr>
              <w:t>605 983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b/>
                <w:bCs/>
                <w:color w:val="000000"/>
                <w:sz w:val="20"/>
                <w:szCs w:val="20"/>
              </w:rPr>
            </w:pPr>
            <w:r w:rsidRPr="00052AAD">
              <w:rPr>
                <w:rFonts w:ascii="Times New Roman" w:hAnsi="Times New Roman"/>
                <w:b/>
                <w:bCs/>
                <w:color w:val="000000"/>
                <w:sz w:val="20"/>
                <w:szCs w:val="20"/>
              </w:rPr>
              <w:t>623 930</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b/>
                <w:bCs/>
                <w:color w:val="000000"/>
                <w:sz w:val="20"/>
                <w:szCs w:val="20"/>
              </w:rPr>
            </w:pPr>
            <w:r w:rsidRPr="00052AAD">
              <w:rPr>
                <w:rFonts w:ascii="Times New Roman" w:hAnsi="Times New Roman"/>
                <w:b/>
                <w:bCs/>
                <w:color w:val="000000"/>
                <w:sz w:val="20"/>
                <w:szCs w:val="20"/>
              </w:rPr>
              <w:t>594 546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b/>
                <w:color w:val="000000"/>
                <w:sz w:val="20"/>
                <w:szCs w:val="20"/>
              </w:rPr>
            </w:pPr>
            <w:r w:rsidRPr="00052AAD">
              <w:rPr>
                <w:rFonts w:ascii="Times New Roman" w:hAnsi="Times New Roman"/>
                <w:b/>
                <w:color w:val="000000"/>
                <w:sz w:val="20"/>
                <w:szCs w:val="20"/>
              </w:rPr>
              <w:t>-259 874</w:t>
            </w:r>
          </w:p>
        </w:tc>
      </w:tr>
      <w:tr>
        <w:tblPrEx>
          <w:tblW w:w="9465" w:type="dxa"/>
          <w:jc w:val="center"/>
          <w:tblInd w:w="-572" w:type="dxa"/>
          <w:tblLayout w:type="fixed"/>
          <w:tblCellMar>
            <w:left w:w="70" w:type="dxa"/>
            <w:right w:w="70" w:type="dxa"/>
          </w:tblCellMar>
          <w:tblLook w:val="04A0"/>
        </w:tblPrEx>
        <w:trPr>
          <w:trHeight w:val="455"/>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Štrukturálne fondy I. programové obdobie</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1 256</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1 256</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44 226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123 872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0</w:t>
            </w:r>
          </w:p>
        </w:tc>
      </w:tr>
      <w:tr>
        <w:tblPrEx>
          <w:tblW w:w="9465" w:type="dxa"/>
          <w:jc w:val="center"/>
          <w:tblInd w:w="-572" w:type="dxa"/>
          <w:tblLayout w:type="fixed"/>
          <w:tblCellMar>
            <w:left w:w="70" w:type="dxa"/>
            <w:right w:w="70" w:type="dxa"/>
          </w:tblCellMar>
          <w:tblLook w:val="04A0"/>
        </w:tblPrEx>
        <w:trPr>
          <w:trHeight w:val="547"/>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Štrukturálne fondy II. programové obdobie</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1 843 307</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2 247 368</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1 093 396</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840 184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410 712</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-1 153 971</w:t>
            </w:r>
          </w:p>
        </w:tc>
      </w:tr>
      <w:tr>
        <w:tblPrEx>
          <w:tblW w:w="9465" w:type="dxa"/>
          <w:jc w:val="center"/>
          <w:tblInd w:w="-572" w:type="dxa"/>
          <w:tblLayout w:type="fixed"/>
          <w:tblCellMar>
            <w:left w:w="70" w:type="dxa"/>
            <w:right w:w="70" w:type="dxa"/>
          </w:tblCellMar>
          <w:tblLook w:val="04A0"/>
        </w:tblPrEx>
        <w:trPr>
          <w:trHeight w:val="413"/>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Kohézny fond I. programové obdobie</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4 665</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4 665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38 129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128 197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0</w:t>
            </w:r>
          </w:p>
        </w:tc>
      </w:tr>
      <w:tr>
        <w:tblPrEx>
          <w:tblW w:w="9465" w:type="dxa"/>
          <w:jc w:val="center"/>
          <w:tblInd w:w="-572" w:type="dxa"/>
          <w:tblLayout w:type="fixed"/>
          <w:tblCellMar>
            <w:left w:w="70" w:type="dxa"/>
            <w:right w:w="70" w:type="dxa"/>
          </w:tblCellMar>
          <w:tblLook w:val="04A0"/>
        </w:tblPrEx>
        <w:trPr>
          <w:trHeight w:val="364"/>
          <w:jc w:val="center"/>
        </w:trPr>
        <w:tc>
          <w:tcPr>
            <w:tcW w:w="2448"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B324BC" w:rsidRPr="00052AAD" w:rsidP="00B324BC">
            <w:pPr>
              <w:bidi w:val="0"/>
              <w:rPr>
                <w:rFonts w:ascii="Times New Roman" w:hAnsi="Times New Roman"/>
                <w:iCs/>
                <w:color w:val="000000"/>
                <w:sz w:val="20"/>
                <w:szCs w:val="20"/>
              </w:rPr>
            </w:pPr>
            <w:r w:rsidRPr="00052AAD">
              <w:rPr>
                <w:rFonts w:ascii="Times New Roman" w:hAnsi="Times New Roman"/>
                <w:iCs/>
                <w:color w:val="000000"/>
                <w:sz w:val="20"/>
                <w:szCs w:val="20"/>
              </w:rPr>
              <w:t>Kohézny fond II. programové obdobie</w:t>
            </w:r>
          </w:p>
        </w:tc>
        <w:tc>
          <w:tcPr>
            <w:tcW w:w="102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865 560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1 070 058</w:t>
            </w:r>
          </w:p>
        </w:tc>
        <w:tc>
          <w:tcPr>
            <w:tcW w:w="116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386 080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346 188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iCs/>
                <w:color w:val="000000"/>
                <w:sz w:val="20"/>
                <w:szCs w:val="20"/>
              </w:rPr>
            </w:pPr>
            <w:r w:rsidRPr="00052AAD">
              <w:rPr>
                <w:rFonts w:ascii="Times New Roman" w:hAnsi="Times New Roman"/>
                <w:iCs/>
                <w:color w:val="000000"/>
                <w:sz w:val="20"/>
                <w:szCs w:val="20"/>
              </w:rPr>
              <w:t>212 146</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B324BC" w:rsidRPr="00052AAD" w:rsidP="00B324BC">
            <w:pPr>
              <w:bidi w:val="0"/>
              <w:jc w:val="right"/>
              <w:rPr>
                <w:rFonts w:ascii="Times New Roman" w:hAnsi="Times New Roman"/>
                <w:color w:val="000000"/>
                <w:sz w:val="20"/>
                <w:szCs w:val="20"/>
              </w:rPr>
            </w:pPr>
            <w:r w:rsidRPr="00052AAD">
              <w:rPr>
                <w:rFonts w:ascii="Times New Roman" w:hAnsi="Times New Roman"/>
                <w:color w:val="000000"/>
                <w:sz w:val="20"/>
                <w:szCs w:val="20"/>
              </w:rPr>
              <w:t>-683 978</w:t>
            </w:r>
          </w:p>
        </w:tc>
      </w:tr>
      <w:tr>
        <w:tblPrEx>
          <w:tblW w:w="9465" w:type="dxa"/>
          <w:jc w:val="center"/>
          <w:tblInd w:w="-572" w:type="dxa"/>
          <w:tblLayout w:type="fixed"/>
          <w:tblCellMar>
            <w:left w:w="70" w:type="dxa"/>
            <w:right w:w="70" w:type="dxa"/>
          </w:tblCellMar>
          <w:tblLook w:val="04A0"/>
        </w:tblPrEx>
        <w:trPr>
          <w:trHeight w:val="441"/>
          <w:jc w:val="center"/>
        </w:trPr>
        <w:tc>
          <w:tcPr>
            <w:tcW w:w="2448" w:type="dxa"/>
            <w:gridSpan w:val="2"/>
            <w:tcBorders>
              <w:top w:val="single" w:sz="4" w:space="0" w:color="auto"/>
              <w:left w:val="single" w:sz="4" w:space="0" w:color="auto"/>
              <w:bottom w:val="double" w:sz="6" w:space="0" w:color="auto"/>
              <w:right w:val="single" w:sz="4" w:space="0" w:color="auto"/>
            </w:tcBorders>
            <w:textDirection w:val="lrTb"/>
            <w:vAlign w:val="center"/>
            <w:hideMark/>
          </w:tcPr>
          <w:p w:rsidR="00B324BC" w:rsidRPr="00B324BC" w:rsidP="00D53700">
            <w:pPr>
              <w:bidi w:val="0"/>
              <w:rPr>
                <w:rFonts w:ascii="Times New Roman" w:hAnsi="Times New Roman"/>
                <w:b/>
                <w:bCs/>
                <w:color w:val="000000"/>
                <w:sz w:val="20"/>
                <w:szCs w:val="20"/>
              </w:rPr>
            </w:pPr>
            <w:r w:rsidRPr="00B324BC">
              <w:rPr>
                <w:rFonts w:ascii="Times New Roman" w:hAnsi="Times New Roman"/>
                <w:b/>
                <w:bCs/>
                <w:color w:val="000000"/>
                <w:sz w:val="20"/>
                <w:szCs w:val="20"/>
              </w:rPr>
              <w:t>Štrukturálne operácie</w:t>
            </w:r>
            <w:r w:rsidR="00D53700">
              <w:rPr>
                <w:rFonts w:ascii="Times New Roman" w:hAnsi="Times New Roman"/>
                <w:b/>
                <w:bCs/>
                <w:color w:val="000000"/>
                <w:sz w:val="20"/>
                <w:szCs w:val="20"/>
              </w:rPr>
              <w:t xml:space="preserve"> spolu</w:t>
            </w:r>
          </w:p>
        </w:tc>
        <w:tc>
          <w:tcPr>
            <w:tcW w:w="1029"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2 708 867</w:t>
            </w:r>
          </w:p>
        </w:tc>
        <w:tc>
          <w:tcPr>
            <w:tcW w:w="1276" w:type="dxa"/>
            <w:tcBorders>
              <w:top w:val="single" w:sz="4" w:space="0" w:color="auto"/>
              <w:left w:val="single" w:sz="4" w:space="0" w:color="auto"/>
              <w:bottom w:val="double" w:sz="6"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3 323 347</w:t>
            </w:r>
          </w:p>
        </w:tc>
        <w:tc>
          <w:tcPr>
            <w:tcW w:w="1168"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1 485 397</w:t>
            </w:r>
          </w:p>
        </w:tc>
        <w:tc>
          <w:tcPr>
            <w:tcW w:w="1276" w:type="dxa"/>
            <w:tcBorders>
              <w:top w:val="single" w:sz="4" w:space="0" w:color="auto"/>
              <w:left w:val="single" w:sz="4" w:space="0" w:color="auto"/>
              <w:bottom w:val="double" w:sz="6"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1 268 726</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874 926</w:t>
            </w:r>
          </w:p>
        </w:tc>
        <w:tc>
          <w:tcPr>
            <w:tcW w:w="1134" w:type="dxa"/>
            <w:tcBorders>
              <w:top w:val="single" w:sz="4" w:space="0" w:color="auto"/>
              <w:left w:val="single" w:sz="4" w:space="0" w:color="auto"/>
              <w:bottom w:val="double" w:sz="6"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color w:val="000000"/>
                <w:sz w:val="20"/>
                <w:szCs w:val="20"/>
              </w:rPr>
            </w:pPr>
            <w:r w:rsidRPr="00B324BC">
              <w:rPr>
                <w:rFonts w:ascii="Times New Roman" w:hAnsi="Times New Roman"/>
                <w:b/>
                <w:color w:val="000000"/>
                <w:sz w:val="20"/>
                <w:szCs w:val="20"/>
              </w:rPr>
              <w:t>-1 837 949</w:t>
            </w:r>
          </w:p>
        </w:tc>
      </w:tr>
      <w:tr>
        <w:tblPrEx>
          <w:tblW w:w="9465" w:type="dxa"/>
          <w:jc w:val="center"/>
          <w:tblInd w:w="-572" w:type="dxa"/>
          <w:tblLayout w:type="fixed"/>
          <w:tblCellMar>
            <w:left w:w="70" w:type="dxa"/>
            <w:right w:w="70" w:type="dxa"/>
          </w:tblCellMar>
          <w:tblLook w:val="04A0"/>
        </w:tblPrEx>
        <w:trPr>
          <w:trHeight w:val="180"/>
          <w:jc w:val="center"/>
        </w:trPr>
        <w:tc>
          <w:tcPr>
            <w:tcW w:w="2448" w:type="dxa"/>
            <w:gridSpan w:val="2"/>
            <w:tcBorders>
              <w:top w:val="double" w:sz="6" w:space="0" w:color="auto"/>
              <w:left w:val="single" w:sz="4" w:space="0" w:color="auto"/>
              <w:bottom w:val="single" w:sz="4" w:space="0" w:color="auto"/>
              <w:right w:val="single" w:sz="4" w:space="0" w:color="auto"/>
            </w:tcBorders>
            <w:textDirection w:val="lrTb"/>
            <w:vAlign w:val="center"/>
            <w:hideMark/>
          </w:tcPr>
          <w:p w:rsidR="00B324BC" w:rsidRPr="00B324BC" w:rsidP="00C554D5">
            <w:pPr>
              <w:bidi w:val="0"/>
              <w:rPr>
                <w:rFonts w:ascii="Times New Roman" w:hAnsi="Times New Roman"/>
                <w:b/>
                <w:bCs/>
                <w:color w:val="000000"/>
                <w:sz w:val="20"/>
                <w:szCs w:val="20"/>
              </w:rPr>
            </w:pPr>
            <w:r w:rsidRPr="00B324BC">
              <w:rPr>
                <w:rFonts w:ascii="Times New Roman" w:hAnsi="Times New Roman"/>
                <w:b/>
                <w:bCs/>
                <w:color w:val="000000"/>
                <w:sz w:val="20"/>
                <w:szCs w:val="20"/>
              </w:rPr>
              <w:t>Spolu prostriedky EÚ zaradené do výdavkov ŠR</w:t>
            </w:r>
          </w:p>
        </w:tc>
        <w:tc>
          <w:tcPr>
            <w:tcW w:w="1029"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3 343 890</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4 189 203</w:t>
            </w:r>
          </w:p>
        </w:tc>
        <w:tc>
          <w:tcPr>
            <w:tcW w:w="1168"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2 091 380</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1 892 656</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bCs/>
                <w:color w:val="000000"/>
                <w:sz w:val="20"/>
                <w:szCs w:val="20"/>
              </w:rPr>
            </w:pPr>
            <w:r w:rsidRPr="00B324BC">
              <w:rPr>
                <w:rFonts w:ascii="Times New Roman" w:hAnsi="Times New Roman"/>
                <w:b/>
                <w:bCs/>
                <w:color w:val="000000"/>
                <w:sz w:val="20"/>
                <w:szCs w:val="20"/>
              </w:rPr>
              <w:t>1 469 472</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hideMark/>
          </w:tcPr>
          <w:p w:rsidR="00B324BC" w:rsidRPr="00B324BC" w:rsidP="00B324BC">
            <w:pPr>
              <w:bidi w:val="0"/>
              <w:jc w:val="right"/>
              <w:rPr>
                <w:rFonts w:ascii="Times New Roman" w:hAnsi="Times New Roman"/>
                <w:b/>
                <w:color w:val="000000"/>
                <w:sz w:val="20"/>
                <w:szCs w:val="20"/>
              </w:rPr>
            </w:pPr>
            <w:r w:rsidRPr="00B324BC">
              <w:rPr>
                <w:rFonts w:ascii="Times New Roman" w:hAnsi="Times New Roman"/>
                <w:b/>
                <w:color w:val="000000"/>
                <w:sz w:val="20"/>
                <w:szCs w:val="20"/>
              </w:rPr>
              <w:t>-2 097 823</w:t>
            </w:r>
          </w:p>
        </w:tc>
      </w:tr>
      <w:tr>
        <w:tblPrEx>
          <w:tblW w:w="9465" w:type="dxa"/>
          <w:jc w:val="center"/>
          <w:tblInd w:w="-572" w:type="dxa"/>
          <w:tblLayout w:type="fixed"/>
          <w:tblCellMar>
            <w:left w:w="70" w:type="dxa"/>
            <w:right w:w="70" w:type="dxa"/>
          </w:tblCellMar>
          <w:tblLook w:val="04A0"/>
        </w:tblPrEx>
        <w:trPr>
          <w:gridBefore w:val="1"/>
          <w:gridAfter w:val="6"/>
          <w:wBefore w:w="627" w:type="dxa"/>
          <w:wAfter w:w="6218" w:type="dxa"/>
          <w:trHeight w:val="270"/>
          <w:jc w:val="center"/>
        </w:trPr>
        <w:tc>
          <w:tcPr>
            <w:tcW w:w="2620" w:type="dxa"/>
            <w:gridSpan w:val="2"/>
            <w:tcBorders>
              <w:top w:val="single" w:sz="4" w:space="0" w:color="auto"/>
              <w:left w:val="nil"/>
              <w:bottom w:val="nil"/>
              <w:right w:val="nil"/>
            </w:tcBorders>
            <w:noWrap/>
            <w:textDirection w:val="lrTb"/>
            <w:vAlign w:val="bottom"/>
            <w:hideMark/>
          </w:tcPr>
          <w:p w:rsidR="00D53700" w:rsidRPr="008E5AFC" w:rsidP="00CE7357">
            <w:pPr>
              <w:bidi w:val="0"/>
              <w:rPr>
                <w:rFonts w:ascii="Times New Roman" w:hAnsi="Times New Roman"/>
                <w:iCs/>
                <w:sz w:val="18"/>
                <w:szCs w:val="18"/>
              </w:rPr>
            </w:pPr>
            <w:r w:rsidRPr="008E5AFC">
              <w:rPr>
                <w:rFonts w:ascii="Times New Roman" w:hAnsi="Times New Roman"/>
                <w:iCs/>
                <w:sz w:val="18"/>
                <w:szCs w:val="18"/>
              </w:rPr>
              <w:t>Zdroj: Ministerstvo financií SR</w:t>
            </w:r>
          </w:p>
        </w:tc>
      </w:tr>
    </w:tbl>
    <w:p w:rsidR="00F65240" w:rsidP="008B5CB3">
      <w:pPr>
        <w:bidi w:val="0"/>
        <w:spacing w:before="120" w:after="120" w:line="360" w:lineRule="auto"/>
        <w:jc w:val="both"/>
        <w:rPr>
          <w:rFonts w:ascii="Times New Roman" w:hAnsi="Times New Roman"/>
        </w:rPr>
      </w:pPr>
      <w:r w:rsidR="00B57C93">
        <w:rPr>
          <w:rFonts w:ascii="Times New Roman" w:hAnsi="Times New Roman"/>
        </w:rPr>
        <w:t xml:space="preserve">K prostriedkom EÚ zaradeným do výdavkov štátneho rozpočtu boli pomerne rozpočtované výdavky na spolufinancovanie v objeme 661 155 tis. eur, upravené o nevyčerpané výdavky z predchádzajúcich rokov na úroveň 880 163 tis. eur. Čerpanie výdavkov bolo rovnomerné s čerpaním prostriedkov EÚ. Objemom 454 155 tis. eur predstavuje čerpanie medziročný rast výdavkov o 44 204 tis. eur. </w:t>
      </w:r>
    </w:p>
    <w:p w:rsidR="006858F5" w:rsidP="00F65240">
      <w:pPr>
        <w:bidi w:val="0"/>
        <w:spacing w:line="360" w:lineRule="auto"/>
        <w:jc w:val="both"/>
        <w:rPr>
          <w:rFonts w:ascii="Times New Roman" w:hAnsi="Times New Roman"/>
        </w:rPr>
      </w:pPr>
      <w:r w:rsidR="00B57C93">
        <w:rPr>
          <w:rFonts w:ascii="Times New Roman" w:hAnsi="Times New Roman"/>
        </w:rPr>
        <w:t xml:space="preserve">Čerpanie výdavkov na spolufinancovanie k prostriedkom EÚ </w:t>
      </w:r>
      <w:r w:rsidR="008B5CB3">
        <w:rPr>
          <w:rFonts w:ascii="Times New Roman" w:hAnsi="Times New Roman"/>
        </w:rPr>
        <w:t>poskytuje nasledovná tabuľka</w:t>
      </w:r>
      <w:r>
        <w:rPr>
          <w:rFonts w:ascii="Times New Roman" w:hAnsi="Times New Roman"/>
        </w:rPr>
        <w:t>:</w:t>
      </w:r>
    </w:p>
    <w:tbl>
      <w:tblPr>
        <w:tblStyle w:val="TableNormal"/>
        <w:tblW w:w="9796" w:type="dxa"/>
        <w:jc w:val="center"/>
        <w:tblCellMar>
          <w:left w:w="70" w:type="dxa"/>
          <w:right w:w="70" w:type="dxa"/>
        </w:tblCellMar>
        <w:tblLook w:val="04A0"/>
      </w:tblPr>
      <w:tblGrid>
        <w:gridCol w:w="2620"/>
        <w:gridCol w:w="460"/>
        <w:gridCol w:w="431"/>
        <w:gridCol w:w="752"/>
        <w:gridCol w:w="119"/>
        <w:gridCol w:w="840"/>
        <w:gridCol w:w="175"/>
        <w:gridCol w:w="665"/>
        <w:gridCol w:w="469"/>
        <w:gridCol w:w="371"/>
        <w:gridCol w:w="763"/>
        <w:gridCol w:w="900"/>
        <w:gridCol w:w="234"/>
        <w:gridCol w:w="486"/>
        <w:gridCol w:w="511"/>
      </w:tblGrid>
      <w:tr>
        <w:tblPrEx>
          <w:tblW w:w="9796" w:type="dxa"/>
          <w:jc w:val="center"/>
          <w:tblCellMar>
            <w:left w:w="70" w:type="dxa"/>
            <w:right w:w="70" w:type="dxa"/>
          </w:tblCellMar>
          <w:tblLook w:val="04A0"/>
        </w:tblPrEx>
        <w:trPr>
          <w:trHeight w:val="345"/>
          <w:jc w:val="center"/>
        </w:trPr>
        <w:tc>
          <w:tcPr>
            <w:tcW w:w="3080" w:type="dxa"/>
            <w:gridSpan w:val="2"/>
            <w:vMerge w:val="restart"/>
            <w:tcBorders>
              <w:top w:val="single" w:sz="8" w:space="0" w:color="FFFFFF"/>
              <w:left w:val="single" w:sz="8" w:space="0" w:color="FFFFFF"/>
              <w:bottom w:val="none" w:sz="0" w:space="0" w:color="auto"/>
              <w:right w:val="single" w:sz="8" w:space="0" w:color="FFFFFF"/>
            </w:tcBorders>
            <w:shd w:val="clear" w:color="auto" w:fill="000000"/>
            <w:noWrap/>
            <w:textDirection w:val="lrTb"/>
            <w:vAlign w:val="center"/>
            <w:hideMark/>
          </w:tcPr>
          <w:p w:rsidR="00052AAD" w:rsidP="00BC453D">
            <w:pPr>
              <w:bidi w:val="0"/>
              <w:jc w:val="center"/>
              <w:rPr>
                <w:rFonts w:ascii="Times New Roman" w:hAnsi="Times New Roman"/>
                <w:b/>
                <w:color w:val="FFFFFF"/>
                <w:sz w:val="20"/>
                <w:szCs w:val="20"/>
              </w:rPr>
            </w:pPr>
          </w:p>
          <w:p w:rsidR="004F0DFA" w:rsidRPr="004F0DFA" w:rsidP="00BC453D">
            <w:pPr>
              <w:bidi w:val="0"/>
              <w:jc w:val="center"/>
              <w:rPr>
                <w:rFonts w:ascii="Times New Roman" w:hAnsi="Times New Roman"/>
                <w:color w:val="FFFFFF"/>
                <w:sz w:val="20"/>
                <w:szCs w:val="20"/>
              </w:rPr>
            </w:pPr>
            <w:r w:rsidRPr="004F0DFA">
              <w:rPr>
                <w:rFonts w:ascii="Times New Roman" w:hAnsi="Times New Roman"/>
                <w:b/>
                <w:color w:val="FFFFFF"/>
                <w:sz w:val="20"/>
                <w:szCs w:val="20"/>
              </w:rPr>
              <w:t>Ukazovate</w:t>
            </w:r>
            <w:r w:rsidRPr="004F0DFA">
              <w:rPr>
                <w:rFonts w:ascii="Times New Roman" w:hAnsi="Times New Roman"/>
                <w:color w:val="FFFFFF"/>
                <w:sz w:val="20"/>
                <w:szCs w:val="20"/>
              </w:rPr>
              <w:t>ľ</w:t>
            </w:r>
          </w:p>
          <w:p w:rsidR="004F0DFA" w:rsidRPr="004F2313" w:rsidP="00BC453D">
            <w:pPr>
              <w:bidi w:val="0"/>
              <w:rPr>
                <w:rFonts w:ascii="Times New Roman" w:hAnsi="Times New Roman"/>
                <w:b/>
                <w:color w:val="FFFFFF"/>
                <w:sz w:val="20"/>
                <w:szCs w:val="20"/>
              </w:rPr>
            </w:pPr>
            <w:r w:rsidR="004F2313">
              <w:rPr>
                <w:rFonts w:ascii="Times New Roman" w:hAnsi="Times New Roman"/>
                <w:b/>
                <w:color w:val="FFFFFF"/>
                <w:sz w:val="20"/>
                <w:szCs w:val="20"/>
              </w:rPr>
              <w:t>(v tis</w:t>
            </w:r>
            <w:r w:rsidRPr="004F2313">
              <w:rPr>
                <w:rFonts w:ascii="Times New Roman" w:hAnsi="Times New Roman"/>
                <w:b/>
                <w:color w:val="FFFFFF"/>
                <w:sz w:val="20"/>
                <w:szCs w:val="20"/>
              </w:rPr>
              <w:t>.</w:t>
            </w:r>
            <w:r w:rsidR="004F2313">
              <w:rPr>
                <w:rFonts w:ascii="Times New Roman" w:hAnsi="Times New Roman"/>
                <w:b/>
                <w:color w:val="FFFFFF"/>
                <w:sz w:val="20"/>
                <w:szCs w:val="20"/>
              </w:rPr>
              <w:t xml:space="preserve"> </w:t>
            </w:r>
            <w:r w:rsidRPr="004F2313">
              <w:rPr>
                <w:rFonts w:ascii="Times New Roman" w:hAnsi="Times New Roman"/>
                <w:b/>
                <w:color w:val="FFFFFF"/>
                <w:sz w:val="20"/>
                <w:szCs w:val="20"/>
              </w:rPr>
              <w:t>eur)</w:t>
            </w:r>
          </w:p>
          <w:p w:rsidR="004F0DFA" w:rsidRPr="004F0DFA" w:rsidP="00BC453D">
            <w:pPr>
              <w:bidi w:val="0"/>
              <w:jc w:val="center"/>
              <w:rPr>
                <w:rFonts w:ascii="Times New Roman" w:hAnsi="Times New Roman"/>
                <w:color w:val="FFFFFF"/>
                <w:sz w:val="20"/>
                <w:szCs w:val="20"/>
              </w:rPr>
            </w:pPr>
          </w:p>
        </w:tc>
        <w:tc>
          <w:tcPr>
            <w:tcW w:w="2317" w:type="dxa"/>
            <w:gridSpan w:val="5"/>
            <w:tcBorders>
              <w:top w:val="single" w:sz="8" w:space="0" w:color="FFFFFF"/>
              <w:left w:val="single" w:sz="8" w:space="0" w:color="FFFFFF"/>
              <w:bottom w:val="single" w:sz="8" w:space="0" w:color="FFFFFF"/>
              <w:right w:val="single" w:sz="8" w:space="0" w:color="FFFFFF"/>
            </w:tcBorders>
            <w:shd w:val="clear" w:color="auto" w:fill="000000"/>
            <w:noWrap/>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Rozpočet 2011</w:t>
            </w:r>
          </w:p>
        </w:tc>
        <w:tc>
          <w:tcPr>
            <w:tcW w:w="3402" w:type="dxa"/>
            <w:gridSpan w:val="6"/>
            <w:tcBorders>
              <w:top w:val="single" w:sz="8" w:space="0" w:color="FFFFFF"/>
              <w:left w:val="single" w:sz="8" w:space="0" w:color="FFFFFF"/>
              <w:bottom w:val="single" w:sz="8" w:space="0" w:color="FFFFFF"/>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 xml:space="preserve">Skutočnosť </w:t>
            </w:r>
          </w:p>
        </w:tc>
        <w:tc>
          <w:tcPr>
            <w:tcW w:w="997" w:type="dxa"/>
            <w:gridSpan w:val="2"/>
            <w:vMerge w:val="restart"/>
            <w:tcBorders>
              <w:top w:val="single" w:sz="8" w:space="0" w:color="auto"/>
              <w:left w:val="single" w:sz="8" w:space="0" w:color="FFFFFF"/>
              <w:bottom w:val="single" w:sz="8" w:space="0" w:color="000000"/>
              <w:right w:val="single" w:sz="8" w:space="0" w:color="auto"/>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Rozdiel</w:t>
            </w:r>
          </w:p>
        </w:tc>
      </w:tr>
      <w:tr>
        <w:tblPrEx>
          <w:tblW w:w="9796" w:type="dxa"/>
          <w:jc w:val="center"/>
          <w:tblCellMar>
            <w:left w:w="70" w:type="dxa"/>
            <w:right w:w="70" w:type="dxa"/>
          </w:tblCellMar>
          <w:tblLook w:val="04A0"/>
        </w:tblPrEx>
        <w:trPr>
          <w:trHeight w:val="514"/>
          <w:jc w:val="center"/>
        </w:trPr>
        <w:tc>
          <w:tcPr>
            <w:tcW w:w="3080" w:type="dxa"/>
            <w:gridSpan w:val="2"/>
            <w:vMerge/>
            <w:tcBorders>
              <w:top w:val="none" w:sz="0" w:space="0" w:color="auto"/>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rPr>
                <w:rFonts w:ascii="Times New Roman" w:hAnsi="Times New Roman"/>
                <w:color w:val="FFFFFF"/>
                <w:sz w:val="20"/>
                <w:szCs w:val="20"/>
              </w:rPr>
            </w:pPr>
          </w:p>
        </w:tc>
        <w:tc>
          <w:tcPr>
            <w:tcW w:w="1183"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schválený</w:t>
            </w:r>
          </w:p>
        </w:tc>
        <w:tc>
          <w:tcPr>
            <w:tcW w:w="1134" w:type="dxa"/>
            <w:gridSpan w:val="3"/>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upravený</w:t>
            </w: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2011</w:t>
            </w: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2010</w:t>
            </w:r>
          </w:p>
        </w:tc>
        <w:tc>
          <w:tcPr>
            <w:tcW w:w="1134" w:type="dxa"/>
            <w:gridSpan w:val="2"/>
            <w:tcBorders>
              <w:top w:val="single" w:sz="8" w:space="0" w:color="FFFFFF"/>
              <w:left w:val="single" w:sz="8" w:space="0" w:color="FFFFFF"/>
              <w:bottom w:val="single" w:sz="4" w:space="0" w:color="auto"/>
              <w:right w:val="single" w:sz="8" w:space="0" w:color="FFFFFF"/>
            </w:tcBorders>
            <w:shd w:val="clear" w:color="auto" w:fill="000000"/>
            <w:textDirection w:val="lrTb"/>
            <w:vAlign w:val="center"/>
            <w:hideMark/>
          </w:tcPr>
          <w:p w:rsidR="004F0DFA" w:rsidRPr="004F0DFA" w:rsidP="008E5AFC">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2009</w:t>
            </w:r>
          </w:p>
        </w:tc>
        <w:tc>
          <w:tcPr>
            <w:tcW w:w="997" w:type="dxa"/>
            <w:gridSpan w:val="2"/>
            <w:vMerge/>
            <w:tcBorders>
              <w:top w:val="single" w:sz="8" w:space="0" w:color="auto"/>
              <w:left w:val="single" w:sz="8" w:space="0" w:color="FFFFFF"/>
              <w:bottom w:val="single" w:sz="4" w:space="0" w:color="auto"/>
              <w:right w:val="single" w:sz="8" w:space="0" w:color="auto"/>
            </w:tcBorders>
            <w:textDirection w:val="lrTb"/>
            <w:vAlign w:val="center"/>
            <w:hideMark/>
          </w:tcPr>
          <w:p w:rsidR="004F0DFA" w:rsidRPr="004F0DFA" w:rsidP="008E5AFC">
            <w:pPr>
              <w:bidi w:val="0"/>
              <w:rPr>
                <w:rFonts w:ascii="Times New Roman" w:hAnsi="Times New Roman"/>
                <w:b/>
                <w:bCs/>
                <w:color w:val="000000"/>
                <w:sz w:val="20"/>
                <w:szCs w:val="20"/>
              </w:rPr>
            </w:pP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8E5AFC" w:rsidRPr="004F0DFA" w:rsidP="00706A99">
            <w:pPr>
              <w:bidi w:val="0"/>
              <w:jc w:val="center"/>
              <w:rPr>
                <w:rFonts w:ascii="Times New Roman" w:hAnsi="Times New Roman"/>
                <w:color w:val="000000"/>
                <w:sz w:val="20"/>
                <w:szCs w:val="2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5</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8E5AFC" w:rsidRPr="004F0DFA" w:rsidP="008E5AFC">
            <w:pPr>
              <w:bidi w:val="0"/>
              <w:jc w:val="center"/>
              <w:rPr>
                <w:rFonts w:ascii="Times New Roman" w:hAnsi="Times New Roman"/>
                <w:b/>
                <w:bCs/>
                <w:color w:val="000000"/>
                <w:sz w:val="20"/>
                <w:szCs w:val="20"/>
              </w:rPr>
            </w:pPr>
            <w:r w:rsidRPr="004F0DFA">
              <w:rPr>
                <w:rFonts w:ascii="Times New Roman" w:hAnsi="Times New Roman"/>
                <w:b/>
                <w:bCs/>
                <w:color w:val="000000"/>
                <w:sz w:val="20"/>
                <w:szCs w:val="20"/>
              </w:rPr>
              <w:t>6=3-2</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Záručná sekcia EPUZF</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485</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0C5094">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EPZF priame platby</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79 387</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86 834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86 834</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93 903</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137 057</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EPZF trhovo orientované výdavky</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3 222</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3 205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3 205</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2 719</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2 189</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EPFRV</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99 796</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171 363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95 113</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113 309</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100 101</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-76 250</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EF pre rybné hospodárstvo</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1 001</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1 692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452</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516</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165</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-1 240</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b/>
                <w:color w:val="000000"/>
                <w:sz w:val="20"/>
                <w:szCs w:val="20"/>
              </w:rPr>
            </w:pPr>
            <w:r w:rsidRPr="00F65240">
              <w:rPr>
                <w:rFonts w:ascii="Times New Roman" w:hAnsi="Times New Roman"/>
                <w:b/>
                <w:color w:val="000000"/>
                <w:sz w:val="20"/>
                <w:szCs w:val="20"/>
              </w:rPr>
              <w:t>Poľnohospodárske fondy spolu</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183 406</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263 094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185 604</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210 447</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239 997</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iCs/>
                <w:color w:val="000000"/>
                <w:sz w:val="20"/>
                <w:szCs w:val="20"/>
              </w:rPr>
            </w:pPr>
            <w:r w:rsidRPr="00F65240">
              <w:rPr>
                <w:rFonts w:ascii="Times New Roman" w:hAnsi="Times New Roman"/>
                <w:b/>
                <w:bCs/>
                <w:iCs/>
                <w:color w:val="000000"/>
                <w:sz w:val="20"/>
                <w:szCs w:val="20"/>
              </w:rPr>
              <w:t>-77 490</w:t>
            </w:r>
          </w:p>
        </w:tc>
      </w:tr>
      <w:tr>
        <w:tblPrEx>
          <w:tblW w:w="9796" w:type="dxa"/>
          <w:jc w:val="center"/>
          <w:tblCellMar>
            <w:left w:w="70" w:type="dxa"/>
            <w:right w:w="70" w:type="dxa"/>
          </w:tblCellMar>
          <w:tblLook w:val="04A0"/>
        </w:tblPrEx>
        <w:trPr>
          <w:trHeight w:val="52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Štrukturálne fondy I. programové obdobie</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583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1 376</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50 364</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-583</w:t>
            </w:r>
          </w:p>
        </w:tc>
      </w:tr>
      <w:tr>
        <w:tblPrEx>
          <w:tblW w:w="9796" w:type="dxa"/>
          <w:jc w:val="center"/>
          <w:tblCellMar>
            <w:left w:w="70" w:type="dxa"/>
            <w:right w:w="70" w:type="dxa"/>
          </w:tblCellMar>
          <w:tblLook w:val="04A0"/>
        </w:tblPrEx>
        <w:trPr>
          <w:trHeight w:val="52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Štrukturálne fondy II. programové obdobie</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344 135</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437 706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205 598</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131 513</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72 079</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-232 108</w:t>
            </w:r>
          </w:p>
        </w:tc>
      </w:tr>
      <w:tr>
        <w:tblPrEx>
          <w:tblW w:w="9796" w:type="dxa"/>
          <w:jc w:val="center"/>
          <w:tblCellMar>
            <w:left w:w="70" w:type="dxa"/>
            <w:right w:w="70" w:type="dxa"/>
          </w:tblCellMar>
          <w:tblLook w:val="04A0"/>
        </w:tblPrEx>
        <w:trPr>
          <w:trHeight w:val="52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Kohézny fond I. programové obdobie</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734</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8 651</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33 623</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-64</w:t>
            </w:r>
          </w:p>
        </w:tc>
      </w:tr>
      <w:tr>
        <w:tblPrEx>
          <w:tblW w:w="9796" w:type="dxa"/>
          <w:jc w:val="center"/>
          <w:tblCellMar>
            <w:left w:w="70" w:type="dxa"/>
            <w:right w:w="70" w:type="dxa"/>
          </w:tblCellMar>
          <w:tblLook w:val="04A0"/>
        </w:tblPrEx>
        <w:trPr>
          <w:trHeight w:val="525"/>
          <w:jc w:val="center"/>
        </w:trPr>
        <w:tc>
          <w:tcPr>
            <w:tcW w:w="30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iCs/>
                <w:color w:val="000000"/>
                <w:sz w:val="20"/>
                <w:szCs w:val="20"/>
              </w:rPr>
            </w:pPr>
            <w:r w:rsidRPr="00F65240">
              <w:rPr>
                <w:rFonts w:ascii="Times New Roman" w:hAnsi="Times New Roman"/>
                <w:iCs/>
                <w:color w:val="000000"/>
                <w:sz w:val="20"/>
                <w:szCs w:val="20"/>
              </w:rPr>
              <w:t>Kohézny fond II. programové obdobie</w:t>
            </w:r>
          </w:p>
        </w:tc>
        <w:tc>
          <w:tcPr>
            <w:tcW w:w="1183"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133 614</w:t>
            </w:r>
          </w:p>
        </w:tc>
        <w:tc>
          <w:tcPr>
            <w:tcW w:w="1134" w:type="dxa"/>
            <w:gridSpan w:val="3"/>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177 982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62 219</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57 964</w:t>
            </w:r>
          </w:p>
        </w:tc>
        <w:tc>
          <w:tcPr>
            <w:tcW w:w="1134"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36 588</w:t>
            </w:r>
          </w:p>
        </w:tc>
        <w:tc>
          <w:tcPr>
            <w:tcW w:w="997"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iCs/>
                <w:color w:val="000000"/>
                <w:sz w:val="20"/>
                <w:szCs w:val="20"/>
              </w:rPr>
            </w:pPr>
            <w:r w:rsidRPr="00F65240">
              <w:rPr>
                <w:rFonts w:ascii="Times New Roman" w:hAnsi="Times New Roman"/>
                <w:iCs/>
                <w:color w:val="000000"/>
                <w:sz w:val="20"/>
                <w:szCs w:val="20"/>
              </w:rPr>
              <w:t>-115 763</w:t>
            </w:r>
          </w:p>
        </w:tc>
      </w:tr>
      <w:tr>
        <w:tblPrEx>
          <w:tblW w:w="9796" w:type="dxa"/>
          <w:jc w:val="center"/>
          <w:tblCellMar>
            <w:left w:w="70" w:type="dxa"/>
            <w:right w:w="70" w:type="dxa"/>
          </w:tblCellMar>
          <w:tblLook w:val="04A0"/>
        </w:tblPrEx>
        <w:trPr>
          <w:trHeight w:val="345"/>
          <w:jc w:val="center"/>
        </w:trPr>
        <w:tc>
          <w:tcPr>
            <w:tcW w:w="3080" w:type="dxa"/>
            <w:gridSpan w:val="2"/>
            <w:tcBorders>
              <w:top w:val="single" w:sz="4" w:space="0" w:color="auto"/>
              <w:left w:val="single" w:sz="4" w:space="0" w:color="auto"/>
              <w:bottom w:val="double" w:sz="6" w:space="0" w:color="auto"/>
              <w:right w:val="single" w:sz="4" w:space="0" w:color="auto"/>
            </w:tcBorders>
            <w:textDirection w:val="lrTb"/>
            <w:vAlign w:val="center"/>
            <w:hideMark/>
          </w:tcPr>
          <w:p w:rsidR="00F65240" w:rsidRPr="00F65240" w:rsidP="00F65240">
            <w:pPr>
              <w:bidi w:val="0"/>
              <w:rPr>
                <w:rFonts w:ascii="Times New Roman" w:hAnsi="Times New Roman"/>
                <w:b/>
                <w:color w:val="000000"/>
                <w:sz w:val="20"/>
                <w:szCs w:val="20"/>
              </w:rPr>
            </w:pPr>
            <w:r w:rsidRPr="00F65240">
              <w:rPr>
                <w:rFonts w:ascii="Times New Roman" w:hAnsi="Times New Roman"/>
                <w:b/>
                <w:color w:val="000000"/>
                <w:sz w:val="20"/>
                <w:szCs w:val="20"/>
              </w:rPr>
              <w:t>Štrukturálne operácie spolu</w:t>
            </w:r>
          </w:p>
        </w:tc>
        <w:tc>
          <w:tcPr>
            <w:tcW w:w="1183"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F65240" w:rsidRPr="00F65240" w:rsidP="0053060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477 749</w:t>
            </w:r>
          </w:p>
        </w:tc>
        <w:tc>
          <w:tcPr>
            <w:tcW w:w="1134" w:type="dxa"/>
            <w:gridSpan w:val="3"/>
            <w:tcBorders>
              <w:top w:val="single" w:sz="4" w:space="0" w:color="auto"/>
              <w:left w:val="single" w:sz="4" w:space="0" w:color="auto"/>
              <w:bottom w:val="double" w:sz="6" w:space="0" w:color="auto"/>
              <w:right w:val="single" w:sz="4" w:space="0" w:color="auto"/>
            </w:tcBorders>
            <w:noWrap/>
            <w:textDirection w:val="lrTb"/>
            <w:vAlign w:val="center"/>
            <w:hideMark/>
          </w:tcPr>
          <w:p w:rsidR="00F65240" w:rsidRPr="00F65240" w:rsidP="0053060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617 069</w:t>
            </w:r>
          </w:p>
        </w:tc>
        <w:tc>
          <w:tcPr>
            <w:tcW w:w="1134" w:type="dxa"/>
            <w:gridSpan w:val="2"/>
            <w:tcBorders>
              <w:top w:val="single" w:sz="4" w:space="0" w:color="auto"/>
              <w:left w:val="single" w:sz="4" w:space="0" w:color="auto"/>
              <w:bottom w:val="double" w:sz="6" w:space="0" w:color="auto"/>
              <w:right w:val="single" w:sz="4" w:space="0" w:color="auto"/>
            </w:tcBorders>
            <w:shd w:val="clear" w:color="auto" w:fill="D9D9D9"/>
            <w:noWrap/>
            <w:textDirection w:val="lrTb"/>
            <w:vAlign w:val="center"/>
            <w:hideMark/>
          </w:tcPr>
          <w:p w:rsidR="00F65240" w:rsidRPr="00F65240" w:rsidP="0053060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268 551</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F65240" w:rsidRPr="00F65240" w:rsidP="0053060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199 504</w:t>
            </w:r>
          </w:p>
        </w:tc>
        <w:tc>
          <w:tcPr>
            <w:tcW w:w="1134"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F65240" w:rsidRPr="00F65240" w:rsidP="0053060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192 654</w:t>
            </w:r>
          </w:p>
        </w:tc>
        <w:tc>
          <w:tcPr>
            <w:tcW w:w="997" w:type="dxa"/>
            <w:gridSpan w:val="2"/>
            <w:tcBorders>
              <w:top w:val="single" w:sz="4" w:space="0" w:color="auto"/>
              <w:left w:val="single" w:sz="4" w:space="0" w:color="auto"/>
              <w:bottom w:val="double" w:sz="6" w:space="0" w:color="auto"/>
              <w:right w:val="single" w:sz="4" w:space="0" w:color="auto"/>
            </w:tcBorders>
            <w:noWrap/>
            <w:textDirection w:val="lrTb"/>
            <w:vAlign w:val="center"/>
            <w:hideMark/>
          </w:tcPr>
          <w:p w:rsidR="00F65240" w:rsidRPr="00F65240" w:rsidP="0053060C">
            <w:pPr>
              <w:bidi w:val="0"/>
              <w:jc w:val="right"/>
              <w:rPr>
                <w:rFonts w:ascii="Times New Roman" w:hAnsi="Times New Roman"/>
                <w:b/>
                <w:bCs/>
                <w:iCs/>
                <w:color w:val="000000"/>
                <w:sz w:val="20"/>
                <w:szCs w:val="20"/>
              </w:rPr>
            </w:pPr>
            <w:r w:rsidRPr="00F65240">
              <w:rPr>
                <w:rFonts w:ascii="Times New Roman" w:hAnsi="Times New Roman"/>
                <w:b/>
                <w:bCs/>
                <w:iCs/>
                <w:color w:val="000000"/>
                <w:sz w:val="20"/>
                <w:szCs w:val="20"/>
              </w:rPr>
              <w:t>-348 518</w:t>
            </w:r>
          </w:p>
        </w:tc>
      </w:tr>
      <w:tr>
        <w:tblPrEx>
          <w:tblW w:w="9796" w:type="dxa"/>
          <w:jc w:val="center"/>
          <w:tblCellMar>
            <w:left w:w="70" w:type="dxa"/>
            <w:right w:w="70" w:type="dxa"/>
          </w:tblCellMar>
          <w:tblLook w:val="04A0"/>
        </w:tblPrEx>
        <w:trPr>
          <w:trHeight w:val="795"/>
          <w:jc w:val="center"/>
        </w:trPr>
        <w:tc>
          <w:tcPr>
            <w:tcW w:w="3080" w:type="dxa"/>
            <w:gridSpan w:val="2"/>
            <w:tcBorders>
              <w:top w:val="double" w:sz="6" w:space="0" w:color="auto"/>
              <w:left w:val="single" w:sz="4" w:space="0" w:color="auto"/>
              <w:bottom w:val="single" w:sz="4" w:space="0" w:color="auto"/>
              <w:right w:val="single" w:sz="4" w:space="0" w:color="auto"/>
            </w:tcBorders>
            <w:textDirection w:val="lrTb"/>
            <w:vAlign w:val="center"/>
            <w:hideMark/>
          </w:tcPr>
          <w:p w:rsidR="008E5AFC" w:rsidRPr="00F65240" w:rsidP="008E5AFC">
            <w:pPr>
              <w:bidi w:val="0"/>
              <w:rPr>
                <w:rFonts w:ascii="Times New Roman" w:hAnsi="Times New Roman"/>
                <w:b/>
                <w:bCs/>
                <w:color w:val="000000"/>
                <w:sz w:val="20"/>
                <w:szCs w:val="20"/>
              </w:rPr>
            </w:pPr>
            <w:r w:rsidRPr="00F65240">
              <w:rPr>
                <w:rFonts w:ascii="Times New Roman" w:hAnsi="Times New Roman"/>
                <w:b/>
                <w:bCs/>
                <w:color w:val="000000"/>
                <w:sz w:val="20"/>
                <w:szCs w:val="20"/>
              </w:rPr>
              <w:t>Spolu spol</w:t>
            </w:r>
            <w:r w:rsidR="00F65240">
              <w:rPr>
                <w:rFonts w:ascii="Times New Roman" w:hAnsi="Times New Roman"/>
                <w:b/>
                <w:bCs/>
                <w:color w:val="000000"/>
                <w:sz w:val="20"/>
                <w:szCs w:val="20"/>
              </w:rPr>
              <w:t>ufinancovanie k prostriedkom EÚ</w:t>
            </w:r>
            <w:r w:rsidRPr="00F65240">
              <w:rPr>
                <w:rFonts w:ascii="Times New Roman" w:hAnsi="Times New Roman"/>
                <w:b/>
                <w:bCs/>
                <w:color w:val="000000"/>
                <w:sz w:val="20"/>
                <w:szCs w:val="20"/>
              </w:rPr>
              <w:t xml:space="preserve"> zaradeným do výdavkov ŠR</w:t>
            </w:r>
          </w:p>
        </w:tc>
        <w:tc>
          <w:tcPr>
            <w:tcW w:w="1183"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661 155</w:t>
            </w:r>
          </w:p>
        </w:tc>
        <w:tc>
          <w:tcPr>
            <w:tcW w:w="1134" w:type="dxa"/>
            <w:gridSpan w:val="3"/>
            <w:tcBorders>
              <w:top w:val="double" w:sz="6"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880 163</w:t>
            </w:r>
          </w:p>
        </w:tc>
        <w:tc>
          <w:tcPr>
            <w:tcW w:w="1134" w:type="dxa"/>
            <w:gridSpan w:val="2"/>
            <w:tcBorders>
              <w:top w:val="double" w:sz="6" w:space="0" w:color="auto"/>
              <w:left w:val="single" w:sz="4" w:space="0" w:color="auto"/>
              <w:bottom w:val="single" w:sz="4" w:space="0" w:color="auto"/>
              <w:right w:val="single" w:sz="4" w:space="0" w:color="auto"/>
            </w:tcBorders>
            <w:shd w:val="clear" w:color="auto" w:fill="D9D9D9"/>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454 155</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409 951</w:t>
            </w:r>
          </w:p>
        </w:tc>
        <w:tc>
          <w:tcPr>
            <w:tcW w:w="1134"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color w:val="000000"/>
                <w:sz w:val="20"/>
                <w:szCs w:val="20"/>
              </w:rPr>
            </w:pPr>
            <w:r w:rsidRPr="00F65240">
              <w:rPr>
                <w:rFonts w:ascii="Times New Roman" w:hAnsi="Times New Roman"/>
                <w:b/>
                <w:bCs/>
                <w:color w:val="000000"/>
                <w:sz w:val="20"/>
                <w:szCs w:val="20"/>
              </w:rPr>
              <w:t>432 651</w:t>
            </w:r>
          </w:p>
        </w:tc>
        <w:tc>
          <w:tcPr>
            <w:tcW w:w="997" w:type="dxa"/>
            <w:gridSpan w:val="2"/>
            <w:tcBorders>
              <w:top w:val="double" w:sz="6" w:space="0" w:color="auto"/>
              <w:left w:val="single" w:sz="4" w:space="0" w:color="auto"/>
              <w:bottom w:val="single" w:sz="4" w:space="0" w:color="auto"/>
              <w:right w:val="single" w:sz="4" w:space="0" w:color="auto"/>
            </w:tcBorders>
            <w:noWrap/>
            <w:textDirection w:val="lrTb"/>
            <w:vAlign w:val="center"/>
            <w:hideMark/>
          </w:tcPr>
          <w:p w:rsidR="008E5AFC" w:rsidRPr="00F65240" w:rsidP="008E5AFC">
            <w:pPr>
              <w:bidi w:val="0"/>
              <w:jc w:val="right"/>
              <w:rPr>
                <w:rFonts w:ascii="Times New Roman" w:hAnsi="Times New Roman"/>
                <w:b/>
                <w:bCs/>
                <w:iCs/>
                <w:color w:val="000000"/>
                <w:sz w:val="20"/>
                <w:szCs w:val="20"/>
              </w:rPr>
            </w:pPr>
            <w:r w:rsidRPr="00F65240">
              <w:rPr>
                <w:rFonts w:ascii="Times New Roman" w:hAnsi="Times New Roman"/>
                <w:b/>
                <w:bCs/>
                <w:iCs/>
                <w:color w:val="000000"/>
                <w:sz w:val="20"/>
                <w:szCs w:val="20"/>
              </w:rPr>
              <w:t>-426 008</w:t>
            </w:r>
          </w:p>
        </w:tc>
      </w:tr>
      <w:tr>
        <w:tblPrEx>
          <w:tblW w:w="9796" w:type="dxa"/>
          <w:jc w:val="center"/>
          <w:tblCellMar>
            <w:left w:w="70" w:type="dxa"/>
            <w:right w:w="70" w:type="dxa"/>
          </w:tblCellMar>
          <w:tblLook w:val="04A0"/>
        </w:tblPrEx>
        <w:trPr>
          <w:gridAfter w:val="1"/>
          <w:wAfter w:w="511" w:type="dxa"/>
          <w:trHeight w:val="270"/>
          <w:jc w:val="center"/>
        </w:trPr>
        <w:tc>
          <w:tcPr>
            <w:tcW w:w="2620" w:type="dxa"/>
            <w:tcBorders>
              <w:top w:val="single" w:sz="4" w:space="0" w:color="auto"/>
              <w:left w:val="nil"/>
              <w:bottom w:val="nil"/>
              <w:right w:val="nil"/>
            </w:tcBorders>
            <w:noWrap/>
            <w:textDirection w:val="lrTb"/>
            <w:vAlign w:val="bottom"/>
            <w:hideMark/>
          </w:tcPr>
          <w:p w:rsidR="00B57C93" w:rsidRPr="008E5AFC" w:rsidP="00F72899">
            <w:pPr>
              <w:bidi w:val="0"/>
              <w:rPr>
                <w:rFonts w:ascii="Times New Roman" w:hAnsi="Times New Roman"/>
                <w:iCs/>
                <w:sz w:val="18"/>
                <w:szCs w:val="18"/>
              </w:rPr>
            </w:pPr>
            <w:r w:rsidRPr="008E5AFC">
              <w:rPr>
                <w:rFonts w:ascii="Times New Roman" w:hAnsi="Times New Roman"/>
                <w:iCs/>
                <w:sz w:val="18"/>
                <w:szCs w:val="18"/>
              </w:rPr>
              <w:t>Zdroj: Ministerstvo financií SR</w:t>
            </w:r>
          </w:p>
        </w:tc>
        <w:tc>
          <w:tcPr>
            <w:tcW w:w="891" w:type="dxa"/>
            <w:gridSpan w:val="2"/>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b/>
                <w:bCs/>
                <w:color w:val="00B050"/>
                <w:sz w:val="20"/>
                <w:szCs w:val="20"/>
              </w:rPr>
            </w:pPr>
          </w:p>
        </w:tc>
        <w:tc>
          <w:tcPr>
            <w:tcW w:w="871" w:type="dxa"/>
            <w:gridSpan w:val="2"/>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b/>
                <w:bCs/>
                <w:color w:val="00B050"/>
                <w:sz w:val="20"/>
                <w:szCs w:val="20"/>
              </w:rPr>
            </w:pPr>
          </w:p>
        </w:tc>
        <w:tc>
          <w:tcPr>
            <w:tcW w:w="840" w:type="dxa"/>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b/>
                <w:bCs/>
                <w:color w:val="00B050"/>
                <w:sz w:val="20"/>
                <w:szCs w:val="20"/>
              </w:rPr>
            </w:pPr>
          </w:p>
        </w:tc>
        <w:tc>
          <w:tcPr>
            <w:tcW w:w="840" w:type="dxa"/>
            <w:gridSpan w:val="2"/>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b/>
                <w:bCs/>
                <w:color w:val="00B050"/>
                <w:sz w:val="20"/>
                <w:szCs w:val="20"/>
              </w:rPr>
            </w:pPr>
          </w:p>
        </w:tc>
        <w:tc>
          <w:tcPr>
            <w:tcW w:w="840" w:type="dxa"/>
            <w:gridSpan w:val="2"/>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b/>
                <w:bCs/>
                <w:color w:val="00B050"/>
                <w:sz w:val="20"/>
                <w:szCs w:val="20"/>
              </w:rPr>
            </w:pPr>
          </w:p>
        </w:tc>
        <w:tc>
          <w:tcPr>
            <w:tcW w:w="763" w:type="dxa"/>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sz w:val="20"/>
                <w:szCs w:val="20"/>
              </w:rPr>
            </w:pPr>
          </w:p>
        </w:tc>
        <w:tc>
          <w:tcPr>
            <w:tcW w:w="900" w:type="dxa"/>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sz w:val="20"/>
                <w:szCs w:val="20"/>
              </w:rPr>
            </w:pPr>
          </w:p>
        </w:tc>
        <w:tc>
          <w:tcPr>
            <w:tcW w:w="720" w:type="dxa"/>
            <w:gridSpan w:val="2"/>
            <w:tcBorders>
              <w:top w:val="single" w:sz="4" w:space="0" w:color="auto"/>
              <w:left w:val="nil"/>
              <w:bottom w:val="nil"/>
              <w:right w:val="nil"/>
            </w:tcBorders>
            <w:noWrap/>
            <w:textDirection w:val="lrTb"/>
            <w:vAlign w:val="bottom"/>
            <w:hideMark/>
          </w:tcPr>
          <w:p w:rsidR="00B57C93" w:rsidRPr="008E5AFC" w:rsidP="00F72899">
            <w:pPr>
              <w:bidi w:val="0"/>
              <w:rPr>
                <w:rFonts w:ascii="Arial" w:hAnsi="Arial" w:cs="Arial"/>
                <w:sz w:val="20"/>
                <w:szCs w:val="20"/>
              </w:rPr>
            </w:pPr>
          </w:p>
        </w:tc>
      </w:tr>
    </w:tbl>
    <w:p w:rsidR="00BC136F" w:rsidRPr="002576A9" w:rsidP="004D431A">
      <w:pPr>
        <w:bidi w:val="0"/>
        <w:spacing w:before="120" w:after="120" w:line="360" w:lineRule="auto"/>
        <w:jc w:val="both"/>
        <w:rPr>
          <w:rFonts w:ascii="Times New Roman" w:hAnsi="Times New Roman"/>
          <w:b/>
        </w:rPr>
      </w:pPr>
      <w:r w:rsidRPr="002576A9">
        <w:rPr>
          <w:rFonts w:ascii="Times New Roman" w:hAnsi="Times New Roman"/>
          <w:b/>
        </w:rPr>
        <w:t>Finančná realizácia</w:t>
      </w:r>
      <w:r>
        <w:rPr>
          <w:rFonts w:ascii="Times New Roman" w:hAnsi="Times New Roman"/>
        </w:rPr>
        <w:t xml:space="preserve"> </w:t>
      </w:r>
      <w:r w:rsidRPr="002576A9">
        <w:rPr>
          <w:rFonts w:ascii="Times New Roman" w:hAnsi="Times New Roman"/>
          <w:b/>
        </w:rPr>
        <w:t xml:space="preserve">nasledujúcich programov, ktoré predstavujú pre štátne rozpočtové organizácie príjmy z rozpočtu </w:t>
      </w:r>
      <w:r w:rsidR="00314AC9">
        <w:rPr>
          <w:rFonts w:ascii="Times New Roman" w:hAnsi="Times New Roman"/>
          <w:b/>
        </w:rPr>
        <w:t>Európskej únie alebo od donorov</w:t>
      </w:r>
      <w:r w:rsidRPr="002576A9">
        <w:rPr>
          <w:rFonts w:ascii="Times New Roman" w:hAnsi="Times New Roman"/>
          <w:b/>
        </w:rPr>
        <w:t xml:space="preserve"> prebieha</w:t>
      </w:r>
      <w:r w:rsidR="0087088E">
        <w:rPr>
          <w:rFonts w:ascii="Times New Roman" w:hAnsi="Times New Roman"/>
          <w:b/>
        </w:rPr>
        <w:t>, na rozdiel od doteraz uvád</w:t>
      </w:r>
      <w:r w:rsidR="002576A9">
        <w:rPr>
          <w:rFonts w:ascii="Times New Roman" w:hAnsi="Times New Roman"/>
          <w:b/>
        </w:rPr>
        <w:t xml:space="preserve">zaných údajov, </w:t>
      </w:r>
      <w:r w:rsidRPr="002576A9">
        <w:rPr>
          <w:rFonts w:ascii="Times New Roman" w:hAnsi="Times New Roman"/>
          <w:b/>
        </w:rPr>
        <w:t>mimorozpočtovým tokom:</w:t>
      </w:r>
    </w:p>
    <w:p w:rsidR="00BC136F" w:rsidRPr="00A043BC" w:rsidP="004D431A">
      <w:pPr>
        <w:bidi w:val="0"/>
        <w:spacing w:before="120" w:after="120" w:line="360" w:lineRule="auto"/>
        <w:jc w:val="both"/>
        <w:rPr>
          <w:rFonts w:ascii="Times New Roman" w:hAnsi="Times New Roman"/>
        </w:rPr>
      </w:pPr>
      <w:r w:rsidRPr="002576A9">
        <w:rPr>
          <w:rFonts w:ascii="Times New Roman" w:hAnsi="Times New Roman"/>
          <w:b/>
        </w:rPr>
        <w:t>Z predvstupových fondov</w:t>
      </w:r>
      <w:r w:rsidRPr="00A043BC">
        <w:rPr>
          <w:rFonts w:ascii="Times New Roman" w:hAnsi="Times New Roman"/>
        </w:rPr>
        <w:t xml:space="preserve"> na financovanie projektov ISPA/KF boli v roku 2011 prijaté prostriedky z EK na mimorozpočtové účty platobného orgánu vo výške 15 886 tis. eur, platobnej jednotke v sektore životného prostredia boli poukázané prostriedky na mimorozpočtové úč</w:t>
      </w:r>
      <w:r w:rsidR="00B324BC">
        <w:rPr>
          <w:rFonts w:ascii="Times New Roman" w:hAnsi="Times New Roman"/>
        </w:rPr>
        <w:t>ty zo zdroja EÚ v objeme 15 029</w:t>
      </w:r>
      <w:r w:rsidRPr="00A043BC">
        <w:rPr>
          <w:rFonts w:ascii="Times New Roman" w:hAnsi="Times New Roman"/>
        </w:rPr>
        <w:t xml:space="preserve"> </w:t>
      </w:r>
      <w:r>
        <w:rPr>
          <w:rFonts w:ascii="Times New Roman" w:hAnsi="Times New Roman"/>
        </w:rPr>
        <w:t>tis. eur.</w:t>
      </w:r>
    </w:p>
    <w:p w:rsidR="00BC136F" w:rsidRPr="00A043BC" w:rsidP="004D431A">
      <w:pPr>
        <w:bidi w:val="0"/>
        <w:spacing w:before="120" w:after="120" w:line="360" w:lineRule="auto"/>
        <w:jc w:val="both"/>
        <w:rPr>
          <w:rFonts w:ascii="Times New Roman" w:hAnsi="Times New Roman"/>
        </w:rPr>
      </w:pPr>
      <w:r>
        <w:rPr>
          <w:rFonts w:ascii="Times New Roman" w:hAnsi="Times New Roman"/>
        </w:rPr>
        <w:t>V</w:t>
      </w:r>
      <w:r w:rsidRPr="00A043BC">
        <w:rPr>
          <w:rFonts w:ascii="Times New Roman" w:hAnsi="Times New Roman"/>
        </w:rPr>
        <w:t xml:space="preserve"> roku 2011 Slovenská republika prijala v rámci </w:t>
      </w:r>
      <w:r w:rsidRPr="002576A9">
        <w:rPr>
          <w:rFonts w:ascii="Times New Roman" w:hAnsi="Times New Roman"/>
          <w:b/>
        </w:rPr>
        <w:t>programov Európskej územnej spolupráce</w:t>
      </w:r>
      <w:r w:rsidRPr="00A043BC">
        <w:rPr>
          <w:rFonts w:ascii="Times New Roman" w:hAnsi="Times New Roman"/>
        </w:rPr>
        <w:t xml:space="preserve"> II. programového obdobia na financovanie Operačného programu INTERACT II z Európskej únie prostriedky v sume 3 67</w:t>
      </w:r>
      <w:r w:rsidR="00FF535C">
        <w:rPr>
          <w:rFonts w:ascii="Times New Roman" w:hAnsi="Times New Roman"/>
        </w:rPr>
        <w:t>2</w:t>
      </w:r>
      <w:r w:rsidRPr="00A043BC">
        <w:rPr>
          <w:rFonts w:ascii="Times New Roman" w:hAnsi="Times New Roman"/>
        </w:rPr>
        <w:t xml:space="preserve"> tis. eur, príspevky členských krajín boli prijaté v sume 648 tis. eur; príjem z Európskeho fondu regionálneho rozvoja na realizáciu Operačného programu cezhraničnej spolupráce Slovenská republika – Česká republika 2007-</w:t>
      </w:r>
      <w:r>
        <w:rPr>
          <w:rFonts w:ascii="Times New Roman" w:hAnsi="Times New Roman"/>
        </w:rPr>
        <w:t>2013 dosiahol 12</w:t>
      </w:r>
      <w:r w:rsidR="00302CAF">
        <w:rPr>
          <w:rFonts w:ascii="Times New Roman" w:hAnsi="Times New Roman"/>
        </w:rPr>
        <w:t> </w:t>
      </w:r>
      <w:r>
        <w:rPr>
          <w:rFonts w:ascii="Times New Roman" w:hAnsi="Times New Roman"/>
        </w:rPr>
        <w:t>496</w:t>
      </w:r>
      <w:r w:rsidR="00302CAF">
        <w:rPr>
          <w:rFonts w:ascii="Times New Roman" w:hAnsi="Times New Roman"/>
        </w:rPr>
        <w:t xml:space="preserve"> </w:t>
      </w:r>
      <w:r>
        <w:rPr>
          <w:rFonts w:ascii="Times New Roman" w:hAnsi="Times New Roman"/>
        </w:rPr>
        <w:t>tis. eur.</w:t>
      </w:r>
    </w:p>
    <w:p w:rsidR="00BC136F" w:rsidRPr="00A043BC" w:rsidP="002576A9">
      <w:pPr>
        <w:bidi w:val="0"/>
        <w:spacing w:before="120" w:line="360" w:lineRule="auto"/>
        <w:jc w:val="both"/>
        <w:rPr>
          <w:rFonts w:ascii="Times New Roman" w:hAnsi="Times New Roman"/>
        </w:rPr>
      </w:pPr>
      <w:r w:rsidRPr="002576A9">
        <w:rPr>
          <w:rFonts w:ascii="Times New Roman" w:hAnsi="Times New Roman"/>
          <w:b/>
        </w:rPr>
        <w:t>Na základe medzinárodných zmlúv</w:t>
      </w:r>
      <w:r w:rsidRPr="00A043BC">
        <w:rPr>
          <w:rFonts w:ascii="Times New Roman" w:hAnsi="Times New Roman"/>
        </w:rPr>
        <w:t xml:space="preserve"> Slovenská republika v roku 2011 prijala 8 78</w:t>
      </w:r>
      <w:r w:rsidR="00302CAF">
        <w:rPr>
          <w:rFonts w:ascii="Times New Roman" w:hAnsi="Times New Roman"/>
        </w:rPr>
        <w:t>9</w:t>
      </w:r>
      <w:r w:rsidRPr="00A043BC">
        <w:rPr>
          <w:rFonts w:ascii="Times New Roman" w:hAnsi="Times New Roman"/>
        </w:rPr>
        <w:t xml:space="preserve"> tis. eur z Finančného mechanizmu Európskeho hospodárskeho priestoru a 10 56</w:t>
      </w:r>
      <w:r w:rsidR="00302CAF">
        <w:rPr>
          <w:rFonts w:ascii="Times New Roman" w:hAnsi="Times New Roman"/>
        </w:rPr>
        <w:t>6</w:t>
      </w:r>
      <w:r w:rsidRPr="00A043BC">
        <w:rPr>
          <w:rFonts w:ascii="Times New Roman" w:hAnsi="Times New Roman"/>
        </w:rPr>
        <w:t xml:space="preserve"> tis. eur z Nórskeho finančného mechanizmu; prostriedky boli prijaté na mimorozpočtové účty platobného orgánu Ministerstva financií SR, na mimorozpočtové účty konečných prijímateľov a sprostredkovateľov boli v roku 2011 poukázané prostriedky Finančného mechanizmu Európskeho hospodárskeho priestoru a Nórskeho finančného mechanizmu v sume </w:t>
      </w:r>
      <w:r>
        <w:rPr>
          <w:rFonts w:ascii="Times New Roman" w:hAnsi="Times New Roman"/>
        </w:rPr>
        <w:t>9 272 tis. eur.</w:t>
      </w:r>
    </w:p>
    <w:p w:rsidR="00BC136F" w:rsidP="002576A9">
      <w:pPr>
        <w:bidi w:val="0"/>
        <w:spacing w:before="120" w:line="360" w:lineRule="auto"/>
        <w:jc w:val="both"/>
        <w:rPr>
          <w:rFonts w:ascii="Times New Roman" w:hAnsi="Times New Roman"/>
        </w:rPr>
      </w:pPr>
      <w:r w:rsidRPr="00A043BC">
        <w:rPr>
          <w:rFonts w:ascii="Times New Roman" w:hAnsi="Times New Roman"/>
        </w:rPr>
        <w:t xml:space="preserve">Slovenskej republike boli v roku 2011 v rámci </w:t>
      </w:r>
      <w:r w:rsidRPr="002576A9">
        <w:rPr>
          <w:rFonts w:ascii="Times New Roman" w:hAnsi="Times New Roman"/>
          <w:b/>
        </w:rPr>
        <w:t>finančnej obálky</w:t>
      </w:r>
      <w:r w:rsidRPr="00A043BC">
        <w:rPr>
          <w:rFonts w:ascii="Times New Roman" w:hAnsi="Times New Roman"/>
        </w:rPr>
        <w:t xml:space="preserve"> poskytnuté prostriedky z rozpočtu Európskej únie na úhradu cestovných výdavkov súvisiacich s účasťou zástupcov Slovenskej republiky na zasadaniach výborov a pracovných skupín Rady Európskej únie vo výške 56</w:t>
      </w:r>
      <w:r w:rsidR="00D36319">
        <w:rPr>
          <w:rFonts w:ascii="Times New Roman" w:hAnsi="Times New Roman"/>
        </w:rPr>
        <w:t>6</w:t>
      </w:r>
      <w:r w:rsidRPr="00A043BC">
        <w:rPr>
          <w:rFonts w:ascii="Times New Roman" w:hAnsi="Times New Roman"/>
        </w:rPr>
        <w:t xml:space="preserve"> tis. eur; finančné prostriedky na finančnú obálku, vrátane zdrojov z predchádzajúcich rokov, boli z mimorozpočtového účtu Ministerstva financií SR použité vo výške 830 tis. eur na </w:t>
      </w:r>
      <w:r w:rsidR="00230016">
        <w:rPr>
          <w:rFonts w:ascii="Times New Roman" w:hAnsi="Times New Roman"/>
        </w:rPr>
        <w:t>úhradu</w:t>
      </w:r>
      <w:r w:rsidRPr="00A043BC">
        <w:rPr>
          <w:rFonts w:ascii="Times New Roman" w:hAnsi="Times New Roman"/>
        </w:rPr>
        <w:t xml:space="preserve"> oprávnených výdavkov zamestnancov ústredných orgánov štátnej správy a iných inštitúcií.</w:t>
      </w:r>
    </w:p>
    <w:p w:rsidR="00BC136F" w:rsidP="002576A9">
      <w:pPr>
        <w:bidi w:val="0"/>
        <w:spacing w:before="120" w:line="360" w:lineRule="auto"/>
        <w:jc w:val="both"/>
        <w:rPr>
          <w:rFonts w:ascii="Times New Roman" w:hAnsi="Times New Roman"/>
        </w:rPr>
      </w:pPr>
      <w:r>
        <w:rPr>
          <w:rFonts w:ascii="Times New Roman" w:hAnsi="Times New Roman"/>
        </w:rPr>
        <w:t xml:space="preserve">K príjmom z rozpočtu Európskej únie a príjmom, poskytnutým Slovenskej republike na základe medzinárodných zmlúv, ktorými je Slovenská republika viazaná, boli zo štátneho rozpočtu roku 2011 čerpané </w:t>
      </w:r>
      <w:r w:rsidRPr="00230016">
        <w:rPr>
          <w:rFonts w:ascii="Times New Roman" w:hAnsi="Times New Roman"/>
          <w:b/>
        </w:rPr>
        <w:t>výdavky na spolufinancovanie</w:t>
      </w:r>
      <w:r>
        <w:rPr>
          <w:rFonts w:ascii="Times New Roman" w:hAnsi="Times New Roman"/>
        </w:rPr>
        <w:t xml:space="preserve">. Čerpanie výdavkov na spolufinancovanie k týmto príjmom </w:t>
      </w:r>
      <w:r w:rsidR="008B5CB3">
        <w:rPr>
          <w:rFonts w:ascii="Times New Roman" w:hAnsi="Times New Roman"/>
        </w:rPr>
        <w:t>poskytuje nasledovná tabuľka</w:t>
      </w:r>
      <w:r>
        <w:rPr>
          <w:rFonts w:ascii="Times New Roman" w:hAnsi="Times New Roman"/>
        </w:rPr>
        <w:t>:</w:t>
      </w:r>
    </w:p>
    <w:tbl>
      <w:tblPr>
        <w:tblStyle w:val="TableNormal"/>
        <w:tblW w:w="9649" w:type="dxa"/>
        <w:jc w:val="center"/>
        <w:tblInd w:w="60" w:type="dxa"/>
        <w:tblLayout w:type="fixed"/>
        <w:tblCellMar>
          <w:left w:w="70" w:type="dxa"/>
          <w:right w:w="70" w:type="dxa"/>
        </w:tblCellMar>
        <w:tblLook w:val="04A0"/>
      </w:tblPr>
      <w:tblGrid>
        <w:gridCol w:w="3271"/>
        <w:gridCol w:w="1134"/>
        <w:gridCol w:w="1134"/>
        <w:gridCol w:w="1134"/>
        <w:gridCol w:w="992"/>
        <w:gridCol w:w="992"/>
        <w:gridCol w:w="992"/>
      </w:tblGrid>
      <w:tr>
        <w:tblPrEx>
          <w:tblW w:w="9649" w:type="dxa"/>
          <w:jc w:val="center"/>
          <w:tblInd w:w="60" w:type="dxa"/>
          <w:tblLayout w:type="fixed"/>
          <w:tblCellMar>
            <w:left w:w="70" w:type="dxa"/>
            <w:right w:w="70" w:type="dxa"/>
          </w:tblCellMar>
          <w:tblLook w:val="04A0"/>
        </w:tblPrEx>
        <w:trPr>
          <w:trHeight w:val="400"/>
          <w:jc w:val="center"/>
        </w:trPr>
        <w:tc>
          <w:tcPr>
            <w:tcW w:w="3271" w:type="dxa"/>
            <w:vMerge w:val="restart"/>
            <w:tcBorders>
              <w:top w:val="single" w:sz="8" w:space="0" w:color="FFFFFF"/>
              <w:left w:val="single" w:sz="8" w:space="0" w:color="FFFFFF"/>
              <w:bottom w:val="nil"/>
              <w:right w:val="single" w:sz="8" w:space="0" w:color="FFFFFF"/>
            </w:tcBorders>
            <w:shd w:val="clear" w:color="000000" w:fill="000000"/>
            <w:noWrap/>
            <w:textDirection w:val="lrTb"/>
            <w:vAlign w:val="center"/>
            <w:hideMark/>
          </w:tcPr>
          <w:p w:rsidR="006B6FEA" w:rsidP="002800FB">
            <w:pPr>
              <w:bidi w:val="0"/>
              <w:jc w:val="center"/>
              <w:rPr>
                <w:rFonts w:ascii="Times New Roman" w:hAnsi="Times New Roman"/>
                <w:b/>
                <w:bCs/>
                <w:color w:val="FFFFFF"/>
                <w:sz w:val="20"/>
                <w:szCs w:val="20"/>
              </w:rPr>
            </w:pPr>
          </w:p>
          <w:p w:rsidR="002800FB" w:rsidRPr="004F0DFA" w:rsidP="002800FB">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Ukazovateľ</w:t>
            </w:r>
          </w:p>
          <w:p w:rsidR="00481E61" w:rsidRPr="004F0DFA" w:rsidP="00481E61">
            <w:pPr>
              <w:bidi w:val="0"/>
              <w:rPr>
                <w:rFonts w:ascii="Times New Roman" w:hAnsi="Times New Roman"/>
                <w:b/>
                <w:bCs/>
                <w:color w:val="FFFFFF"/>
                <w:sz w:val="20"/>
                <w:szCs w:val="20"/>
              </w:rPr>
            </w:pPr>
            <w:r w:rsidRPr="004F0DFA">
              <w:rPr>
                <w:rFonts w:ascii="Times New Roman" w:hAnsi="Times New Roman"/>
                <w:b/>
                <w:bCs/>
                <w:color w:val="FFFFFF"/>
                <w:sz w:val="20"/>
                <w:szCs w:val="20"/>
              </w:rPr>
              <w:t>(v tis.</w:t>
            </w:r>
            <w:r w:rsidRPr="004F0DFA" w:rsidR="000C5094">
              <w:rPr>
                <w:rFonts w:ascii="Times New Roman" w:hAnsi="Times New Roman"/>
                <w:b/>
                <w:bCs/>
                <w:color w:val="FFFFFF"/>
                <w:sz w:val="20"/>
                <w:szCs w:val="20"/>
              </w:rPr>
              <w:t xml:space="preserve"> </w:t>
            </w:r>
            <w:r w:rsidRPr="004F0DFA">
              <w:rPr>
                <w:rFonts w:ascii="Times New Roman" w:hAnsi="Times New Roman"/>
                <w:b/>
                <w:bCs/>
                <w:color w:val="FFFFFF"/>
                <w:sz w:val="20"/>
                <w:szCs w:val="20"/>
              </w:rPr>
              <w:t>eur)</w:t>
            </w:r>
          </w:p>
        </w:tc>
        <w:tc>
          <w:tcPr>
            <w:tcW w:w="2268" w:type="dxa"/>
            <w:gridSpan w:val="2"/>
            <w:tcBorders>
              <w:top w:val="single" w:sz="8" w:space="0" w:color="FFFFFF"/>
              <w:left w:val="nil"/>
              <w:bottom w:val="single" w:sz="8" w:space="0" w:color="FFFFFF"/>
              <w:right w:val="single" w:sz="8" w:space="0" w:color="FFFFFF"/>
            </w:tcBorders>
            <w:shd w:val="clear" w:color="000000" w:fill="000000"/>
            <w:noWrap/>
            <w:textDirection w:val="lrTb"/>
            <w:vAlign w:val="center"/>
            <w:hideMark/>
          </w:tcPr>
          <w:p w:rsidR="002800FB" w:rsidRPr="004F0DFA" w:rsidP="002800FB">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Rozpočet 2011</w:t>
            </w:r>
          </w:p>
        </w:tc>
        <w:tc>
          <w:tcPr>
            <w:tcW w:w="3118" w:type="dxa"/>
            <w:gridSpan w:val="3"/>
            <w:tcBorders>
              <w:top w:val="single" w:sz="8" w:space="0" w:color="FFFFFF"/>
              <w:left w:val="single" w:sz="8" w:space="0" w:color="FFFFFF"/>
              <w:bottom w:val="single" w:sz="8" w:space="0" w:color="FFFFFF"/>
              <w:right w:val="single" w:sz="8" w:space="0" w:color="FFFFFF"/>
            </w:tcBorders>
            <w:shd w:val="clear" w:color="000000" w:fill="000000"/>
            <w:textDirection w:val="lrTb"/>
            <w:vAlign w:val="center"/>
            <w:hideMark/>
          </w:tcPr>
          <w:p w:rsidR="002800FB" w:rsidRPr="004F0DFA" w:rsidP="002800FB">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Skutočnosť</w:t>
            </w:r>
          </w:p>
        </w:tc>
        <w:tc>
          <w:tcPr>
            <w:tcW w:w="992" w:type="dxa"/>
            <w:vMerge w:val="restart"/>
            <w:tcBorders>
              <w:top w:val="single" w:sz="8" w:space="0" w:color="FFFFFF"/>
              <w:left w:val="single" w:sz="8" w:space="0" w:color="FFFFFF"/>
              <w:bottom w:val="nil"/>
              <w:right w:val="single" w:sz="8" w:space="0" w:color="FFFFFF"/>
            </w:tcBorders>
            <w:shd w:val="clear" w:color="000000" w:fill="000000"/>
            <w:textDirection w:val="lrTb"/>
            <w:vAlign w:val="center"/>
            <w:hideMark/>
          </w:tcPr>
          <w:p w:rsidR="002800FB" w:rsidRPr="004F0DFA" w:rsidP="002800FB">
            <w:pPr>
              <w:bidi w:val="0"/>
              <w:jc w:val="center"/>
              <w:rPr>
                <w:rFonts w:ascii="Times New Roman" w:hAnsi="Times New Roman"/>
                <w:b/>
                <w:bCs/>
                <w:color w:val="FFFFFF"/>
                <w:sz w:val="20"/>
                <w:szCs w:val="20"/>
              </w:rPr>
            </w:pPr>
            <w:r w:rsidRPr="004F0DFA">
              <w:rPr>
                <w:rFonts w:ascii="Times New Roman" w:hAnsi="Times New Roman"/>
                <w:b/>
                <w:bCs/>
                <w:color w:val="FFFFFF"/>
                <w:sz w:val="20"/>
                <w:szCs w:val="20"/>
              </w:rPr>
              <w:t>Rozdiel</w:t>
            </w:r>
          </w:p>
          <w:p w:rsidR="002800FB" w:rsidRPr="004F0DFA" w:rsidP="002800FB">
            <w:pPr>
              <w:bidi w:val="0"/>
              <w:jc w:val="center"/>
              <w:rPr>
                <w:rFonts w:ascii="Times New Roman" w:hAnsi="Times New Roman"/>
                <w:b/>
                <w:bCs/>
                <w:color w:val="FFFFFF"/>
                <w:sz w:val="20"/>
                <w:szCs w:val="20"/>
              </w:rPr>
            </w:pPr>
          </w:p>
        </w:tc>
      </w:tr>
      <w:tr>
        <w:tblPrEx>
          <w:tblW w:w="9649" w:type="dxa"/>
          <w:jc w:val="center"/>
          <w:tblInd w:w="60" w:type="dxa"/>
          <w:tblLayout w:type="fixed"/>
          <w:tblCellMar>
            <w:left w:w="70" w:type="dxa"/>
            <w:right w:w="70" w:type="dxa"/>
          </w:tblCellMar>
          <w:tblLook w:val="04A0"/>
        </w:tblPrEx>
        <w:trPr>
          <w:trHeight w:val="345"/>
          <w:jc w:val="center"/>
        </w:trPr>
        <w:tc>
          <w:tcPr>
            <w:tcW w:w="3271" w:type="dxa"/>
            <w:vMerge/>
            <w:tcBorders>
              <w:top w:val="none" w:sz="0" w:space="0" w:color="auto"/>
              <w:left w:val="single" w:sz="8" w:space="0" w:color="FFFFFF"/>
              <w:bottom w:val="single" w:sz="4" w:space="0" w:color="auto"/>
              <w:right w:val="single" w:sz="8" w:space="0" w:color="FFFFFF"/>
            </w:tcBorders>
            <w:shd w:val="clear" w:color="000000" w:fill="000000"/>
            <w:noWrap/>
            <w:textDirection w:val="lrTb"/>
            <w:vAlign w:val="center"/>
            <w:hideMark/>
          </w:tcPr>
          <w:p w:rsidR="002800FB" w:rsidRPr="002800FB" w:rsidP="002800FB">
            <w:pPr>
              <w:bidi w:val="0"/>
              <w:rPr>
                <w:rFonts w:ascii="Times New Roman" w:hAnsi="Times New Roman"/>
                <w:b/>
                <w:bCs/>
                <w:color w:val="FFFFFF"/>
                <w:sz w:val="20"/>
                <w:szCs w:val="20"/>
              </w:rPr>
            </w:pPr>
          </w:p>
        </w:tc>
        <w:tc>
          <w:tcPr>
            <w:tcW w:w="1134" w:type="dxa"/>
            <w:tcBorders>
              <w:top w:val="nil"/>
              <w:left w:val="nil"/>
              <w:bottom w:val="single" w:sz="4" w:space="0" w:color="auto"/>
              <w:right w:val="single" w:sz="8" w:space="0" w:color="FFFFFF"/>
            </w:tcBorders>
            <w:shd w:val="clear" w:color="000000" w:fill="000000"/>
            <w:textDirection w:val="lrTb"/>
            <w:vAlign w:val="center"/>
            <w:hideMark/>
          </w:tcPr>
          <w:p w:rsidR="002800FB" w:rsidRPr="002800FB" w:rsidP="002800FB">
            <w:pPr>
              <w:bidi w:val="0"/>
              <w:jc w:val="center"/>
              <w:rPr>
                <w:rFonts w:ascii="Times New Roman" w:hAnsi="Times New Roman"/>
                <w:b/>
                <w:bCs/>
                <w:color w:val="FFFFFF"/>
                <w:sz w:val="20"/>
                <w:szCs w:val="20"/>
              </w:rPr>
            </w:pPr>
            <w:r w:rsidRPr="002800FB">
              <w:rPr>
                <w:rFonts w:ascii="Times New Roman" w:hAnsi="Times New Roman"/>
                <w:b/>
                <w:bCs/>
                <w:color w:val="FFFFFF"/>
                <w:sz w:val="20"/>
                <w:szCs w:val="20"/>
              </w:rPr>
              <w:t>schválený</w:t>
            </w:r>
          </w:p>
        </w:tc>
        <w:tc>
          <w:tcPr>
            <w:tcW w:w="1134" w:type="dxa"/>
            <w:tcBorders>
              <w:top w:val="nil"/>
              <w:left w:val="nil"/>
              <w:bottom w:val="single" w:sz="4" w:space="0" w:color="auto"/>
              <w:right w:val="single" w:sz="8" w:space="0" w:color="FFFFFF"/>
            </w:tcBorders>
            <w:shd w:val="clear" w:color="000000" w:fill="000000"/>
            <w:textDirection w:val="lrTb"/>
            <w:vAlign w:val="center"/>
            <w:hideMark/>
          </w:tcPr>
          <w:p w:rsidR="002800FB" w:rsidRPr="002800FB" w:rsidP="002800FB">
            <w:pPr>
              <w:bidi w:val="0"/>
              <w:jc w:val="center"/>
              <w:rPr>
                <w:rFonts w:ascii="Times New Roman" w:hAnsi="Times New Roman"/>
                <w:b/>
                <w:bCs/>
                <w:color w:val="FFFFFF"/>
                <w:sz w:val="20"/>
                <w:szCs w:val="20"/>
              </w:rPr>
            </w:pPr>
            <w:r w:rsidRPr="002800FB">
              <w:rPr>
                <w:rFonts w:ascii="Times New Roman" w:hAnsi="Times New Roman"/>
                <w:b/>
                <w:bCs/>
                <w:color w:val="FFFFFF"/>
                <w:sz w:val="20"/>
                <w:szCs w:val="20"/>
              </w:rPr>
              <w:t>upravený</w:t>
            </w:r>
          </w:p>
        </w:tc>
        <w:tc>
          <w:tcPr>
            <w:tcW w:w="1134" w:type="dxa"/>
            <w:tcBorders>
              <w:top w:val="nil"/>
              <w:left w:val="nil"/>
              <w:bottom w:val="single" w:sz="4" w:space="0" w:color="auto"/>
              <w:right w:val="single" w:sz="8" w:space="0" w:color="FFFFFF"/>
            </w:tcBorders>
            <w:shd w:val="clear" w:color="000000" w:fill="000000"/>
            <w:textDirection w:val="lrTb"/>
            <w:vAlign w:val="center"/>
            <w:hideMark/>
          </w:tcPr>
          <w:p w:rsidR="002800FB" w:rsidRPr="002800FB" w:rsidP="002800FB">
            <w:pPr>
              <w:bidi w:val="0"/>
              <w:jc w:val="center"/>
              <w:rPr>
                <w:rFonts w:ascii="Times New Roman" w:hAnsi="Times New Roman"/>
                <w:b/>
                <w:bCs/>
                <w:color w:val="FFFFFF"/>
                <w:sz w:val="20"/>
                <w:szCs w:val="20"/>
              </w:rPr>
            </w:pPr>
            <w:r w:rsidRPr="002800FB">
              <w:rPr>
                <w:rFonts w:ascii="Times New Roman" w:hAnsi="Times New Roman"/>
                <w:b/>
                <w:bCs/>
                <w:color w:val="FFFFFF"/>
                <w:sz w:val="20"/>
                <w:szCs w:val="20"/>
              </w:rPr>
              <w:t> 2011</w:t>
            </w:r>
          </w:p>
        </w:tc>
        <w:tc>
          <w:tcPr>
            <w:tcW w:w="992" w:type="dxa"/>
            <w:tcBorders>
              <w:top w:val="nil"/>
              <w:left w:val="nil"/>
              <w:bottom w:val="single" w:sz="4" w:space="0" w:color="auto"/>
              <w:right w:val="single" w:sz="8" w:space="0" w:color="FFFFFF"/>
            </w:tcBorders>
            <w:shd w:val="clear" w:color="000000" w:fill="000000"/>
            <w:textDirection w:val="lrTb"/>
            <w:vAlign w:val="center"/>
            <w:hideMark/>
          </w:tcPr>
          <w:p w:rsidR="002800FB" w:rsidRPr="002800FB" w:rsidP="002800FB">
            <w:pPr>
              <w:bidi w:val="0"/>
              <w:jc w:val="center"/>
              <w:rPr>
                <w:rFonts w:ascii="Times New Roman" w:hAnsi="Times New Roman"/>
                <w:b/>
                <w:bCs/>
                <w:color w:val="FFFFFF"/>
                <w:sz w:val="20"/>
                <w:szCs w:val="20"/>
              </w:rPr>
            </w:pPr>
            <w:r w:rsidRPr="002800FB">
              <w:rPr>
                <w:rFonts w:ascii="Times New Roman" w:hAnsi="Times New Roman"/>
                <w:b/>
                <w:bCs/>
                <w:color w:val="FFFFFF"/>
                <w:sz w:val="20"/>
                <w:szCs w:val="20"/>
              </w:rPr>
              <w:t> 2010</w:t>
            </w:r>
          </w:p>
        </w:tc>
        <w:tc>
          <w:tcPr>
            <w:tcW w:w="992" w:type="dxa"/>
            <w:tcBorders>
              <w:top w:val="nil"/>
              <w:left w:val="nil"/>
              <w:bottom w:val="single" w:sz="4" w:space="0" w:color="auto"/>
              <w:right w:val="single" w:sz="8" w:space="0" w:color="FFFFFF"/>
            </w:tcBorders>
            <w:shd w:val="clear" w:color="000000" w:fill="000000"/>
            <w:textDirection w:val="lrTb"/>
            <w:vAlign w:val="center"/>
            <w:hideMark/>
          </w:tcPr>
          <w:p w:rsidR="002800FB" w:rsidRPr="002800FB" w:rsidP="002800FB">
            <w:pPr>
              <w:bidi w:val="0"/>
              <w:jc w:val="center"/>
              <w:rPr>
                <w:rFonts w:ascii="Times New Roman" w:hAnsi="Times New Roman"/>
                <w:b/>
                <w:bCs/>
                <w:color w:val="FFFFFF"/>
                <w:sz w:val="20"/>
                <w:szCs w:val="20"/>
              </w:rPr>
            </w:pPr>
            <w:r w:rsidRPr="002800FB">
              <w:rPr>
                <w:rFonts w:ascii="Times New Roman" w:hAnsi="Times New Roman"/>
                <w:b/>
                <w:bCs/>
                <w:color w:val="FFFFFF"/>
                <w:sz w:val="20"/>
                <w:szCs w:val="20"/>
              </w:rPr>
              <w:t>2009 </w:t>
            </w:r>
          </w:p>
        </w:tc>
        <w:tc>
          <w:tcPr>
            <w:tcW w:w="992" w:type="dxa"/>
            <w:vMerge/>
            <w:tcBorders>
              <w:top w:val="none" w:sz="0" w:space="0" w:color="auto"/>
              <w:left w:val="single" w:sz="8" w:space="0" w:color="FFFFFF"/>
              <w:bottom w:val="single" w:sz="4" w:space="0" w:color="auto"/>
              <w:right w:val="single" w:sz="8" w:space="0" w:color="FFFFFF"/>
            </w:tcBorders>
            <w:shd w:val="clear" w:color="000000" w:fill="000000"/>
            <w:textDirection w:val="lrTb"/>
            <w:vAlign w:val="center"/>
            <w:hideMark/>
          </w:tcPr>
          <w:p w:rsidR="002800FB" w:rsidRPr="002800FB" w:rsidP="002800FB">
            <w:pPr>
              <w:bidi w:val="0"/>
              <w:rPr>
                <w:rFonts w:ascii="Times New Roman" w:hAnsi="Times New Roman"/>
                <w:b/>
                <w:bCs/>
                <w:color w:val="FFFFFF"/>
                <w:sz w:val="20"/>
                <w:szCs w:val="20"/>
              </w:rPr>
            </w:pPr>
          </w:p>
        </w:tc>
      </w:tr>
      <w:tr>
        <w:tblPrEx>
          <w:tblW w:w="9649" w:type="dxa"/>
          <w:jc w:val="center"/>
          <w:tblInd w:w="60" w:type="dxa"/>
          <w:tblLayout w:type="fixed"/>
          <w:tblCellMar>
            <w:left w:w="70" w:type="dxa"/>
            <w:right w:w="70" w:type="dxa"/>
          </w:tblCellMar>
          <w:tblLook w:val="04A0"/>
        </w:tblPrEx>
        <w:trPr>
          <w:trHeight w:val="310"/>
          <w:jc w:val="center"/>
        </w:trPr>
        <w:tc>
          <w:tcPr>
            <w:tcW w:w="327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2800FB" w:rsidRPr="004B18B6" w:rsidP="002800FB">
            <w:pPr>
              <w:bidi w:val="0"/>
              <w:jc w:val="center"/>
              <w:rPr>
                <w:rFonts w:ascii="Times New Roman" w:hAnsi="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2800FB" w:rsidRPr="004B18B6" w:rsidP="002800FB">
            <w:pPr>
              <w:bidi w:val="0"/>
              <w:jc w:val="center"/>
              <w:rPr>
                <w:rFonts w:ascii="Times New Roman" w:hAnsi="Times New Roman"/>
                <w:b/>
                <w:bCs/>
                <w:color w:val="000000"/>
                <w:sz w:val="20"/>
                <w:szCs w:val="20"/>
              </w:rPr>
            </w:pPr>
            <w:r w:rsidRPr="004B18B6">
              <w:rPr>
                <w:rFonts w:ascii="Times New Roman" w:hAnsi="Times New Roman"/>
                <w:b/>
                <w:bCs/>
                <w:color w:val="000000"/>
                <w:sz w:val="20"/>
                <w:szCs w:val="20"/>
              </w:rPr>
              <w:t>6=3-2</w:t>
            </w:r>
          </w:p>
        </w:tc>
      </w:tr>
      <w:tr>
        <w:tblPrEx>
          <w:tblW w:w="9649" w:type="dxa"/>
          <w:jc w:val="center"/>
          <w:tblInd w:w="60" w:type="dxa"/>
          <w:tblLayout w:type="fixed"/>
          <w:tblCellMar>
            <w:left w:w="70" w:type="dxa"/>
            <w:right w:w="70" w:type="dxa"/>
          </w:tblCellMar>
          <w:tblLook w:val="04A0"/>
        </w:tblPrEx>
        <w:trPr>
          <w:trHeight w:val="330"/>
          <w:jc w:val="center"/>
        </w:trPr>
        <w:tc>
          <w:tcPr>
            <w:tcW w:w="3271" w:type="dxa"/>
            <w:tcBorders>
              <w:top w:val="single" w:sz="4" w:space="0" w:color="auto"/>
              <w:left w:val="single" w:sz="4" w:space="0" w:color="auto"/>
              <w:bottom w:val="single" w:sz="4" w:space="0" w:color="auto"/>
              <w:right w:val="single" w:sz="4" w:space="0" w:color="auto"/>
            </w:tcBorders>
            <w:noWrap/>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ISPA/KF</w:t>
            </w:r>
          </w:p>
        </w:tc>
        <w:tc>
          <w:tcPr>
            <w:tcW w:w="1134" w:type="dxa"/>
            <w:tcBorders>
              <w:top w:val="single" w:sz="4" w:space="0" w:color="auto"/>
              <w:left w:val="nil"/>
              <w:bottom w:val="single" w:sz="4" w:space="0" w:color="auto"/>
              <w:right w:val="single" w:sz="4" w:space="0" w:color="auto"/>
            </w:tcBorders>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D9D9D9"/>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742</w:t>
            </w:r>
          </w:p>
        </w:tc>
        <w:tc>
          <w:tcPr>
            <w:tcW w:w="992" w:type="dxa"/>
            <w:tcBorders>
              <w:top w:val="single" w:sz="4"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r>
      <w:tr>
        <w:tblPrEx>
          <w:tblW w:w="9649" w:type="dxa"/>
          <w:jc w:val="center"/>
          <w:tblInd w:w="60" w:type="dxa"/>
          <w:tblLayout w:type="fixed"/>
          <w:tblCellMar>
            <w:left w:w="70" w:type="dxa"/>
            <w:right w:w="70" w:type="dxa"/>
          </w:tblCellMar>
          <w:tblLook w:val="04A0"/>
        </w:tblPrEx>
        <w:trPr>
          <w:trHeight w:val="330"/>
          <w:jc w:val="center"/>
        </w:trPr>
        <w:tc>
          <w:tcPr>
            <w:tcW w:w="3271" w:type="dxa"/>
            <w:tcBorders>
              <w:top w:val="nil"/>
              <w:left w:val="single" w:sz="4" w:space="0" w:color="auto"/>
              <w:bottom w:val="single" w:sz="4" w:space="0" w:color="auto"/>
              <w:right w:val="single" w:sz="4" w:space="0" w:color="auto"/>
            </w:tcBorders>
            <w:noWrap/>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Vnútorné politiky EÚ</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4 873</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1 445</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1 476</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2 984</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2 217</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31</w:t>
            </w:r>
          </w:p>
        </w:tc>
      </w:tr>
      <w:tr>
        <w:tblPrEx>
          <w:tblW w:w="9649" w:type="dxa"/>
          <w:jc w:val="center"/>
          <w:tblInd w:w="60" w:type="dxa"/>
          <w:tblLayout w:type="fixed"/>
          <w:tblCellMar>
            <w:left w:w="70" w:type="dxa"/>
            <w:right w:w="70" w:type="dxa"/>
          </w:tblCellMar>
          <w:tblLook w:val="04A0"/>
        </w:tblPrEx>
        <w:trPr>
          <w:trHeight w:val="510"/>
          <w:jc w:val="center"/>
        </w:trPr>
        <w:tc>
          <w:tcPr>
            <w:tcW w:w="3271" w:type="dxa"/>
            <w:tcBorders>
              <w:top w:val="nil"/>
              <w:left w:val="single" w:sz="4" w:space="0" w:color="auto"/>
              <w:bottom w:val="single" w:sz="4" w:space="0" w:color="auto"/>
              <w:right w:val="single" w:sz="4" w:space="0" w:color="auto"/>
            </w:tcBorders>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Programy európskej územnej spolupráce</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14 814</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9 404</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4 645</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i/>
                <w:iCs/>
                <w:color w:val="000000"/>
                <w:sz w:val="20"/>
                <w:szCs w:val="20"/>
              </w:rPr>
            </w:pPr>
            <w:r w:rsidRPr="002800FB">
              <w:rPr>
                <w:rFonts w:ascii="Times New Roman" w:hAnsi="Times New Roman"/>
                <w:i/>
                <w:iCs/>
                <w:color w:val="000000"/>
                <w:sz w:val="20"/>
                <w:szCs w:val="20"/>
              </w:rPr>
              <w:t>1 640</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772</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-4 759</w:t>
            </w:r>
          </w:p>
        </w:tc>
      </w:tr>
      <w:tr>
        <w:tblPrEx>
          <w:tblW w:w="9649" w:type="dxa"/>
          <w:jc w:val="center"/>
          <w:tblInd w:w="60" w:type="dxa"/>
          <w:tblLayout w:type="fixed"/>
          <w:tblCellMar>
            <w:left w:w="70" w:type="dxa"/>
            <w:right w:w="70" w:type="dxa"/>
          </w:tblCellMar>
          <w:tblLook w:val="04A0"/>
        </w:tblPrEx>
        <w:trPr>
          <w:trHeight w:val="765"/>
          <w:jc w:val="center"/>
        </w:trPr>
        <w:tc>
          <w:tcPr>
            <w:tcW w:w="3271" w:type="dxa"/>
            <w:tcBorders>
              <w:top w:val="nil"/>
              <w:left w:val="single" w:sz="4" w:space="0" w:color="auto"/>
              <w:bottom w:val="single" w:sz="4" w:space="0" w:color="auto"/>
              <w:right w:val="single" w:sz="4" w:space="0" w:color="auto"/>
            </w:tcBorders>
            <w:textDirection w:val="lrTb"/>
            <w:vAlign w:val="center"/>
            <w:hideMark/>
          </w:tcPr>
          <w:p w:rsidR="002800FB" w:rsidRPr="002800FB" w:rsidP="002800FB">
            <w:pPr>
              <w:bidi w:val="0"/>
              <w:rPr>
                <w:rFonts w:ascii="Times New Roman" w:hAnsi="Times New Roman"/>
                <w:b/>
                <w:bCs/>
                <w:color w:val="000000"/>
                <w:sz w:val="20"/>
                <w:szCs w:val="20"/>
              </w:rPr>
            </w:pPr>
            <w:r w:rsidRPr="002800FB">
              <w:rPr>
                <w:rFonts w:ascii="Times New Roman" w:hAnsi="Times New Roman"/>
                <w:b/>
                <w:bCs/>
                <w:color w:val="000000"/>
                <w:sz w:val="20"/>
                <w:szCs w:val="20"/>
              </w:rPr>
              <w:t>Spolu spolufinancovanie k príjmom z rozp</w:t>
            </w:r>
            <w:r w:rsidR="00230016">
              <w:rPr>
                <w:rFonts w:ascii="Times New Roman" w:hAnsi="Times New Roman"/>
                <w:b/>
                <w:bCs/>
                <w:color w:val="000000"/>
                <w:sz w:val="20"/>
                <w:szCs w:val="20"/>
              </w:rPr>
              <w:t>o</w:t>
            </w:r>
            <w:r w:rsidRPr="002800FB">
              <w:rPr>
                <w:rFonts w:ascii="Times New Roman" w:hAnsi="Times New Roman"/>
                <w:b/>
                <w:bCs/>
                <w:color w:val="000000"/>
                <w:sz w:val="20"/>
                <w:szCs w:val="20"/>
              </w:rPr>
              <w:t>čtu EÚ nezaradeným do príjmov ŠR</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19 687</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10 849</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6 121</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4 624</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3 731</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-4 728</w:t>
            </w:r>
          </w:p>
        </w:tc>
      </w:tr>
      <w:tr>
        <w:tblPrEx>
          <w:tblW w:w="9649" w:type="dxa"/>
          <w:jc w:val="center"/>
          <w:tblInd w:w="60" w:type="dxa"/>
          <w:tblLayout w:type="fixed"/>
          <w:tblCellMar>
            <w:left w:w="70" w:type="dxa"/>
            <w:right w:w="70" w:type="dxa"/>
          </w:tblCellMar>
          <w:tblLook w:val="04A0"/>
        </w:tblPrEx>
        <w:trPr>
          <w:trHeight w:val="330"/>
          <w:jc w:val="center"/>
        </w:trPr>
        <w:tc>
          <w:tcPr>
            <w:tcW w:w="3271" w:type="dxa"/>
            <w:tcBorders>
              <w:top w:val="nil"/>
              <w:left w:val="single" w:sz="4" w:space="0" w:color="auto"/>
              <w:bottom w:val="single" w:sz="4" w:space="0" w:color="auto"/>
              <w:right w:val="single" w:sz="4" w:space="0" w:color="auto"/>
            </w:tcBorders>
            <w:noWrap/>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Finančný mechanizmus EHP</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3 672</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3 672</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2 364</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1 765</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-3 672</w:t>
            </w:r>
          </w:p>
        </w:tc>
      </w:tr>
      <w:tr>
        <w:tblPrEx>
          <w:tblW w:w="9649" w:type="dxa"/>
          <w:jc w:val="center"/>
          <w:tblInd w:w="60" w:type="dxa"/>
          <w:tblLayout w:type="fixed"/>
          <w:tblCellMar>
            <w:left w:w="70" w:type="dxa"/>
            <w:right w:w="70" w:type="dxa"/>
          </w:tblCellMar>
          <w:tblLook w:val="04A0"/>
        </w:tblPrEx>
        <w:trPr>
          <w:trHeight w:val="330"/>
          <w:jc w:val="center"/>
        </w:trPr>
        <w:tc>
          <w:tcPr>
            <w:tcW w:w="3271" w:type="dxa"/>
            <w:tcBorders>
              <w:top w:val="nil"/>
              <w:left w:val="single" w:sz="4" w:space="0" w:color="auto"/>
              <w:bottom w:val="single" w:sz="4" w:space="0" w:color="auto"/>
              <w:right w:val="single" w:sz="4" w:space="0" w:color="auto"/>
            </w:tcBorders>
            <w:noWrap/>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Nórsky finančný mechanizmus</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4 269</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4 269</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2 809</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2 118</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-4 269</w:t>
            </w:r>
          </w:p>
        </w:tc>
      </w:tr>
      <w:tr>
        <w:tblPrEx>
          <w:tblW w:w="9649" w:type="dxa"/>
          <w:jc w:val="center"/>
          <w:tblInd w:w="60" w:type="dxa"/>
          <w:tblLayout w:type="fixed"/>
          <w:tblCellMar>
            <w:left w:w="70" w:type="dxa"/>
            <w:right w:w="70" w:type="dxa"/>
          </w:tblCellMar>
          <w:tblLook w:val="04A0"/>
        </w:tblPrEx>
        <w:trPr>
          <w:trHeight w:val="330"/>
          <w:jc w:val="center"/>
        </w:trPr>
        <w:tc>
          <w:tcPr>
            <w:tcW w:w="3271" w:type="dxa"/>
            <w:tcBorders>
              <w:top w:val="nil"/>
              <w:left w:val="single" w:sz="4" w:space="0" w:color="auto"/>
              <w:bottom w:val="single" w:sz="4" w:space="0" w:color="auto"/>
              <w:right w:val="single" w:sz="4" w:space="0" w:color="auto"/>
            </w:tcBorders>
            <w:textDirection w:val="lrTb"/>
            <w:vAlign w:val="center"/>
            <w:hideMark/>
          </w:tcPr>
          <w:p w:rsidR="002800FB" w:rsidRPr="002800FB" w:rsidP="002800FB">
            <w:pPr>
              <w:bidi w:val="0"/>
              <w:rPr>
                <w:rFonts w:ascii="Times New Roman" w:hAnsi="Times New Roman"/>
                <w:color w:val="000000"/>
                <w:sz w:val="20"/>
                <w:szCs w:val="20"/>
              </w:rPr>
            </w:pPr>
            <w:r w:rsidRPr="002800FB">
              <w:rPr>
                <w:rFonts w:ascii="Times New Roman" w:hAnsi="Times New Roman"/>
                <w:color w:val="000000"/>
                <w:sz w:val="20"/>
                <w:szCs w:val="20"/>
              </w:rPr>
              <w:t>Švajčiarsky finančný mechanizmus</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1 465</w:t>
            </w:r>
          </w:p>
        </w:tc>
        <w:tc>
          <w:tcPr>
            <w:tcW w:w="1134"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1 465</w:t>
            </w:r>
          </w:p>
        </w:tc>
        <w:tc>
          <w:tcPr>
            <w:tcW w:w="1134" w:type="dxa"/>
            <w:tcBorders>
              <w:top w:val="nil"/>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1 465</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i/>
                <w:iCs/>
                <w:color w:val="000000"/>
                <w:sz w:val="20"/>
                <w:szCs w:val="20"/>
              </w:rPr>
            </w:pPr>
            <w:r w:rsidRPr="002800FB">
              <w:rPr>
                <w:rFonts w:ascii="Times New Roman" w:hAnsi="Times New Roman"/>
                <w:i/>
                <w:iCs/>
                <w:color w:val="000000"/>
                <w:sz w:val="20"/>
                <w:szCs w:val="20"/>
              </w:rPr>
              <w:t>0</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864</w:t>
            </w:r>
          </w:p>
        </w:tc>
        <w:tc>
          <w:tcPr>
            <w:tcW w:w="992" w:type="dxa"/>
            <w:tcBorders>
              <w:top w:val="nil"/>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color w:val="000000"/>
                <w:sz w:val="20"/>
                <w:szCs w:val="20"/>
              </w:rPr>
            </w:pPr>
            <w:r w:rsidRPr="002800FB">
              <w:rPr>
                <w:rFonts w:ascii="Times New Roman" w:hAnsi="Times New Roman"/>
                <w:color w:val="000000"/>
                <w:sz w:val="20"/>
                <w:szCs w:val="20"/>
              </w:rPr>
              <w:t>0</w:t>
            </w:r>
          </w:p>
        </w:tc>
      </w:tr>
      <w:tr>
        <w:tblPrEx>
          <w:tblW w:w="9649" w:type="dxa"/>
          <w:jc w:val="center"/>
          <w:tblInd w:w="60" w:type="dxa"/>
          <w:tblLayout w:type="fixed"/>
          <w:tblCellMar>
            <w:left w:w="70" w:type="dxa"/>
            <w:right w:w="70" w:type="dxa"/>
          </w:tblCellMar>
          <w:tblLook w:val="04A0"/>
        </w:tblPrEx>
        <w:trPr>
          <w:trHeight w:val="765"/>
          <w:jc w:val="center"/>
        </w:trPr>
        <w:tc>
          <w:tcPr>
            <w:tcW w:w="3271" w:type="dxa"/>
            <w:tcBorders>
              <w:top w:val="single" w:sz="4" w:space="0" w:color="auto"/>
              <w:left w:val="single" w:sz="4" w:space="0" w:color="auto"/>
              <w:bottom w:val="double" w:sz="6" w:space="0" w:color="auto"/>
              <w:right w:val="single" w:sz="4" w:space="0" w:color="auto"/>
            </w:tcBorders>
            <w:textDirection w:val="lrTb"/>
            <w:vAlign w:val="center"/>
            <w:hideMark/>
          </w:tcPr>
          <w:p w:rsidR="002800FB" w:rsidRPr="002800FB" w:rsidP="002800FB">
            <w:pPr>
              <w:bidi w:val="0"/>
              <w:rPr>
                <w:rFonts w:ascii="Times New Roman" w:hAnsi="Times New Roman"/>
                <w:b/>
                <w:bCs/>
                <w:color w:val="000000"/>
                <w:sz w:val="20"/>
                <w:szCs w:val="20"/>
              </w:rPr>
            </w:pPr>
            <w:r w:rsidRPr="002800FB">
              <w:rPr>
                <w:rFonts w:ascii="Times New Roman" w:hAnsi="Times New Roman"/>
                <w:b/>
                <w:bCs/>
                <w:color w:val="000000"/>
                <w:sz w:val="20"/>
                <w:szCs w:val="20"/>
              </w:rPr>
              <w:t>Spolu spolufinancovanie k ostatným príjmom, nezaradeným do príjmov štátneho rozpočtu</w:t>
            </w:r>
          </w:p>
        </w:tc>
        <w:tc>
          <w:tcPr>
            <w:tcW w:w="1134" w:type="dxa"/>
            <w:tcBorders>
              <w:top w:val="single" w:sz="4" w:space="0" w:color="auto"/>
              <w:left w:val="nil"/>
              <w:bottom w:val="double" w:sz="6"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9 406</w:t>
            </w:r>
          </w:p>
        </w:tc>
        <w:tc>
          <w:tcPr>
            <w:tcW w:w="1134" w:type="dxa"/>
            <w:tcBorders>
              <w:top w:val="single" w:sz="4" w:space="0" w:color="auto"/>
              <w:left w:val="nil"/>
              <w:bottom w:val="double" w:sz="6"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9 406</w:t>
            </w:r>
          </w:p>
        </w:tc>
        <w:tc>
          <w:tcPr>
            <w:tcW w:w="1134" w:type="dxa"/>
            <w:tcBorders>
              <w:top w:val="single" w:sz="4" w:space="0" w:color="auto"/>
              <w:left w:val="nil"/>
              <w:bottom w:val="double" w:sz="6"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1 465</w:t>
            </w:r>
          </w:p>
        </w:tc>
        <w:tc>
          <w:tcPr>
            <w:tcW w:w="992" w:type="dxa"/>
            <w:tcBorders>
              <w:top w:val="single" w:sz="4" w:space="0" w:color="auto"/>
              <w:left w:val="nil"/>
              <w:bottom w:val="double" w:sz="6"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5 173</w:t>
            </w:r>
          </w:p>
        </w:tc>
        <w:tc>
          <w:tcPr>
            <w:tcW w:w="992" w:type="dxa"/>
            <w:tcBorders>
              <w:top w:val="single" w:sz="4" w:space="0" w:color="auto"/>
              <w:left w:val="nil"/>
              <w:bottom w:val="double" w:sz="6"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4 747</w:t>
            </w:r>
          </w:p>
        </w:tc>
        <w:tc>
          <w:tcPr>
            <w:tcW w:w="992" w:type="dxa"/>
            <w:tcBorders>
              <w:top w:val="single" w:sz="4" w:space="0" w:color="auto"/>
              <w:left w:val="nil"/>
              <w:bottom w:val="double" w:sz="6"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-7 941</w:t>
            </w:r>
          </w:p>
        </w:tc>
      </w:tr>
      <w:tr>
        <w:tblPrEx>
          <w:tblW w:w="9649" w:type="dxa"/>
          <w:jc w:val="center"/>
          <w:tblInd w:w="60" w:type="dxa"/>
          <w:tblLayout w:type="fixed"/>
          <w:tblCellMar>
            <w:left w:w="70" w:type="dxa"/>
            <w:right w:w="70" w:type="dxa"/>
          </w:tblCellMar>
          <w:tblLook w:val="04A0"/>
        </w:tblPrEx>
        <w:trPr>
          <w:trHeight w:val="510"/>
          <w:jc w:val="center"/>
        </w:trPr>
        <w:tc>
          <w:tcPr>
            <w:tcW w:w="3271" w:type="dxa"/>
            <w:tcBorders>
              <w:top w:val="double" w:sz="6" w:space="0" w:color="auto"/>
              <w:left w:val="single" w:sz="4" w:space="0" w:color="auto"/>
              <w:bottom w:val="single" w:sz="4" w:space="0" w:color="auto"/>
              <w:right w:val="single" w:sz="4" w:space="0" w:color="auto"/>
            </w:tcBorders>
            <w:textDirection w:val="lrTb"/>
            <w:vAlign w:val="center"/>
            <w:hideMark/>
          </w:tcPr>
          <w:p w:rsidR="002800FB" w:rsidRPr="002800FB" w:rsidP="002800FB">
            <w:pPr>
              <w:bidi w:val="0"/>
              <w:rPr>
                <w:rFonts w:ascii="Times New Roman" w:hAnsi="Times New Roman"/>
                <w:b/>
                <w:bCs/>
                <w:color w:val="000000"/>
                <w:sz w:val="20"/>
                <w:szCs w:val="20"/>
              </w:rPr>
            </w:pPr>
            <w:r w:rsidRPr="002800FB">
              <w:rPr>
                <w:rFonts w:ascii="Times New Roman" w:hAnsi="Times New Roman"/>
                <w:b/>
                <w:bCs/>
                <w:color w:val="000000"/>
                <w:sz w:val="20"/>
                <w:szCs w:val="20"/>
              </w:rPr>
              <w:t xml:space="preserve">Spolu spolufinancovanie k príjmom nezaradeným do príjmov ŠR </w:t>
            </w:r>
          </w:p>
        </w:tc>
        <w:tc>
          <w:tcPr>
            <w:tcW w:w="1134" w:type="dxa"/>
            <w:tcBorders>
              <w:top w:val="double" w:sz="6"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29 093</w:t>
            </w:r>
          </w:p>
        </w:tc>
        <w:tc>
          <w:tcPr>
            <w:tcW w:w="1134" w:type="dxa"/>
            <w:tcBorders>
              <w:top w:val="double" w:sz="6"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20 255</w:t>
            </w:r>
          </w:p>
        </w:tc>
        <w:tc>
          <w:tcPr>
            <w:tcW w:w="1134" w:type="dxa"/>
            <w:tcBorders>
              <w:top w:val="double" w:sz="6" w:space="0" w:color="auto"/>
              <w:left w:val="nil"/>
              <w:bottom w:val="single" w:sz="4" w:space="0" w:color="auto"/>
              <w:right w:val="single" w:sz="4" w:space="0" w:color="auto"/>
            </w:tcBorders>
            <w:shd w:val="clear" w:color="auto" w:fill="D9D9D9"/>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7 586</w:t>
            </w:r>
          </w:p>
        </w:tc>
        <w:tc>
          <w:tcPr>
            <w:tcW w:w="992" w:type="dxa"/>
            <w:tcBorders>
              <w:top w:val="double" w:sz="6"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9 797</w:t>
            </w:r>
          </w:p>
        </w:tc>
        <w:tc>
          <w:tcPr>
            <w:tcW w:w="992" w:type="dxa"/>
            <w:tcBorders>
              <w:top w:val="double" w:sz="6"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8 478</w:t>
            </w:r>
          </w:p>
        </w:tc>
        <w:tc>
          <w:tcPr>
            <w:tcW w:w="992" w:type="dxa"/>
            <w:tcBorders>
              <w:top w:val="double" w:sz="6" w:space="0" w:color="auto"/>
              <w:left w:val="nil"/>
              <w:bottom w:val="single" w:sz="4" w:space="0" w:color="auto"/>
              <w:right w:val="single" w:sz="4" w:space="0" w:color="auto"/>
            </w:tcBorders>
            <w:noWrap/>
            <w:textDirection w:val="lrTb"/>
            <w:vAlign w:val="center"/>
            <w:hideMark/>
          </w:tcPr>
          <w:p w:rsidR="002800FB" w:rsidRPr="002800FB" w:rsidP="002800FB">
            <w:pPr>
              <w:bidi w:val="0"/>
              <w:jc w:val="right"/>
              <w:rPr>
                <w:rFonts w:ascii="Times New Roman" w:hAnsi="Times New Roman"/>
                <w:b/>
                <w:bCs/>
                <w:color w:val="000000"/>
                <w:sz w:val="20"/>
                <w:szCs w:val="20"/>
              </w:rPr>
            </w:pPr>
            <w:r w:rsidRPr="002800FB">
              <w:rPr>
                <w:rFonts w:ascii="Times New Roman" w:hAnsi="Times New Roman"/>
                <w:b/>
                <w:bCs/>
                <w:color w:val="000000"/>
                <w:sz w:val="20"/>
                <w:szCs w:val="20"/>
              </w:rPr>
              <w:t>-12 669</w:t>
            </w:r>
          </w:p>
        </w:tc>
      </w:tr>
    </w:tbl>
    <w:p w:rsidR="00BC136F" w:rsidRPr="002800FB" w:rsidP="000C5094">
      <w:pPr>
        <w:bidi w:val="0"/>
        <w:spacing w:line="360" w:lineRule="auto"/>
        <w:jc w:val="both"/>
        <w:rPr>
          <w:rFonts w:ascii="Times New Roman" w:hAnsi="Times New Roman"/>
          <w:sz w:val="20"/>
          <w:szCs w:val="20"/>
        </w:rPr>
      </w:pPr>
      <w:r w:rsidR="002800FB">
        <w:rPr>
          <w:rFonts w:ascii="Times New Roman" w:hAnsi="Times New Roman"/>
          <w:sz w:val="20"/>
          <w:szCs w:val="20"/>
        </w:rPr>
        <w:t>Zdroj: M</w:t>
      </w:r>
      <w:r w:rsidR="00F85E1D">
        <w:rPr>
          <w:rFonts w:ascii="Times New Roman" w:hAnsi="Times New Roman"/>
          <w:sz w:val="20"/>
          <w:szCs w:val="20"/>
        </w:rPr>
        <w:t>inisterstvo financií S</w:t>
      </w:r>
      <w:r w:rsidR="002800FB">
        <w:rPr>
          <w:rFonts w:ascii="Times New Roman" w:hAnsi="Times New Roman"/>
          <w:sz w:val="20"/>
          <w:szCs w:val="20"/>
        </w:rPr>
        <w:t>R</w:t>
      </w:r>
    </w:p>
    <w:p w:rsidR="00B57C93" w:rsidP="004D431A">
      <w:pPr>
        <w:bidi w:val="0"/>
        <w:spacing w:before="120" w:after="120" w:line="360" w:lineRule="auto"/>
        <w:jc w:val="both"/>
        <w:rPr>
          <w:rFonts w:ascii="Times New Roman" w:hAnsi="Times New Roman"/>
        </w:rPr>
      </w:pPr>
      <w:r>
        <w:rPr>
          <w:rFonts w:ascii="Times New Roman" w:hAnsi="Times New Roman"/>
        </w:rPr>
        <w:t>Plnenie príjmov a čerpanie výdavkov za poľnohospodárske fondy a štrukturálne operácie podľa rozpočtových kapitol je uvedené v</w:t>
      </w:r>
      <w:r w:rsidR="002576A9">
        <w:rPr>
          <w:rFonts w:ascii="Times New Roman" w:hAnsi="Times New Roman"/>
        </w:rPr>
        <w:t xml:space="preserve"> tabuľkách č. 16 a č. 17 </w:t>
      </w:r>
      <w:r>
        <w:rPr>
          <w:rFonts w:ascii="Times New Roman" w:hAnsi="Times New Roman"/>
        </w:rPr>
        <w:t>tabuľk</w:t>
      </w:r>
      <w:r w:rsidR="002576A9">
        <w:rPr>
          <w:rFonts w:ascii="Times New Roman" w:hAnsi="Times New Roman"/>
        </w:rPr>
        <w:t xml:space="preserve">ovej </w:t>
      </w:r>
      <w:r w:rsidR="00DD4E43">
        <w:rPr>
          <w:rFonts w:ascii="Times New Roman" w:hAnsi="Times New Roman"/>
        </w:rPr>
        <w:t>prílohy</w:t>
      </w:r>
      <w:r w:rsidR="002576A9">
        <w:rPr>
          <w:rFonts w:ascii="Times New Roman" w:hAnsi="Times New Roman"/>
        </w:rPr>
        <w:t xml:space="preserve"> </w:t>
      </w:r>
      <w:r w:rsidR="008B5CB3">
        <w:rPr>
          <w:rFonts w:ascii="Times New Roman" w:hAnsi="Times New Roman"/>
        </w:rPr>
        <w:t>štátneho záverečného účtu</w:t>
      </w:r>
      <w:r w:rsidR="002576A9">
        <w:rPr>
          <w:rFonts w:ascii="Times New Roman" w:hAnsi="Times New Roman"/>
        </w:rPr>
        <w:t>.</w:t>
      </w:r>
      <w:r>
        <w:rPr>
          <w:rFonts w:ascii="Times New Roman" w:hAnsi="Times New Roman"/>
        </w:rPr>
        <w:t xml:space="preserve"> </w:t>
      </w:r>
    </w:p>
    <w:p w:rsidR="00B57C93" w:rsidP="004D431A">
      <w:pPr>
        <w:bidi w:val="0"/>
        <w:spacing w:before="120" w:after="120" w:line="360" w:lineRule="auto"/>
        <w:jc w:val="both"/>
        <w:rPr>
          <w:rFonts w:ascii="Times New Roman" w:hAnsi="Times New Roman"/>
        </w:rPr>
      </w:pPr>
      <w:r>
        <w:rPr>
          <w:rFonts w:ascii="Times New Roman" w:hAnsi="Times New Roman"/>
        </w:rPr>
        <w:t>Plnenie príjmov štátneho rozpočtu Slovenskej republiky k príjmom zo všeobecného rozpočtu Európskej únie má špecifický vývoj oproti čerpaniu výdavkov. Časový nesúlad medzi plnením príjmov a čerpaním výdavkov negatívne ovplyvňuje: vykazovanie výdavkov dvoch rozpočtových období zo strany Európskej komisie v jednom rozpočtovom roku v rámci Slovenskej republiky pri Európskom poľnohospodárskom záručnom fonde, projektový charakter a poskytovanie predfinancovania a zálohových platieb prijímateľom pri Európskom poľnohospodárskom fonde pre rozvoj vidieka, štrukturál</w:t>
      </w:r>
      <w:r w:rsidR="00C36624">
        <w:rPr>
          <w:rFonts w:ascii="Times New Roman" w:hAnsi="Times New Roman"/>
        </w:rPr>
        <w:t xml:space="preserve">nych fondoch a Kohéznom fonde. </w:t>
      </w:r>
      <w:r>
        <w:rPr>
          <w:rFonts w:ascii="Times New Roman" w:hAnsi="Times New Roman"/>
        </w:rPr>
        <w:t>Tento trend</w:t>
      </w:r>
      <w:r w:rsidR="00230016">
        <w:rPr>
          <w:rFonts w:ascii="Times New Roman" w:hAnsi="Times New Roman"/>
        </w:rPr>
        <w:t>,</w:t>
      </w:r>
      <w:r>
        <w:rPr>
          <w:rFonts w:ascii="Times New Roman" w:hAnsi="Times New Roman"/>
        </w:rPr>
        <w:t xml:space="preserve"> naopak</w:t>
      </w:r>
      <w:r w:rsidR="00230016">
        <w:rPr>
          <w:rFonts w:ascii="Times New Roman" w:hAnsi="Times New Roman"/>
        </w:rPr>
        <w:t>,</w:t>
      </w:r>
      <w:r>
        <w:rPr>
          <w:rFonts w:ascii="Times New Roman" w:hAnsi="Times New Roman"/>
        </w:rPr>
        <w:t xml:space="preserve"> pozitívne ovplyvňuje prelínanie dvoch programových období, kedy vyššie výdavky na začiatku programového obdobia dopĺňajú úhrady záverečných platieb do príjmov štátneho rozpočtu za predchádzajúce obdobie. Na základe tohto vývoja bolo v roku 2011 zaznamenané vyrovnávanie rozdielu príjmov a výdavkov za prostriedky Európskej únie v štátnom rozpočte Slovenskej republiky. </w:t>
      </w:r>
    </w:p>
    <w:p w:rsidR="0091003A" w:rsidRPr="00D07062" w:rsidP="0017400C">
      <w:pPr>
        <w:pStyle w:val="Heading2"/>
        <w:bidi w:val="0"/>
        <w:spacing w:before="100" w:beforeAutospacing="1" w:after="100" w:afterAutospacing="1" w:line="360" w:lineRule="auto"/>
        <w:jc w:val="center"/>
        <w:rPr>
          <w:rFonts w:ascii="Times New Roman" w:hAnsi="Times New Roman"/>
          <w:color w:val="auto"/>
          <w:sz w:val="24"/>
          <w:szCs w:val="24"/>
        </w:rPr>
      </w:pPr>
      <w:bookmarkStart w:id="37" w:name="_Toc322614765"/>
      <w:r w:rsidR="00F8582D">
        <w:rPr>
          <w:rFonts w:ascii="Times New Roman" w:hAnsi="Times New Roman"/>
          <w:color w:val="auto"/>
          <w:sz w:val="24"/>
          <w:szCs w:val="24"/>
        </w:rPr>
        <w:t>3.6</w:t>
      </w:r>
      <w:r w:rsidRPr="00D07062">
        <w:rPr>
          <w:rFonts w:ascii="Times New Roman" w:hAnsi="Times New Roman"/>
          <w:color w:val="auto"/>
          <w:sz w:val="24"/>
          <w:szCs w:val="24"/>
        </w:rPr>
        <w:t>. Vzťahy štátneho rozpočtu k územnej samospráve</w:t>
      </w:r>
      <w:bookmarkEnd w:id="37"/>
    </w:p>
    <w:p w:rsidR="0091003A" w:rsidP="004C1F8C">
      <w:pPr>
        <w:bidi w:val="0"/>
        <w:spacing w:before="120" w:after="120" w:line="360" w:lineRule="auto"/>
        <w:ind w:firstLine="708"/>
        <w:jc w:val="both"/>
        <w:rPr>
          <w:rFonts w:ascii="Times New Roman" w:hAnsi="Times New Roman"/>
        </w:rPr>
      </w:pPr>
      <w:r>
        <w:rPr>
          <w:rFonts w:ascii="Times New Roman" w:hAnsi="Times New Roman"/>
        </w:rPr>
        <w:t xml:space="preserve">V roku 2011 boli výdavky poskytnuté formou bežných a kapitálových transferov vybranými rozpočtovými kapitolami územnej samospráve, ktorá ich prijala ako granty a transfery v celkovej sume 1 683 784 tis. eur, z toho obciam čiastka 1 211 602 tis. eur a vyšším územným celkom (ďalej aj VÚC) čiastka 472 182 tis. eur. Z celkového objemu poskytnutých grantov a transferov tvorili bežné výdavky sumu 1 160 780 tis. eur (obciam 746 899 tis. eur a VÚC 413 881 tis. eur) a kapitálové výdavky sumu 523 004 tis. eur (obciam 464 703 tis. eur a VÚC 58 302 tis. eur). </w:t>
      </w:r>
    </w:p>
    <w:p w:rsidR="0091003A" w:rsidRPr="009C3082" w:rsidP="0017400C">
      <w:pPr>
        <w:pStyle w:val="Heading3"/>
        <w:bidi w:val="0"/>
        <w:spacing w:before="100" w:beforeAutospacing="1" w:after="100" w:afterAutospacing="1" w:line="360" w:lineRule="auto"/>
        <w:jc w:val="center"/>
        <w:rPr>
          <w:rFonts w:ascii="Times New Roman" w:hAnsi="Times New Roman"/>
          <w:color w:val="auto"/>
        </w:rPr>
      </w:pPr>
      <w:bookmarkStart w:id="38" w:name="_Toc322614766"/>
      <w:r w:rsidR="00F061AB">
        <w:rPr>
          <w:rFonts w:ascii="Times New Roman" w:hAnsi="Times New Roman"/>
          <w:color w:val="auto"/>
        </w:rPr>
        <w:t>3.6</w:t>
      </w:r>
      <w:r w:rsidRPr="009C3082">
        <w:rPr>
          <w:rFonts w:ascii="Times New Roman" w:hAnsi="Times New Roman"/>
          <w:color w:val="auto"/>
        </w:rPr>
        <w:t>.1. Vzťahy štátneho rozpočtu a rozpočtov obcí</w:t>
      </w:r>
      <w:bookmarkEnd w:id="38"/>
    </w:p>
    <w:p w:rsidR="0091003A" w:rsidRPr="004D431A" w:rsidP="004D431A">
      <w:pPr>
        <w:suppressAutoHyphens/>
        <w:bidi w:val="0"/>
        <w:spacing w:before="120" w:after="120" w:line="360" w:lineRule="auto"/>
        <w:ind w:firstLine="709"/>
        <w:jc w:val="both"/>
        <w:rPr>
          <w:rFonts w:ascii="Times New Roman" w:hAnsi="Times New Roman"/>
          <w:color w:val="000000"/>
        </w:rPr>
      </w:pPr>
      <w:r w:rsidRPr="004D431A">
        <w:rPr>
          <w:rFonts w:ascii="Times New Roman" w:hAnsi="Times New Roman"/>
          <w:color w:val="000000"/>
        </w:rPr>
        <w:t>Z rozpočtov jednotlivých kapitol štátneho rozpočtu bolo do rozpočtov obcí v roku 2011 poskytnutých 1 211 602 tis. eur, z toho bežné granty a transfery tvorili čiastku 746 899 tis. eur</w:t>
      </w:r>
      <w:r w:rsidRPr="004D431A" w:rsidR="00605254">
        <w:rPr>
          <w:rFonts w:ascii="Times New Roman" w:hAnsi="Times New Roman"/>
          <w:color w:val="000000"/>
        </w:rPr>
        <w:t xml:space="preserve"> (2010: 820 159 tis. eur)</w:t>
      </w:r>
      <w:r w:rsidRPr="004D431A">
        <w:rPr>
          <w:rFonts w:ascii="Times New Roman" w:hAnsi="Times New Roman"/>
          <w:color w:val="000000"/>
        </w:rPr>
        <w:t xml:space="preserve"> a kapitálové granty a transfery čiastku 464 703 tis. eur</w:t>
      </w:r>
      <w:r w:rsidRPr="004D431A" w:rsidR="00605254">
        <w:rPr>
          <w:rFonts w:ascii="Times New Roman" w:hAnsi="Times New Roman"/>
          <w:color w:val="000000"/>
        </w:rPr>
        <w:t xml:space="preserve"> (2010: 425 183 tis. eur)</w:t>
      </w:r>
      <w:r w:rsidRPr="004D431A">
        <w:rPr>
          <w:rFonts w:ascii="Times New Roman" w:hAnsi="Times New Roman"/>
          <w:color w:val="000000"/>
        </w:rPr>
        <w:t xml:space="preserve">. </w:t>
      </w:r>
    </w:p>
    <w:p w:rsidR="0091003A" w:rsidP="004D431A">
      <w:pPr>
        <w:suppressAutoHyphens/>
        <w:bidi w:val="0"/>
        <w:spacing w:before="120" w:after="120" w:line="360" w:lineRule="auto"/>
        <w:jc w:val="both"/>
        <w:rPr>
          <w:rFonts w:ascii="Times New Roman" w:hAnsi="Times New Roman"/>
        </w:rPr>
      </w:pPr>
      <w:r w:rsidRPr="007B339C">
        <w:rPr>
          <w:rFonts w:ascii="Times New Roman" w:hAnsi="Times New Roman"/>
        </w:rPr>
        <w:t>Granty a transfery zo štátneho rozpočtu s kódom zdroja 111</w:t>
      </w:r>
      <w:r w:rsidR="00541C9E">
        <w:rPr>
          <w:rFonts w:ascii="Times New Roman" w:hAnsi="Times New Roman"/>
        </w:rPr>
        <w:t>*</w:t>
      </w:r>
      <w:r w:rsidRPr="007B339C">
        <w:rPr>
          <w:rFonts w:ascii="Times New Roman" w:hAnsi="Times New Roman"/>
        </w:rPr>
        <w:t xml:space="preserve"> boli poskytnuté v sume 748 366 tis. eur</w:t>
      </w:r>
      <w:r w:rsidRPr="003A2AFA">
        <w:rPr>
          <w:rFonts w:ascii="Times New Roman" w:hAnsi="Times New Roman"/>
          <w:color w:val="FF0000"/>
        </w:rPr>
        <w:t xml:space="preserve"> </w:t>
      </w:r>
      <w:r w:rsidRPr="00543037">
        <w:rPr>
          <w:rFonts w:ascii="Times New Roman" w:hAnsi="Times New Roman"/>
        </w:rPr>
        <w:t>(2010</w:t>
      </w:r>
      <w:r w:rsidR="00605254">
        <w:rPr>
          <w:rFonts w:ascii="Times New Roman" w:hAnsi="Times New Roman"/>
        </w:rPr>
        <w:t>:</w:t>
      </w:r>
      <w:r w:rsidRPr="00543037">
        <w:rPr>
          <w:rFonts w:ascii="Times New Roman" w:hAnsi="Times New Roman"/>
        </w:rPr>
        <w:t xml:space="preserve"> </w:t>
      </w:r>
      <w:r w:rsidR="00605254">
        <w:rPr>
          <w:rFonts w:ascii="Times New Roman" w:hAnsi="Times New Roman"/>
        </w:rPr>
        <w:t>866 888</w:t>
      </w:r>
      <w:r w:rsidRPr="00543037">
        <w:rPr>
          <w:rFonts w:ascii="Times New Roman" w:hAnsi="Times New Roman"/>
        </w:rPr>
        <w:t xml:space="preserve"> tis. eur),</w:t>
      </w:r>
      <w:r w:rsidRPr="003A2AFA">
        <w:rPr>
          <w:rFonts w:ascii="Times New Roman" w:hAnsi="Times New Roman"/>
          <w:color w:val="FF0000"/>
        </w:rPr>
        <w:t xml:space="preserve"> </w:t>
      </w:r>
      <w:r w:rsidRPr="00543037">
        <w:rPr>
          <w:rFonts w:ascii="Times New Roman" w:hAnsi="Times New Roman"/>
        </w:rPr>
        <w:t>z toho bežné granty a transfery 717 615 tis. eur</w:t>
      </w:r>
      <w:r w:rsidR="00605254">
        <w:rPr>
          <w:rFonts w:ascii="Times New Roman" w:hAnsi="Times New Roman"/>
        </w:rPr>
        <w:t xml:space="preserve"> (2010: 764 409 tis. eur)</w:t>
      </w:r>
      <w:r w:rsidRPr="00543037">
        <w:rPr>
          <w:rFonts w:ascii="Times New Roman" w:hAnsi="Times New Roman"/>
        </w:rPr>
        <w:t xml:space="preserve"> a kapitálové granty a transfery 30 751 tis. eur</w:t>
      </w:r>
      <w:r w:rsidR="00605254">
        <w:rPr>
          <w:rFonts w:ascii="Times New Roman" w:hAnsi="Times New Roman"/>
        </w:rPr>
        <w:t xml:space="preserve"> (2010: 104 479 tis. eur)</w:t>
      </w:r>
      <w:r w:rsidRPr="00543037">
        <w:rPr>
          <w:rFonts w:ascii="Times New Roman" w:hAnsi="Times New Roman"/>
        </w:rPr>
        <w:t>.</w:t>
      </w:r>
      <w:r w:rsidRPr="003A2AFA">
        <w:rPr>
          <w:rFonts w:ascii="Times New Roman" w:hAnsi="Times New Roman"/>
          <w:color w:val="FF0000"/>
        </w:rPr>
        <w:t xml:space="preserve"> </w:t>
      </w:r>
      <w:r w:rsidRPr="00543037">
        <w:rPr>
          <w:rFonts w:ascii="Times New Roman" w:hAnsi="Times New Roman"/>
        </w:rPr>
        <w:t xml:space="preserve">Tieto </w:t>
      </w:r>
      <w:r>
        <w:rPr>
          <w:rFonts w:ascii="Times New Roman" w:hAnsi="Times New Roman"/>
        </w:rPr>
        <w:t>prostriedky</w:t>
      </w:r>
      <w:r w:rsidRPr="00543037">
        <w:rPr>
          <w:rFonts w:ascii="Times New Roman" w:hAnsi="Times New Roman"/>
        </w:rPr>
        <w:t xml:space="preserve"> boli určené na financovanie kompetencií preneseného výkonu štátnej správy (základné školy, matričná činnosť, stavebné konanie, činnosti na úseku dopravy a iné), na ostatné činnosti zabezpečované obcami v rámci ich samosprávnej pôsobnosti, napr. na podporu regionálneho rozvoja, cestovného ruchu, rozvoja bývania, obnovy infraštruktúry a</w:t>
      </w:r>
      <w:r>
        <w:rPr>
          <w:rFonts w:ascii="Times New Roman" w:hAnsi="Times New Roman"/>
        </w:rPr>
        <w:t> </w:t>
      </w:r>
      <w:r w:rsidRPr="00543037">
        <w:rPr>
          <w:rFonts w:ascii="Times New Roman" w:hAnsi="Times New Roman"/>
        </w:rPr>
        <w:t>po</w:t>
      </w:r>
      <w:r>
        <w:rPr>
          <w:rFonts w:ascii="Times New Roman" w:hAnsi="Times New Roman"/>
        </w:rPr>
        <w:t>dobne.</w:t>
      </w:r>
      <w:r w:rsidRPr="005B0F88">
        <w:rPr>
          <w:rFonts w:ascii="Times New Roman" w:hAnsi="Times New Roman"/>
          <w:color w:val="000000"/>
        </w:rPr>
        <w:t xml:space="preserve"> </w:t>
      </w:r>
      <w:r w:rsidRPr="00543037">
        <w:rPr>
          <w:rFonts w:ascii="Times New Roman" w:hAnsi="Times New Roman"/>
        </w:rPr>
        <w:t xml:space="preserve">Zároveň boli poskytnuté obciam z jednotlivých kapitol aj finančné prostriedky na financovanie spoločných projektov v rámci EÚ. </w:t>
      </w:r>
    </w:p>
    <w:p w:rsidR="0091003A" w:rsidP="00842FFD">
      <w:pPr>
        <w:suppressAutoHyphens/>
        <w:bidi w:val="0"/>
        <w:spacing w:line="360" w:lineRule="auto"/>
        <w:jc w:val="both"/>
        <w:rPr>
          <w:rFonts w:ascii="Times New Roman" w:hAnsi="Times New Roman"/>
        </w:rPr>
      </w:pPr>
      <w:r w:rsidRPr="00F70632">
        <w:rPr>
          <w:rFonts w:ascii="Times New Roman" w:hAnsi="Times New Roman"/>
        </w:rPr>
        <w:t xml:space="preserve">Súhrnný prehľad </w:t>
      </w:r>
      <w:r>
        <w:rPr>
          <w:rFonts w:ascii="Times New Roman" w:hAnsi="Times New Roman"/>
        </w:rPr>
        <w:t>grantov a transferov poskytnutých obciam</w:t>
      </w:r>
      <w:r w:rsidRPr="00F70632">
        <w:rPr>
          <w:rFonts w:ascii="Times New Roman" w:hAnsi="Times New Roman"/>
        </w:rPr>
        <w:t xml:space="preserve"> podľa jednotlivých oddielov funkčnej klasifikácie poskytujú údaje v nasled</w:t>
      </w:r>
      <w:r w:rsidR="00B866BC">
        <w:rPr>
          <w:rFonts w:ascii="Times New Roman" w:hAnsi="Times New Roman"/>
        </w:rPr>
        <w:t>ovnej</w:t>
      </w:r>
      <w:r w:rsidRPr="00F70632">
        <w:rPr>
          <w:rFonts w:ascii="Times New Roman" w:hAnsi="Times New Roman"/>
        </w:rPr>
        <w:t xml:space="preserve"> tabuľke:</w:t>
      </w:r>
    </w:p>
    <w:tbl>
      <w:tblPr>
        <w:tblStyle w:val="TableNormal"/>
        <w:tblW w:w="5293" w:type="pct"/>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979"/>
        <w:gridCol w:w="1118"/>
        <w:gridCol w:w="1118"/>
        <w:gridCol w:w="1118"/>
        <w:gridCol w:w="1118"/>
        <w:gridCol w:w="1034"/>
        <w:gridCol w:w="992"/>
      </w:tblGrid>
      <w:tr>
        <w:tblPrEx>
          <w:tblW w:w="5293" w:type="pct"/>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471"/>
          <w:jc w:val="center"/>
        </w:trPr>
        <w:tc>
          <w:tcPr>
            <w:tcW w:w="2655"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E7F38" w:rsidP="00DE7F38">
            <w:pPr>
              <w:suppressAutoHyphens/>
              <w:bidi w:val="0"/>
              <w:jc w:val="center"/>
              <w:rPr>
                <w:rFonts w:ascii="Times New Roman" w:hAnsi="Times New Roman"/>
                <w:b/>
                <w:color w:val="FFFFFF"/>
                <w:sz w:val="20"/>
                <w:szCs w:val="20"/>
              </w:rPr>
            </w:pPr>
            <w:r w:rsidR="006B6FEA">
              <w:rPr>
                <w:rFonts w:ascii="Times New Roman" w:hAnsi="Times New Roman"/>
                <w:b/>
                <w:color w:val="FFFFFF"/>
                <w:sz w:val="20"/>
                <w:szCs w:val="20"/>
              </w:rPr>
              <w:t>Ukazovateľ</w:t>
            </w:r>
          </w:p>
          <w:p w:rsidR="00DE7F38" w:rsidRPr="007725D5" w:rsidP="00DE7F38">
            <w:pPr>
              <w:suppressAutoHyphens/>
              <w:bidi w:val="0"/>
              <w:jc w:val="center"/>
              <w:rPr>
                <w:rFonts w:ascii="Times New Roman" w:hAnsi="Times New Roman"/>
                <w:b/>
                <w:color w:val="FFFFFF"/>
                <w:sz w:val="20"/>
                <w:szCs w:val="20"/>
              </w:rPr>
            </w:pPr>
          </w:p>
          <w:p w:rsidR="00DE7F38" w:rsidRPr="007725D5" w:rsidP="00DE7F38">
            <w:pPr>
              <w:suppressAutoHyphens/>
              <w:bidi w:val="0"/>
              <w:rPr>
                <w:rFonts w:ascii="Times New Roman" w:hAnsi="Times New Roman"/>
                <w:b/>
                <w:color w:val="FFFFFF"/>
                <w:sz w:val="20"/>
                <w:szCs w:val="20"/>
              </w:rPr>
            </w:pPr>
            <w:r w:rsidRPr="007725D5">
              <w:rPr>
                <w:rFonts w:ascii="Times New Roman" w:hAnsi="Times New Roman"/>
                <w:b/>
                <w:color w:val="FFFFFF"/>
                <w:sz w:val="20"/>
                <w:szCs w:val="20"/>
              </w:rPr>
              <w:t>(v tis. eur)</w:t>
            </w:r>
          </w:p>
        </w:tc>
        <w:tc>
          <w:tcPr>
            <w:tcW w:w="2097"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B52084">
            <w:pPr>
              <w:suppressAutoHyphens/>
              <w:bidi w:val="0"/>
              <w:jc w:val="center"/>
              <w:rPr>
                <w:rFonts w:ascii="Times New Roman" w:hAnsi="Times New Roman"/>
                <w:b/>
                <w:color w:val="FFFFFF"/>
                <w:sz w:val="20"/>
                <w:szCs w:val="20"/>
              </w:rPr>
            </w:pPr>
            <w:r w:rsidRPr="007725D5">
              <w:rPr>
                <w:rFonts w:ascii="Times New Roman" w:hAnsi="Times New Roman"/>
                <w:b/>
                <w:color w:val="FFFFFF"/>
                <w:sz w:val="20"/>
                <w:szCs w:val="20"/>
              </w:rPr>
              <w:t>Rozpočet</w:t>
            </w:r>
            <w:r>
              <w:rPr>
                <w:rFonts w:ascii="Times New Roman" w:hAnsi="Times New Roman"/>
                <w:b/>
                <w:color w:val="FFFFFF"/>
                <w:sz w:val="20"/>
                <w:szCs w:val="20"/>
              </w:rPr>
              <w:t xml:space="preserve"> 2011</w:t>
            </w:r>
          </w:p>
        </w:tc>
        <w:tc>
          <w:tcPr>
            <w:tcW w:w="4388"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842FFD">
            <w:pPr>
              <w:suppressAutoHyphens/>
              <w:bidi w:val="0"/>
              <w:jc w:val="center"/>
              <w:rPr>
                <w:rFonts w:ascii="Times New Roman" w:hAnsi="Times New Roman"/>
                <w:b/>
                <w:color w:val="FFFFFF"/>
                <w:sz w:val="20"/>
                <w:szCs w:val="20"/>
              </w:rPr>
            </w:pPr>
            <w:r>
              <w:rPr>
                <w:rFonts w:ascii="Times New Roman" w:hAnsi="Times New Roman"/>
                <w:b/>
                <w:color w:val="FFFFFF"/>
                <w:sz w:val="20"/>
                <w:szCs w:val="20"/>
              </w:rPr>
              <w:t>Skutočnosť</w:t>
            </w:r>
          </w:p>
        </w:tc>
        <w:tc>
          <w:tcPr>
            <w:tcW w:w="992"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E7F38" w:rsidRPr="007725D5" w:rsidP="00B52084">
            <w:pPr>
              <w:suppressAutoHyphens/>
              <w:bidi w:val="0"/>
              <w:jc w:val="center"/>
              <w:rPr>
                <w:rFonts w:ascii="Times New Roman" w:hAnsi="Times New Roman"/>
                <w:b/>
                <w:color w:val="FFFFFF"/>
                <w:sz w:val="20"/>
                <w:szCs w:val="20"/>
              </w:rPr>
            </w:pPr>
            <w:r w:rsidRPr="007725D5">
              <w:rPr>
                <w:rFonts w:ascii="Times New Roman" w:hAnsi="Times New Roman"/>
                <w:b/>
                <w:color w:val="FFFFFF"/>
                <w:sz w:val="20"/>
                <w:szCs w:val="20"/>
              </w:rPr>
              <w:t>Rozdiel</w:t>
            </w:r>
          </w:p>
        </w:tc>
      </w:tr>
      <w:tr>
        <w:tblPrEx>
          <w:tblW w:w="5293" w:type="pct"/>
          <w:jc w:val="center"/>
          <w:tblInd w:w="-324" w:type="dxa"/>
          <w:tblLayout w:type="fixed"/>
          <w:tblLook w:val="04A0"/>
        </w:tblPrEx>
        <w:trPr>
          <w:trHeight w:hRule="exact" w:val="673"/>
          <w:jc w:val="center"/>
        </w:trPr>
        <w:tc>
          <w:tcPr>
            <w:tcW w:w="2655"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top"/>
          </w:tcPr>
          <w:p w:rsidR="00DE7F38" w:rsidRPr="007725D5" w:rsidP="00B52084">
            <w:pPr>
              <w:suppressAutoHyphens/>
              <w:bidi w:val="0"/>
              <w:ind w:firstLine="567"/>
              <w:jc w:val="both"/>
              <w:rPr>
                <w:rFonts w:ascii="Times New Roman" w:hAnsi="Times New Roman"/>
                <w:b/>
                <w:color w:val="FFFFFF"/>
                <w:sz w:val="20"/>
                <w:szCs w:val="20"/>
              </w:rPr>
            </w:pPr>
          </w:p>
        </w:tc>
        <w:tc>
          <w:tcPr>
            <w:tcW w:w="979"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DE7F38">
            <w:pPr>
              <w:suppressAutoHyphens/>
              <w:bidi w:val="0"/>
              <w:jc w:val="center"/>
              <w:rPr>
                <w:rFonts w:ascii="Times New Roman" w:hAnsi="Times New Roman"/>
                <w:b/>
                <w:color w:val="FFFFFF"/>
                <w:sz w:val="20"/>
                <w:szCs w:val="20"/>
              </w:rPr>
            </w:pPr>
            <w:r w:rsidR="00D866F7">
              <w:rPr>
                <w:rFonts w:ascii="Times New Roman" w:hAnsi="Times New Roman"/>
                <w:b/>
                <w:color w:val="FFFFFF"/>
                <w:sz w:val="20"/>
                <w:szCs w:val="20"/>
              </w:rPr>
              <w:t>s</w:t>
            </w:r>
            <w:r w:rsidRPr="007725D5">
              <w:rPr>
                <w:rFonts w:ascii="Times New Roman" w:hAnsi="Times New Roman"/>
                <w:b/>
                <w:color w:val="FFFFFF"/>
                <w:sz w:val="20"/>
                <w:szCs w:val="20"/>
              </w:rPr>
              <w:t xml:space="preserve">chválený </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DE7F38">
            <w:pPr>
              <w:suppressAutoHyphens/>
              <w:bidi w:val="0"/>
              <w:jc w:val="center"/>
              <w:rPr>
                <w:rFonts w:ascii="Times New Roman" w:hAnsi="Times New Roman"/>
                <w:b/>
                <w:color w:val="FFFFFF"/>
                <w:sz w:val="20"/>
                <w:szCs w:val="20"/>
              </w:rPr>
            </w:pPr>
            <w:r w:rsidR="00D866F7">
              <w:rPr>
                <w:rFonts w:ascii="Times New Roman" w:hAnsi="Times New Roman"/>
                <w:b/>
                <w:color w:val="FFFFFF"/>
                <w:sz w:val="20"/>
                <w:szCs w:val="20"/>
              </w:rPr>
              <w:t>u</w:t>
            </w:r>
            <w:r w:rsidRPr="007725D5">
              <w:rPr>
                <w:rFonts w:ascii="Times New Roman" w:hAnsi="Times New Roman"/>
                <w:b/>
                <w:color w:val="FFFFFF"/>
                <w:sz w:val="20"/>
                <w:szCs w:val="20"/>
              </w:rPr>
              <w:t>pravený</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842FFD">
            <w:pPr>
              <w:suppressAutoHyphens/>
              <w:bidi w:val="0"/>
              <w:jc w:val="center"/>
              <w:rPr>
                <w:rFonts w:ascii="Times New Roman" w:hAnsi="Times New Roman"/>
                <w:b/>
                <w:color w:val="FFFFFF"/>
                <w:sz w:val="20"/>
                <w:szCs w:val="20"/>
              </w:rPr>
            </w:pPr>
            <w:r w:rsidRPr="007725D5">
              <w:rPr>
                <w:rFonts w:ascii="Times New Roman" w:hAnsi="Times New Roman"/>
                <w:b/>
                <w:color w:val="FFFFFF"/>
                <w:sz w:val="20"/>
                <w:szCs w:val="20"/>
              </w:rPr>
              <w:t xml:space="preserve">2011 </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B52084">
            <w:pPr>
              <w:suppressAutoHyphens/>
              <w:bidi w:val="0"/>
              <w:jc w:val="center"/>
              <w:rPr>
                <w:rFonts w:ascii="Times New Roman" w:hAnsi="Times New Roman"/>
                <w:b/>
                <w:color w:val="FFFFFF"/>
                <w:sz w:val="20"/>
                <w:szCs w:val="20"/>
              </w:rPr>
            </w:pPr>
            <w:r w:rsidR="00D866F7">
              <w:rPr>
                <w:rFonts w:ascii="Times New Roman" w:hAnsi="Times New Roman"/>
                <w:b/>
                <w:color w:val="FFFFFF"/>
                <w:sz w:val="20"/>
                <w:szCs w:val="20"/>
              </w:rPr>
              <w:t>z</w:t>
            </w:r>
            <w:r w:rsidRPr="007725D5">
              <w:rPr>
                <w:rFonts w:ascii="Times New Roman" w:hAnsi="Times New Roman"/>
                <w:b/>
                <w:color w:val="FFFFFF"/>
                <w:sz w:val="20"/>
                <w:szCs w:val="20"/>
              </w:rPr>
              <w:t xml:space="preserve"> toho: zdroj 111*</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DE7F38">
            <w:pPr>
              <w:suppressAutoHyphens/>
              <w:bidi w:val="0"/>
              <w:jc w:val="center"/>
              <w:rPr>
                <w:rFonts w:ascii="Times New Roman" w:hAnsi="Times New Roman"/>
                <w:b/>
                <w:color w:val="FFFFFF"/>
                <w:sz w:val="20"/>
                <w:szCs w:val="20"/>
              </w:rPr>
            </w:pPr>
            <w:r w:rsidRPr="007725D5">
              <w:rPr>
                <w:rFonts w:ascii="Times New Roman" w:hAnsi="Times New Roman"/>
                <w:b/>
                <w:color w:val="FFFFFF"/>
                <w:sz w:val="20"/>
                <w:szCs w:val="20"/>
              </w:rPr>
              <w:t>2010</w:t>
            </w:r>
          </w:p>
        </w:tc>
        <w:tc>
          <w:tcPr>
            <w:tcW w:w="10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E7F38" w:rsidRPr="007725D5" w:rsidP="00DE7F38">
            <w:pPr>
              <w:suppressAutoHyphens/>
              <w:bidi w:val="0"/>
              <w:jc w:val="center"/>
              <w:rPr>
                <w:rFonts w:ascii="Times New Roman" w:hAnsi="Times New Roman"/>
                <w:b/>
                <w:color w:val="FFFFFF"/>
                <w:sz w:val="20"/>
                <w:szCs w:val="20"/>
              </w:rPr>
            </w:pPr>
            <w:r w:rsidRPr="007725D5">
              <w:rPr>
                <w:rFonts w:ascii="Times New Roman" w:hAnsi="Times New Roman"/>
                <w:b/>
                <w:color w:val="FFFFFF"/>
                <w:sz w:val="20"/>
                <w:szCs w:val="20"/>
              </w:rPr>
              <w:t>2009</w:t>
            </w:r>
          </w:p>
        </w:tc>
        <w:tc>
          <w:tcPr>
            <w:tcW w:w="992"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DE7F38" w:rsidRPr="007725D5" w:rsidP="00B52084">
            <w:pPr>
              <w:suppressAutoHyphens/>
              <w:bidi w:val="0"/>
              <w:jc w:val="center"/>
              <w:rPr>
                <w:rFonts w:ascii="Times New Roman" w:hAnsi="Times New Roman"/>
                <w:b/>
                <w:color w:val="FFFFFF"/>
                <w:sz w:val="20"/>
                <w:szCs w:val="20"/>
              </w:rPr>
            </w:pPr>
          </w:p>
        </w:tc>
      </w:tr>
      <w:tr>
        <w:tblPrEx>
          <w:tblW w:w="5293" w:type="pct"/>
          <w:jc w:val="center"/>
          <w:tblInd w:w="-324" w:type="dxa"/>
          <w:tblLayout w:type="fixed"/>
          <w:tblLook w:val="04A0"/>
        </w:tblPrEx>
        <w:trPr>
          <w:trHeight w:hRule="exact" w:val="284"/>
          <w:jc w:val="center"/>
        </w:trPr>
        <w:tc>
          <w:tcPr>
            <w:tcW w:w="2655" w:type="dxa"/>
            <w:tcBorders>
              <w:top w:val="single" w:sz="4" w:space="0" w:color="FFFFFF"/>
              <w:left w:val="single" w:sz="4" w:space="0" w:color="auto"/>
              <w:bottom w:val="single" w:sz="4" w:space="0" w:color="auto"/>
              <w:right w:val="single" w:sz="4" w:space="0" w:color="auto"/>
            </w:tcBorders>
            <w:textDirection w:val="lrTb"/>
            <w:vAlign w:val="center"/>
          </w:tcPr>
          <w:p w:rsidR="00605254" w:rsidRPr="00753AC8" w:rsidP="00842FFD">
            <w:pPr>
              <w:suppressAutoHyphens/>
              <w:bidi w:val="0"/>
              <w:jc w:val="center"/>
              <w:rPr>
                <w:rFonts w:ascii="Times New Roman" w:hAnsi="Times New Roman"/>
                <w:b/>
                <w:color w:val="000000"/>
                <w:sz w:val="20"/>
                <w:szCs w:val="20"/>
              </w:rPr>
            </w:pPr>
          </w:p>
        </w:tc>
        <w:tc>
          <w:tcPr>
            <w:tcW w:w="979"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1</w:t>
            </w:r>
          </w:p>
        </w:tc>
        <w:tc>
          <w:tcPr>
            <w:tcW w:w="1118"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2</w:t>
            </w:r>
          </w:p>
        </w:tc>
        <w:tc>
          <w:tcPr>
            <w:tcW w:w="1118" w:type="dxa"/>
            <w:tcBorders>
              <w:top w:val="single" w:sz="4" w:space="0" w:color="FFFFFF"/>
              <w:left w:val="single" w:sz="4" w:space="0" w:color="auto"/>
              <w:bottom w:val="single" w:sz="4" w:space="0" w:color="auto"/>
              <w:right w:val="single" w:sz="4" w:space="0" w:color="auto"/>
            </w:tcBorders>
            <w:shd w:val="clear" w:color="auto" w:fill="D9D9D9"/>
            <w:noWrap/>
            <w:tcMar>
              <w:left w:w="0" w:type="dxa"/>
              <w:right w:w="0" w:type="dxa"/>
            </w:tcMar>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3</w:t>
            </w:r>
          </w:p>
        </w:tc>
        <w:tc>
          <w:tcPr>
            <w:tcW w:w="1118"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4</w:t>
            </w:r>
          </w:p>
        </w:tc>
        <w:tc>
          <w:tcPr>
            <w:tcW w:w="1118" w:type="dxa"/>
            <w:tcBorders>
              <w:top w:val="single" w:sz="4" w:space="0" w:color="FFFFFF"/>
              <w:left w:val="single" w:sz="4" w:space="0" w:color="auto"/>
              <w:bottom w:val="single" w:sz="4" w:space="0" w:color="auto"/>
              <w:right w:val="single" w:sz="4" w:space="0" w:color="auto"/>
            </w:tcBorders>
            <w:textDirection w:val="lrTb"/>
            <w:vAlign w:val="center"/>
          </w:tcPr>
          <w:p w:rsidR="00605254" w:rsidRPr="00753AC8" w:rsidP="00842FFD">
            <w:pPr>
              <w:suppressAutoHyphens/>
              <w:bidi w:val="0"/>
              <w:jc w:val="center"/>
              <w:rPr>
                <w:rFonts w:ascii="Times New Roman" w:hAnsi="Times New Roman"/>
                <w:b/>
                <w:sz w:val="20"/>
                <w:szCs w:val="20"/>
              </w:rPr>
            </w:pPr>
            <w:r w:rsidRPr="00753AC8">
              <w:rPr>
                <w:rFonts w:ascii="Times New Roman" w:hAnsi="Times New Roman"/>
                <w:b/>
                <w:color w:val="000000"/>
                <w:sz w:val="20"/>
                <w:szCs w:val="20"/>
              </w:rPr>
              <w:t>5</w:t>
            </w:r>
          </w:p>
        </w:tc>
        <w:tc>
          <w:tcPr>
            <w:tcW w:w="1034" w:type="dxa"/>
            <w:tcBorders>
              <w:top w:val="single" w:sz="4" w:space="0" w:color="FFFFFF"/>
              <w:left w:val="single" w:sz="4" w:space="0" w:color="auto"/>
              <w:bottom w:val="single" w:sz="4" w:space="0" w:color="auto"/>
              <w:right w:val="single" w:sz="4" w:space="0" w:color="auto"/>
            </w:tcBorders>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6</w:t>
            </w:r>
          </w:p>
        </w:tc>
        <w:tc>
          <w:tcPr>
            <w:tcW w:w="992"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05254" w:rsidRPr="00753AC8" w:rsidP="00842FFD">
            <w:pPr>
              <w:suppressAutoHyphens/>
              <w:bidi w:val="0"/>
              <w:jc w:val="center"/>
              <w:rPr>
                <w:rFonts w:ascii="Times New Roman" w:hAnsi="Times New Roman"/>
                <w:b/>
                <w:color w:val="000000"/>
                <w:sz w:val="20"/>
                <w:szCs w:val="20"/>
              </w:rPr>
            </w:pPr>
            <w:r w:rsidRPr="00753AC8">
              <w:rPr>
                <w:rFonts w:ascii="Times New Roman" w:hAnsi="Times New Roman"/>
                <w:b/>
                <w:color w:val="000000"/>
                <w:sz w:val="20"/>
                <w:szCs w:val="20"/>
              </w:rPr>
              <w:t>7=3-2</w:t>
            </w:r>
          </w:p>
        </w:tc>
      </w:tr>
      <w:tr>
        <w:tblPrEx>
          <w:tblW w:w="5293" w:type="pct"/>
          <w:jc w:val="center"/>
          <w:tblInd w:w="-324" w:type="dxa"/>
          <w:tblLayout w:type="fixed"/>
          <w:tblLook w:val="04A0"/>
        </w:tblPrEx>
        <w:trPr>
          <w:trHeight w:hRule="exact" w:val="445"/>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rPr>
                <w:rFonts w:ascii="Times New Roman" w:hAnsi="Times New Roman"/>
                <w:color w:val="000000"/>
                <w:sz w:val="20"/>
                <w:szCs w:val="20"/>
              </w:rPr>
            </w:pPr>
            <w:r w:rsidR="00FE426E">
              <w:rPr>
                <w:rFonts w:ascii="Times New Roman" w:hAnsi="Times New Roman"/>
                <w:color w:val="000000"/>
                <w:sz w:val="20"/>
                <w:szCs w:val="20"/>
              </w:rPr>
              <w:t xml:space="preserve">01 </w:t>
            </w:r>
            <w:r w:rsidRPr="000702C3">
              <w:rPr>
                <w:rFonts w:ascii="Times New Roman" w:hAnsi="Times New Roman"/>
                <w:color w:val="000000"/>
                <w:sz w:val="20"/>
                <w:szCs w:val="20"/>
              </w:rPr>
              <w:t>Všeobecné verejné služby</w:t>
            </w:r>
          </w:p>
        </w:tc>
        <w:tc>
          <w:tcPr>
            <w:tcW w:w="979"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B52084">
            <w:pPr>
              <w:bidi w:val="0"/>
              <w:jc w:val="right"/>
              <w:rPr>
                <w:rFonts w:ascii="Times New Roman" w:hAnsi="Times New Roman"/>
                <w:sz w:val="20"/>
                <w:szCs w:val="20"/>
              </w:rPr>
            </w:pPr>
            <w:r w:rsidRPr="000702C3">
              <w:rPr>
                <w:rFonts w:ascii="Times New Roman" w:hAnsi="Times New Roman"/>
                <w:sz w:val="20"/>
                <w:szCs w:val="20"/>
              </w:rPr>
              <w:t>10 462</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47 545</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47 573</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46 994</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129 708</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141 128</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28</w:t>
            </w:r>
          </w:p>
        </w:tc>
      </w:tr>
      <w:tr>
        <w:tblPrEx>
          <w:tblW w:w="5293" w:type="pct"/>
          <w:jc w:val="center"/>
          <w:tblInd w:w="-324" w:type="dxa"/>
          <w:tblLayout w:type="fixed"/>
          <w:tblLook w:val="04A0"/>
        </w:tblPrEx>
        <w:trPr>
          <w:trHeight w:hRule="exact" w:val="284"/>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rPr>
                <w:rFonts w:ascii="Times New Roman" w:hAnsi="Times New Roman"/>
                <w:color w:val="000000"/>
                <w:sz w:val="20"/>
                <w:szCs w:val="20"/>
              </w:rPr>
            </w:pPr>
            <w:r w:rsidR="00FE426E">
              <w:rPr>
                <w:rFonts w:ascii="Times New Roman" w:hAnsi="Times New Roman"/>
                <w:color w:val="000000"/>
                <w:sz w:val="20"/>
                <w:szCs w:val="20"/>
              </w:rPr>
              <w:t>03</w:t>
            </w:r>
            <w:r w:rsidRPr="000702C3">
              <w:rPr>
                <w:rFonts w:ascii="Times New Roman" w:hAnsi="Times New Roman"/>
                <w:color w:val="000000"/>
                <w:sz w:val="20"/>
                <w:szCs w:val="20"/>
              </w:rPr>
              <w:t xml:space="preserve"> Verejný poriadok a bezpečnosť</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bidi w:val="0"/>
              <w:jc w:val="right"/>
              <w:rPr>
                <w:rFonts w:ascii="Times New Roman" w:hAnsi="Times New Roman"/>
                <w:sz w:val="20"/>
                <w:szCs w:val="20"/>
              </w:rPr>
            </w:pPr>
            <w:r w:rsidRPr="000702C3">
              <w:rPr>
                <w:rFonts w:ascii="Times New Roman" w:hAnsi="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1 148</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1 140</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1 140</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312</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-8</w:t>
            </w:r>
          </w:p>
        </w:tc>
      </w:tr>
      <w:tr>
        <w:tblPrEx>
          <w:tblW w:w="5293" w:type="pct"/>
          <w:jc w:val="center"/>
          <w:tblInd w:w="-324" w:type="dxa"/>
          <w:tblLayout w:type="fixed"/>
          <w:tblLook w:val="04A0"/>
        </w:tblPrEx>
        <w:trPr>
          <w:trHeight w:hRule="exact" w:val="284"/>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 xml:space="preserve">04 Ekonomická oblasť </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462 345</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376 196</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323 689</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12 029</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287 303</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174 632</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-52 507</w:t>
            </w:r>
          </w:p>
        </w:tc>
      </w:tr>
      <w:tr>
        <w:tblPrEx>
          <w:tblW w:w="5293" w:type="pct"/>
          <w:jc w:val="center"/>
          <w:tblInd w:w="-324" w:type="dxa"/>
          <w:tblLayout w:type="fixed"/>
          <w:tblLook w:val="04A0"/>
        </w:tblPrEx>
        <w:trPr>
          <w:trHeight w:hRule="exact" w:val="436"/>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05 Ochrana životného prostredia</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103 770</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398 639</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131 253</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1 207</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72 830</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15 438</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-267 386</w:t>
            </w:r>
          </w:p>
        </w:tc>
      </w:tr>
      <w:tr>
        <w:tblPrEx>
          <w:tblW w:w="5293" w:type="pct"/>
          <w:jc w:val="center"/>
          <w:tblInd w:w="-324" w:type="dxa"/>
          <w:tblLayout w:type="fixed"/>
          <w:tblLook w:val="04A0"/>
        </w:tblPrEx>
        <w:trPr>
          <w:trHeight w:hRule="exact" w:val="573"/>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06 Bývanie a občianska vybavenosť</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50 607</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37 424</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37 424</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22 861</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38 694</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45 867</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r>
      <w:tr>
        <w:tblPrEx>
          <w:tblW w:w="5293" w:type="pct"/>
          <w:jc w:val="center"/>
          <w:tblInd w:w="-324" w:type="dxa"/>
          <w:tblLayout w:type="fixed"/>
          <w:tblLook w:val="04A0"/>
        </w:tblPrEx>
        <w:trPr>
          <w:trHeight w:hRule="exact" w:val="284"/>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07 Zdravotníctvo</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196</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196</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0</w:t>
            </w:r>
          </w:p>
        </w:tc>
      </w:tr>
      <w:tr>
        <w:tblPrEx>
          <w:tblW w:w="5293" w:type="pct"/>
          <w:jc w:val="center"/>
          <w:tblInd w:w="-324" w:type="dxa"/>
          <w:tblLayout w:type="fixed"/>
          <w:tblLook w:val="04A0"/>
        </w:tblPrEx>
        <w:trPr>
          <w:trHeight w:hRule="exact" w:val="569"/>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center"/>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08 Rekreácia, kultúra a náboženstvo</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9 863</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4 168</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4 161</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4 161</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49 992</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9 481</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-7</w:t>
            </w:r>
          </w:p>
        </w:tc>
      </w:tr>
      <w:tr>
        <w:tblPrEx>
          <w:tblW w:w="5293" w:type="pct"/>
          <w:jc w:val="center"/>
          <w:tblInd w:w="-324" w:type="dxa"/>
          <w:tblLayout w:type="fixed"/>
          <w:tblLook w:val="04A0"/>
        </w:tblPrEx>
        <w:trPr>
          <w:trHeight w:hRule="exact" w:val="284"/>
          <w:jc w:val="center"/>
        </w:trPr>
        <w:tc>
          <w:tcPr>
            <w:tcW w:w="2655"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09 Vzdelávanie</w:t>
            </w:r>
          </w:p>
        </w:tc>
        <w:tc>
          <w:tcPr>
            <w:tcW w:w="979"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607 034</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622 098</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622 092</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615 900</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620 322</w:t>
            </w:r>
          </w:p>
        </w:tc>
        <w:tc>
          <w:tcPr>
            <w:tcW w:w="1034" w:type="dxa"/>
            <w:tcBorders>
              <w:top w:val="single" w:sz="4" w:space="0" w:color="auto"/>
              <w:left w:val="single" w:sz="4" w:space="0" w:color="auto"/>
              <w:bottom w:val="single" w:sz="4"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611 579</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-6</w:t>
            </w:r>
          </w:p>
        </w:tc>
      </w:tr>
      <w:tr>
        <w:tblPrEx>
          <w:tblW w:w="5293" w:type="pct"/>
          <w:jc w:val="center"/>
          <w:tblInd w:w="-324" w:type="dxa"/>
          <w:tblLayout w:type="fixed"/>
          <w:tblLook w:val="04A0"/>
        </w:tblPrEx>
        <w:trPr>
          <w:trHeight w:hRule="exact" w:val="284"/>
          <w:jc w:val="center"/>
        </w:trPr>
        <w:tc>
          <w:tcPr>
            <w:tcW w:w="2655" w:type="dxa"/>
            <w:tcBorders>
              <w:top w:val="single" w:sz="4" w:space="0" w:color="auto"/>
              <w:left w:val="single" w:sz="4" w:space="0" w:color="auto"/>
              <w:bottom w:val="double" w:sz="6" w:space="0" w:color="auto"/>
              <w:right w:val="single" w:sz="4" w:space="0" w:color="auto"/>
            </w:tcBorders>
            <w:noWrap/>
            <w:textDirection w:val="lrTb"/>
            <w:vAlign w:val="bottom"/>
          </w:tcPr>
          <w:p w:rsidR="00605254" w:rsidRPr="000702C3" w:rsidP="00FE426E">
            <w:pPr>
              <w:suppressAutoHyphens/>
              <w:bidi w:val="0"/>
              <w:rPr>
                <w:rFonts w:ascii="Times New Roman" w:hAnsi="Times New Roman"/>
                <w:color w:val="000000"/>
                <w:sz w:val="20"/>
                <w:szCs w:val="20"/>
              </w:rPr>
            </w:pPr>
            <w:r w:rsidRPr="000702C3">
              <w:rPr>
                <w:rFonts w:ascii="Times New Roman" w:hAnsi="Times New Roman"/>
                <w:color w:val="000000"/>
                <w:sz w:val="20"/>
                <w:szCs w:val="20"/>
              </w:rPr>
              <w:t>10 Sociálne zabezpečenie</w:t>
            </w:r>
          </w:p>
        </w:tc>
        <w:tc>
          <w:tcPr>
            <w:tcW w:w="979" w:type="dxa"/>
            <w:tcBorders>
              <w:top w:val="single" w:sz="4" w:space="0" w:color="auto"/>
              <w:left w:val="single" w:sz="4" w:space="0" w:color="auto"/>
              <w:bottom w:val="double" w:sz="6"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40 805</w:t>
            </w:r>
          </w:p>
        </w:tc>
        <w:tc>
          <w:tcPr>
            <w:tcW w:w="1118" w:type="dxa"/>
            <w:tcBorders>
              <w:top w:val="single" w:sz="4" w:space="0" w:color="auto"/>
              <w:left w:val="single" w:sz="4" w:space="0" w:color="auto"/>
              <w:bottom w:val="double" w:sz="6"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46 231</w:t>
            </w:r>
          </w:p>
        </w:tc>
        <w:tc>
          <w:tcPr>
            <w:tcW w:w="1118"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44 074</w:t>
            </w:r>
          </w:p>
        </w:tc>
        <w:tc>
          <w:tcPr>
            <w:tcW w:w="1118" w:type="dxa"/>
            <w:tcBorders>
              <w:top w:val="single" w:sz="4" w:space="0" w:color="auto"/>
              <w:left w:val="single" w:sz="4" w:space="0" w:color="auto"/>
              <w:bottom w:val="double" w:sz="6"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44 074</w:t>
            </w:r>
          </w:p>
        </w:tc>
        <w:tc>
          <w:tcPr>
            <w:tcW w:w="1118" w:type="dxa"/>
            <w:tcBorders>
              <w:top w:val="single" w:sz="4" w:space="0" w:color="auto"/>
              <w:left w:val="single" w:sz="4" w:space="0" w:color="auto"/>
              <w:bottom w:val="double" w:sz="6"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46 181</w:t>
            </w:r>
          </w:p>
        </w:tc>
        <w:tc>
          <w:tcPr>
            <w:tcW w:w="1034" w:type="dxa"/>
            <w:tcBorders>
              <w:top w:val="single" w:sz="4" w:space="0" w:color="auto"/>
              <w:left w:val="single" w:sz="4" w:space="0" w:color="auto"/>
              <w:bottom w:val="double" w:sz="6" w:space="0" w:color="auto"/>
              <w:right w:val="single" w:sz="4" w:space="0" w:color="auto"/>
            </w:tcBorders>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36 471</w:t>
            </w:r>
          </w:p>
        </w:tc>
        <w:tc>
          <w:tcPr>
            <w:tcW w:w="992" w:type="dxa"/>
            <w:tcBorders>
              <w:top w:val="single" w:sz="4" w:space="0" w:color="auto"/>
              <w:left w:val="single" w:sz="4" w:space="0" w:color="auto"/>
              <w:bottom w:val="double" w:sz="6" w:space="0" w:color="auto"/>
              <w:right w:val="single" w:sz="4" w:space="0" w:color="auto"/>
            </w:tcBorders>
            <w:noWrap/>
            <w:textDirection w:val="lrTb"/>
            <w:vAlign w:val="bottom"/>
          </w:tcPr>
          <w:p w:rsidR="00605254" w:rsidRPr="000702C3" w:rsidP="00B52084">
            <w:pPr>
              <w:suppressAutoHyphens/>
              <w:bidi w:val="0"/>
              <w:ind w:hanging="108"/>
              <w:jc w:val="right"/>
              <w:rPr>
                <w:rFonts w:ascii="Times New Roman" w:hAnsi="Times New Roman"/>
                <w:sz w:val="20"/>
                <w:szCs w:val="20"/>
              </w:rPr>
            </w:pPr>
            <w:r w:rsidRPr="000702C3">
              <w:rPr>
                <w:rFonts w:ascii="Times New Roman" w:hAnsi="Times New Roman"/>
                <w:sz w:val="20"/>
                <w:szCs w:val="20"/>
              </w:rPr>
              <w:t>-2 157</w:t>
            </w:r>
          </w:p>
        </w:tc>
      </w:tr>
      <w:tr>
        <w:tblPrEx>
          <w:tblW w:w="5293" w:type="pct"/>
          <w:jc w:val="center"/>
          <w:tblInd w:w="-324" w:type="dxa"/>
          <w:tblLayout w:type="fixed"/>
          <w:tblLook w:val="04A0"/>
        </w:tblPrEx>
        <w:trPr>
          <w:trHeight w:hRule="exact" w:val="284"/>
          <w:jc w:val="center"/>
        </w:trPr>
        <w:tc>
          <w:tcPr>
            <w:tcW w:w="2655" w:type="dxa"/>
            <w:tcBorders>
              <w:top w:val="double" w:sz="6" w:space="0" w:color="auto"/>
              <w:left w:val="single" w:sz="4" w:space="0" w:color="auto"/>
              <w:bottom w:val="single" w:sz="4" w:space="0" w:color="auto"/>
              <w:right w:val="single" w:sz="4" w:space="0" w:color="auto"/>
            </w:tcBorders>
            <w:noWrap/>
            <w:textDirection w:val="lrTb"/>
            <w:vAlign w:val="bottom"/>
          </w:tcPr>
          <w:p w:rsidR="00605254" w:rsidRPr="000702C3" w:rsidP="00B52084">
            <w:pPr>
              <w:suppressAutoHyphens/>
              <w:bidi w:val="0"/>
              <w:rPr>
                <w:rFonts w:ascii="Times New Roman" w:hAnsi="Times New Roman"/>
                <w:b/>
                <w:color w:val="000000"/>
                <w:sz w:val="20"/>
                <w:szCs w:val="20"/>
              </w:rPr>
            </w:pPr>
            <w:r w:rsidRPr="000702C3">
              <w:rPr>
                <w:rFonts w:ascii="Times New Roman" w:hAnsi="Times New Roman"/>
                <w:b/>
                <w:color w:val="000000"/>
                <w:sz w:val="20"/>
                <w:szCs w:val="20"/>
              </w:rPr>
              <w:t>Spolu</w:t>
            </w:r>
          </w:p>
        </w:tc>
        <w:tc>
          <w:tcPr>
            <w:tcW w:w="979" w:type="dxa"/>
            <w:tcBorders>
              <w:top w:val="double" w:sz="6"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1 284 886</w:t>
            </w:r>
          </w:p>
        </w:tc>
        <w:tc>
          <w:tcPr>
            <w:tcW w:w="1118" w:type="dxa"/>
            <w:tcBorders>
              <w:top w:val="double" w:sz="6"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1 533 645</w:t>
            </w:r>
          </w:p>
        </w:tc>
        <w:tc>
          <w:tcPr>
            <w:tcW w:w="1118"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1 211 602</w:t>
            </w:r>
          </w:p>
        </w:tc>
        <w:tc>
          <w:tcPr>
            <w:tcW w:w="1118" w:type="dxa"/>
            <w:tcBorders>
              <w:top w:val="double" w:sz="6"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748 366</w:t>
            </w:r>
          </w:p>
        </w:tc>
        <w:tc>
          <w:tcPr>
            <w:tcW w:w="1118" w:type="dxa"/>
            <w:tcBorders>
              <w:top w:val="double" w:sz="6" w:space="0" w:color="auto"/>
              <w:left w:val="single" w:sz="4" w:space="0" w:color="auto"/>
              <w:bottom w:val="single" w:sz="4" w:space="0" w:color="auto"/>
              <w:right w:val="single" w:sz="4" w:space="0" w:color="auto"/>
            </w:tcBorders>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1 245 342</w:t>
            </w:r>
          </w:p>
        </w:tc>
        <w:tc>
          <w:tcPr>
            <w:tcW w:w="1034" w:type="dxa"/>
            <w:tcBorders>
              <w:top w:val="double" w:sz="6" w:space="0" w:color="auto"/>
              <w:left w:val="single" w:sz="4" w:space="0" w:color="auto"/>
              <w:bottom w:val="single" w:sz="4" w:space="0" w:color="auto"/>
              <w:right w:val="single" w:sz="4" w:space="0" w:color="auto"/>
            </w:tcBorders>
            <w:textDirection w:val="lrTb"/>
            <w:vAlign w:val="center"/>
          </w:tcPr>
          <w:p w:rsidR="00605254" w:rsidRPr="000702C3" w:rsidP="00373523">
            <w:pPr>
              <w:suppressAutoHyphens/>
              <w:bidi w:val="0"/>
              <w:ind w:hanging="108"/>
              <w:jc w:val="right"/>
              <w:rPr>
                <w:rFonts w:ascii="Times New Roman" w:hAnsi="Times New Roman"/>
                <w:b/>
                <w:sz w:val="20"/>
                <w:szCs w:val="20"/>
              </w:rPr>
            </w:pPr>
            <w:r w:rsidRPr="000702C3">
              <w:rPr>
                <w:rFonts w:ascii="Times New Roman" w:hAnsi="Times New Roman"/>
                <w:b/>
                <w:sz w:val="20"/>
                <w:szCs w:val="20"/>
              </w:rPr>
              <w:t>1 034 605</w:t>
            </w:r>
          </w:p>
        </w:tc>
        <w:tc>
          <w:tcPr>
            <w:tcW w:w="992" w:type="dxa"/>
            <w:tcBorders>
              <w:top w:val="double" w:sz="6" w:space="0" w:color="auto"/>
              <w:left w:val="single" w:sz="4" w:space="0" w:color="auto"/>
              <w:bottom w:val="single" w:sz="4" w:space="0" w:color="auto"/>
              <w:right w:val="single" w:sz="4" w:space="0" w:color="auto"/>
            </w:tcBorders>
            <w:noWrap/>
            <w:textDirection w:val="lrTb"/>
            <w:vAlign w:val="center"/>
          </w:tcPr>
          <w:p w:rsidR="00605254" w:rsidRPr="000702C3" w:rsidP="00B52084">
            <w:pPr>
              <w:suppressAutoHyphens/>
              <w:bidi w:val="0"/>
              <w:ind w:hanging="108"/>
              <w:jc w:val="right"/>
              <w:rPr>
                <w:rFonts w:ascii="Times New Roman" w:hAnsi="Times New Roman"/>
                <w:b/>
                <w:sz w:val="20"/>
                <w:szCs w:val="20"/>
              </w:rPr>
            </w:pPr>
            <w:r w:rsidRPr="000702C3">
              <w:rPr>
                <w:rFonts w:ascii="Times New Roman" w:hAnsi="Times New Roman"/>
                <w:b/>
                <w:sz w:val="20"/>
                <w:szCs w:val="20"/>
              </w:rPr>
              <w:t>-322 043</w:t>
            </w:r>
          </w:p>
        </w:tc>
      </w:tr>
    </w:tbl>
    <w:p w:rsidR="00541C9E" w:rsidP="0067145F">
      <w:pPr>
        <w:suppressAutoHyphens/>
        <w:bidi w:val="0"/>
        <w:jc w:val="both"/>
        <w:rPr>
          <w:rFonts w:ascii="Times New Roman" w:hAnsi="Times New Roman"/>
          <w:sz w:val="20"/>
          <w:szCs w:val="20"/>
        </w:rPr>
      </w:pPr>
      <w:r w:rsidRPr="008E4204" w:rsidR="0091003A">
        <w:rPr>
          <w:rFonts w:ascii="Times New Roman" w:hAnsi="Times New Roman"/>
          <w:sz w:val="20"/>
          <w:szCs w:val="20"/>
        </w:rPr>
        <w:t>Poznámka: *</w:t>
      </w:r>
      <w:r w:rsidR="00605254">
        <w:rPr>
          <w:rFonts w:ascii="Times New Roman" w:hAnsi="Times New Roman"/>
          <w:sz w:val="20"/>
          <w:szCs w:val="20"/>
        </w:rPr>
        <w:t xml:space="preserve"> len </w:t>
      </w:r>
      <w:r w:rsidRPr="008E4204" w:rsidR="0091003A">
        <w:rPr>
          <w:rFonts w:ascii="Times New Roman" w:hAnsi="Times New Roman"/>
          <w:sz w:val="20"/>
          <w:szCs w:val="20"/>
        </w:rPr>
        <w:t xml:space="preserve">prostriedky štátneho rozpočtu </w:t>
      </w:r>
    </w:p>
    <w:p w:rsidR="0091003A" w:rsidRPr="008E4204" w:rsidP="0067145F">
      <w:pPr>
        <w:suppressAutoHyphens/>
        <w:bidi w:val="0"/>
        <w:jc w:val="both"/>
        <w:rPr>
          <w:rFonts w:ascii="Times New Roman" w:hAnsi="Times New Roman"/>
          <w:sz w:val="20"/>
          <w:szCs w:val="20"/>
        </w:rPr>
      </w:pPr>
      <w:r w:rsidRPr="008E4204">
        <w:rPr>
          <w:rFonts w:ascii="Times New Roman" w:hAnsi="Times New Roman"/>
          <w:sz w:val="20"/>
          <w:szCs w:val="20"/>
        </w:rPr>
        <w:t>Zdroj: Ministerstvo financií SR</w:t>
      </w:r>
    </w:p>
    <w:p w:rsidR="0091003A" w:rsidP="004D431A">
      <w:pPr>
        <w:suppressAutoHyphens/>
        <w:bidi w:val="0"/>
        <w:spacing w:before="120" w:line="360" w:lineRule="auto"/>
        <w:jc w:val="both"/>
        <w:rPr>
          <w:rFonts w:ascii="Times New Roman" w:hAnsi="Times New Roman"/>
        </w:rPr>
      </w:pPr>
      <w:r w:rsidRPr="00543037">
        <w:rPr>
          <w:rFonts w:ascii="Times New Roman" w:hAnsi="Times New Roman"/>
        </w:rPr>
        <w:t>Do rozpočtov obcí bol</w:t>
      </w:r>
      <w:r>
        <w:rPr>
          <w:rFonts w:ascii="Times New Roman" w:hAnsi="Times New Roman"/>
        </w:rPr>
        <w:t>i</w:t>
      </w:r>
      <w:r w:rsidRPr="00543037">
        <w:rPr>
          <w:rFonts w:ascii="Times New Roman" w:hAnsi="Times New Roman"/>
        </w:rPr>
        <w:t xml:space="preserve"> poskytnut</w:t>
      </w:r>
      <w:r>
        <w:rPr>
          <w:rFonts w:ascii="Times New Roman" w:hAnsi="Times New Roman"/>
        </w:rPr>
        <w:t>é</w:t>
      </w:r>
      <w:r w:rsidRPr="00543037">
        <w:rPr>
          <w:rFonts w:ascii="Times New Roman" w:hAnsi="Times New Roman"/>
        </w:rPr>
        <w:t xml:space="preserve"> grant</w:t>
      </w:r>
      <w:r>
        <w:rPr>
          <w:rFonts w:ascii="Times New Roman" w:hAnsi="Times New Roman"/>
        </w:rPr>
        <w:t>y</w:t>
      </w:r>
      <w:r w:rsidRPr="00543037">
        <w:rPr>
          <w:rFonts w:ascii="Times New Roman" w:hAnsi="Times New Roman"/>
        </w:rPr>
        <w:t xml:space="preserve"> a transfer</w:t>
      </w:r>
      <w:r>
        <w:rPr>
          <w:rFonts w:ascii="Times New Roman" w:hAnsi="Times New Roman"/>
        </w:rPr>
        <w:t>y</w:t>
      </w:r>
      <w:r w:rsidRPr="00543037">
        <w:rPr>
          <w:rFonts w:ascii="Times New Roman" w:hAnsi="Times New Roman"/>
        </w:rPr>
        <w:t xml:space="preserve"> z jednotlivých rozpočtových kapitol v nasledovnom členení:</w:t>
      </w:r>
    </w:p>
    <w:tbl>
      <w:tblPr>
        <w:tblStyle w:val="TableNormal"/>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1310"/>
        <w:gridCol w:w="1276"/>
        <w:gridCol w:w="1275"/>
        <w:gridCol w:w="1040"/>
        <w:gridCol w:w="1052"/>
      </w:tblGrid>
      <w:tr>
        <w:tblPrEx>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284"/>
          <w:jc w:val="center"/>
        </w:trPr>
        <w:tc>
          <w:tcPr>
            <w:tcW w:w="3618"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866F7" w:rsidRPr="004F0DFA" w:rsidP="00317D89">
            <w:pPr>
              <w:suppressAutoHyphens/>
              <w:bidi w:val="0"/>
              <w:jc w:val="center"/>
              <w:rPr>
                <w:rFonts w:ascii="Times New Roman" w:hAnsi="Times New Roman"/>
                <w:b/>
                <w:color w:val="FFFFFF"/>
                <w:sz w:val="20"/>
                <w:szCs w:val="20"/>
              </w:rPr>
            </w:pPr>
            <w:r w:rsidRPr="004F0DFA">
              <w:rPr>
                <w:rFonts w:ascii="Times New Roman" w:hAnsi="Times New Roman"/>
                <w:b/>
                <w:color w:val="FFFFFF"/>
                <w:sz w:val="20"/>
                <w:szCs w:val="20"/>
              </w:rPr>
              <w:t>Kapitola</w:t>
            </w:r>
          </w:p>
          <w:p w:rsidR="00D866F7" w:rsidRPr="004F0DFA" w:rsidP="00317D89">
            <w:pPr>
              <w:suppressAutoHyphens/>
              <w:bidi w:val="0"/>
              <w:jc w:val="both"/>
              <w:rPr>
                <w:rFonts w:ascii="Times New Roman" w:hAnsi="Times New Roman"/>
                <w:b/>
                <w:color w:val="FFFFFF"/>
                <w:sz w:val="20"/>
                <w:szCs w:val="20"/>
              </w:rPr>
            </w:pPr>
            <w:r w:rsidRPr="004F0DFA">
              <w:rPr>
                <w:rFonts w:ascii="Times New Roman" w:hAnsi="Times New Roman"/>
                <w:b/>
                <w:color w:val="FFFFFF"/>
                <w:sz w:val="20"/>
                <w:szCs w:val="20"/>
              </w:rPr>
              <w:t>(v tis. eur)</w:t>
            </w:r>
          </w:p>
        </w:tc>
        <w:tc>
          <w:tcPr>
            <w:tcW w:w="2586"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F0DFA" w:rsidP="00D07062">
            <w:pPr>
              <w:suppressAutoHyphens/>
              <w:bidi w:val="0"/>
              <w:jc w:val="center"/>
              <w:rPr>
                <w:rFonts w:ascii="Times New Roman" w:hAnsi="Times New Roman"/>
                <w:b/>
                <w:color w:val="FFFFFF"/>
                <w:sz w:val="20"/>
                <w:szCs w:val="20"/>
              </w:rPr>
            </w:pPr>
            <w:r>
              <w:rPr>
                <w:rFonts w:ascii="Times New Roman" w:hAnsi="Times New Roman"/>
                <w:b/>
                <w:color w:val="FFFFFF"/>
                <w:sz w:val="20"/>
                <w:szCs w:val="20"/>
              </w:rPr>
              <w:t>Rozpočet 2011</w:t>
            </w:r>
          </w:p>
        </w:tc>
        <w:tc>
          <w:tcPr>
            <w:tcW w:w="2315"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F0DFA" w:rsidP="00D07062">
            <w:pPr>
              <w:suppressAutoHyphens/>
              <w:bidi w:val="0"/>
              <w:jc w:val="center"/>
              <w:rPr>
                <w:rFonts w:ascii="Times New Roman" w:hAnsi="Times New Roman"/>
                <w:b/>
                <w:color w:val="FFFFFF"/>
                <w:sz w:val="20"/>
                <w:szCs w:val="20"/>
              </w:rPr>
            </w:pPr>
            <w:r w:rsidRPr="00D866F7">
              <w:rPr>
                <w:rFonts w:ascii="Times New Roman" w:hAnsi="Times New Roman"/>
                <w:b/>
                <w:color w:val="FFFFFF"/>
                <w:sz w:val="20"/>
                <w:szCs w:val="20"/>
              </w:rPr>
              <w:t>Skutočnosť</w:t>
            </w:r>
          </w:p>
        </w:tc>
        <w:tc>
          <w:tcPr>
            <w:tcW w:w="1052"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866F7" w:rsidRPr="004F0DFA" w:rsidP="00D07062">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Rozdiel</w:t>
            </w:r>
          </w:p>
        </w:tc>
      </w:tr>
      <w:tr>
        <w:tblPrEx>
          <w:tblW w:w="5000" w:type="pct"/>
          <w:jc w:val="center"/>
          <w:tblInd w:w="108" w:type="dxa"/>
          <w:tblLayout w:type="fixed"/>
          <w:tblLook w:val="04A0"/>
        </w:tblPrEx>
        <w:trPr>
          <w:trHeight w:hRule="exact" w:val="673"/>
          <w:jc w:val="center"/>
        </w:trPr>
        <w:tc>
          <w:tcPr>
            <w:tcW w:w="3618"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top"/>
          </w:tcPr>
          <w:p w:rsidR="00D866F7" w:rsidRPr="004B18B6" w:rsidP="00317D89">
            <w:pPr>
              <w:suppressAutoHyphens/>
              <w:bidi w:val="0"/>
              <w:jc w:val="both"/>
              <w:rPr>
                <w:rFonts w:ascii="Times New Roman" w:hAnsi="Times New Roman"/>
                <w:b/>
                <w:color w:val="FFFFFF"/>
                <w:sz w:val="20"/>
                <w:szCs w:val="20"/>
              </w:rPr>
            </w:pPr>
          </w:p>
        </w:tc>
        <w:tc>
          <w:tcPr>
            <w:tcW w:w="1310"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B18B6" w:rsidP="00317D89">
            <w:pPr>
              <w:suppressAutoHyphens/>
              <w:bidi w:val="0"/>
              <w:jc w:val="center"/>
              <w:rPr>
                <w:rFonts w:ascii="Times New Roman" w:hAnsi="Times New Roman"/>
                <w:b/>
                <w:color w:val="FFFFFF"/>
                <w:sz w:val="20"/>
                <w:szCs w:val="20"/>
              </w:rPr>
            </w:pPr>
            <w:r>
              <w:rPr>
                <w:rFonts w:ascii="Times New Roman" w:hAnsi="Times New Roman"/>
                <w:b/>
                <w:color w:val="FFFFFF"/>
                <w:sz w:val="20"/>
                <w:szCs w:val="20"/>
              </w:rPr>
              <w:t>s</w:t>
            </w:r>
            <w:r w:rsidRPr="004B18B6">
              <w:rPr>
                <w:rFonts w:ascii="Times New Roman" w:hAnsi="Times New Roman"/>
                <w:b/>
                <w:color w:val="FFFFFF"/>
                <w:sz w:val="20"/>
                <w:szCs w:val="20"/>
              </w:rPr>
              <w:t xml:space="preserve">chválený </w:t>
            </w:r>
          </w:p>
        </w:tc>
        <w:tc>
          <w:tcPr>
            <w:tcW w:w="127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B18B6" w:rsidP="00317D89">
            <w:pPr>
              <w:suppressAutoHyphens/>
              <w:bidi w:val="0"/>
              <w:jc w:val="center"/>
              <w:rPr>
                <w:rFonts w:ascii="Times New Roman" w:hAnsi="Times New Roman"/>
                <w:b/>
                <w:color w:val="FFFFFF"/>
                <w:sz w:val="20"/>
                <w:szCs w:val="20"/>
              </w:rPr>
            </w:pPr>
            <w:r>
              <w:rPr>
                <w:rFonts w:ascii="Times New Roman" w:hAnsi="Times New Roman"/>
                <w:b/>
                <w:color w:val="FFFFFF"/>
                <w:sz w:val="20"/>
                <w:szCs w:val="20"/>
              </w:rPr>
              <w:t>upravený</w:t>
            </w:r>
            <w:r w:rsidRPr="004B18B6">
              <w:rPr>
                <w:rFonts w:ascii="Times New Roman" w:hAnsi="Times New Roman"/>
                <w:b/>
                <w:color w:val="FFFFFF"/>
                <w:sz w:val="20"/>
                <w:szCs w:val="20"/>
              </w:rPr>
              <w:t xml:space="preserve"> </w:t>
            </w:r>
          </w:p>
        </w:tc>
        <w:tc>
          <w:tcPr>
            <w:tcW w:w="127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B18B6" w:rsidP="00F9182D">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2011</w:t>
            </w:r>
          </w:p>
        </w:tc>
        <w:tc>
          <w:tcPr>
            <w:tcW w:w="1040"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4B18B6" w:rsidP="00D07062">
            <w:pPr>
              <w:suppressAutoHyphens/>
              <w:bidi w:val="0"/>
              <w:jc w:val="center"/>
              <w:rPr>
                <w:rFonts w:ascii="Times New Roman" w:hAnsi="Times New Roman"/>
                <w:b/>
                <w:color w:val="FFFFFF"/>
                <w:sz w:val="20"/>
                <w:szCs w:val="20"/>
              </w:rPr>
            </w:pPr>
            <w:r>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c>
          <w:tcPr>
            <w:tcW w:w="1052"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D866F7" w:rsidRPr="004B18B6" w:rsidP="00D07062">
            <w:pPr>
              <w:suppressAutoHyphens/>
              <w:bidi w:val="0"/>
              <w:jc w:val="center"/>
              <w:rPr>
                <w:rFonts w:ascii="Times New Roman" w:hAnsi="Times New Roman"/>
                <w:b/>
                <w:color w:val="FFFFFF"/>
                <w:sz w:val="20"/>
                <w:szCs w:val="20"/>
              </w:rPr>
            </w:pPr>
          </w:p>
        </w:tc>
      </w:tr>
      <w:tr>
        <w:tblPrEx>
          <w:tblW w:w="5000" w:type="pct"/>
          <w:jc w:val="center"/>
          <w:tblInd w:w="108" w:type="dxa"/>
          <w:tblLayout w:type="fixed"/>
          <w:tblLook w:val="04A0"/>
        </w:tblPrEx>
        <w:trPr>
          <w:trHeight w:hRule="exact" w:val="284"/>
          <w:jc w:val="center"/>
        </w:trPr>
        <w:tc>
          <w:tcPr>
            <w:tcW w:w="3618" w:type="dxa"/>
            <w:tcBorders>
              <w:top w:val="single" w:sz="4" w:space="0" w:color="FFFFFF"/>
              <w:left w:val="single" w:sz="4" w:space="0" w:color="auto"/>
              <w:bottom w:val="single" w:sz="4" w:space="0" w:color="auto"/>
              <w:right w:val="single" w:sz="4" w:space="0" w:color="auto"/>
            </w:tcBorders>
            <w:textDirection w:val="lrTb"/>
            <w:vAlign w:val="center"/>
          </w:tcPr>
          <w:p w:rsidR="0091003A" w:rsidRPr="00317D89" w:rsidP="00D07062">
            <w:pPr>
              <w:suppressAutoHyphens/>
              <w:bidi w:val="0"/>
              <w:rPr>
                <w:rFonts w:ascii="Times New Roman" w:hAnsi="Times New Roman"/>
                <w:b/>
                <w:color w:val="000000"/>
                <w:sz w:val="20"/>
                <w:szCs w:val="20"/>
              </w:rPr>
            </w:pPr>
          </w:p>
        </w:tc>
        <w:tc>
          <w:tcPr>
            <w:tcW w:w="1310"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91003A" w:rsidRPr="00317D89" w:rsidP="00D07062">
            <w:pPr>
              <w:suppressAutoHyphens/>
              <w:bidi w:val="0"/>
              <w:jc w:val="center"/>
              <w:rPr>
                <w:rFonts w:ascii="Times New Roman" w:hAnsi="Times New Roman"/>
                <w:b/>
                <w:color w:val="000000"/>
                <w:sz w:val="20"/>
                <w:szCs w:val="20"/>
              </w:rPr>
            </w:pPr>
            <w:r w:rsidRPr="00317D89">
              <w:rPr>
                <w:rFonts w:ascii="Times New Roman" w:hAnsi="Times New Roman"/>
                <w:b/>
                <w:color w:val="000000"/>
                <w:sz w:val="20"/>
                <w:szCs w:val="20"/>
              </w:rPr>
              <w:t>1</w:t>
            </w:r>
          </w:p>
        </w:tc>
        <w:tc>
          <w:tcPr>
            <w:tcW w:w="1276"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91003A" w:rsidRPr="00317D89" w:rsidP="00D07062">
            <w:pPr>
              <w:suppressAutoHyphens/>
              <w:bidi w:val="0"/>
              <w:jc w:val="center"/>
              <w:rPr>
                <w:rFonts w:ascii="Times New Roman" w:hAnsi="Times New Roman"/>
                <w:b/>
                <w:color w:val="000000"/>
                <w:sz w:val="20"/>
                <w:szCs w:val="20"/>
              </w:rPr>
            </w:pPr>
            <w:r w:rsidRPr="00317D89">
              <w:rPr>
                <w:rFonts w:ascii="Times New Roman" w:hAnsi="Times New Roman"/>
                <w:b/>
                <w:color w:val="000000"/>
                <w:sz w:val="20"/>
                <w:szCs w:val="20"/>
              </w:rPr>
              <w:t>2</w:t>
            </w:r>
          </w:p>
        </w:tc>
        <w:tc>
          <w:tcPr>
            <w:tcW w:w="1275" w:type="dxa"/>
            <w:tcBorders>
              <w:top w:val="single" w:sz="4" w:space="0" w:color="FFFFFF"/>
              <w:left w:val="single" w:sz="4" w:space="0" w:color="auto"/>
              <w:bottom w:val="single" w:sz="4" w:space="0" w:color="auto"/>
              <w:right w:val="single" w:sz="4" w:space="0" w:color="auto"/>
            </w:tcBorders>
            <w:shd w:val="clear" w:color="auto" w:fill="D9D9D9"/>
            <w:noWrap/>
            <w:tcMar>
              <w:left w:w="0" w:type="dxa"/>
              <w:right w:w="0" w:type="dxa"/>
            </w:tcMar>
            <w:textDirection w:val="lrTb"/>
            <w:vAlign w:val="bottom"/>
          </w:tcPr>
          <w:p w:rsidR="0091003A" w:rsidRPr="00317D89" w:rsidP="00F9182D">
            <w:pPr>
              <w:suppressAutoHyphens/>
              <w:bidi w:val="0"/>
              <w:jc w:val="center"/>
              <w:rPr>
                <w:rFonts w:ascii="Times New Roman" w:hAnsi="Times New Roman"/>
                <w:b/>
                <w:color w:val="000000"/>
                <w:sz w:val="20"/>
                <w:szCs w:val="20"/>
              </w:rPr>
            </w:pPr>
            <w:r w:rsidRPr="00317D89">
              <w:rPr>
                <w:rFonts w:ascii="Times New Roman" w:hAnsi="Times New Roman"/>
                <w:b/>
                <w:color w:val="000000"/>
                <w:sz w:val="20"/>
                <w:szCs w:val="20"/>
              </w:rPr>
              <w:t>3</w:t>
            </w:r>
          </w:p>
        </w:tc>
        <w:tc>
          <w:tcPr>
            <w:tcW w:w="1040"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91003A" w:rsidRPr="00317D89" w:rsidP="00F9182D">
            <w:pPr>
              <w:suppressAutoHyphens/>
              <w:bidi w:val="0"/>
              <w:jc w:val="center"/>
              <w:rPr>
                <w:rFonts w:ascii="Times New Roman" w:hAnsi="Times New Roman"/>
                <w:b/>
                <w:color w:val="000000"/>
                <w:sz w:val="20"/>
                <w:szCs w:val="20"/>
              </w:rPr>
            </w:pPr>
            <w:r w:rsidRPr="00317D89">
              <w:rPr>
                <w:rFonts w:ascii="Times New Roman" w:hAnsi="Times New Roman"/>
                <w:b/>
                <w:color w:val="000000"/>
                <w:sz w:val="20"/>
                <w:szCs w:val="20"/>
              </w:rPr>
              <w:t>4</w:t>
            </w:r>
          </w:p>
        </w:tc>
        <w:tc>
          <w:tcPr>
            <w:tcW w:w="1052"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91003A" w:rsidRPr="00317D89" w:rsidP="00D07062">
            <w:pPr>
              <w:suppressAutoHyphens/>
              <w:bidi w:val="0"/>
              <w:jc w:val="center"/>
              <w:rPr>
                <w:rFonts w:ascii="Times New Roman" w:hAnsi="Times New Roman"/>
                <w:b/>
                <w:color w:val="000000"/>
                <w:sz w:val="20"/>
                <w:szCs w:val="20"/>
              </w:rPr>
            </w:pPr>
            <w:r w:rsidRPr="00317D89">
              <w:rPr>
                <w:rFonts w:ascii="Times New Roman" w:hAnsi="Times New Roman"/>
                <w:b/>
                <w:color w:val="000000"/>
                <w:sz w:val="20"/>
                <w:szCs w:val="20"/>
              </w:rPr>
              <w:t>5=3-2</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vlády SR</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2 344</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26 815</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26 632</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26 295</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-183</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vnútra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8 118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19 146</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19 119</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19 119</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-27</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životného prostredia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103 770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409 803</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142 416</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1 207</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-267 387</w:t>
            </w:r>
          </w:p>
        </w:tc>
      </w:tr>
      <w:tr>
        <w:tblPrEx>
          <w:tblW w:w="5000" w:type="pct"/>
          <w:jc w:val="center"/>
          <w:tblInd w:w="108" w:type="dxa"/>
          <w:tblLayout w:type="fixed"/>
          <w:tblLook w:val="04A0"/>
        </w:tblPrEx>
        <w:trPr>
          <w:trHeight w:hRule="exact" w:val="52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školstva, vedy, výskumu a športu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609 034</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622 102</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622 097</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615 904</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w:t>
            </w:r>
          </w:p>
        </w:tc>
      </w:tr>
      <w:tr>
        <w:tblPrEx>
          <w:tblW w:w="5000" w:type="pct"/>
          <w:jc w:val="center"/>
          <w:tblInd w:w="108" w:type="dxa"/>
          <w:tblLayout w:type="fixed"/>
          <w:tblLook w:val="04A0"/>
        </w:tblPrEx>
        <w:trPr>
          <w:trHeight w:hRule="exact" w:val="560"/>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práce, sociálnych vecí a rodiny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14 169</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22 956</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22 105</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15 022</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-851</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zdravotníctva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196</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196</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kultúry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5 838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2 131</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2 124</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2 124</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-7</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hospodárstva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53 641</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23 356</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23 356</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983</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5000" w:type="pct"/>
          <w:jc w:val="center"/>
          <w:tblInd w:w="108" w:type="dxa"/>
          <w:tblLayout w:type="fixed"/>
          <w:tblLook w:val="04A0"/>
        </w:tblPrEx>
        <w:trPr>
          <w:trHeight w:hRule="exact" w:val="562"/>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pôdohospodárstva a rozvoja vidieka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364 494</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338 501</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285 995</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391</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-52 506</w:t>
            </w:r>
          </w:p>
        </w:tc>
      </w:tr>
      <w:tr>
        <w:tblPrEx>
          <w:tblW w:w="5000" w:type="pct"/>
          <w:jc w:val="center"/>
          <w:tblInd w:w="108" w:type="dxa"/>
          <w:tblLayout w:type="fixed"/>
          <w:tblLook w:val="04A0"/>
        </w:tblPrEx>
        <w:trPr>
          <w:trHeight w:hRule="exact" w:val="556"/>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dopravy, výstavby a region. rozvoja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92 128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27 028</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27 027</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27 027</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geodézie, kartografie a katastra SR</w:t>
            </w:r>
          </w:p>
        </w:tc>
        <w:tc>
          <w:tcPr>
            <w:tcW w:w="131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241</w:t>
            </w:r>
          </w:p>
        </w:tc>
        <w:tc>
          <w:tcPr>
            <w:tcW w:w="1040"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05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241</w:t>
            </w:r>
          </w:p>
        </w:tc>
      </w:tr>
      <w:tr>
        <w:tblPrEx>
          <w:tblW w:w="5000" w:type="pct"/>
          <w:jc w:val="center"/>
          <w:tblInd w:w="108" w:type="dxa"/>
          <w:tblLayout w:type="fixed"/>
          <w:tblLook w:val="04A0"/>
        </w:tblPrEx>
        <w:trPr>
          <w:trHeight w:hRule="exact" w:val="284"/>
          <w:jc w:val="center"/>
        </w:trPr>
        <w:tc>
          <w:tcPr>
            <w:tcW w:w="3618" w:type="dxa"/>
            <w:tcBorders>
              <w:top w:val="single" w:sz="4" w:space="0" w:color="auto"/>
              <w:left w:val="single" w:sz="4" w:space="0" w:color="auto"/>
              <w:bottom w:val="doub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Všeobecná pokladničná správa</w:t>
            </w:r>
          </w:p>
        </w:tc>
        <w:tc>
          <w:tcPr>
            <w:tcW w:w="1310" w:type="dxa"/>
            <w:tcBorders>
              <w:top w:val="single" w:sz="4" w:space="0" w:color="auto"/>
              <w:left w:val="single" w:sz="4" w:space="0" w:color="auto"/>
              <w:bottom w:val="doub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31 350</w:t>
            </w:r>
          </w:p>
        </w:tc>
        <w:tc>
          <w:tcPr>
            <w:tcW w:w="1276" w:type="dxa"/>
            <w:tcBorders>
              <w:top w:val="single" w:sz="4" w:space="0" w:color="auto"/>
              <w:left w:val="single" w:sz="4" w:space="0" w:color="auto"/>
              <w:bottom w:val="doub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41 611</w:t>
            </w:r>
          </w:p>
        </w:tc>
        <w:tc>
          <w:tcPr>
            <w:tcW w:w="1275" w:type="dxa"/>
            <w:tcBorders>
              <w:top w:val="single" w:sz="4" w:space="0" w:color="auto"/>
              <w:left w:val="single" w:sz="4" w:space="0" w:color="auto"/>
              <w:bottom w:val="doub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40 294</w:t>
            </w:r>
          </w:p>
        </w:tc>
        <w:tc>
          <w:tcPr>
            <w:tcW w:w="1040" w:type="dxa"/>
            <w:tcBorders>
              <w:top w:val="single" w:sz="4" w:space="0" w:color="auto"/>
              <w:left w:val="single" w:sz="4" w:space="0" w:color="auto"/>
              <w:bottom w:val="doub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40 294</w:t>
            </w:r>
          </w:p>
        </w:tc>
        <w:tc>
          <w:tcPr>
            <w:tcW w:w="1052" w:type="dxa"/>
            <w:tcBorders>
              <w:top w:val="single" w:sz="4" w:space="0" w:color="auto"/>
              <w:left w:val="single" w:sz="4" w:space="0" w:color="auto"/>
              <w:bottom w:val="doub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-1 317</w:t>
            </w:r>
          </w:p>
        </w:tc>
      </w:tr>
      <w:tr>
        <w:tblPrEx>
          <w:tblW w:w="5000" w:type="pct"/>
          <w:jc w:val="center"/>
          <w:tblInd w:w="108" w:type="dxa"/>
          <w:tblLayout w:type="fixed"/>
          <w:tblLook w:val="04A0"/>
        </w:tblPrEx>
        <w:trPr>
          <w:trHeight w:hRule="exact" w:val="284"/>
          <w:jc w:val="center"/>
        </w:trPr>
        <w:tc>
          <w:tcPr>
            <w:tcW w:w="3618" w:type="dxa"/>
            <w:tcBorders>
              <w:top w:val="doub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b/>
                <w:color w:val="000000"/>
                <w:sz w:val="20"/>
                <w:szCs w:val="20"/>
              </w:rPr>
            </w:pPr>
            <w:r w:rsidRPr="008E4204">
              <w:rPr>
                <w:rFonts w:ascii="Times New Roman" w:hAnsi="Times New Roman"/>
                <w:b/>
                <w:color w:val="000000"/>
                <w:sz w:val="20"/>
                <w:szCs w:val="20"/>
              </w:rPr>
              <w:t>Spolu</w:t>
            </w:r>
          </w:p>
        </w:tc>
        <w:tc>
          <w:tcPr>
            <w:tcW w:w="1310" w:type="dxa"/>
            <w:tcBorders>
              <w:top w:val="double" w:sz="4"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1 284 886</w:t>
            </w:r>
          </w:p>
        </w:tc>
        <w:tc>
          <w:tcPr>
            <w:tcW w:w="1276" w:type="dxa"/>
            <w:tcBorders>
              <w:top w:val="double" w:sz="4"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1 533 645</w:t>
            </w:r>
          </w:p>
        </w:tc>
        <w:tc>
          <w:tcPr>
            <w:tcW w:w="1275" w:type="dxa"/>
            <w:tcBorders>
              <w:top w:val="double" w:sz="4" w:space="0" w:color="auto"/>
              <w:left w:val="single" w:sz="4" w:space="0" w:color="auto"/>
              <w:bottom w:val="single" w:sz="4" w:space="0" w:color="auto"/>
              <w:right w:val="single" w:sz="4" w:space="0" w:color="auto"/>
            </w:tcBorders>
            <w:shd w:val="clear" w:color="auto" w:fill="D9D9D9"/>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1 211 602</w:t>
            </w:r>
          </w:p>
        </w:tc>
        <w:tc>
          <w:tcPr>
            <w:tcW w:w="1040" w:type="dxa"/>
            <w:tcBorders>
              <w:top w:val="double" w:sz="4"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748 366</w:t>
            </w:r>
          </w:p>
        </w:tc>
        <w:tc>
          <w:tcPr>
            <w:tcW w:w="1052" w:type="dxa"/>
            <w:tcBorders>
              <w:top w:val="double" w:sz="4"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-322 043</w:t>
            </w:r>
          </w:p>
        </w:tc>
      </w:tr>
    </w:tbl>
    <w:p w:rsidR="00541C9E" w:rsidP="00541C9E">
      <w:pPr>
        <w:suppressAutoHyphens/>
        <w:bidi w:val="0"/>
        <w:jc w:val="both"/>
        <w:rPr>
          <w:rFonts w:ascii="Times New Roman" w:hAnsi="Times New Roman"/>
          <w:sz w:val="20"/>
          <w:szCs w:val="20"/>
        </w:rPr>
      </w:pPr>
      <w:r w:rsidRPr="008E4204">
        <w:rPr>
          <w:rFonts w:ascii="Times New Roman" w:hAnsi="Times New Roman"/>
          <w:sz w:val="20"/>
          <w:szCs w:val="20"/>
        </w:rPr>
        <w:t>Poznámka: *</w:t>
      </w:r>
      <w:r>
        <w:rPr>
          <w:rFonts w:ascii="Times New Roman" w:hAnsi="Times New Roman"/>
          <w:sz w:val="20"/>
          <w:szCs w:val="20"/>
        </w:rPr>
        <w:t xml:space="preserve"> len </w:t>
      </w:r>
      <w:r w:rsidRPr="008E4204">
        <w:rPr>
          <w:rFonts w:ascii="Times New Roman" w:hAnsi="Times New Roman"/>
          <w:sz w:val="20"/>
          <w:szCs w:val="20"/>
        </w:rPr>
        <w:t xml:space="preserve">prostriedky štátneho rozpočtu </w:t>
      </w:r>
    </w:p>
    <w:p w:rsidR="0091003A" w:rsidRPr="008E4204" w:rsidP="00C221B0">
      <w:pPr>
        <w:suppressAutoHyphens/>
        <w:bidi w:val="0"/>
        <w:spacing w:before="120" w:after="120" w:line="360" w:lineRule="auto"/>
        <w:ind w:right="-427"/>
        <w:jc w:val="both"/>
        <w:rPr>
          <w:rFonts w:ascii="Times New Roman" w:hAnsi="Times New Roman"/>
          <w:sz w:val="20"/>
          <w:szCs w:val="20"/>
        </w:rPr>
      </w:pPr>
      <w:r w:rsidRPr="008E4204">
        <w:rPr>
          <w:rFonts w:ascii="Times New Roman" w:hAnsi="Times New Roman"/>
          <w:sz w:val="20"/>
          <w:szCs w:val="20"/>
        </w:rPr>
        <w:t>Zdroj: Ministerstvo financií SR</w:t>
      </w:r>
    </w:p>
    <w:p w:rsidR="0091003A" w:rsidRPr="00DC5BDC" w:rsidP="00C221B0">
      <w:pPr>
        <w:suppressAutoHyphens/>
        <w:bidi w:val="0"/>
        <w:spacing w:before="120" w:after="120" w:line="360" w:lineRule="auto"/>
        <w:jc w:val="both"/>
        <w:rPr>
          <w:rFonts w:ascii="Times New Roman" w:hAnsi="Times New Roman"/>
        </w:rPr>
      </w:pPr>
      <w:r>
        <w:rPr>
          <w:rFonts w:ascii="Times New Roman" w:hAnsi="Times New Roman"/>
        </w:rPr>
        <w:t>Pre porovnanie uvádzame prehľad poskytnutých grantov a transferov za roky 2010 a 2009.</w:t>
      </w:r>
    </w:p>
    <w:tbl>
      <w:tblPr>
        <w:tblStyle w:val="TableNormal"/>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3"/>
        <w:gridCol w:w="1119"/>
        <w:gridCol w:w="1259"/>
        <w:gridCol w:w="1119"/>
        <w:gridCol w:w="1259"/>
      </w:tblGrid>
      <w:tr>
        <w:tblPrEx>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284"/>
        </w:trPr>
        <w:tc>
          <w:tcPr>
            <w:tcW w:w="4536"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F0DFA" w:rsidP="00D07062">
            <w:pPr>
              <w:suppressAutoHyphens/>
              <w:bidi w:val="0"/>
              <w:jc w:val="center"/>
              <w:rPr>
                <w:rFonts w:ascii="Times New Roman" w:hAnsi="Times New Roman"/>
                <w:b/>
                <w:color w:val="FFFFFF"/>
                <w:sz w:val="20"/>
                <w:szCs w:val="20"/>
              </w:rPr>
            </w:pPr>
            <w:r w:rsidRPr="004F0DFA">
              <w:rPr>
                <w:rFonts w:ascii="Times New Roman" w:hAnsi="Times New Roman"/>
                <w:b/>
                <w:color w:val="FFFFFF"/>
                <w:sz w:val="20"/>
                <w:szCs w:val="20"/>
              </w:rPr>
              <w:t>Kapitola</w:t>
            </w:r>
          </w:p>
          <w:p w:rsidR="00F85E1D" w:rsidRPr="004F0DFA" w:rsidP="00F85E1D">
            <w:pPr>
              <w:suppressAutoHyphens/>
              <w:bidi w:val="0"/>
              <w:rPr>
                <w:rFonts w:ascii="Times New Roman" w:hAnsi="Times New Roman"/>
                <w:b/>
                <w:color w:val="FFFFFF"/>
                <w:sz w:val="20"/>
                <w:szCs w:val="20"/>
              </w:rPr>
            </w:pPr>
            <w:r w:rsidRPr="004F0DFA">
              <w:rPr>
                <w:rFonts w:ascii="Times New Roman" w:hAnsi="Times New Roman"/>
                <w:b/>
                <w:color w:val="FFFFFF"/>
                <w:sz w:val="20"/>
                <w:szCs w:val="20"/>
              </w:rPr>
              <w:t>(v tis.</w:t>
            </w:r>
            <w:r w:rsidRPr="004F0DFA" w:rsidR="00583F0C">
              <w:rPr>
                <w:rFonts w:ascii="Times New Roman" w:hAnsi="Times New Roman"/>
                <w:b/>
                <w:color w:val="FFFFFF"/>
                <w:sz w:val="20"/>
                <w:szCs w:val="20"/>
              </w:rPr>
              <w:t xml:space="preserve"> </w:t>
            </w:r>
            <w:r w:rsidRPr="004F0DFA">
              <w:rPr>
                <w:rFonts w:ascii="Times New Roman" w:hAnsi="Times New Roman"/>
                <w:b/>
                <w:color w:val="FFFFFF"/>
                <w:sz w:val="20"/>
                <w:szCs w:val="20"/>
              </w:rPr>
              <w:t>eur)</w:t>
            </w:r>
          </w:p>
        </w:tc>
        <w:tc>
          <w:tcPr>
            <w:tcW w:w="4820"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F0DFA" w:rsidP="00D07062">
            <w:pPr>
              <w:suppressAutoHyphens/>
              <w:bidi w:val="0"/>
              <w:jc w:val="center"/>
              <w:rPr>
                <w:rFonts w:ascii="Times New Roman" w:hAnsi="Times New Roman"/>
                <w:b/>
                <w:color w:val="FFFFFF"/>
                <w:sz w:val="20"/>
                <w:szCs w:val="20"/>
              </w:rPr>
            </w:pPr>
            <w:r w:rsidRPr="004B18B6" w:rsidR="00D866F7">
              <w:rPr>
                <w:rFonts w:ascii="Times New Roman" w:hAnsi="Times New Roman"/>
                <w:b/>
                <w:color w:val="FFFFFF"/>
                <w:sz w:val="20"/>
                <w:szCs w:val="20"/>
              </w:rPr>
              <w:t>Skutočnosť</w:t>
            </w:r>
          </w:p>
        </w:tc>
      </w:tr>
      <w:tr>
        <w:tblPrEx>
          <w:tblW w:w="4816" w:type="pct"/>
          <w:tblInd w:w="108" w:type="dxa"/>
          <w:tblLayout w:type="fixed"/>
          <w:tblLook w:val="04A0"/>
        </w:tblPrEx>
        <w:trPr>
          <w:trHeight w:hRule="exact" w:val="673"/>
        </w:trPr>
        <w:tc>
          <w:tcPr>
            <w:tcW w:w="4536"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top"/>
          </w:tcPr>
          <w:p w:rsidR="0091003A" w:rsidRPr="004B18B6" w:rsidP="00D07062">
            <w:pPr>
              <w:suppressAutoHyphens/>
              <w:bidi w:val="0"/>
              <w:ind w:firstLine="567"/>
              <w:jc w:val="both"/>
              <w:rPr>
                <w:rFonts w:ascii="Times New Roman" w:hAnsi="Times New Roman"/>
                <w:b/>
                <w:color w:val="FFFFFF"/>
                <w:sz w:val="20"/>
                <w:szCs w:val="20"/>
              </w:rPr>
            </w:pP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F9182D">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 xml:space="preserve">2010 </w:t>
            </w:r>
          </w:p>
        </w:tc>
        <w:tc>
          <w:tcPr>
            <w:tcW w:w="127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D07062">
            <w:pPr>
              <w:suppressAutoHyphens/>
              <w:bidi w:val="0"/>
              <w:jc w:val="center"/>
              <w:rPr>
                <w:rFonts w:ascii="Times New Roman" w:hAnsi="Times New Roman"/>
                <w:b/>
                <w:color w:val="FFFFFF"/>
                <w:sz w:val="20"/>
                <w:szCs w:val="20"/>
              </w:rPr>
            </w:pPr>
            <w:r w:rsidR="00D866F7">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F9182D">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2009</w:t>
            </w:r>
          </w:p>
        </w:tc>
        <w:tc>
          <w:tcPr>
            <w:tcW w:w="127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D07062">
            <w:pPr>
              <w:suppressAutoHyphens/>
              <w:bidi w:val="0"/>
              <w:jc w:val="center"/>
              <w:rPr>
                <w:rFonts w:ascii="Times New Roman" w:hAnsi="Times New Roman"/>
                <w:b/>
                <w:color w:val="FFFFFF"/>
                <w:sz w:val="20"/>
                <w:szCs w:val="20"/>
              </w:rPr>
            </w:pPr>
            <w:r w:rsidR="00D866F7">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r>
      <w:tr>
        <w:tblPrEx>
          <w:tblW w:w="4816" w:type="pct"/>
          <w:tblInd w:w="108" w:type="dxa"/>
          <w:tblLayout w:type="fixed"/>
          <w:tblLook w:val="04A0"/>
        </w:tblPrEx>
        <w:trPr>
          <w:trHeight w:hRule="exact" w:val="284"/>
        </w:trPr>
        <w:tc>
          <w:tcPr>
            <w:tcW w:w="4536"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vlády SR</w:t>
            </w:r>
          </w:p>
          <w:p w:rsidR="00F85E1D" w:rsidRPr="008E4204" w:rsidP="00D07062">
            <w:pPr>
              <w:suppressAutoHyphens/>
              <w:bidi w:val="0"/>
              <w:rPr>
                <w:rFonts w:ascii="Times New Roman" w:hAnsi="Times New Roman"/>
                <w:color w:val="000000"/>
                <w:sz w:val="20"/>
                <w:szCs w:val="20"/>
              </w:rPr>
            </w:pPr>
          </w:p>
        </w:tc>
        <w:tc>
          <w:tcPr>
            <w:tcW w:w="1134" w:type="dxa"/>
            <w:tcBorders>
              <w:top w:val="single" w:sz="4" w:space="0" w:color="FFFFFF"/>
              <w:left w:val="single" w:sz="4" w:space="0" w:color="auto"/>
              <w:bottom w:val="single" w:sz="4" w:space="0" w:color="auto"/>
              <w:right w:val="single" w:sz="4" w:space="0" w:color="auto"/>
            </w:tcBorders>
            <w:shd w:val="clear" w:color="auto" w:fill="FFFFFF"/>
            <w:noWrap/>
            <w:textDirection w:val="lrTb"/>
            <w:vAlign w:val="center"/>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11 155</w:t>
            </w:r>
          </w:p>
        </w:tc>
        <w:tc>
          <w:tcPr>
            <w:tcW w:w="1276"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10 822</w:t>
            </w:r>
          </w:p>
        </w:tc>
        <w:tc>
          <w:tcPr>
            <w:tcW w:w="1134"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11 645</w:t>
            </w:r>
          </w:p>
        </w:tc>
        <w:tc>
          <w:tcPr>
            <w:tcW w:w="1276"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11 645</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vnútra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36 339</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36 339</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24 249</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24 240</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financií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75</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75</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životného prostredia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60 982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15 399</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18 283</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1 232</w:t>
            </w:r>
          </w:p>
        </w:tc>
      </w:tr>
      <w:tr>
        <w:tblPrEx>
          <w:tblW w:w="4816" w:type="pct"/>
          <w:tblInd w:w="108" w:type="dxa"/>
          <w:tblLayout w:type="fixed"/>
          <w:tblLook w:val="04A0"/>
        </w:tblPrEx>
        <w:trPr>
          <w:trHeight w:hRule="exact" w:val="330"/>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školstva, vedy, výskumu a športu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665 911</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656 321</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615 872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607 637</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práce, sociálnych vecí a rodiny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21 196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14 074</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18 362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11 802</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kultúry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2 378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w:t>
            </w:r>
            <w:r>
              <w:rPr>
                <w:rFonts w:ascii="Times New Roman" w:hAnsi="Times New Roman"/>
                <w:sz w:val="20"/>
                <w:szCs w:val="20"/>
              </w:rPr>
              <w:t> </w:t>
            </w:r>
            <w:r w:rsidRPr="008E4204">
              <w:rPr>
                <w:rFonts w:ascii="Times New Roman" w:hAnsi="Times New Roman"/>
                <w:sz w:val="20"/>
                <w:szCs w:val="20"/>
              </w:rPr>
              <w:t>378</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CE7357">
            <w:pPr>
              <w:suppressAutoHyphens/>
              <w:bidi w:val="0"/>
              <w:ind w:hanging="108"/>
              <w:jc w:val="right"/>
              <w:rPr>
                <w:rFonts w:ascii="Times New Roman" w:hAnsi="Times New Roman"/>
                <w:sz w:val="20"/>
                <w:szCs w:val="20"/>
              </w:rPr>
            </w:pPr>
            <w:r w:rsidRPr="008E4204">
              <w:rPr>
                <w:rFonts w:ascii="Times New Roman" w:hAnsi="Times New Roman"/>
                <w:sz w:val="20"/>
                <w:szCs w:val="20"/>
              </w:rPr>
              <w:t>4 147</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CE7357">
            <w:pPr>
              <w:suppressAutoHyphens/>
              <w:bidi w:val="0"/>
              <w:ind w:hanging="108"/>
              <w:jc w:val="right"/>
              <w:rPr>
                <w:rFonts w:ascii="Times New Roman" w:hAnsi="Times New Roman"/>
                <w:sz w:val="20"/>
                <w:szCs w:val="20"/>
              </w:rPr>
            </w:pPr>
            <w:r w:rsidRPr="008E4204">
              <w:rPr>
                <w:rFonts w:ascii="Times New Roman" w:hAnsi="Times New Roman"/>
                <w:sz w:val="20"/>
                <w:szCs w:val="20"/>
              </w:rPr>
              <w:t>4 147</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hospodárstva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48 999</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27 842</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4377E8">
            <w:pPr>
              <w:suppressAutoHyphens/>
              <w:bidi w:val="0"/>
              <w:ind w:hanging="108"/>
              <w:jc w:val="right"/>
              <w:rPr>
                <w:rFonts w:ascii="Times New Roman" w:hAnsi="Times New Roman"/>
                <w:sz w:val="20"/>
                <w:szCs w:val="20"/>
              </w:rPr>
            </w:pPr>
            <w:r w:rsidRPr="008E4204">
              <w:rPr>
                <w:rFonts w:ascii="Times New Roman" w:hAnsi="Times New Roman"/>
                <w:sz w:val="20"/>
                <w:szCs w:val="20"/>
              </w:rPr>
              <w:t>37 61</w:t>
            </w:r>
            <w:r w:rsidR="004377E8">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CE7357">
            <w:pPr>
              <w:suppressAutoHyphens/>
              <w:bidi w:val="0"/>
              <w:ind w:hanging="108"/>
              <w:jc w:val="right"/>
              <w:rPr>
                <w:rFonts w:ascii="Times New Roman" w:hAnsi="Times New Roman"/>
                <w:sz w:val="20"/>
                <w:szCs w:val="20"/>
              </w:rPr>
            </w:pPr>
            <w:r w:rsidRPr="008E4204">
              <w:rPr>
                <w:rFonts w:ascii="Times New Roman" w:hAnsi="Times New Roman"/>
                <w:sz w:val="20"/>
                <w:szCs w:val="20"/>
              </w:rPr>
              <w:t>20 717</w:t>
            </w:r>
          </w:p>
        </w:tc>
      </w:tr>
      <w:tr>
        <w:tblPrEx>
          <w:tblW w:w="4816" w:type="pct"/>
          <w:tblInd w:w="108" w:type="dxa"/>
          <w:tblLayout w:type="fixed"/>
          <w:tblLook w:val="04A0"/>
        </w:tblPrEx>
        <w:trPr>
          <w:trHeight w:hRule="exact" w:val="276"/>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pôdohospodárstva a rozvoja vidieka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174 856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2 390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35660E">
            <w:pPr>
              <w:suppressAutoHyphens/>
              <w:bidi w:val="0"/>
              <w:ind w:hanging="108"/>
              <w:jc w:val="right"/>
              <w:rPr>
                <w:rFonts w:ascii="Times New Roman" w:hAnsi="Times New Roman"/>
                <w:sz w:val="20"/>
                <w:szCs w:val="20"/>
              </w:rPr>
            </w:pPr>
            <w:r w:rsidRPr="008E4204">
              <w:rPr>
                <w:rFonts w:ascii="Times New Roman" w:hAnsi="Times New Roman"/>
                <w:sz w:val="20"/>
                <w:szCs w:val="20"/>
              </w:rPr>
              <w:t>1 040</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výstavby a regionálneho rozvoja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104 760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17 265</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163 516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47 013</w:t>
            </w:r>
          </w:p>
        </w:tc>
      </w:tr>
      <w:tr>
        <w:tblPrEx>
          <w:tblW w:w="4816" w:type="pct"/>
          <w:tblInd w:w="108" w:type="dxa"/>
          <w:tblLayout w:type="fixed"/>
          <w:tblLook w:val="04A0"/>
        </w:tblPrEx>
        <w:trPr>
          <w:trHeight w:hRule="exact" w:val="293"/>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dopravy, výstavby a region. rozvoja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1 451</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1 451</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268</w:t>
            </w: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geodézie, kartografie a katastra SR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378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247</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p>
        </w:tc>
      </w:tr>
      <w:tr>
        <w:tblPrEx>
          <w:tblW w:w="4816" w:type="pct"/>
          <w:tblInd w:w="108" w:type="dxa"/>
          <w:tblLayout w:type="fixed"/>
          <w:tblLook w:val="04A0"/>
        </w:tblPrEx>
        <w:trPr>
          <w:trHeight w:hRule="exact" w:val="284"/>
        </w:trPr>
        <w:tc>
          <w:tcPr>
            <w:tcW w:w="4536" w:type="dxa"/>
            <w:tcBorders>
              <w:top w:val="single" w:sz="4" w:space="0" w:color="auto"/>
              <w:left w:val="single" w:sz="4" w:space="0" w:color="auto"/>
              <w:bottom w:val="double" w:sz="6" w:space="0" w:color="auto"/>
              <w:right w:val="single" w:sz="4" w:space="0" w:color="auto"/>
            </w:tcBorders>
            <w:noWrap/>
            <w:textDirection w:val="lrTb"/>
            <w:vAlign w:val="bottom"/>
          </w:tcPr>
          <w:p w:rsidR="007A5673"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Všeobecná pokladničná správa</w:t>
            </w:r>
          </w:p>
        </w:tc>
        <w:tc>
          <w:tcPr>
            <w:tcW w:w="1134" w:type="dxa"/>
            <w:tcBorders>
              <w:top w:val="single" w:sz="4" w:space="0" w:color="auto"/>
              <w:left w:val="single" w:sz="4" w:space="0" w:color="auto"/>
              <w:bottom w:val="double" w:sz="6" w:space="0" w:color="auto"/>
              <w:right w:val="single" w:sz="4" w:space="0" w:color="auto"/>
            </w:tcBorders>
            <w:shd w:val="clear" w:color="auto" w:fill="FFFFFF"/>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116 937</w:t>
            </w:r>
          </w:p>
        </w:tc>
        <w:tc>
          <w:tcPr>
            <w:tcW w:w="1276" w:type="dxa"/>
            <w:tcBorders>
              <w:top w:val="single" w:sz="4" w:space="0" w:color="auto"/>
              <w:left w:val="single" w:sz="4" w:space="0" w:color="auto"/>
              <w:bottom w:val="double" w:sz="6"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84 916</w:t>
            </w:r>
          </w:p>
        </w:tc>
        <w:tc>
          <w:tcPr>
            <w:tcW w:w="1134" w:type="dxa"/>
            <w:tcBorders>
              <w:top w:val="single" w:sz="4" w:space="0" w:color="auto"/>
              <w:left w:val="single" w:sz="4" w:space="0" w:color="auto"/>
              <w:bottom w:val="double" w:sz="6"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137</w:t>
            </w:r>
            <w:r>
              <w:rPr>
                <w:rFonts w:ascii="Times New Roman" w:hAnsi="Times New Roman"/>
                <w:sz w:val="20"/>
                <w:szCs w:val="20"/>
              </w:rPr>
              <w:t> </w:t>
            </w:r>
            <w:r w:rsidRPr="008E4204">
              <w:rPr>
                <w:rFonts w:ascii="Times New Roman" w:hAnsi="Times New Roman"/>
                <w:sz w:val="20"/>
                <w:szCs w:val="20"/>
              </w:rPr>
              <w:t>937</w:t>
            </w:r>
          </w:p>
        </w:tc>
        <w:tc>
          <w:tcPr>
            <w:tcW w:w="1276" w:type="dxa"/>
            <w:tcBorders>
              <w:top w:val="single" w:sz="4" w:space="0" w:color="auto"/>
              <w:left w:val="single" w:sz="4" w:space="0" w:color="auto"/>
              <w:bottom w:val="double" w:sz="6" w:space="0" w:color="auto"/>
              <w:right w:val="single" w:sz="4" w:space="0" w:color="auto"/>
            </w:tcBorders>
            <w:noWrap/>
            <w:textDirection w:val="lrTb"/>
            <w:vAlign w:val="bottom"/>
          </w:tcPr>
          <w:p w:rsidR="007A5673"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52 006</w:t>
            </w:r>
          </w:p>
        </w:tc>
      </w:tr>
      <w:tr>
        <w:tblPrEx>
          <w:tblW w:w="4816" w:type="pct"/>
          <w:tblInd w:w="108" w:type="dxa"/>
          <w:tblLayout w:type="fixed"/>
          <w:tblLook w:val="04A0"/>
        </w:tblPrEx>
        <w:trPr>
          <w:trHeight w:hRule="exact" w:val="284"/>
        </w:trPr>
        <w:tc>
          <w:tcPr>
            <w:tcW w:w="4536" w:type="dxa"/>
            <w:tcBorders>
              <w:top w:val="double" w:sz="6" w:space="0" w:color="auto"/>
              <w:left w:val="single" w:sz="4" w:space="0" w:color="auto"/>
              <w:bottom w:val="single" w:sz="4" w:space="0" w:color="auto"/>
              <w:right w:val="single" w:sz="4" w:space="0" w:color="auto"/>
            </w:tcBorders>
            <w:noWrap/>
            <w:textDirection w:val="lrTb"/>
            <w:vAlign w:val="bottom"/>
          </w:tcPr>
          <w:p w:rsidR="007A5673" w:rsidRPr="008E4204" w:rsidP="00D07062">
            <w:pPr>
              <w:suppressAutoHyphens/>
              <w:bidi w:val="0"/>
              <w:rPr>
                <w:rFonts w:ascii="Times New Roman" w:hAnsi="Times New Roman"/>
                <w:b/>
                <w:color w:val="000000"/>
                <w:sz w:val="20"/>
                <w:szCs w:val="20"/>
              </w:rPr>
            </w:pPr>
            <w:r w:rsidRPr="008E4204">
              <w:rPr>
                <w:rFonts w:ascii="Times New Roman" w:hAnsi="Times New Roman"/>
                <w:b/>
                <w:color w:val="000000"/>
                <w:sz w:val="20"/>
                <w:szCs w:val="20"/>
              </w:rPr>
              <w:t>Spolu</w:t>
            </w:r>
          </w:p>
        </w:tc>
        <w:tc>
          <w:tcPr>
            <w:tcW w:w="1134" w:type="dxa"/>
            <w:tcBorders>
              <w:top w:val="double" w:sz="6" w:space="0" w:color="auto"/>
              <w:left w:val="single" w:sz="4" w:space="0" w:color="auto"/>
              <w:bottom w:val="single" w:sz="4" w:space="0" w:color="auto"/>
              <w:right w:val="single" w:sz="4" w:space="0" w:color="auto"/>
            </w:tcBorders>
            <w:shd w:val="clear" w:color="auto" w:fill="FFFFFF"/>
            <w:noWrap/>
            <w:textDirection w:val="lrTb"/>
            <w:vAlign w:val="center"/>
          </w:tcPr>
          <w:p w:rsidR="007A5673"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1 245 342</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tcPr>
          <w:p w:rsidR="007A5673"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866 888</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tcPr>
          <w:p w:rsidR="007A5673"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1 034 604</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tcPr>
          <w:p w:rsidR="007A5673"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781 822</w:t>
            </w:r>
          </w:p>
        </w:tc>
      </w:tr>
    </w:tbl>
    <w:p w:rsidR="00541C9E" w:rsidP="00541C9E">
      <w:pPr>
        <w:suppressAutoHyphens/>
        <w:bidi w:val="0"/>
        <w:jc w:val="both"/>
        <w:rPr>
          <w:rFonts w:ascii="Times New Roman" w:hAnsi="Times New Roman"/>
          <w:sz w:val="20"/>
          <w:szCs w:val="20"/>
        </w:rPr>
      </w:pPr>
      <w:r w:rsidRPr="008E4204">
        <w:rPr>
          <w:rFonts w:ascii="Times New Roman" w:hAnsi="Times New Roman"/>
          <w:sz w:val="20"/>
          <w:szCs w:val="20"/>
        </w:rPr>
        <w:t>Poznámka: *</w:t>
      </w:r>
      <w:r>
        <w:rPr>
          <w:rFonts w:ascii="Times New Roman" w:hAnsi="Times New Roman"/>
          <w:sz w:val="20"/>
          <w:szCs w:val="20"/>
        </w:rPr>
        <w:t xml:space="preserve"> len </w:t>
      </w:r>
      <w:r w:rsidRPr="008E4204">
        <w:rPr>
          <w:rFonts w:ascii="Times New Roman" w:hAnsi="Times New Roman"/>
          <w:sz w:val="20"/>
          <w:szCs w:val="20"/>
        </w:rPr>
        <w:t xml:space="preserve">prostriedky štátneho rozpočtu </w:t>
      </w:r>
    </w:p>
    <w:p w:rsidR="0091003A" w:rsidRPr="008E4204" w:rsidP="00583F0C">
      <w:pPr>
        <w:suppressAutoHyphens/>
        <w:bidi w:val="0"/>
        <w:spacing w:line="360" w:lineRule="auto"/>
        <w:ind w:right="-426"/>
        <w:jc w:val="both"/>
        <w:rPr>
          <w:rFonts w:ascii="Times New Roman" w:hAnsi="Times New Roman"/>
          <w:sz w:val="20"/>
          <w:szCs w:val="20"/>
        </w:rPr>
      </w:pPr>
      <w:r w:rsidRPr="008E4204">
        <w:rPr>
          <w:rFonts w:ascii="Times New Roman" w:hAnsi="Times New Roman"/>
          <w:sz w:val="20"/>
          <w:szCs w:val="20"/>
        </w:rPr>
        <w:t>Ministerstvo financií SR</w:t>
      </w:r>
    </w:p>
    <w:p w:rsidR="0091003A" w:rsidRPr="001B2949" w:rsidP="004D431A">
      <w:pPr>
        <w:suppressAutoHyphens/>
        <w:bidi w:val="0"/>
        <w:spacing w:before="120" w:after="120" w:line="360" w:lineRule="auto"/>
        <w:jc w:val="both"/>
        <w:rPr>
          <w:rFonts w:ascii="Times New Roman" w:hAnsi="Times New Roman"/>
        </w:rPr>
      </w:pPr>
      <w:r>
        <w:rPr>
          <w:rFonts w:ascii="Times New Roman" w:hAnsi="Times New Roman"/>
        </w:rPr>
        <w:t>Na celkovom objeme poskytnutých grantov a transferov obciam sa najväčšou sumou podieľalo Ministerstvo školstva</w:t>
      </w:r>
      <w:r w:rsidR="0035660E">
        <w:rPr>
          <w:rFonts w:ascii="Times New Roman" w:hAnsi="Times New Roman"/>
        </w:rPr>
        <w:t>, vedy, výskumu a športu</w:t>
      </w:r>
      <w:r>
        <w:rPr>
          <w:rFonts w:ascii="Times New Roman" w:hAnsi="Times New Roman"/>
        </w:rPr>
        <w:t xml:space="preserve"> SR, ktoré na tento účel vynaložilo 622 097 tis. eur</w:t>
      </w:r>
      <w:r w:rsidR="00541C9E">
        <w:rPr>
          <w:rFonts w:ascii="Times New Roman" w:hAnsi="Times New Roman"/>
        </w:rPr>
        <w:t xml:space="preserve"> (2010: 665 911 tis. eur)</w:t>
      </w:r>
      <w:r>
        <w:rPr>
          <w:rFonts w:ascii="Times New Roman" w:hAnsi="Times New Roman"/>
        </w:rPr>
        <w:t>. Z tejto sumy smerovala podstatná časť - 610 440 tis. eur na základné vzdelanie. Ostatné prostriedky boli určené na predškolskú výchovu, stredoškolské vzdelávanie a na rekreačné a športové služby.</w:t>
      </w:r>
    </w:p>
    <w:p w:rsidR="0091003A" w:rsidP="004D431A">
      <w:pPr>
        <w:suppressAutoHyphens/>
        <w:bidi w:val="0"/>
        <w:spacing w:before="120" w:after="120" w:line="360" w:lineRule="auto"/>
        <w:jc w:val="both"/>
        <w:rPr>
          <w:rFonts w:ascii="Times New Roman" w:hAnsi="Times New Roman"/>
        </w:rPr>
      </w:pPr>
      <w:r>
        <w:rPr>
          <w:rFonts w:ascii="Times New Roman" w:hAnsi="Times New Roman"/>
        </w:rPr>
        <w:t xml:space="preserve">V rozpočtovej kapitole Ministerstva životného prostredia bol rozdiel medzi schváleným a upraveným rozpočtom poskytnutých transferov v roku 2011 spôsobený najmä rozpočtovým opatrením MF SR č. 16/2011, ktorým boli kapitole pridelené prostriedky EÚ a na spolufinancovanie zo štátneho rozpočtu z minulých rokov v celkovej sume 271 600 tis. eur, z toho pre obce 267 385 tis. eur. Nakoľko Ministerstvo financií SR následne rozhodlo nepoužiť tieto prostriedky, bolo skutočné čerpanie len v objeme 142 416 tis. eur a tieto boli vynaložené najmä na nakladanie s odpadmi, znižovanie znečisťovania, vodné hospodárstvo a zásobovanie vodou. </w:t>
      </w:r>
    </w:p>
    <w:p w:rsidR="0091003A" w:rsidRPr="001D7787" w:rsidP="004D431A">
      <w:pPr>
        <w:suppressAutoHyphens/>
        <w:bidi w:val="0"/>
        <w:spacing w:before="120" w:after="120" w:line="360" w:lineRule="auto"/>
        <w:jc w:val="both"/>
        <w:rPr>
          <w:rFonts w:ascii="Times New Roman" w:hAnsi="Times New Roman"/>
          <w:color w:val="000000"/>
        </w:rPr>
      </w:pPr>
      <w:r>
        <w:rPr>
          <w:rFonts w:ascii="Times New Roman" w:hAnsi="Times New Roman"/>
        </w:rPr>
        <w:t xml:space="preserve">Nižšie čerpanie poskytnutých transferov sa prejavilo aj v rozpočtovej kapitole Ministerstva pôdohospodárstva a rozvoja vidieka SR a spôsobené bolo tým, že upravený rozpočet z časových dôvodov už nemohol byť dočerpaný. Z celkovej poskytnutej sumy 285 995 tis. eur smerovala najväčšia časť </w:t>
      </w:r>
      <w:r w:rsidR="00541C9E">
        <w:rPr>
          <w:rFonts w:ascii="Times New Roman" w:hAnsi="Times New Roman"/>
        </w:rPr>
        <w:t>vo výške</w:t>
      </w:r>
      <w:r>
        <w:rPr>
          <w:rFonts w:ascii="Times New Roman" w:hAnsi="Times New Roman"/>
        </w:rPr>
        <w:t xml:space="preserve"> 281 042 tis. eur </w:t>
      </w:r>
      <w:r w:rsidR="00541C9E">
        <w:rPr>
          <w:rFonts w:ascii="Times New Roman" w:hAnsi="Times New Roman"/>
        </w:rPr>
        <w:t xml:space="preserve">(2010: 174 856 tis. eur) </w:t>
      </w:r>
      <w:r>
        <w:rPr>
          <w:rFonts w:ascii="Times New Roman" w:hAnsi="Times New Roman"/>
        </w:rPr>
        <w:t>do všeobecnej pracovnej oblasti a zostatok do oblasti poľnohospodárstva</w:t>
      </w:r>
      <w:r w:rsidRPr="001D7787">
        <w:rPr>
          <w:rFonts w:ascii="Times New Roman" w:hAnsi="Times New Roman"/>
          <w:color w:val="000000"/>
        </w:rPr>
        <w:t xml:space="preserve">. </w:t>
      </w:r>
    </w:p>
    <w:p w:rsidR="0091003A" w:rsidRPr="00770951" w:rsidP="004D431A">
      <w:pPr>
        <w:suppressAutoHyphens/>
        <w:bidi w:val="0"/>
        <w:spacing w:before="120" w:after="120" w:line="360" w:lineRule="auto"/>
        <w:jc w:val="both"/>
        <w:rPr>
          <w:rFonts w:ascii="Times New Roman" w:hAnsi="Times New Roman"/>
        </w:rPr>
      </w:pPr>
      <w:r w:rsidRPr="00770951">
        <w:rPr>
          <w:rFonts w:ascii="Times New Roman" w:hAnsi="Times New Roman"/>
        </w:rPr>
        <w:t>Zo štátneho rozpočtu boli pre obce schválené finančné transfery v kapitole Všeobecná pokladničná správa v celkovej sume 31 350 tis. eur</w:t>
      </w:r>
      <w:r w:rsidR="0062036C">
        <w:rPr>
          <w:rFonts w:ascii="Times New Roman" w:hAnsi="Times New Roman"/>
        </w:rPr>
        <w:t xml:space="preserve"> (2010: 113 501 tis. eur)</w:t>
      </w:r>
      <w:r w:rsidRPr="00770951">
        <w:rPr>
          <w:rFonts w:ascii="Times New Roman" w:hAnsi="Times New Roman"/>
        </w:rPr>
        <w:t>, z toho 25 010 tis. eur na bežné výdavky a 6 340 tis. eur na kapitálové výdavky.</w:t>
      </w:r>
      <w:r w:rsidRPr="003A2AFA">
        <w:rPr>
          <w:rFonts w:ascii="Times New Roman" w:hAnsi="Times New Roman"/>
          <w:color w:val="FF0000"/>
        </w:rPr>
        <w:t xml:space="preserve"> </w:t>
      </w:r>
      <w:r w:rsidRPr="00770951">
        <w:rPr>
          <w:rFonts w:ascii="Times New Roman" w:hAnsi="Times New Roman"/>
        </w:rPr>
        <w:t>Úpravami rozpočtu bola táto suma zvýšená na</w:t>
      </w:r>
      <w:r>
        <w:rPr>
          <w:rFonts w:ascii="Times New Roman" w:hAnsi="Times New Roman"/>
        </w:rPr>
        <w:t xml:space="preserve"> 41 611</w:t>
      </w:r>
      <w:r w:rsidRPr="00770951">
        <w:rPr>
          <w:rFonts w:ascii="Times New Roman" w:hAnsi="Times New Roman"/>
        </w:rPr>
        <w:t xml:space="preserve"> tis. eur.</w:t>
      </w:r>
      <w:r>
        <w:rPr>
          <w:rFonts w:ascii="Times New Roman" w:hAnsi="Times New Roman"/>
        </w:rPr>
        <w:t xml:space="preserve"> </w:t>
      </w:r>
      <w:r w:rsidRPr="00770951">
        <w:rPr>
          <w:rFonts w:ascii="Times New Roman" w:hAnsi="Times New Roman"/>
        </w:rPr>
        <w:t xml:space="preserve">Dotácie boli </w:t>
      </w:r>
      <w:r>
        <w:rPr>
          <w:rFonts w:ascii="Times New Roman" w:hAnsi="Times New Roman"/>
        </w:rPr>
        <w:t>určené</w:t>
      </w:r>
      <w:r w:rsidRPr="00770951">
        <w:rPr>
          <w:rFonts w:ascii="Times New Roman" w:hAnsi="Times New Roman"/>
        </w:rPr>
        <w:t xml:space="preserve"> na financovanie zariadení sociálnych služieb, na individuálne potreby obcí, na záchranu a obnovu kultúrnych pamiatok, na účel vyplývajúci </w:t>
      </w:r>
      <w:r w:rsidR="00317D89">
        <w:rPr>
          <w:rFonts w:ascii="Times New Roman" w:hAnsi="Times New Roman"/>
        </w:rPr>
        <w:br/>
      </w:r>
      <w:r w:rsidRPr="00770951">
        <w:rPr>
          <w:rFonts w:ascii="Times New Roman" w:hAnsi="Times New Roman"/>
        </w:rPr>
        <w:t xml:space="preserve">z </w:t>
      </w:r>
      <w:r w:rsidRPr="00770951">
        <w:rPr>
          <w:rFonts w:ascii="Times New Roman" w:hAnsi="Times New Roman"/>
          <w:bCs/>
        </w:rPr>
        <w:t xml:space="preserve">monitoringu implementácie zákona č. 448/2008 Z. z. o sociálnych službách za obdobie </w:t>
      </w:r>
      <w:r w:rsidRPr="00770951">
        <w:rPr>
          <w:rFonts w:ascii="Times New Roman" w:hAnsi="Times New Roman"/>
        </w:rPr>
        <w:t xml:space="preserve">2. polroka 2010 (uznesenie vlády č. 333/2011), na financovanie projektu – zvýšenie priepustnosti cesty I/63 pre hlavné mesto SR Bratislava (uznesenie </w:t>
      </w:r>
      <w:r w:rsidR="00F370EE">
        <w:rPr>
          <w:rFonts w:ascii="Times New Roman" w:hAnsi="Times New Roman"/>
        </w:rPr>
        <w:t xml:space="preserve">vlády </w:t>
      </w:r>
      <w:r w:rsidRPr="00770951">
        <w:rPr>
          <w:rFonts w:ascii="Times New Roman" w:hAnsi="Times New Roman"/>
        </w:rPr>
        <w:t xml:space="preserve">č. 499/2011) a pre zariadenia sociálnych služieb zriadené alebo založené obcou po 1. 7. 2002 (uznesenie </w:t>
      </w:r>
      <w:r w:rsidR="00F370EE">
        <w:rPr>
          <w:rFonts w:ascii="Times New Roman" w:hAnsi="Times New Roman"/>
        </w:rPr>
        <w:t xml:space="preserve">vlády </w:t>
      </w:r>
      <w:r w:rsidRPr="00770951">
        <w:rPr>
          <w:rFonts w:ascii="Times New Roman" w:hAnsi="Times New Roman"/>
        </w:rPr>
        <w:t>č. 485/2011).</w:t>
      </w:r>
    </w:p>
    <w:p w:rsidR="00AB188A" w:rsidP="00000199">
      <w:pPr>
        <w:bidi w:val="0"/>
        <w:spacing w:before="120" w:after="120" w:line="360" w:lineRule="auto"/>
        <w:jc w:val="both"/>
        <w:rPr>
          <w:rFonts w:ascii="Times New Roman" w:hAnsi="Times New Roman"/>
        </w:rPr>
      </w:pPr>
      <w:r w:rsidR="0091003A">
        <w:rPr>
          <w:rFonts w:ascii="Times New Roman" w:hAnsi="Times New Roman"/>
        </w:rPr>
        <w:t xml:space="preserve">V skutočnosti sa obciam zo štátneho rozpočtu z kapitoly Všeobecná pokladničná správa poskytli finančné prostriedky v celkovej sume 40 348 tis. eur </w:t>
      </w:r>
      <w:r w:rsidR="0062036C">
        <w:rPr>
          <w:rFonts w:ascii="Times New Roman" w:hAnsi="Times New Roman"/>
        </w:rPr>
        <w:t xml:space="preserve">(2010: 117 378 tis. eur) </w:t>
      </w:r>
      <w:r w:rsidR="0091003A">
        <w:rPr>
          <w:rFonts w:ascii="Times New Roman" w:hAnsi="Times New Roman"/>
        </w:rPr>
        <w:t xml:space="preserve">vrátane 54 tis. eur vrátených ako nepoužité prostriedky v roku, v ktorom boli poskytnuté. </w:t>
      </w:r>
    </w:p>
    <w:p w:rsidR="00C85F1E" w:rsidRPr="00C85F1E" w:rsidP="00000199">
      <w:pPr>
        <w:bidi w:val="0"/>
        <w:spacing w:before="120" w:after="120" w:line="360" w:lineRule="auto"/>
        <w:jc w:val="both"/>
        <w:rPr>
          <w:rFonts w:ascii="Times New Roman" w:hAnsi="Times New Roman"/>
          <w:sz w:val="20"/>
          <w:szCs w:val="20"/>
        </w:rPr>
      </w:pPr>
      <w:r w:rsidR="0091003A">
        <w:rPr>
          <w:rFonts w:ascii="Times New Roman" w:hAnsi="Times New Roman"/>
        </w:rPr>
        <w:t>Z celkovej sumy pripadá na:</w:t>
      </w:r>
    </w:p>
    <w:tbl>
      <w:tblPr>
        <w:tblStyle w:val="TableNormal"/>
        <w:tblW w:w="0" w:type="auto"/>
        <w:jc w:val="center"/>
        <w:tblInd w:w="3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882"/>
        <w:gridCol w:w="2639"/>
      </w:tblGrid>
      <w:tr>
        <w:tblPrEx>
          <w:tblW w:w="0" w:type="auto"/>
          <w:jc w:val="center"/>
          <w:tblInd w:w="3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trHeight w:hRule="exact" w:val="618"/>
          <w:jc w:val="center"/>
        </w:trPr>
        <w:tc>
          <w:tcPr>
            <w:tcW w:w="5882"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370EE" w:rsidP="00F370EE">
            <w:pPr>
              <w:bidi w:val="0"/>
              <w:spacing w:line="360" w:lineRule="auto"/>
              <w:ind w:firstLine="208"/>
              <w:jc w:val="center"/>
              <w:rPr>
                <w:rFonts w:ascii="Times New Roman" w:hAnsi="Times New Roman"/>
                <w:b/>
                <w:color w:val="FFFFFF"/>
                <w:sz w:val="20"/>
                <w:szCs w:val="20"/>
              </w:rPr>
            </w:pPr>
            <w:r w:rsidRPr="007725D5" w:rsidR="00677BEE">
              <w:rPr>
                <w:rFonts w:ascii="Times New Roman" w:hAnsi="Times New Roman"/>
                <w:b/>
                <w:color w:val="FFFFFF"/>
                <w:sz w:val="20"/>
                <w:szCs w:val="20"/>
              </w:rPr>
              <w:t>U</w:t>
            </w:r>
            <w:r w:rsidRPr="007725D5" w:rsidR="004F0DFA">
              <w:rPr>
                <w:rFonts w:ascii="Times New Roman" w:hAnsi="Times New Roman"/>
                <w:b/>
                <w:color w:val="FFFFFF"/>
                <w:sz w:val="20"/>
                <w:szCs w:val="20"/>
              </w:rPr>
              <w:t>kazovateľ</w:t>
            </w:r>
          </w:p>
          <w:p w:rsidR="004F0DFA" w:rsidP="00F370EE">
            <w:pPr>
              <w:bidi w:val="0"/>
              <w:spacing w:line="360" w:lineRule="auto"/>
              <w:rPr>
                <w:rFonts w:ascii="Times New Roman" w:hAnsi="Times New Roman"/>
                <w:b/>
                <w:color w:val="FFFFFF"/>
                <w:sz w:val="20"/>
                <w:szCs w:val="20"/>
              </w:rPr>
            </w:pPr>
            <w:r w:rsidRPr="007725D5" w:rsidR="00677BEE">
              <w:rPr>
                <w:rFonts w:ascii="Times New Roman" w:hAnsi="Times New Roman"/>
                <w:b/>
                <w:color w:val="FFFFFF"/>
                <w:sz w:val="20"/>
                <w:szCs w:val="20"/>
              </w:rPr>
              <w:t>(v tis. eur)</w:t>
            </w:r>
          </w:p>
          <w:p w:rsidR="00F370EE" w:rsidRPr="007725D5" w:rsidP="004F0DFA">
            <w:pPr>
              <w:bidi w:val="0"/>
              <w:spacing w:line="360" w:lineRule="auto"/>
              <w:ind w:firstLine="208"/>
              <w:rPr>
                <w:rFonts w:ascii="Times New Roman" w:hAnsi="Times New Roman"/>
                <w:b/>
                <w:color w:val="FFFFFF"/>
                <w:sz w:val="20"/>
                <w:szCs w:val="20"/>
              </w:rPr>
            </w:pPr>
          </w:p>
        </w:tc>
        <w:tc>
          <w:tcPr>
            <w:tcW w:w="2639"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4F0DFA" w:rsidRPr="007725D5" w:rsidP="004F0DFA">
            <w:pPr>
              <w:bidi w:val="0"/>
              <w:spacing w:line="360" w:lineRule="auto"/>
              <w:ind w:firstLine="567"/>
              <w:rPr>
                <w:rFonts w:ascii="Times New Roman" w:hAnsi="Times New Roman"/>
                <w:b/>
                <w:color w:val="FFFFFF"/>
                <w:sz w:val="20"/>
                <w:szCs w:val="20"/>
              </w:rPr>
            </w:pPr>
            <w:r w:rsidRPr="007725D5" w:rsidR="00D633C5">
              <w:rPr>
                <w:rFonts w:ascii="Times New Roman" w:hAnsi="Times New Roman"/>
                <w:b/>
                <w:color w:val="FFFFFF"/>
                <w:sz w:val="20"/>
                <w:szCs w:val="20"/>
              </w:rPr>
              <w:t>Skutočnosť 2011</w:t>
            </w:r>
          </w:p>
        </w:tc>
      </w:tr>
      <w:tr>
        <w:tblPrEx>
          <w:tblW w:w="0" w:type="auto"/>
          <w:jc w:val="center"/>
          <w:tblInd w:w="317" w:type="dxa"/>
          <w:tblLook w:val="01E0"/>
        </w:tblPrEx>
        <w:trPr>
          <w:trHeight w:hRule="exact" w:val="329"/>
          <w:jc w:val="center"/>
        </w:trPr>
        <w:tc>
          <w:tcPr>
            <w:tcW w:w="5882" w:type="dxa"/>
            <w:tcBorders>
              <w:top w:val="single" w:sz="4" w:space="0" w:color="FFFFFF"/>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Sociálne zabezpečenie vrátane uznesenia vlády č. 485/2011</w:t>
            </w:r>
          </w:p>
        </w:tc>
        <w:tc>
          <w:tcPr>
            <w:tcW w:w="2639" w:type="dxa"/>
            <w:tcBorders>
              <w:top w:val="single" w:sz="4" w:space="0" w:color="FFFFFF"/>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29 089</w:t>
            </w:r>
          </w:p>
        </w:tc>
      </w:tr>
      <w:tr>
        <w:tblPrEx>
          <w:tblW w:w="0" w:type="auto"/>
          <w:jc w:val="center"/>
          <w:tblInd w:w="317" w:type="dxa"/>
          <w:tblLook w:val="01E0"/>
        </w:tblPrEx>
        <w:trPr>
          <w:trHeight w:hRule="exact" w:val="329"/>
          <w:jc w:val="center"/>
        </w:trPr>
        <w:tc>
          <w:tcPr>
            <w:tcW w:w="5882"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Individuálne potreby obcí</w:t>
            </w:r>
          </w:p>
        </w:tc>
        <w:tc>
          <w:tcPr>
            <w:tcW w:w="2639"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2 689</w:t>
            </w:r>
          </w:p>
        </w:tc>
      </w:tr>
      <w:tr>
        <w:tblPrEx>
          <w:tblW w:w="0" w:type="auto"/>
          <w:jc w:val="center"/>
          <w:tblInd w:w="317" w:type="dxa"/>
          <w:tblLook w:val="01E0"/>
        </w:tblPrEx>
        <w:trPr>
          <w:trHeight w:hRule="exact" w:val="329"/>
          <w:jc w:val="center"/>
        </w:trPr>
        <w:tc>
          <w:tcPr>
            <w:tcW w:w="5882"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Záchrana a obnova kultúrnych pamiatok</w:t>
            </w:r>
          </w:p>
        </w:tc>
        <w:tc>
          <w:tcPr>
            <w:tcW w:w="2639"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2 025</w:t>
            </w:r>
          </w:p>
        </w:tc>
      </w:tr>
      <w:tr>
        <w:tblPrEx>
          <w:tblW w:w="0" w:type="auto"/>
          <w:jc w:val="center"/>
          <w:tblInd w:w="317" w:type="dxa"/>
          <w:tblLook w:val="01E0"/>
        </w:tblPrEx>
        <w:trPr>
          <w:trHeight w:hRule="exact" w:val="329"/>
          <w:jc w:val="center"/>
        </w:trPr>
        <w:tc>
          <w:tcPr>
            <w:tcW w:w="5882"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 xml:space="preserve">Implementácia zákona č. </w:t>
            </w:r>
            <w:r w:rsidRPr="0074741B">
              <w:rPr>
                <w:rFonts w:ascii="Times New Roman" w:hAnsi="Times New Roman"/>
                <w:sz w:val="20"/>
                <w:szCs w:val="20"/>
              </w:rPr>
              <w:t>448/2008 Z. z.</w:t>
            </w:r>
            <w:r w:rsidRPr="0074741B" w:rsidR="0074741B">
              <w:rPr>
                <w:rFonts w:ascii="Times New Roman" w:hAnsi="Times New Roman"/>
                <w:sz w:val="20"/>
                <w:szCs w:val="20"/>
              </w:rPr>
              <w:t xml:space="preserve"> </w:t>
            </w:r>
            <w:r w:rsidRPr="0074741B" w:rsidR="0074741B">
              <w:rPr>
                <w:rFonts w:ascii="Times New Roman" w:hAnsi="Times New Roman"/>
                <w:bCs/>
                <w:sz w:val="20"/>
                <w:szCs w:val="20"/>
              </w:rPr>
              <w:t>o sociálnych službách</w:t>
            </w:r>
          </w:p>
        </w:tc>
        <w:tc>
          <w:tcPr>
            <w:tcW w:w="2639"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2 737</w:t>
            </w:r>
          </w:p>
        </w:tc>
      </w:tr>
      <w:tr>
        <w:tblPrEx>
          <w:tblW w:w="0" w:type="auto"/>
          <w:jc w:val="center"/>
          <w:tblInd w:w="317" w:type="dxa"/>
          <w:tblLook w:val="01E0"/>
        </w:tblPrEx>
        <w:trPr>
          <w:trHeight w:hRule="exact" w:val="329"/>
          <w:jc w:val="center"/>
        </w:trPr>
        <w:tc>
          <w:tcPr>
            <w:tcW w:w="5882"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Projekt pre hlavné mesto SR Bratislava</w:t>
            </w:r>
          </w:p>
        </w:tc>
        <w:tc>
          <w:tcPr>
            <w:tcW w:w="2639" w:type="dxa"/>
            <w:tcBorders>
              <w:top w:val="single" w:sz="4"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3 800</w:t>
            </w:r>
          </w:p>
        </w:tc>
      </w:tr>
      <w:tr>
        <w:tblPrEx>
          <w:tblW w:w="0" w:type="auto"/>
          <w:jc w:val="center"/>
          <w:tblInd w:w="317" w:type="dxa"/>
          <w:tblLook w:val="01E0"/>
        </w:tblPrEx>
        <w:trPr>
          <w:trHeight w:hRule="exact" w:val="329"/>
          <w:jc w:val="center"/>
        </w:trPr>
        <w:tc>
          <w:tcPr>
            <w:tcW w:w="5882" w:type="dxa"/>
            <w:tcBorders>
              <w:top w:val="single" w:sz="4" w:space="0" w:color="auto"/>
              <w:left w:val="single" w:sz="4" w:space="0" w:color="auto"/>
              <w:bottom w:val="double" w:sz="6" w:space="0" w:color="auto"/>
              <w:right w:val="single" w:sz="4" w:space="0" w:color="auto"/>
            </w:tcBorders>
            <w:textDirection w:val="lrTb"/>
            <w:vAlign w:val="center"/>
          </w:tcPr>
          <w:p w:rsidR="0091003A" w:rsidRPr="001C7791" w:rsidP="00D07062">
            <w:pPr>
              <w:bidi w:val="0"/>
              <w:spacing w:line="360" w:lineRule="auto"/>
              <w:ind w:firstLine="208"/>
              <w:jc w:val="both"/>
              <w:rPr>
                <w:rFonts w:ascii="Times New Roman" w:hAnsi="Times New Roman"/>
                <w:sz w:val="20"/>
                <w:szCs w:val="20"/>
              </w:rPr>
            </w:pPr>
            <w:r w:rsidRPr="001C7791">
              <w:rPr>
                <w:rFonts w:ascii="Times New Roman" w:hAnsi="Times New Roman"/>
                <w:sz w:val="20"/>
                <w:szCs w:val="20"/>
              </w:rPr>
              <w:t>Dotácia na základe zákona č. 171/2005 Z. z. o hazardných hrách</w:t>
            </w:r>
          </w:p>
        </w:tc>
        <w:tc>
          <w:tcPr>
            <w:tcW w:w="2639" w:type="dxa"/>
            <w:tcBorders>
              <w:top w:val="single" w:sz="4" w:space="0" w:color="auto"/>
              <w:left w:val="single" w:sz="4" w:space="0" w:color="auto"/>
              <w:bottom w:val="double" w:sz="6"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sz w:val="20"/>
                <w:szCs w:val="20"/>
              </w:rPr>
            </w:pPr>
            <w:r w:rsidRPr="001C7791">
              <w:rPr>
                <w:rFonts w:ascii="Times New Roman" w:hAnsi="Times New Roman"/>
                <w:sz w:val="20"/>
                <w:szCs w:val="20"/>
              </w:rPr>
              <w:t>8</w:t>
            </w:r>
          </w:p>
        </w:tc>
      </w:tr>
      <w:tr>
        <w:tblPrEx>
          <w:tblW w:w="0" w:type="auto"/>
          <w:jc w:val="center"/>
          <w:tblInd w:w="317" w:type="dxa"/>
          <w:tblLook w:val="01E0"/>
        </w:tblPrEx>
        <w:trPr>
          <w:trHeight w:hRule="exact" w:val="329"/>
          <w:jc w:val="center"/>
        </w:trPr>
        <w:tc>
          <w:tcPr>
            <w:tcW w:w="5882" w:type="dxa"/>
            <w:tcBorders>
              <w:top w:val="double" w:sz="6"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208"/>
              <w:rPr>
                <w:rFonts w:ascii="Times New Roman" w:hAnsi="Times New Roman"/>
                <w:b/>
                <w:sz w:val="20"/>
                <w:szCs w:val="20"/>
              </w:rPr>
            </w:pPr>
            <w:r w:rsidRPr="001C7791">
              <w:rPr>
                <w:rFonts w:ascii="Times New Roman" w:hAnsi="Times New Roman"/>
                <w:b/>
                <w:sz w:val="20"/>
                <w:szCs w:val="20"/>
              </w:rPr>
              <w:t>Spolu</w:t>
            </w:r>
          </w:p>
        </w:tc>
        <w:tc>
          <w:tcPr>
            <w:tcW w:w="2639" w:type="dxa"/>
            <w:tcBorders>
              <w:top w:val="double" w:sz="6" w:space="0" w:color="auto"/>
              <w:left w:val="single" w:sz="4" w:space="0" w:color="auto"/>
              <w:bottom w:val="single" w:sz="4" w:space="0" w:color="auto"/>
              <w:right w:val="single" w:sz="4" w:space="0" w:color="auto"/>
            </w:tcBorders>
            <w:textDirection w:val="lrTb"/>
            <w:vAlign w:val="center"/>
          </w:tcPr>
          <w:p w:rsidR="0091003A" w:rsidRPr="001C7791" w:rsidP="00D07062">
            <w:pPr>
              <w:bidi w:val="0"/>
              <w:spacing w:line="360" w:lineRule="auto"/>
              <w:ind w:firstLine="567"/>
              <w:jc w:val="right"/>
              <w:rPr>
                <w:rFonts w:ascii="Times New Roman" w:hAnsi="Times New Roman"/>
                <w:b/>
                <w:sz w:val="20"/>
                <w:szCs w:val="20"/>
              </w:rPr>
            </w:pPr>
            <w:r w:rsidRPr="001C7791">
              <w:rPr>
                <w:rFonts w:ascii="Times New Roman" w:hAnsi="Times New Roman"/>
                <w:b/>
                <w:sz w:val="20"/>
                <w:szCs w:val="20"/>
              </w:rPr>
              <w:t>40 348</w:t>
            </w:r>
          </w:p>
        </w:tc>
      </w:tr>
    </w:tbl>
    <w:p w:rsidR="0091003A" w:rsidRPr="0062036C" w:rsidP="00B866BC">
      <w:pPr>
        <w:bidi w:val="0"/>
        <w:spacing w:line="360" w:lineRule="auto"/>
        <w:ind w:firstLine="142"/>
        <w:jc w:val="both"/>
        <w:rPr>
          <w:rFonts w:ascii="Times New Roman" w:hAnsi="Times New Roman"/>
          <w:sz w:val="20"/>
          <w:szCs w:val="20"/>
        </w:rPr>
      </w:pPr>
      <w:r w:rsidR="00AA0BE0">
        <w:rPr>
          <w:rFonts w:ascii="Times New Roman" w:hAnsi="Times New Roman"/>
          <w:sz w:val="20"/>
          <w:szCs w:val="20"/>
        </w:rPr>
        <w:t xml:space="preserve">      </w:t>
      </w:r>
      <w:r w:rsidR="00AB188A">
        <w:rPr>
          <w:rFonts w:ascii="Times New Roman" w:hAnsi="Times New Roman"/>
          <w:sz w:val="20"/>
          <w:szCs w:val="20"/>
        </w:rPr>
        <w:t xml:space="preserve"> </w:t>
      </w:r>
      <w:r w:rsidRPr="0062036C">
        <w:rPr>
          <w:rFonts w:ascii="Times New Roman" w:hAnsi="Times New Roman"/>
          <w:sz w:val="20"/>
          <w:szCs w:val="20"/>
        </w:rPr>
        <w:t>Zdroj: Ministerstvo financií SR</w:t>
      </w:r>
    </w:p>
    <w:p w:rsidR="0062036C" w:rsidRPr="003509F6" w:rsidP="004D431A">
      <w:pPr>
        <w:suppressAutoHyphens/>
        <w:bidi w:val="0"/>
        <w:spacing w:before="120" w:after="120" w:line="360" w:lineRule="auto"/>
        <w:jc w:val="both"/>
        <w:rPr>
          <w:rFonts w:ascii="Times New Roman" w:hAnsi="Times New Roman"/>
        </w:rPr>
      </w:pPr>
      <w:r w:rsidRPr="003509F6">
        <w:rPr>
          <w:rFonts w:ascii="Times New Roman" w:hAnsi="Times New Roman"/>
        </w:rPr>
        <w:t>Podľa zákona č. 564/2004 Z. z. o rozpočtovom určení výnosu dane z príjmov územnej samospráve z celkového výnosu dane z príjmov fyzických osôb je príjmom rozpočtov obcí 70,3 %</w:t>
      </w:r>
      <w:r>
        <w:rPr>
          <w:rFonts w:ascii="Times New Roman" w:hAnsi="Times New Roman"/>
        </w:rPr>
        <w:t xml:space="preserve"> </w:t>
      </w:r>
      <w:r>
        <w:rPr>
          <w:rFonts w:ascii="Times New Roman" w:hAnsi="Times New Roman"/>
          <w:color w:val="000000"/>
        </w:rPr>
        <w:t>z dane z príjmov fyzických osôb</w:t>
      </w:r>
      <w:r w:rsidRPr="003509F6">
        <w:rPr>
          <w:rFonts w:ascii="Times New Roman" w:hAnsi="Times New Roman"/>
        </w:rPr>
        <w:t>.</w:t>
      </w:r>
      <w:r w:rsidRPr="003509F6">
        <w:rPr>
          <w:rFonts w:ascii="Times New Roman" w:hAnsi="Times New Roman"/>
          <w:color w:val="FF0000"/>
        </w:rPr>
        <w:t xml:space="preserve"> </w:t>
      </w:r>
      <w:r w:rsidRPr="003509F6">
        <w:rPr>
          <w:rFonts w:ascii="Times New Roman" w:hAnsi="Times New Roman"/>
        </w:rPr>
        <w:t>Podľa finančných výkazov obcí k 31. 12. 2011 dosiahol tento príjem sumu 1 179 011 tis. eur (9 obcí nepredložilo finančné výkazy). V skutočnosti však bol vykonaný prevod dane z príjmov fyzických osôb do rozpočtov obcí daňovými úradmi vo vý</w:t>
      </w:r>
      <w:r w:rsidRPr="003509F6">
        <w:rPr>
          <w:rFonts w:ascii="Times New Roman" w:hAnsi="Times New Roman"/>
        </w:rPr>
        <w:t>š</w:t>
      </w:r>
      <w:r w:rsidRPr="003509F6">
        <w:rPr>
          <w:rFonts w:ascii="Times New Roman" w:hAnsi="Times New Roman"/>
        </w:rPr>
        <w:t xml:space="preserve">ke 1 180 188 tis. eur. </w:t>
      </w:r>
    </w:p>
    <w:p w:rsidR="0091003A" w:rsidRPr="00622C09" w:rsidP="004D431A">
      <w:pPr>
        <w:suppressAutoHyphens/>
        <w:bidi w:val="0"/>
        <w:spacing w:before="120" w:after="120" w:line="360" w:lineRule="auto"/>
        <w:jc w:val="both"/>
        <w:rPr>
          <w:rFonts w:ascii="Times New Roman" w:hAnsi="Times New Roman"/>
        </w:rPr>
      </w:pPr>
      <w:r>
        <w:rPr>
          <w:rFonts w:ascii="Times New Roman" w:hAnsi="Times New Roman"/>
        </w:rPr>
        <w:t xml:space="preserve">Prehľad záväzných limitov dotácií </w:t>
      </w:r>
      <w:r w:rsidR="00B866BC">
        <w:rPr>
          <w:rFonts w:ascii="Times New Roman" w:hAnsi="Times New Roman"/>
        </w:rPr>
        <w:t xml:space="preserve">obciam za rok 2011 je uvedený v tab. č. 20 </w:t>
      </w:r>
      <w:r>
        <w:rPr>
          <w:rFonts w:ascii="Times New Roman" w:hAnsi="Times New Roman"/>
        </w:rPr>
        <w:t xml:space="preserve">tabuľkovej </w:t>
      </w:r>
      <w:r w:rsidR="00B866BC">
        <w:rPr>
          <w:rFonts w:ascii="Times New Roman" w:hAnsi="Times New Roman"/>
        </w:rPr>
        <w:t>prílohy štátneho záverečného účtu</w:t>
      </w:r>
      <w:r>
        <w:rPr>
          <w:rFonts w:ascii="Times New Roman" w:hAnsi="Times New Roman"/>
        </w:rPr>
        <w:t>.</w:t>
      </w:r>
    </w:p>
    <w:p w:rsidR="0091003A" w:rsidRPr="00D07062" w:rsidP="0017400C">
      <w:pPr>
        <w:pStyle w:val="Heading3"/>
        <w:bidi w:val="0"/>
        <w:spacing w:before="100" w:beforeAutospacing="1" w:after="100" w:afterAutospacing="1" w:line="360" w:lineRule="auto"/>
        <w:jc w:val="center"/>
        <w:rPr>
          <w:rFonts w:ascii="Times New Roman" w:hAnsi="Times New Roman"/>
          <w:color w:val="auto"/>
        </w:rPr>
      </w:pPr>
      <w:bookmarkStart w:id="39" w:name="_Toc322614767"/>
      <w:r w:rsidR="008B0183">
        <w:rPr>
          <w:rFonts w:ascii="Times New Roman" w:hAnsi="Times New Roman"/>
          <w:color w:val="auto"/>
        </w:rPr>
        <w:t>3.6</w:t>
      </w:r>
      <w:r w:rsidRPr="00D07062">
        <w:rPr>
          <w:rFonts w:ascii="Times New Roman" w:hAnsi="Times New Roman"/>
          <w:color w:val="auto"/>
        </w:rPr>
        <w:t>.2. Vzťahy štátneho rozpočtu a rozpočtov VÚC</w:t>
      </w:r>
      <w:bookmarkEnd w:id="39"/>
    </w:p>
    <w:p w:rsidR="0091003A" w:rsidP="004C1F8C">
      <w:pPr>
        <w:suppressAutoHyphens/>
        <w:bidi w:val="0"/>
        <w:spacing w:before="120" w:after="120" w:line="360" w:lineRule="auto"/>
        <w:ind w:firstLine="709"/>
        <w:jc w:val="both"/>
        <w:rPr>
          <w:rFonts w:ascii="Times New Roman" w:hAnsi="Times New Roman"/>
          <w:color w:val="000000"/>
        </w:rPr>
      </w:pPr>
      <w:r w:rsidRPr="0062036C">
        <w:rPr>
          <w:rFonts w:ascii="Times New Roman" w:hAnsi="Times New Roman"/>
          <w:color w:val="000000"/>
        </w:rPr>
        <w:t>Celková suma poskytnutých grantov a transferov – bežných aj kapitálových z jednotlivých kapitol do rozpočtov VÚC bola vykázaná v sume 472 182 tis. eur (2010</w:t>
      </w:r>
      <w:r w:rsidR="0062036C">
        <w:rPr>
          <w:rFonts w:ascii="Times New Roman" w:hAnsi="Times New Roman"/>
          <w:color w:val="000000"/>
        </w:rPr>
        <w:t>: 495 349</w:t>
      </w:r>
      <w:r w:rsidRPr="0062036C">
        <w:rPr>
          <w:rFonts w:ascii="Times New Roman" w:hAnsi="Times New Roman"/>
          <w:color w:val="000000"/>
        </w:rPr>
        <w:t xml:space="preserve"> tis. eur), z toho čiastku</w:t>
      </w:r>
      <w:r w:rsidRPr="0062036C">
        <w:rPr>
          <w:rFonts w:ascii="Times New Roman" w:hAnsi="Times New Roman"/>
          <w:color w:val="FF0000"/>
        </w:rPr>
        <w:t xml:space="preserve"> </w:t>
      </w:r>
      <w:r w:rsidRPr="0062036C">
        <w:rPr>
          <w:rFonts w:ascii="Times New Roman" w:hAnsi="Times New Roman"/>
          <w:color w:val="000000"/>
        </w:rPr>
        <w:t>413 880 tis. eur tvorili bežné granty a transfery a čiastku 58 302 tis. eur kapitálové granty a transfery.</w:t>
      </w:r>
      <w:r w:rsidRPr="00980D1F">
        <w:rPr>
          <w:rFonts w:ascii="Times New Roman" w:hAnsi="Times New Roman"/>
          <w:color w:val="FF0000"/>
        </w:rPr>
        <w:t xml:space="preserve"> </w:t>
      </w:r>
      <w:r w:rsidRPr="008C3AC6">
        <w:rPr>
          <w:rFonts w:ascii="Times New Roman" w:hAnsi="Times New Roman"/>
          <w:color w:val="000000"/>
        </w:rPr>
        <w:t>Granty a transfery zo štátneho rozpočtu s kódom zdroja 111 boli poskytnuté z jednotlivých kapitol v</w:t>
      </w:r>
      <w:r>
        <w:rPr>
          <w:rFonts w:ascii="Times New Roman" w:hAnsi="Times New Roman"/>
          <w:color w:val="000000"/>
        </w:rPr>
        <w:t xml:space="preserve"> celkovej</w:t>
      </w:r>
      <w:r w:rsidRPr="008C3AC6">
        <w:rPr>
          <w:rFonts w:ascii="Times New Roman" w:hAnsi="Times New Roman"/>
          <w:color w:val="000000"/>
        </w:rPr>
        <w:t xml:space="preserve"> sume 402 057 tis. eur </w:t>
      </w:r>
      <w:r w:rsidRPr="00590E08">
        <w:rPr>
          <w:rFonts w:ascii="Times New Roman" w:hAnsi="Times New Roman"/>
          <w:color w:val="000000"/>
        </w:rPr>
        <w:t>(2010</w:t>
      </w:r>
      <w:r w:rsidR="0062036C">
        <w:rPr>
          <w:rFonts w:ascii="Times New Roman" w:hAnsi="Times New Roman"/>
          <w:color w:val="000000"/>
        </w:rPr>
        <w:t>:</w:t>
      </w:r>
      <w:r w:rsidRPr="00590E08">
        <w:rPr>
          <w:rFonts w:ascii="Times New Roman" w:hAnsi="Times New Roman"/>
          <w:color w:val="000000"/>
        </w:rPr>
        <w:t xml:space="preserve"> </w:t>
      </w:r>
      <w:r w:rsidR="0062036C">
        <w:rPr>
          <w:rFonts w:ascii="Times New Roman" w:hAnsi="Times New Roman"/>
          <w:color w:val="000000"/>
        </w:rPr>
        <w:t>449 233</w:t>
      </w:r>
      <w:r w:rsidRPr="00590E08">
        <w:rPr>
          <w:rFonts w:ascii="Times New Roman" w:hAnsi="Times New Roman"/>
          <w:color w:val="000000"/>
        </w:rPr>
        <w:t xml:space="preserve"> tis. eur),</w:t>
      </w:r>
      <w:r w:rsidRPr="00980D1F">
        <w:rPr>
          <w:rFonts w:ascii="Times New Roman" w:hAnsi="Times New Roman"/>
          <w:color w:val="FF0000"/>
        </w:rPr>
        <w:t xml:space="preserve"> </w:t>
      </w:r>
      <w:r w:rsidRPr="001A6ACE">
        <w:rPr>
          <w:rFonts w:ascii="Times New Roman" w:hAnsi="Times New Roman"/>
          <w:color w:val="000000"/>
        </w:rPr>
        <w:t xml:space="preserve">z toho bežné granty a transfery v čiastke 401 193 tis. eur a kapitálové granty a transfery v čiastke 864 tis. eur. </w:t>
      </w:r>
      <w:r w:rsidRPr="008C3AC6">
        <w:rPr>
          <w:rFonts w:ascii="Times New Roman" w:hAnsi="Times New Roman"/>
          <w:color w:val="000000"/>
        </w:rPr>
        <w:t>Tieto prostriedky boli určené na financovanie kompetencií preneseného výkonu štátnej správy na úseku školstva a na niektoré činnosti zabezpečované VÚC v rámci ich samosprávnej pôsobnosti.</w:t>
      </w:r>
      <w:r w:rsidRPr="00980D1F">
        <w:rPr>
          <w:rFonts w:ascii="Times New Roman" w:hAnsi="Times New Roman"/>
          <w:color w:val="FF0000"/>
        </w:rPr>
        <w:t xml:space="preserve"> </w:t>
      </w:r>
      <w:r w:rsidRPr="008C3AC6">
        <w:rPr>
          <w:rFonts w:ascii="Times New Roman" w:hAnsi="Times New Roman"/>
          <w:color w:val="000000"/>
        </w:rPr>
        <w:t xml:space="preserve">Zároveň boli poskytnuté VÚC z jednotlivých kapitol aj finančné prostriedky na financovanie spoločných projektov v rámci EÚ. </w:t>
      </w:r>
    </w:p>
    <w:p w:rsidR="0091003A" w:rsidP="004D431A">
      <w:pPr>
        <w:suppressAutoHyphens/>
        <w:bidi w:val="0"/>
        <w:spacing w:before="120" w:after="120" w:line="360" w:lineRule="auto"/>
        <w:jc w:val="both"/>
        <w:rPr>
          <w:rFonts w:ascii="Times New Roman" w:hAnsi="Times New Roman"/>
        </w:rPr>
      </w:pPr>
      <w:r w:rsidRPr="00F70632">
        <w:rPr>
          <w:rFonts w:ascii="Times New Roman" w:hAnsi="Times New Roman"/>
        </w:rPr>
        <w:t xml:space="preserve">Súhrnný prehľad </w:t>
      </w:r>
      <w:r>
        <w:rPr>
          <w:rFonts w:ascii="Times New Roman" w:hAnsi="Times New Roman"/>
        </w:rPr>
        <w:t>grantov a transferov poskytnutých VÚC</w:t>
      </w:r>
      <w:r w:rsidRPr="00F70632">
        <w:rPr>
          <w:rFonts w:ascii="Times New Roman" w:hAnsi="Times New Roman"/>
        </w:rPr>
        <w:t xml:space="preserve"> podľa jednotlivých oddielov funkčnej klasifikácie poskytujú údaje v nasledujúcej tabuľke:</w:t>
      </w:r>
    </w:p>
    <w:tbl>
      <w:tblPr>
        <w:tblStyle w:val="TableNormal"/>
        <w:tblW w:w="5109"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1118"/>
        <w:gridCol w:w="1119"/>
        <w:gridCol w:w="1118"/>
        <w:gridCol w:w="978"/>
        <w:gridCol w:w="1118"/>
        <w:gridCol w:w="977"/>
        <w:gridCol w:w="980"/>
      </w:tblGrid>
      <w:tr>
        <w:tblPrEx>
          <w:tblW w:w="5109"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435"/>
          <w:jc w:val="center"/>
        </w:trPr>
        <w:tc>
          <w:tcPr>
            <w:tcW w:w="2372"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D866F7">
            <w:pPr>
              <w:suppressAutoHyphens/>
              <w:bidi w:val="0"/>
              <w:jc w:val="center"/>
              <w:rPr>
                <w:rFonts w:ascii="Times New Roman" w:hAnsi="Times New Roman"/>
                <w:b/>
                <w:sz w:val="20"/>
                <w:szCs w:val="20"/>
              </w:rPr>
            </w:pPr>
            <w:r w:rsidR="00AB188A">
              <w:rPr>
                <w:rFonts w:ascii="Times New Roman" w:hAnsi="Times New Roman"/>
              </w:rPr>
              <w:br w:type="page"/>
            </w:r>
            <w:r w:rsidR="006B6FEA">
              <w:rPr>
                <w:rFonts w:ascii="Times New Roman" w:hAnsi="Times New Roman"/>
                <w:b/>
                <w:sz w:val="20"/>
                <w:szCs w:val="20"/>
              </w:rPr>
              <w:t>Ukazovateľ</w:t>
            </w:r>
          </w:p>
          <w:p w:rsidR="00AB188A" w:rsidP="00D866F7">
            <w:pPr>
              <w:suppressAutoHyphens/>
              <w:bidi w:val="0"/>
              <w:rPr>
                <w:rFonts w:ascii="Times New Roman" w:hAnsi="Times New Roman"/>
                <w:b/>
                <w:sz w:val="20"/>
                <w:szCs w:val="20"/>
              </w:rPr>
            </w:pPr>
          </w:p>
          <w:p w:rsidR="00D866F7" w:rsidRPr="00753AC8" w:rsidP="00D866F7">
            <w:pPr>
              <w:suppressAutoHyphens/>
              <w:bidi w:val="0"/>
              <w:rPr>
                <w:rFonts w:ascii="Times New Roman" w:hAnsi="Times New Roman"/>
                <w:b/>
                <w:sz w:val="20"/>
                <w:szCs w:val="20"/>
              </w:rPr>
            </w:pPr>
            <w:r>
              <w:rPr>
                <w:rFonts w:ascii="Times New Roman" w:hAnsi="Times New Roman"/>
                <w:b/>
                <w:sz w:val="20"/>
                <w:szCs w:val="20"/>
              </w:rPr>
              <w:t>(v tis. eur)</w:t>
            </w:r>
          </w:p>
        </w:tc>
        <w:tc>
          <w:tcPr>
            <w:tcW w:w="2237"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AB188A">
            <w:pPr>
              <w:suppressAutoHyphens/>
              <w:bidi w:val="0"/>
              <w:jc w:val="center"/>
              <w:rPr>
                <w:rFonts w:ascii="Times New Roman" w:hAnsi="Times New Roman"/>
                <w:b/>
                <w:sz w:val="20"/>
                <w:szCs w:val="20"/>
              </w:rPr>
            </w:pPr>
            <w:r>
              <w:rPr>
                <w:rFonts w:ascii="Times New Roman" w:hAnsi="Times New Roman"/>
                <w:b/>
                <w:sz w:val="20"/>
                <w:szCs w:val="20"/>
              </w:rPr>
              <w:t>R</w:t>
            </w:r>
            <w:r w:rsidRPr="00753AC8">
              <w:rPr>
                <w:rFonts w:ascii="Times New Roman" w:hAnsi="Times New Roman"/>
                <w:b/>
                <w:sz w:val="20"/>
                <w:szCs w:val="20"/>
              </w:rPr>
              <w:t>ozpoče</w:t>
            </w:r>
            <w:r>
              <w:rPr>
                <w:rFonts w:ascii="Times New Roman" w:hAnsi="Times New Roman"/>
                <w:b/>
                <w:sz w:val="20"/>
                <w:szCs w:val="20"/>
              </w:rPr>
              <w:t>t</w:t>
            </w:r>
            <w:r w:rsidR="00802C5E">
              <w:rPr>
                <w:rFonts w:ascii="Times New Roman" w:hAnsi="Times New Roman"/>
                <w:b/>
                <w:sz w:val="20"/>
                <w:szCs w:val="20"/>
              </w:rPr>
              <w:t xml:space="preserve"> 2011</w:t>
            </w:r>
          </w:p>
        </w:tc>
        <w:tc>
          <w:tcPr>
            <w:tcW w:w="4191"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AB188A">
            <w:pPr>
              <w:suppressAutoHyphens/>
              <w:bidi w:val="0"/>
              <w:jc w:val="center"/>
              <w:rPr>
                <w:rFonts w:ascii="Times New Roman" w:hAnsi="Times New Roman"/>
                <w:b/>
                <w:sz w:val="20"/>
                <w:szCs w:val="20"/>
              </w:rPr>
            </w:pPr>
            <w:r w:rsidRPr="00753AC8">
              <w:rPr>
                <w:rFonts w:ascii="Times New Roman" w:hAnsi="Times New Roman"/>
                <w:b/>
                <w:sz w:val="20"/>
                <w:szCs w:val="20"/>
              </w:rPr>
              <w:t>Skutočnosť</w:t>
            </w:r>
          </w:p>
        </w:tc>
        <w:tc>
          <w:tcPr>
            <w:tcW w:w="980"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D866F7" w:rsidRPr="00753AC8" w:rsidP="00D866F7">
            <w:pPr>
              <w:suppressAutoHyphens/>
              <w:bidi w:val="0"/>
              <w:jc w:val="center"/>
              <w:rPr>
                <w:rFonts w:ascii="Times New Roman" w:hAnsi="Times New Roman"/>
                <w:b/>
                <w:sz w:val="20"/>
                <w:szCs w:val="20"/>
              </w:rPr>
            </w:pPr>
            <w:r w:rsidRPr="00753AC8">
              <w:rPr>
                <w:rFonts w:ascii="Times New Roman" w:hAnsi="Times New Roman"/>
                <w:b/>
                <w:sz w:val="20"/>
                <w:szCs w:val="20"/>
              </w:rPr>
              <w:t>Rozdiel</w:t>
            </w:r>
          </w:p>
        </w:tc>
      </w:tr>
      <w:tr>
        <w:tblPrEx>
          <w:tblW w:w="5109" w:type="pct"/>
          <w:jc w:val="center"/>
          <w:tblInd w:w="-318" w:type="dxa"/>
          <w:tblLayout w:type="fixed"/>
          <w:tblLook w:val="04A0"/>
        </w:tblPrEx>
        <w:trPr>
          <w:trHeight w:hRule="exact" w:val="673"/>
          <w:jc w:val="center"/>
        </w:trPr>
        <w:tc>
          <w:tcPr>
            <w:tcW w:w="2372"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top"/>
          </w:tcPr>
          <w:p w:rsidR="00D866F7" w:rsidRPr="00753AC8" w:rsidP="00B52084">
            <w:pPr>
              <w:suppressAutoHyphens/>
              <w:bidi w:val="0"/>
              <w:ind w:firstLine="567"/>
              <w:jc w:val="both"/>
              <w:rPr>
                <w:rFonts w:ascii="Times New Roman" w:hAnsi="Times New Roman"/>
                <w:b/>
                <w:sz w:val="20"/>
                <w:szCs w:val="20"/>
              </w:rPr>
            </w:pP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D866F7">
            <w:pPr>
              <w:suppressAutoHyphens/>
              <w:bidi w:val="0"/>
              <w:jc w:val="center"/>
              <w:rPr>
                <w:rFonts w:ascii="Times New Roman" w:hAnsi="Times New Roman"/>
                <w:b/>
                <w:sz w:val="20"/>
                <w:szCs w:val="20"/>
              </w:rPr>
            </w:pPr>
            <w:r>
              <w:rPr>
                <w:rFonts w:ascii="Times New Roman" w:hAnsi="Times New Roman"/>
                <w:b/>
                <w:sz w:val="20"/>
                <w:szCs w:val="20"/>
              </w:rPr>
              <w:t>s</w:t>
            </w:r>
            <w:r w:rsidRPr="00753AC8">
              <w:rPr>
                <w:rFonts w:ascii="Times New Roman" w:hAnsi="Times New Roman"/>
                <w:b/>
                <w:sz w:val="20"/>
                <w:szCs w:val="20"/>
              </w:rPr>
              <w:t>chválený</w:t>
            </w:r>
          </w:p>
        </w:tc>
        <w:tc>
          <w:tcPr>
            <w:tcW w:w="1119"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D866F7">
            <w:pPr>
              <w:suppressAutoHyphens/>
              <w:bidi w:val="0"/>
              <w:jc w:val="center"/>
              <w:rPr>
                <w:rFonts w:ascii="Times New Roman" w:hAnsi="Times New Roman"/>
                <w:b/>
                <w:sz w:val="20"/>
                <w:szCs w:val="20"/>
              </w:rPr>
            </w:pPr>
            <w:r>
              <w:rPr>
                <w:rFonts w:ascii="Times New Roman" w:hAnsi="Times New Roman"/>
                <w:b/>
                <w:sz w:val="20"/>
                <w:szCs w:val="20"/>
              </w:rPr>
              <w:t>u</w:t>
            </w:r>
            <w:r w:rsidRPr="00753AC8">
              <w:rPr>
                <w:rFonts w:ascii="Times New Roman" w:hAnsi="Times New Roman"/>
                <w:b/>
                <w:sz w:val="20"/>
                <w:szCs w:val="20"/>
              </w:rPr>
              <w:t>pravený</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27716F">
            <w:pPr>
              <w:suppressAutoHyphens/>
              <w:bidi w:val="0"/>
              <w:jc w:val="center"/>
              <w:rPr>
                <w:rFonts w:ascii="Times New Roman" w:hAnsi="Times New Roman"/>
                <w:b/>
                <w:sz w:val="20"/>
                <w:szCs w:val="20"/>
              </w:rPr>
            </w:pPr>
            <w:r w:rsidRPr="00753AC8">
              <w:rPr>
                <w:rFonts w:ascii="Times New Roman" w:hAnsi="Times New Roman"/>
                <w:b/>
                <w:sz w:val="20"/>
                <w:szCs w:val="20"/>
              </w:rPr>
              <w:t xml:space="preserve">2011 </w:t>
            </w:r>
          </w:p>
        </w:tc>
        <w:tc>
          <w:tcPr>
            <w:tcW w:w="97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B52084">
            <w:pPr>
              <w:suppressAutoHyphens/>
              <w:bidi w:val="0"/>
              <w:jc w:val="center"/>
              <w:rPr>
                <w:rFonts w:ascii="Times New Roman" w:hAnsi="Times New Roman"/>
                <w:b/>
                <w:sz w:val="20"/>
                <w:szCs w:val="20"/>
              </w:rPr>
            </w:pPr>
            <w:r>
              <w:rPr>
                <w:rFonts w:ascii="Times New Roman" w:hAnsi="Times New Roman"/>
                <w:b/>
                <w:sz w:val="20"/>
                <w:szCs w:val="20"/>
              </w:rPr>
              <w:t>z</w:t>
            </w:r>
            <w:r w:rsidRPr="00753AC8">
              <w:rPr>
                <w:rFonts w:ascii="Times New Roman" w:hAnsi="Times New Roman"/>
                <w:b/>
                <w:sz w:val="20"/>
                <w:szCs w:val="20"/>
              </w:rPr>
              <w:t xml:space="preserve"> toho: zdroj 111*</w:t>
            </w:r>
          </w:p>
        </w:tc>
        <w:tc>
          <w:tcPr>
            <w:tcW w:w="1118"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D866F7">
            <w:pPr>
              <w:bidi w:val="0"/>
              <w:jc w:val="center"/>
              <w:rPr>
                <w:rFonts w:ascii="Times New Roman" w:hAnsi="Times New Roman"/>
                <w:b/>
                <w:sz w:val="20"/>
                <w:szCs w:val="20"/>
              </w:rPr>
            </w:pPr>
            <w:r w:rsidRPr="00753AC8">
              <w:rPr>
                <w:rFonts w:ascii="Times New Roman" w:hAnsi="Times New Roman"/>
                <w:b/>
                <w:sz w:val="20"/>
                <w:szCs w:val="20"/>
              </w:rPr>
              <w:t>2010</w:t>
            </w:r>
          </w:p>
        </w:tc>
        <w:tc>
          <w:tcPr>
            <w:tcW w:w="977"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D866F7" w:rsidRPr="00753AC8" w:rsidP="00D866F7">
            <w:pPr>
              <w:bidi w:val="0"/>
              <w:jc w:val="center"/>
              <w:rPr>
                <w:rFonts w:ascii="Times New Roman" w:hAnsi="Times New Roman"/>
                <w:b/>
                <w:sz w:val="20"/>
                <w:szCs w:val="20"/>
              </w:rPr>
            </w:pPr>
            <w:r w:rsidRPr="00753AC8">
              <w:rPr>
                <w:rFonts w:ascii="Times New Roman" w:hAnsi="Times New Roman"/>
                <w:b/>
                <w:sz w:val="20"/>
                <w:szCs w:val="20"/>
              </w:rPr>
              <w:t>2009</w:t>
            </w:r>
          </w:p>
        </w:tc>
        <w:tc>
          <w:tcPr>
            <w:tcW w:w="980"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D866F7" w:rsidRPr="00753AC8" w:rsidP="00B52084">
            <w:pPr>
              <w:suppressAutoHyphens/>
              <w:bidi w:val="0"/>
              <w:jc w:val="center"/>
              <w:rPr>
                <w:rFonts w:ascii="Times New Roman" w:hAnsi="Times New Roman"/>
                <w:b/>
                <w:sz w:val="20"/>
                <w:szCs w:val="20"/>
              </w:rPr>
            </w:pPr>
          </w:p>
        </w:tc>
      </w:tr>
      <w:tr>
        <w:tblPrEx>
          <w:tblW w:w="5109" w:type="pct"/>
          <w:jc w:val="center"/>
          <w:tblInd w:w="-318" w:type="dxa"/>
          <w:tblLayout w:type="fixed"/>
          <w:tblLook w:val="04A0"/>
        </w:tblPrEx>
        <w:trPr>
          <w:trHeight w:hRule="exact" w:val="284"/>
          <w:jc w:val="center"/>
        </w:trPr>
        <w:tc>
          <w:tcPr>
            <w:tcW w:w="2372" w:type="dxa"/>
            <w:tcBorders>
              <w:top w:val="single" w:sz="4" w:space="0" w:color="FFFFFF"/>
              <w:left w:val="single" w:sz="4" w:space="0" w:color="auto"/>
              <w:bottom w:val="single" w:sz="4" w:space="0" w:color="auto"/>
              <w:right w:val="single" w:sz="4" w:space="0" w:color="auto"/>
            </w:tcBorders>
            <w:textDirection w:val="lrTb"/>
            <w:vAlign w:val="center"/>
          </w:tcPr>
          <w:p w:rsidR="0062036C" w:rsidRPr="00753AC8" w:rsidP="000E2C34">
            <w:pPr>
              <w:suppressAutoHyphens/>
              <w:bidi w:val="0"/>
              <w:jc w:val="center"/>
              <w:rPr>
                <w:rFonts w:ascii="Times New Roman" w:hAnsi="Times New Roman"/>
                <w:b/>
                <w:sz w:val="20"/>
                <w:szCs w:val="20"/>
              </w:rPr>
            </w:pPr>
          </w:p>
        </w:tc>
        <w:tc>
          <w:tcPr>
            <w:tcW w:w="1118"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1</w:t>
            </w:r>
          </w:p>
        </w:tc>
        <w:tc>
          <w:tcPr>
            <w:tcW w:w="1119"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2</w:t>
            </w:r>
          </w:p>
        </w:tc>
        <w:tc>
          <w:tcPr>
            <w:tcW w:w="1118" w:type="dxa"/>
            <w:tcBorders>
              <w:top w:val="single" w:sz="4" w:space="0" w:color="FFFFFF"/>
              <w:left w:val="single" w:sz="4" w:space="0" w:color="auto"/>
              <w:bottom w:val="single" w:sz="4" w:space="0" w:color="auto"/>
              <w:right w:val="single" w:sz="4" w:space="0" w:color="auto"/>
            </w:tcBorders>
            <w:shd w:val="clear" w:color="auto" w:fill="D9D9D9"/>
            <w:noWrap/>
            <w:tcMar>
              <w:left w:w="0" w:type="dxa"/>
              <w:right w:w="0" w:type="dxa"/>
            </w:tcMar>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3</w:t>
            </w:r>
          </w:p>
        </w:tc>
        <w:tc>
          <w:tcPr>
            <w:tcW w:w="978"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4</w:t>
            </w:r>
          </w:p>
        </w:tc>
        <w:tc>
          <w:tcPr>
            <w:tcW w:w="1118" w:type="dxa"/>
            <w:tcBorders>
              <w:top w:val="single" w:sz="4" w:space="0" w:color="FFFFFF"/>
              <w:left w:val="single" w:sz="4" w:space="0" w:color="auto"/>
              <w:bottom w:val="single" w:sz="4" w:space="0" w:color="auto"/>
              <w:right w:val="single" w:sz="4" w:space="0" w:color="auto"/>
            </w:tcBorders>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5</w:t>
            </w:r>
          </w:p>
        </w:tc>
        <w:tc>
          <w:tcPr>
            <w:tcW w:w="977" w:type="dxa"/>
            <w:tcBorders>
              <w:top w:val="single" w:sz="4" w:space="0" w:color="FFFFFF"/>
              <w:left w:val="single" w:sz="4" w:space="0" w:color="auto"/>
              <w:bottom w:val="single" w:sz="4" w:space="0" w:color="auto"/>
              <w:right w:val="single" w:sz="4" w:space="0" w:color="auto"/>
            </w:tcBorders>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6</w:t>
            </w:r>
          </w:p>
        </w:tc>
        <w:tc>
          <w:tcPr>
            <w:tcW w:w="980"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7=3-2</w:t>
            </w:r>
          </w:p>
        </w:tc>
      </w:tr>
      <w:tr>
        <w:tblPrEx>
          <w:tblW w:w="5109" w:type="pct"/>
          <w:jc w:val="center"/>
          <w:tblInd w:w="-318" w:type="dxa"/>
          <w:tblLayout w:type="fixed"/>
          <w:tblLook w:val="04A0"/>
        </w:tblPrEx>
        <w:trPr>
          <w:trHeight w:hRule="exact" w:val="452"/>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01 Všeobecné verejné služby</w:t>
            </w:r>
          </w:p>
        </w:tc>
        <w:tc>
          <w:tcPr>
            <w:tcW w:w="1118"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B52084">
            <w:pPr>
              <w:bidi w:val="0"/>
              <w:jc w:val="right"/>
              <w:rPr>
                <w:rFonts w:ascii="Times New Roman" w:hAnsi="Times New Roman"/>
                <w:sz w:val="20"/>
                <w:szCs w:val="20"/>
              </w:rPr>
            </w:pPr>
            <w:r w:rsidRPr="00753AC8">
              <w:rPr>
                <w:rFonts w:ascii="Times New Roman" w:hAnsi="Times New Roman"/>
                <w:sz w:val="20"/>
                <w:szCs w:val="20"/>
              </w:rPr>
              <w:t>26 310</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3 274</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3 286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3 204</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18 850</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2 457</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12</w:t>
            </w:r>
          </w:p>
        </w:tc>
      </w:tr>
      <w:tr>
        <w:tblPrEx>
          <w:tblW w:w="5109" w:type="pct"/>
          <w:jc w:val="center"/>
          <w:tblInd w:w="-318" w:type="dxa"/>
          <w:tblLayout w:type="fixed"/>
          <w:tblLook w:val="04A0"/>
        </w:tblPrEx>
        <w:trPr>
          <w:trHeight w:hRule="exact" w:val="572"/>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03 Verejný poriadok a bezpečnosť</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bidi w:val="0"/>
              <w:jc w:val="right"/>
              <w:rPr>
                <w:rFonts w:ascii="Times New Roman" w:hAnsi="Times New Roman"/>
                <w:sz w:val="20"/>
                <w:szCs w:val="20"/>
              </w:rPr>
            </w:pPr>
            <w:r w:rsidRPr="00753AC8">
              <w:rPr>
                <w:rFonts w:ascii="Times New Roman" w:hAnsi="Times New Roman"/>
                <w:sz w:val="20"/>
                <w:szCs w:val="20"/>
              </w:rPr>
              <w:t>0</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10</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19</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r>
      <w:tr>
        <w:tblPrEx>
          <w:tblW w:w="5109" w:type="pct"/>
          <w:jc w:val="center"/>
          <w:tblInd w:w="-318" w:type="dxa"/>
          <w:tblLayout w:type="fixed"/>
          <w:tblLook w:val="04A0"/>
        </w:tblPrEx>
        <w:trPr>
          <w:trHeight w:hRule="exact" w:val="284"/>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 xml:space="preserve">04 Ekonomická oblasť </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47 748</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47 748</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35 225</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10 780</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r>
      <w:tr>
        <w:tblPrEx>
          <w:tblW w:w="5109" w:type="pct"/>
          <w:jc w:val="center"/>
          <w:tblInd w:w="-318" w:type="dxa"/>
          <w:tblLayout w:type="fixed"/>
          <w:tblLook w:val="04A0"/>
        </w:tblPrEx>
        <w:trPr>
          <w:trHeight w:hRule="exact" w:val="284"/>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05 Ochrana životného prostredia</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13 240</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13 222</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361</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20 918</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615</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-18</w:t>
            </w:r>
          </w:p>
        </w:tc>
      </w:tr>
      <w:tr>
        <w:tblPrEx>
          <w:tblW w:w="5109" w:type="pct"/>
          <w:jc w:val="center"/>
          <w:tblInd w:w="-318" w:type="dxa"/>
          <w:tblLayout w:type="fixed"/>
          <w:tblLook w:val="04A0"/>
        </w:tblPrEx>
        <w:trPr>
          <w:trHeight w:hRule="exact" w:val="581"/>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center"/>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08 Rekreácia, kultúra a náboženstvo</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1 860</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4 449</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D866F7">
            <w:pPr>
              <w:suppressAutoHyphens/>
              <w:bidi w:val="0"/>
              <w:ind w:hanging="108"/>
              <w:jc w:val="right"/>
              <w:rPr>
                <w:rFonts w:ascii="Times New Roman" w:hAnsi="Times New Roman"/>
                <w:sz w:val="20"/>
                <w:szCs w:val="20"/>
              </w:rPr>
            </w:pPr>
            <w:r w:rsidRPr="00753AC8">
              <w:rPr>
                <w:rFonts w:ascii="Times New Roman" w:hAnsi="Times New Roman"/>
                <w:sz w:val="20"/>
                <w:szCs w:val="20"/>
              </w:rPr>
              <w:t>4 400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4 400</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4 700</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3 281</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-49</w:t>
            </w:r>
          </w:p>
        </w:tc>
      </w:tr>
      <w:tr>
        <w:tblPrEx>
          <w:tblW w:w="5109" w:type="pct"/>
          <w:jc w:val="center"/>
          <w:tblInd w:w="-318" w:type="dxa"/>
          <w:tblLayout w:type="fixed"/>
          <w:tblLook w:val="04A0"/>
        </w:tblPrEx>
        <w:trPr>
          <w:trHeight w:hRule="exact" w:val="284"/>
          <w:jc w:val="center"/>
        </w:trPr>
        <w:tc>
          <w:tcPr>
            <w:tcW w:w="2372"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09 Vzdelávanie</w:t>
            </w:r>
          </w:p>
        </w:tc>
        <w:tc>
          <w:tcPr>
            <w:tcW w:w="111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401 115</w:t>
            </w:r>
          </w:p>
        </w:tc>
        <w:tc>
          <w:tcPr>
            <w:tcW w:w="1119"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398 019</w:t>
            </w:r>
          </w:p>
        </w:tc>
        <w:tc>
          <w:tcPr>
            <w:tcW w:w="1118"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398 019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388 585</w:t>
            </w:r>
          </w:p>
        </w:tc>
        <w:tc>
          <w:tcPr>
            <w:tcW w:w="1118"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408 272</w:t>
            </w:r>
          </w:p>
        </w:tc>
        <w:tc>
          <w:tcPr>
            <w:tcW w:w="977" w:type="dxa"/>
            <w:tcBorders>
              <w:top w:val="single" w:sz="4" w:space="0" w:color="auto"/>
              <w:left w:val="single" w:sz="4" w:space="0" w:color="auto"/>
              <w:bottom w:val="single" w:sz="4"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410 516</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r>
      <w:tr>
        <w:tblPrEx>
          <w:tblW w:w="5109" w:type="pct"/>
          <w:jc w:val="center"/>
          <w:tblInd w:w="-318" w:type="dxa"/>
          <w:tblLayout w:type="fixed"/>
          <w:tblLook w:val="04A0"/>
        </w:tblPrEx>
        <w:trPr>
          <w:trHeight w:hRule="exact" w:val="284"/>
          <w:jc w:val="center"/>
        </w:trPr>
        <w:tc>
          <w:tcPr>
            <w:tcW w:w="2372" w:type="dxa"/>
            <w:tcBorders>
              <w:top w:val="single" w:sz="4" w:space="0" w:color="auto"/>
              <w:left w:val="single" w:sz="4" w:space="0" w:color="auto"/>
              <w:bottom w:val="double" w:sz="6" w:space="0" w:color="auto"/>
              <w:right w:val="single" w:sz="4" w:space="0" w:color="auto"/>
            </w:tcBorders>
            <w:noWrap/>
            <w:textDirection w:val="lrTb"/>
            <w:vAlign w:val="bottom"/>
          </w:tcPr>
          <w:p w:rsidR="0062036C" w:rsidRPr="00753AC8" w:rsidP="00373523">
            <w:pPr>
              <w:suppressAutoHyphens/>
              <w:bidi w:val="0"/>
              <w:rPr>
                <w:rFonts w:ascii="Times New Roman" w:hAnsi="Times New Roman"/>
                <w:sz w:val="20"/>
                <w:szCs w:val="20"/>
              </w:rPr>
            </w:pPr>
            <w:r w:rsidRPr="00753AC8">
              <w:rPr>
                <w:rFonts w:ascii="Times New Roman" w:hAnsi="Times New Roman"/>
                <w:sz w:val="20"/>
                <w:szCs w:val="20"/>
              </w:rPr>
              <w:t>10 Sociálne zabezpečenie</w:t>
            </w:r>
          </w:p>
        </w:tc>
        <w:tc>
          <w:tcPr>
            <w:tcW w:w="1118" w:type="dxa"/>
            <w:tcBorders>
              <w:top w:val="single" w:sz="4" w:space="0" w:color="auto"/>
              <w:left w:val="single" w:sz="4" w:space="0" w:color="auto"/>
              <w:bottom w:val="double" w:sz="6"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0</w:t>
            </w:r>
          </w:p>
        </w:tc>
        <w:tc>
          <w:tcPr>
            <w:tcW w:w="1119" w:type="dxa"/>
            <w:tcBorders>
              <w:top w:val="single" w:sz="4" w:space="0" w:color="auto"/>
              <w:left w:val="single" w:sz="4" w:space="0" w:color="auto"/>
              <w:bottom w:val="double" w:sz="6"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5 603</w:t>
            </w:r>
          </w:p>
        </w:tc>
        <w:tc>
          <w:tcPr>
            <w:tcW w:w="1118"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5 498</w:t>
            </w:r>
          </w:p>
        </w:tc>
        <w:tc>
          <w:tcPr>
            <w:tcW w:w="978" w:type="dxa"/>
            <w:tcBorders>
              <w:top w:val="single" w:sz="4" w:space="0" w:color="auto"/>
              <w:left w:val="single" w:sz="4" w:space="0" w:color="auto"/>
              <w:bottom w:val="double" w:sz="6"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5 498</w:t>
            </w:r>
          </w:p>
        </w:tc>
        <w:tc>
          <w:tcPr>
            <w:tcW w:w="1118" w:type="dxa"/>
            <w:tcBorders>
              <w:top w:val="single" w:sz="4" w:space="0" w:color="auto"/>
              <w:left w:val="single" w:sz="4" w:space="0" w:color="auto"/>
              <w:bottom w:val="double" w:sz="6"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7 374</w:t>
            </w:r>
          </w:p>
        </w:tc>
        <w:tc>
          <w:tcPr>
            <w:tcW w:w="977" w:type="dxa"/>
            <w:tcBorders>
              <w:top w:val="single" w:sz="4" w:space="0" w:color="auto"/>
              <w:left w:val="single" w:sz="4" w:space="0" w:color="auto"/>
              <w:bottom w:val="double" w:sz="6" w:space="0" w:color="auto"/>
              <w:right w:val="single" w:sz="4" w:space="0" w:color="auto"/>
            </w:tcBorders>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1 363</w:t>
            </w:r>
          </w:p>
        </w:tc>
        <w:tc>
          <w:tcPr>
            <w:tcW w:w="980" w:type="dxa"/>
            <w:tcBorders>
              <w:top w:val="single" w:sz="4" w:space="0" w:color="auto"/>
              <w:left w:val="single" w:sz="4" w:space="0" w:color="auto"/>
              <w:bottom w:val="double" w:sz="6" w:space="0" w:color="auto"/>
              <w:right w:val="single" w:sz="4" w:space="0" w:color="auto"/>
            </w:tcBorders>
            <w:noWrap/>
            <w:textDirection w:val="lrTb"/>
            <w:vAlign w:val="bottom"/>
          </w:tcPr>
          <w:p w:rsidR="0062036C" w:rsidRPr="00753AC8" w:rsidP="00B52084">
            <w:pPr>
              <w:suppressAutoHyphens/>
              <w:bidi w:val="0"/>
              <w:ind w:hanging="108"/>
              <w:jc w:val="right"/>
              <w:rPr>
                <w:rFonts w:ascii="Times New Roman" w:hAnsi="Times New Roman"/>
                <w:sz w:val="20"/>
                <w:szCs w:val="20"/>
              </w:rPr>
            </w:pPr>
            <w:r w:rsidRPr="00753AC8">
              <w:rPr>
                <w:rFonts w:ascii="Times New Roman" w:hAnsi="Times New Roman"/>
                <w:sz w:val="20"/>
                <w:szCs w:val="20"/>
              </w:rPr>
              <w:t>-105</w:t>
            </w:r>
          </w:p>
        </w:tc>
      </w:tr>
      <w:tr>
        <w:tblPrEx>
          <w:tblW w:w="5109" w:type="pct"/>
          <w:jc w:val="center"/>
          <w:tblInd w:w="-318" w:type="dxa"/>
          <w:tblLayout w:type="fixed"/>
          <w:tblLook w:val="04A0"/>
        </w:tblPrEx>
        <w:trPr>
          <w:trHeight w:hRule="exact" w:val="284"/>
          <w:jc w:val="center"/>
        </w:trPr>
        <w:tc>
          <w:tcPr>
            <w:tcW w:w="2372" w:type="dxa"/>
            <w:tcBorders>
              <w:top w:val="double" w:sz="6" w:space="0" w:color="auto"/>
              <w:left w:val="single" w:sz="4" w:space="0" w:color="auto"/>
              <w:bottom w:val="single" w:sz="4" w:space="0" w:color="auto"/>
              <w:right w:val="single" w:sz="4" w:space="0" w:color="auto"/>
            </w:tcBorders>
            <w:noWrap/>
            <w:textDirection w:val="lrTb"/>
            <w:vAlign w:val="bottom"/>
          </w:tcPr>
          <w:p w:rsidR="0062036C" w:rsidRPr="00753AC8" w:rsidP="000E2C34">
            <w:pPr>
              <w:suppressAutoHyphens/>
              <w:bidi w:val="0"/>
              <w:jc w:val="center"/>
              <w:rPr>
                <w:rFonts w:ascii="Times New Roman" w:hAnsi="Times New Roman"/>
                <w:b/>
                <w:sz w:val="20"/>
                <w:szCs w:val="20"/>
              </w:rPr>
            </w:pPr>
            <w:r w:rsidRPr="00753AC8">
              <w:rPr>
                <w:rFonts w:ascii="Times New Roman" w:hAnsi="Times New Roman"/>
                <w:b/>
                <w:sz w:val="20"/>
                <w:szCs w:val="20"/>
              </w:rPr>
              <w:t>Spolu</w:t>
            </w:r>
          </w:p>
        </w:tc>
        <w:tc>
          <w:tcPr>
            <w:tcW w:w="1118" w:type="dxa"/>
            <w:tcBorders>
              <w:top w:val="double" w:sz="6" w:space="0" w:color="auto"/>
              <w:left w:val="single" w:sz="4" w:space="0" w:color="auto"/>
              <w:bottom w:val="single" w:sz="4" w:space="0" w:color="auto"/>
              <w:right w:val="single" w:sz="4" w:space="0" w:color="auto"/>
            </w:tcBorders>
            <w:noWrap/>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429 285</w:t>
            </w:r>
          </w:p>
        </w:tc>
        <w:tc>
          <w:tcPr>
            <w:tcW w:w="1119" w:type="dxa"/>
            <w:tcBorders>
              <w:top w:val="double" w:sz="6" w:space="0" w:color="auto"/>
              <w:left w:val="single" w:sz="4" w:space="0" w:color="auto"/>
              <w:bottom w:val="single" w:sz="4" w:space="0" w:color="auto"/>
              <w:right w:val="single" w:sz="4" w:space="0" w:color="auto"/>
            </w:tcBorders>
            <w:noWrap/>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472 342</w:t>
            </w:r>
          </w:p>
        </w:tc>
        <w:tc>
          <w:tcPr>
            <w:tcW w:w="1118"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472 182</w:t>
            </w:r>
          </w:p>
        </w:tc>
        <w:tc>
          <w:tcPr>
            <w:tcW w:w="978" w:type="dxa"/>
            <w:tcBorders>
              <w:top w:val="double" w:sz="6" w:space="0" w:color="auto"/>
              <w:left w:val="single" w:sz="4" w:space="0" w:color="auto"/>
              <w:bottom w:val="single" w:sz="4" w:space="0" w:color="auto"/>
              <w:right w:val="single" w:sz="4" w:space="0" w:color="auto"/>
            </w:tcBorders>
            <w:noWrap/>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402 057</w:t>
            </w:r>
          </w:p>
        </w:tc>
        <w:tc>
          <w:tcPr>
            <w:tcW w:w="1118" w:type="dxa"/>
            <w:tcBorders>
              <w:top w:val="double" w:sz="6" w:space="0" w:color="auto"/>
              <w:left w:val="single" w:sz="4" w:space="0" w:color="auto"/>
              <w:bottom w:val="single" w:sz="4" w:space="0" w:color="auto"/>
              <w:right w:val="single" w:sz="4" w:space="0" w:color="auto"/>
            </w:tcBorders>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495 349</w:t>
            </w:r>
          </w:p>
        </w:tc>
        <w:tc>
          <w:tcPr>
            <w:tcW w:w="977" w:type="dxa"/>
            <w:tcBorders>
              <w:top w:val="double" w:sz="6" w:space="0" w:color="auto"/>
              <w:left w:val="single" w:sz="4" w:space="0" w:color="auto"/>
              <w:bottom w:val="single" w:sz="4" w:space="0" w:color="auto"/>
              <w:right w:val="single" w:sz="4" w:space="0" w:color="auto"/>
            </w:tcBorders>
            <w:textDirection w:val="lrTb"/>
            <w:vAlign w:val="center"/>
          </w:tcPr>
          <w:p w:rsidR="0062036C" w:rsidRPr="00753AC8" w:rsidP="000E2C34">
            <w:pPr>
              <w:suppressAutoHyphens/>
              <w:bidi w:val="0"/>
              <w:ind w:hanging="108"/>
              <w:jc w:val="center"/>
              <w:rPr>
                <w:rFonts w:ascii="Times New Roman" w:hAnsi="Times New Roman"/>
                <w:b/>
                <w:sz w:val="20"/>
                <w:szCs w:val="20"/>
              </w:rPr>
            </w:pPr>
            <w:r w:rsidRPr="00753AC8">
              <w:rPr>
                <w:rFonts w:ascii="Times New Roman" w:hAnsi="Times New Roman"/>
                <w:b/>
                <w:sz w:val="20"/>
                <w:szCs w:val="20"/>
              </w:rPr>
              <w:t>429 031</w:t>
            </w:r>
          </w:p>
        </w:tc>
        <w:tc>
          <w:tcPr>
            <w:tcW w:w="980" w:type="dxa"/>
            <w:tcBorders>
              <w:top w:val="double" w:sz="6" w:space="0" w:color="auto"/>
              <w:left w:val="single" w:sz="4" w:space="0" w:color="auto"/>
              <w:bottom w:val="single" w:sz="4" w:space="0" w:color="auto"/>
              <w:right w:val="single" w:sz="4" w:space="0" w:color="auto"/>
            </w:tcBorders>
            <w:noWrap/>
            <w:textDirection w:val="lrTb"/>
            <w:vAlign w:val="center"/>
          </w:tcPr>
          <w:p w:rsidR="0062036C" w:rsidRPr="00753AC8" w:rsidP="00D866F7">
            <w:pPr>
              <w:suppressAutoHyphens/>
              <w:bidi w:val="0"/>
              <w:ind w:hanging="108"/>
              <w:jc w:val="right"/>
              <w:rPr>
                <w:rFonts w:ascii="Times New Roman" w:hAnsi="Times New Roman"/>
                <w:b/>
                <w:sz w:val="20"/>
                <w:szCs w:val="20"/>
              </w:rPr>
            </w:pPr>
            <w:r w:rsidRPr="00753AC8">
              <w:rPr>
                <w:rFonts w:ascii="Times New Roman" w:hAnsi="Times New Roman"/>
                <w:b/>
                <w:sz w:val="20"/>
                <w:szCs w:val="20"/>
              </w:rPr>
              <w:t>-160</w:t>
            </w:r>
          </w:p>
        </w:tc>
      </w:tr>
    </w:tbl>
    <w:p w:rsidR="0062036C" w:rsidP="0062036C">
      <w:pPr>
        <w:suppressAutoHyphens/>
        <w:bidi w:val="0"/>
        <w:jc w:val="both"/>
        <w:rPr>
          <w:rFonts w:ascii="Times New Roman" w:hAnsi="Times New Roman"/>
          <w:sz w:val="20"/>
          <w:szCs w:val="20"/>
        </w:rPr>
      </w:pPr>
      <w:r w:rsidRPr="008E4204">
        <w:rPr>
          <w:rFonts w:ascii="Times New Roman" w:hAnsi="Times New Roman"/>
          <w:sz w:val="20"/>
          <w:szCs w:val="20"/>
        </w:rPr>
        <w:t>Poznámka: *</w:t>
      </w:r>
      <w:r>
        <w:rPr>
          <w:rFonts w:ascii="Times New Roman" w:hAnsi="Times New Roman"/>
          <w:sz w:val="20"/>
          <w:szCs w:val="20"/>
        </w:rPr>
        <w:t xml:space="preserve"> len </w:t>
      </w:r>
      <w:r w:rsidRPr="008E4204">
        <w:rPr>
          <w:rFonts w:ascii="Times New Roman" w:hAnsi="Times New Roman"/>
          <w:sz w:val="20"/>
          <w:szCs w:val="20"/>
        </w:rPr>
        <w:t xml:space="preserve">prostriedky štátneho rozpočtu </w:t>
      </w:r>
    </w:p>
    <w:p w:rsidR="0091003A" w:rsidRPr="008E4204" w:rsidP="00230016">
      <w:pPr>
        <w:suppressAutoHyphens/>
        <w:bidi w:val="0"/>
        <w:jc w:val="both"/>
        <w:rPr>
          <w:rFonts w:ascii="Times New Roman" w:hAnsi="Times New Roman"/>
          <w:color w:val="000000"/>
          <w:sz w:val="20"/>
          <w:szCs w:val="20"/>
        </w:rPr>
      </w:pPr>
      <w:r w:rsidRPr="008E4204">
        <w:rPr>
          <w:rFonts w:ascii="Times New Roman" w:hAnsi="Times New Roman"/>
          <w:color w:val="000000"/>
          <w:sz w:val="20"/>
          <w:szCs w:val="20"/>
        </w:rPr>
        <w:t>Zdroj: Ministerstvo financií SR</w:t>
      </w:r>
    </w:p>
    <w:p w:rsidR="0091003A" w:rsidRPr="002D1CFC" w:rsidP="0091003A">
      <w:pPr>
        <w:suppressAutoHyphens/>
        <w:bidi w:val="0"/>
        <w:spacing w:line="360" w:lineRule="auto"/>
        <w:jc w:val="both"/>
        <w:rPr>
          <w:rFonts w:ascii="Times New Roman" w:hAnsi="Times New Roman"/>
          <w:color w:val="000000"/>
          <w:sz w:val="18"/>
          <w:szCs w:val="18"/>
        </w:rPr>
      </w:pPr>
      <w:r w:rsidRPr="00980D1F">
        <w:rPr>
          <w:rFonts w:ascii="Times New Roman" w:hAnsi="Times New Roman"/>
          <w:color w:val="FF0000"/>
        </w:rPr>
        <w:tab/>
        <w:tab/>
      </w:r>
    </w:p>
    <w:p w:rsidR="00C611C5" w:rsidRPr="007725D5" w:rsidP="00C221B0">
      <w:pPr>
        <w:suppressAutoHyphens/>
        <w:bidi w:val="0"/>
        <w:spacing w:line="360" w:lineRule="auto"/>
        <w:jc w:val="both"/>
        <w:rPr>
          <w:rFonts w:ascii="Times New Roman" w:hAnsi="Times New Roman"/>
          <w:color w:val="FFFFFF"/>
        </w:rPr>
      </w:pPr>
      <w:r w:rsidRPr="00543037" w:rsidR="0091003A">
        <w:rPr>
          <w:rFonts w:ascii="Times New Roman" w:hAnsi="Times New Roman"/>
        </w:rPr>
        <w:t xml:space="preserve">Do rozpočtov </w:t>
      </w:r>
      <w:r w:rsidR="0091003A">
        <w:rPr>
          <w:rFonts w:ascii="Times New Roman" w:hAnsi="Times New Roman"/>
        </w:rPr>
        <w:t>VÚC</w:t>
      </w:r>
      <w:r w:rsidRPr="00543037" w:rsidR="0091003A">
        <w:rPr>
          <w:rFonts w:ascii="Times New Roman" w:hAnsi="Times New Roman"/>
        </w:rPr>
        <w:t xml:space="preserve"> bol</w:t>
      </w:r>
      <w:r w:rsidR="0091003A">
        <w:rPr>
          <w:rFonts w:ascii="Times New Roman" w:hAnsi="Times New Roman"/>
        </w:rPr>
        <w:t>i</w:t>
      </w:r>
      <w:r w:rsidRPr="00543037" w:rsidR="0091003A">
        <w:rPr>
          <w:rFonts w:ascii="Times New Roman" w:hAnsi="Times New Roman"/>
        </w:rPr>
        <w:t xml:space="preserve"> poskytnut</w:t>
      </w:r>
      <w:r w:rsidR="0091003A">
        <w:rPr>
          <w:rFonts w:ascii="Times New Roman" w:hAnsi="Times New Roman"/>
        </w:rPr>
        <w:t>é</w:t>
      </w:r>
      <w:r w:rsidRPr="00543037" w:rsidR="0091003A">
        <w:rPr>
          <w:rFonts w:ascii="Times New Roman" w:hAnsi="Times New Roman"/>
        </w:rPr>
        <w:t xml:space="preserve"> grant</w:t>
      </w:r>
      <w:r w:rsidR="0091003A">
        <w:rPr>
          <w:rFonts w:ascii="Times New Roman" w:hAnsi="Times New Roman"/>
        </w:rPr>
        <w:t>y</w:t>
      </w:r>
      <w:r w:rsidRPr="00543037" w:rsidR="0091003A">
        <w:rPr>
          <w:rFonts w:ascii="Times New Roman" w:hAnsi="Times New Roman"/>
        </w:rPr>
        <w:t xml:space="preserve"> a transfer</w:t>
      </w:r>
      <w:r w:rsidR="0091003A">
        <w:rPr>
          <w:rFonts w:ascii="Times New Roman" w:hAnsi="Times New Roman"/>
        </w:rPr>
        <w:t>y</w:t>
      </w:r>
      <w:r w:rsidRPr="00543037" w:rsidR="0091003A">
        <w:rPr>
          <w:rFonts w:ascii="Times New Roman" w:hAnsi="Times New Roman"/>
        </w:rPr>
        <w:t xml:space="preserve"> z jednotlivých rozpočtových kapitol v nasledovnom členení:</w:t>
      </w:r>
      <w:r w:rsidRPr="00980D1F" w:rsidR="0091003A">
        <w:rPr>
          <w:rFonts w:ascii="Times New Roman" w:hAnsi="Times New Roman"/>
          <w:color w:val="FF0000"/>
        </w:rPr>
        <w:tab/>
      </w:r>
    </w:p>
    <w:tbl>
      <w:tblPr>
        <w:tblStyle w:val="TableNormal"/>
        <w:tblW w:w="5109"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4"/>
        <w:gridCol w:w="1119"/>
        <w:gridCol w:w="1119"/>
        <w:gridCol w:w="1119"/>
        <w:gridCol w:w="979"/>
        <w:gridCol w:w="980"/>
      </w:tblGrid>
      <w:tr>
        <w:tblPrEx>
          <w:tblW w:w="5109"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363"/>
          <w:jc w:val="center"/>
        </w:trPr>
        <w:tc>
          <w:tcPr>
            <w:tcW w:w="4537"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F0DFA" w:rsidP="00D07062">
            <w:pPr>
              <w:suppressAutoHyphens/>
              <w:bidi w:val="0"/>
              <w:jc w:val="center"/>
              <w:rPr>
                <w:rFonts w:ascii="Times New Roman" w:hAnsi="Times New Roman"/>
                <w:b/>
                <w:color w:val="FFFFFF"/>
                <w:sz w:val="20"/>
                <w:szCs w:val="20"/>
              </w:rPr>
            </w:pPr>
            <w:r w:rsidRPr="004F0DFA">
              <w:rPr>
                <w:rFonts w:ascii="Times New Roman" w:hAnsi="Times New Roman"/>
                <w:b/>
                <w:color w:val="FFFFFF"/>
                <w:sz w:val="20"/>
                <w:szCs w:val="20"/>
              </w:rPr>
              <w:t>Kapitola</w:t>
            </w:r>
          </w:p>
          <w:p w:rsidR="00802C5E" w:rsidRPr="004F0DFA" w:rsidP="00D07062">
            <w:pPr>
              <w:suppressAutoHyphens/>
              <w:bidi w:val="0"/>
              <w:jc w:val="center"/>
              <w:rPr>
                <w:rFonts w:ascii="Times New Roman" w:hAnsi="Times New Roman"/>
                <w:b/>
                <w:color w:val="FFFFFF"/>
                <w:sz w:val="20"/>
                <w:szCs w:val="20"/>
              </w:rPr>
            </w:pPr>
          </w:p>
          <w:p w:rsidR="00802C5E" w:rsidRPr="004F0DFA" w:rsidP="00F85E1D">
            <w:pPr>
              <w:suppressAutoHyphens/>
              <w:bidi w:val="0"/>
              <w:rPr>
                <w:rFonts w:ascii="Times New Roman" w:hAnsi="Times New Roman"/>
                <w:b/>
                <w:color w:val="FFFFFF"/>
                <w:sz w:val="20"/>
                <w:szCs w:val="20"/>
              </w:rPr>
            </w:pPr>
            <w:r w:rsidRPr="004F0DFA">
              <w:rPr>
                <w:rFonts w:ascii="Times New Roman" w:hAnsi="Times New Roman"/>
                <w:b/>
                <w:color w:val="FFFFFF"/>
                <w:sz w:val="20"/>
                <w:szCs w:val="20"/>
              </w:rPr>
              <w:t>(v tis. eur)</w:t>
            </w:r>
          </w:p>
        </w:tc>
        <w:tc>
          <w:tcPr>
            <w:tcW w:w="2268"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F0DFA" w:rsidP="00D07062">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Rozpočet</w:t>
            </w:r>
            <w:r>
              <w:rPr>
                <w:rFonts w:ascii="Times New Roman" w:hAnsi="Times New Roman"/>
                <w:b/>
                <w:color w:val="FFFFFF"/>
                <w:sz w:val="20"/>
                <w:szCs w:val="20"/>
              </w:rPr>
              <w:t xml:space="preserve"> 2011</w:t>
            </w:r>
          </w:p>
        </w:tc>
        <w:tc>
          <w:tcPr>
            <w:tcW w:w="2126"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F0DFA" w:rsidP="00D07062">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Skutočnosť</w:t>
            </w:r>
          </w:p>
        </w:tc>
        <w:tc>
          <w:tcPr>
            <w:tcW w:w="993"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802C5E" w:rsidRPr="004F0DFA" w:rsidP="00D07062">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Rozdiel</w:t>
            </w:r>
          </w:p>
        </w:tc>
      </w:tr>
      <w:tr>
        <w:tblPrEx>
          <w:tblW w:w="5109" w:type="pct"/>
          <w:jc w:val="center"/>
          <w:tblInd w:w="-318" w:type="dxa"/>
          <w:tblLayout w:type="fixed"/>
          <w:tblLook w:val="04A0"/>
        </w:tblPrEx>
        <w:trPr>
          <w:trHeight w:hRule="exact" w:val="673"/>
          <w:jc w:val="center"/>
        </w:trPr>
        <w:tc>
          <w:tcPr>
            <w:tcW w:w="4537"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top"/>
          </w:tcPr>
          <w:p w:rsidR="00802C5E" w:rsidRPr="004B18B6" w:rsidP="00D07062">
            <w:pPr>
              <w:suppressAutoHyphens/>
              <w:bidi w:val="0"/>
              <w:ind w:firstLine="567"/>
              <w:jc w:val="both"/>
              <w:rPr>
                <w:rFonts w:ascii="Times New Roman" w:hAnsi="Times New Roman"/>
                <w:b/>
                <w:color w:val="FFFFFF"/>
                <w:sz w:val="20"/>
                <w:szCs w:val="20"/>
              </w:rPr>
            </w:pP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B18B6" w:rsidP="00D866F7">
            <w:pPr>
              <w:suppressAutoHyphens/>
              <w:bidi w:val="0"/>
              <w:jc w:val="center"/>
              <w:rPr>
                <w:rFonts w:ascii="Times New Roman" w:hAnsi="Times New Roman"/>
                <w:b/>
                <w:color w:val="FFFFFF"/>
                <w:sz w:val="20"/>
                <w:szCs w:val="20"/>
              </w:rPr>
            </w:pPr>
            <w:r>
              <w:rPr>
                <w:rFonts w:ascii="Times New Roman" w:hAnsi="Times New Roman"/>
                <w:b/>
                <w:color w:val="FFFFFF"/>
                <w:sz w:val="20"/>
                <w:szCs w:val="20"/>
              </w:rPr>
              <w:t>schválený</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B18B6" w:rsidP="00D866F7">
            <w:pPr>
              <w:suppressAutoHyphens/>
              <w:bidi w:val="0"/>
              <w:jc w:val="center"/>
              <w:rPr>
                <w:rFonts w:ascii="Times New Roman" w:hAnsi="Times New Roman"/>
                <w:b/>
                <w:color w:val="FFFFFF"/>
                <w:sz w:val="20"/>
                <w:szCs w:val="20"/>
              </w:rPr>
            </w:pPr>
            <w:r>
              <w:rPr>
                <w:rFonts w:ascii="Times New Roman" w:hAnsi="Times New Roman"/>
                <w:b/>
                <w:color w:val="FFFFFF"/>
                <w:sz w:val="20"/>
                <w:szCs w:val="20"/>
              </w:rPr>
              <w:t>u</w:t>
            </w:r>
            <w:r w:rsidRPr="004B18B6">
              <w:rPr>
                <w:rFonts w:ascii="Times New Roman" w:hAnsi="Times New Roman"/>
                <w:b/>
                <w:color w:val="FFFFFF"/>
                <w:sz w:val="20"/>
                <w:szCs w:val="20"/>
              </w:rPr>
              <w:t>pravený</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B18B6" w:rsidP="00C221B0">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2011</w:t>
            </w:r>
          </w:p>
        </w:tc>
        <w:tc>
          <w:tcPr>
            <w:tcW w:w="992"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802C5E" w:rsidRPr="004B18B6" w:rsidP="00D07062">
            <w:pPr>
              <w:suppressAutoHyphens/>
              <w:bidi w:val="0"/>
              <w:jc w:val="center"/>
              <w:rPr>
                <w:rFonts w:ascii="Times New Roman" w:hAnsi="Times New Roman"/>
                <w:b/>
                <w:color w:val="FFFFFF"/>
                <w:sz w:val="20"/>
                <w:szCs w:val="20"/>
              </w:rPr>
            </w:pPr>
            <w:r>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c>
          <w:tcPr>
            <w:tcW w:w="993"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center"/>
          </w:tcPr>
          <w:p w:rsidR="00802C5E" w:rsidRPr="004B18B6" w:rsidP="00D07062">
            <w:pPr>
              <w:suppressAutoHyphens/>
              <w:bidi w:val="0"/>
              <w:jc w:val="center"/>
              <w:rPr>
                <w:rFonts w:ascii="Times New Roman" w:hAnsi="Times New Roman"/>
                <w:b/>
                <w:color w:val="FFFFFF"/>
                <w:sz w:val="20"/>
                <w:szCs w:val="20"/>
              </w:rPr>
            </w:pPr>
          </w:p>
        </w:tc>
      </w:tr>
      <w:tr>
        <w:tblPrEx>
          <w:tblW w:w="5109" w:type="pct"/>
          <w:jc w:val="center"/>
          <w:tblInd w:w="-318" w:type="dxa"/>
          <w:tblLayout w:type="fixed"/>
          <w:tblLook w:val="04A0"/>
        </w:tblPrEx>
        <w:trPr>
          <w:trHeight w:hRule="exact" w:val="284"/>
          <w:jc w:val="center"/>
        </w:trPr>
        <w:tc>
          <w:tcPr>
            <w:tcW w:w="4537" w:type="dxa"/>
            <w:tcBorders>
              <w:top w:val="single" w:sz="4" w:space="0" w:color="FFFFFF"/>
              <w:left w:val="single" w:sz="4" w:space="0" w:color="auto"/>
              <w:bottom w:val="single" w:sz="4" w:space="0" w:color="auto"/>
              <w:right w:val="single" w:sz="4" w:space="0" w:color="auto"/>
            </w:tcBorders>
            <w:textDirection w:val="lrTb"/>
            <w:vAlign w:val="center"/>
          </w:tcPr>
          <w:p w:rsidR="0091003A" w:rsidRPr="00000199" w:rsidP="00F85E1D">
            <w:pPr>
              <w:suppressAutoHyphens/>
              <w:bidi w:val="0"/>
              <w:jc w:val="center"/>
              <w:rPr>
                <w:rFonts w:ascii="Times New Roman" w:hAnsi="Times New Roman"/>
                <w:b/>
                <w:color w:val="000000"/>
                <w:sz w:val="20"/>
                <w:szCs w:val="20"/>
              </w:rPr>
            </w:pPr>
          </w:p>
        </w:tc>
        <w:tc>
          <w:tcPr>
            <w:tcW w:w="1134"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center"/>
          </w:tcPr>
          <w:p w:rsidR="0091003A" w:rsidRPr="00000199" w:rsidP="00F85E1D">
            <w:pPr>
              <w:suppressAutoHyphens/>
              <w:bidi w:val="0"/>
              <w:jc w:val="center"/>
              <w:rPr>
                <w:rFonts w:ascii="Times New Roman" w:hAnsi="Times New Roman"/>
                <w:b/>
                <w:color w:val="000000"/>
                <w:sz w:val="20"/>
                <w:szCs w:val="20"/>
              </w:rPr>
            </w:pPr>
            <w:r w:rsidRPr="00000199">
              <w:rPr>
                <w:rFonts w:ascii="Times New Roman" w:hAnsi="Times New Roman"/>
                <w:b/>
                <w:color w:val="000000"/>
                <w:sz w:val="20"/>
                <w:szCs w:val="20"/>
              </w:rPr>
              <w:t>1</w:t>
            </w:r>
          </w:p>
        </w:tc>
        <w:tc>
          <w:tcPr>
            <w:tcW w:w="1134"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center"/>
          </w:tcPr>
          <w:p w:rsidR="0091003A" w:rsidRPr="00000199" w:rsidP="00F85E1D">
            <w:pPr>
              <w:suppressAutoHyphens/>
              <w:bidi w:val="0"/>
              <w:jc w:val="center"/>
              <w:rPr>
                <w:rFonts w:ascii="Times New Roman" w:hAnsi="Times New Roman"/>
                <w:b/>
                <w:color w:val="000000"/>
                <w:sz w:val="20"/>
                <w:szCs w:val="20"/>
              </w:rPr>
            </w:pPr>
            <w:r w:rsidRPr="00000199">
              <w:rPr>
                <w:rFonts w:ascii="Times New Roman" w:hAnsi="Times New Roman"/>
                <w:b/>
                <w:color w:val="000000"/>
                <w:sz w:val="20"/>
                <w:szCs w:val="20"/>
              </w:rPr>
              <w:t>2</w:t>
            </w:r>
          </w:p>
        </w:tc>
        <w:tc>
          <w:tcPr>
            <w:tcW w:w="1134" w:type="dxa"/>
            <w:tcBorders>
              <w:top w:val="single" w:sz="4" w:space="0" w:color="FFFFFF"/>
              <w:left w:val="single" w:sz="4" w:space="0" w:color="auto"/>
              <w:bottom w:val="single" w:sz="4" w:space="0" w:color="auto"/>
              <w:right w:val="single" w:sz="4" w:space="0" w:color="auto"/>
            </w:tcBorders>
            <w:shd w:val="clear" w:color="auto" w:fill="D9D9D9"/>
            <w:noWrap/>
            <w:tcMar>
              <w:left w:w="0" w:type="dxa"/>
              <w:right w:w="0" w:type="dxa"/>
            </w:tcMar>
            <w:textDirection w:val="lrTb"/>
            <w:vAlign w:val="center"/>
          </w:tcPr>
          <w:p w:rsidR="0091003A" w:rsidRPr="00000199" w:rsidP="00F85E1D">
            <w:pPr>
              <w:suppressAutoHyphens/>
              <w:bidi w:val="0"/>
              <w:jc w:val="center"/>
              <w:rPr>
                <w:rFonts w:ascii="Times New Roman" w:hAnsi="Times New Roman"/>
                <w:b/>
                <w:color w:val="000000"/>
                <w:sz w:val="20"/>
                <w:szCs w:val="20"/>
              </w:rPr>
            </w:pPr>
            <w:r w:rsidRPr="00000199">
              <w:rPr>
                <w:rFonts w:ascii="Times New Roman" w:hAnsi="Times New Roman"/>
                <w:b/>
                <w:color w:val="000000"/>
                <w:sz w:val="20"/>
                <w:szCs w:val="20"/>
              </w:rPr>
              <w:t>3</w:t>
            </w:r>
          </w:p>
        </w:tc>
        <w:tc>
          <w:tcPr>
            <w:tcW w:w="992"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center"/>
          </w:tcPr>
          <w:p w:rsidR="0091003A" w:rsidRPr="00000199" w:rsidP="00F85E1D">
            <w:pPr>
              <w:suppressAutoHyphens/>
              <w:bidi w:val="0"/>
              <w:jc w:val="center"/>
              <w:rPr>
                <w:rFonts w:ascii="Times New Roman" w:hAnsi="Times New Roman"/>
                <w:b/>
                <w:color w:val="000000"/>
                <w:sz w:val="20"/>
                <w:szCs w:val="20"/>
              </w:rPr>
            </w:pPr>
            <w:r w:rsidRPr="00000199">
              <w:rPr>
                <w:rFonts w:ascii="Times New Roman" w:hAnsi="Times New Roman"/>
                <w:b/>
                <w:color w:val="000000"/>
                <w:sz w:val="20"/>
                <w:szCs w:val="20"/>
              </w:rPr>
              <w:t>4</w:t>
            </w:r>
          </w:p>
        </w:tc>
        <w:tc>
          <w:tcPr>
            <w:tcW w:w="993" w:type="dxa"/>
            <w:tcBorders>
              <w:top w:val="single" w:sz="4" w:space="0" w:color="FFFFFF"/>
              <w:left w:val="single" w:sz="4" w:space="0" w:color="auto"/>
              <w:bottom w:val="single" w:sz="4" w:space="0" w:color="auto"/>
              <w:right w:val="single" w:sz="4" w:space="0" w:color="auto"/>
            </w:tcBorders>
            <w:noWrap/>
            <w:tcMar>
              <w:left w:w="0" w:type="dxa"/>
              <w:right w:w="0" w:type="dxa"/>
            </w:tcMar>
            <w:textDirection w:val="lrTb"/>
            <w:vAlign w:val="center"/>
          </w:tcPr>
          <w:p w:rsidR="0091003A" w:rsidRPr="00000199" w:rsidP="00F85E1D">
            <w:pPr>
              <w:suppressAutoHyphens/>
              <w:bidi w:val="0"/>
              <w:jc w:val="center"/>
              <w:rPr>
                <w:rFonts w:ascii="Times New Roman" w:hAnsi="Times New Roman"/>
                <w:b/>
                <w:color w:val="000000"/>
                <w:sz w:val="20"/>
                <w:szCs w:val="20"/>
              </w:rPr>
            </w:pPr>
            <w:r w:rsidRPr="00000199">
              <w:rPr>
                <w:rFonts w:ascii="Times New Roman" w:hAnsi="Times New Roman"/>
                <w:b/>
                <w:color w:val="000000"/>
                <w:sz w:val="20"/>
                <w:szCs w:val="20"/>
              </w:rPr>
              <w:t>5=3-2</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vlády SR</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91003A" w:rsidRPr="008E4204" w:rsidP="00D07062">
            <w:pPr>
              <w:bidi w:val="0"/>
              <w:jc w:val="right"/>
              <w:rPr>
                <w:rFonts w:ascii="Times New Roman" w:hAnsi="Times New Roman"/>
                <w:color w:val="000000"/>
                <w:sz w:val="20"/>
                <w:szCs w:val="20"/>
              </w:rPr>
            </w:pPr>
            <w:r w:rsidRPr="008E4204">
              <w:rPr>
                <w:rFonts w:ascii="Times New Roman" w:hAnsi="Times New Roman"/>
                <w:color w:val="000000"/>
                <w:sz w:val="20"/>
                <w:szCs w:val="20"/>
              </w:rPr>
              <w:t>26 310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117</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117</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5</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vnútra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bidi w:val="0"/>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58</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58</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58</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životného prostredia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12 862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12 862</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512"/>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školstva, vedy, výskumu a športu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402 975</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398 005</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398 005</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390 771</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zdravotníctva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2 199</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2 199</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551"/>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práce, sociálnych vecí a rodiny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1 989</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1 983</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791</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-6</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kultúry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2 256</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2 207</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2 207</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-49</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hospodárstva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33</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491"/>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pôdohospodárstva a rozvoja vidieka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46 502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46 502</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636"/>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102055">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dopravy, výstavby a</w:t>
            </w:r>
            <w:r w:rsidR="00102055">
              <w:rPr>
                <w:rFonts w:ascii="Times New Roman" w:hAnsi="Times New Roman"/>
                <w:color w:val="000000"/>
                <w:sz w:val="20"/>
                <w:szCs w:val="20"/>
              </w:rPr>
              <w:t> </w:t>
            </w:r>
            <w:r w:rsidRPr="008E4204">
              <w:rPr>
                <w:rFonts w:ascii="Times New Roman" w:hAnsi="Times New Roman"/>
                <w:color w:val="000000"/>
                <w:sz w:val="20"/>
                <w:szCs w:val="20"/>
              </w:rPr>
              <w:t>region</w:t>
            </w:r>
            <w:r w:rsidR="00102055">
              <w:rPr>
                <w:rFonts w:ascii="Times New Roman" w:hAnsi="Times New Roman"/>
                <w:color w:val="000000"/>
                <w:sz w:val="20"/>
                <w:szCs w:val="20"/>
              </w:rPr>
              <w:t xml:space="preserve">álneho </w:t>
            </w:r>
            <w:r w:rsidRPr="008E4204">
              <w:rPr>
                <w:rFonts w:ascii="Times New Roman" w:hAnsi="Times New Roman"/>
                <w:color w:val="000000"/>
                <w:sz w:val="20"/>
                <w:szCs w:val="20"/>
              </w:rPr>
              <w:t>rozvoja SR</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96</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Všeobecná pokladničná správa</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8 230</w:t>
            </w:r>
          </w:p>
        </w:tc>
        <w:tc>
          <w:tcPr>
            <w:tcW w:w="113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8 113</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8 113</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-117</w:t>
            </w:r>
          </w:p>
        </w:tc>
      </w:tr>
      <w:tr>
        <w:tblPrEx>
          <w:tblW w:w="5109" w:type="pct"/>
          <w:jc w:val="center"/>
          <w:tblInd w:w="-318" w:type="dxa"/>
          <w:tblLayout w:type="fixed"/>
          <w:tblLook w:val="04A0"/>
        </w:tblPrEx>
        <w:trPr>
          <w:trHeight w:hRule="exact" w:val="284"/>
          <w:jc w:val="center"/>
        </w:trPr>
        <w:tc>
          <w:tcPr>
            <w:tcW w:w="4537"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Slovenská akadémia vied</w:t>
            </w:r>
          </w:p>
        </w:tc>
        <w:tc>
          <w:tcPr>
            <w:tcW w:w="1134"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1134" w:type="dxa"/>
            <w:tcBorders>
              <w:top w:val="single" w:sz="4" w:space="0" w:color="auto"/>
              <w:left w:val="single" w:sz="4" w:space="0" w:color="auto"/>
              <w:bottom w:val="double" w:sz="6" w:space="0" w:color="auto"/>
              <w:right w:val="single" w:sz="4" w:space="0" w:color="auto"/>
            </w:tcBorders>
            <w:shd w:val="clear" w:color="auto" w:fill="D9D9D9"/>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7</w:t>
            </w:r>
          </w:p>
        </w:tc>
        <w:tc>
          <w:tcPr>
            <w:tcW w:w="992"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0</w:t>
            </w:r>
          </w:p>
        </w:tc>
        <w:tc>
          <w:tcPr>
            <w:tcW w:w="993"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color w:val="000000"/>
                <w:sz w:val="20"/>
                <w:szCs w:val="20"/>
              </w:rPr>
            </w:pPr>
            <w:r w:rsidRPr="008E4204">
              <w:rPr>
                <w:rFonts w:ascii="Times New Roman" w:hAnsi="Times New Roman"/>
                <w:color w:val="000000"/>
                <w:sz w:val="20"/>
                <w:szCs w:val="20"/>
              </w:rPr>
              <w:t>7</w:t>
            </w:r>
          </w:p>
        </w:tc>
      </w:tr>
      <w:tr>
        <w:tblPrEx>
          <w:tblW w:w="5109" w:type="pct"/>
          <w:jc w:val="center"/>
          <w:tblInd w:w="-318" w:type="dxa"/>
          <w:tblLayout w:type="fixed"/>
          <w:tblLook w:val="04A0"/>
        </w:tblPrEx>
        <w:trPr>
          <w:trHeight w:hRule="exact" w:val="284"/>
          <w:jc w:val="center"/>
        </w:trPr>
        <w:tc>
          <w:tcPr>
            <w:tcW w:w="4537" w:type="dxa"/>
            <w:tcBorders>
              <w:top w:val="double" w:sz="6"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b/>
                <w:color w:val="000000"/>
                <w:sz w:val="20"/>
                <w:szCs w:val="20"/>
              </w:rPr>
            </w:pPr>
            <w:r w:rsidRPr="008E4204">
              <w:rPr>
                <w:rFonts w:ascii="Times New Roman" w:hAnsi="Times New Roman"/>
                <w:b/>
                <w:color w:val="000000"/>
                <w:sz w:val="20"/>
                <w:szCs w:val="20"/>
              </w:rPr>
              <w:t>Spolu</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color w:val="000000"/>
                <w:sz w:val="20"/>
                <w:szCs w:val="20"/>
              </w:rPr>
            </w:pPr>
            <w:r w:rsidRPr="008E4204">
              <w:rPr>
                <w:rFonts w:ascii="Times New Roman" w:hAnsi="Times New Roman"/>
                <w:b/>
                <w:color w:val="000000"/>
                <w:sz w:val="20"/>
                <w:szCs w:val="20"/>
              </w:rPr>
              <w:t>429 285</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color w:val="000000"/>
                <w:sz w:val="20"/>
                <w:szCs w:val="20"/>
              </w:rPr>
            </w:pPr>
            <w:r w:rsidRPr="008E4204">
              <w:rPr>
                <w:rFonts w:ascii="Times New Roman" w:hAnsi="Times New Roman"/>
                <w:b/>
                <w:color w:val="000000"/>
                <w:sz w:val="20"/>
                <w:szCs w:val="20"/>
              </w:rPr>
              <w:t>472 342</w:t>
            </w:r>
          </w:p>
        </w:tc>
        <w:tc>
          <w:tcPr>
            <w:tcW w:w="1134" w:type="dxa"/>
            <w:tcBorders>
              <w:top w:val="double" w:sz="6" w:space="0" w:color="auto"/>
              <w:left w:val="single" w:sz="4" w:space="0" w:color="auto"/>
              <w:bottom w:val="single" w:sz="4" w:space="0" w:color="auto"/>
              <w:right w:val="single" w:sz="4" w:space="0" w:color="auto"/>
            </w:tcBorders>
            <w:shd w:val="clear" w:color="auto" w:fill="D9D9D9"/>
            <w:noWrap/>
            <w:textDirection w:val="lrTb"/>
            <w:vAlign w:val="center"/>
          </w:tcPr>
          <w:p w:rsidR="0091003A" w:rsidRPr="008E4204" w:rsidP="00D07062">
            <w:pPr>
              <w:suppressAutoHyphens/>
              <w:bidi w:val="0"/>
              <w:ind w:hanging="108"/>
              <w:jc w:val="right"/>
              <w:rPr>
                <w:rFonts w:ascii="Times New Roman" w:hAnsi="Times New Roman"/>
                <w:b/>
                <w:color w:val="000000"/>
                <w:sz w:val="20"/>
                <w:szCs w:val="20"/>
              </w:rPr>
            </w:pPr>
            <w:r w:rsidRPr="008E4204">
              <w:rPr>
                <w:rFonts w:ascii="Times New Roman" w:hAnsi="Times New Roman"/>
                <w:b/>
                <w:color w:val="000000"/>
                <w:sz w:val="20"/>
                <w:szCs w:val="20"/>
              </w:rPr>
              <w:t>472 182</w:t>
            </w:r>
          </w:p>
        </w:tc>
        <w:tc>
          <w:tcPr>
            <w:tcW w:w="992"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color w:val="000000"/>
                <w:sz w:val="20"/>
                <w:szCs w:val="20"/>
              </w:rPr>
            </w:pPr>
            <w:r w:rsidRPr="008E4204">
              <w:rPr>
                <w:rFonts w:ascii="Times New Roman" w:hAnsi="Times New Roman"/>
                <w:b/>
                <w:color w:val="000000"/>
                <w:sz w:val="20"/>
                <w:szCs w:val="20"/>
              </w:rPr>
              <w:t>402 057</w:t>
            </w:r>
          </w:p>
        </w:tc>
        <w:tc>
          <w:tcPr>
            <w:tcW w:w="993"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color w:val="000000"/>
                <w:sz w:val="20"/>
                <w:szCs w:val="20"/>
              </w:rPr>
            </w:pPr>
            <w:r w:rsidRPr="008E4204">
              <w:rPr>
                <w:rFonts w:ascii="Times New Roman" w:hAnsi="Times New Roman"/>
                <w:b/>
                <w:color w:val="000000"/>
                <w:sz w:val="20"/>
                <w:szCs w:val="20"/>
              </w:rPr>
              <w:t>-160</w:t>
            </w:r>
          </w:p>
        </w:tc>
      </w:tr>
    </w:tbl>
    <w:p w:rsidR="0062036C" w:rsidP="00317D89">
      <w:pPr>
        <w:suppressAutoHyphens/>
        <w:bidi w:val="0"/>
        <w:ind w:firstLine="142"/>
        <w:jc w:val="both"/>
        <w:rPr>
          <w:rFonts w:ascii="Times New Roman" w:hAnsi="Times New Roman"/>
          <w:sz w:val="20"/>
          <w:szCs w:val="20"/>
        </w:rPr>
      </w:pPr>
      <w:r w:rsidRPr="008E4204">
        <w:rPr>
          <w:rFonts w:ascii="Times New Roman" w:hAnsi="Times New Roman"/>
          <w:sz w:val="20"/>
          <w:szCs w:val="20"/>
        </w:rPr>
        <w:t>Poznámka: *</w:t>
      </w:r>
      <w:r>
        <w:rPr>
          <w:rFonts w:ascii="Times New Roman" w:hAnsi="Times New Roman"/>
          <w:sz w:val="20"/>
          <w:szCs w:val="20"/>
        </w:rPr>
        <w:t xml:space="preserve"> len </w:t>
      </w:r>
      <w:r w:rsidRPr="008E4204">
        <w:rPr>
          <w:rFonts w:ascii="Times New Roman" w:hAnsi="Times New Roman"/>
          <w:sz w:val="20"/>
          <w:szCs w:val="20"/>
        </w:rPr>
        <w:t xml:space="preserve">prostriedky štátneho rozpočtu </w:t>
      </w:r>
    </w:p>
    <w:p w:rsidR="0091003A" w:rsidRPr="008E4204" w:rsidP="00317D89">
      <w:pPr>
        <w:suppressAutoHyphens/>
        <w:bidi w:val="0"/>
        <w:spacing w:line="360" w:lineRule="auto"/>
        <w:ind w:firstLine="142"/>
        <w:jc w:val="both"/>
        <w:rPr>
          <w:rFonts w:ascii="Times New Roman" w:hAnsi="Times New Roman"/>
          <w:color w:val="000000"/>
          <w:sz w:val="20"/>
          <w:szCs w:val="20"/>
        </w:rPr>
      </w:pPr>
      <w:r w:rsidRPr="008E4204">
        <w:rPr>
          <w:rFonts w:ascii="Times New Roman" w:hAnsi="Times New Roman"/>
          <w:color w:val="000000"/>
          <w:sz w:val="20"/>
          <w:szCs w:val="20"/>
        </w:rPr>
        <w:t>Zdroj: Ministerstvo financií SR</w:t>
      </w:r>
    </w:p>
    <w:p w:rsidR="0091003A" w:rsidP="0091003A">
      <w:pPr>
        <w:suppressAutoHyphens/>
        <w:bidi w:val="0"/>
        <w:spacing w:line="360" w:lineRule="auto"/>
        <w:jc w:val="both"/>
        <w:rPr>
          <w:rFonts w:ascii="Times New Roman" w:hAnsi="Times New Roman"/>
          <w:color w:val="000000"/>
          <w:sz w:val="18"/>
          <w:szCs w:val="18"/>
        </w:rPr>
      </w:pPr>
    </w:p>
    <w:p w:rsidR="0091003A" w:rsidP="0091003A">
      <w:pPr>
        <w:suppressAutoHyphens/>
        <w:bidi w:val="0"/>
        <w:spacing w:line="360" w:lineRule="auto"/>
        <w:jc w:val="both"/>
        <w:rPr>
          <w:rFonts w:ascii="Times New Roman" w:hAnsi="Times New Roman"/>
        </w:rPr>
      </w:pPr>
      <w:r w:rsidR="00E62A64">
        <w:rPr>
          <w:rFonts w:ascii="Times New Roman" w:hAnsi="Times New Roman"/>
        </w:rPr>
        <w:t xml:space="preserve">   </w:t>
      </w:r>
      <w:r>
        <w:rPr>
          <w:rFonts w:ascii="Times New Roman" w:hAnsi="Times New Roman"/>
        </w:rPr>
        <w:t>Pre porovnanie uvádzame prehľad poskytnutých grantov a transferov za roky 2010 a 2009.</w:t>
      </w:r>
    </w:p>
    <w:tbl>
      <w:tblPr>
        <w:tblStyle w:val="TableNormal"/>
        <w:tblW w:w="474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6"/>
        <w:gridCol w:w="1202"/>
        <w:gridCol w:w="1276"/>
        <w:gridCol w:w="1134"/>
        <w:gridCol w:w="1275"/>
      </w:tblGrid>
      <w:tr>
        <w:tblPrEx>
          <w:tblW w:w="474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454"/>
          <w:jc w:val="center"/>
        </w:trPr>
        <w:tc>
          <w:tcPr>
            <w:tcW w:w="4187"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F0DFA" w:rsidP="00D07062">
            <w:pPr>
              <w:suppressAutoHyphens/>
              <w:bidi w:val="0"/>
              <w:jc w:val="center"/>
              <w:rPr>
                <w:rFonts w:ascii="Times New Roman" w:hAnsi="Times New Roman"/>
                <w:b/>
                <w:color w:val="FFFFFF"/>
                <w:sz w:val="20"/>
                <w:szCs w:val="20"/>
              </w:rPr>
            </w:pPr>
            <w:r w:rsidRPr="004F0DFA">
              <w:rPr>
                <w:rFonts w:ascii="Times New Roman" w:hAnsi="Times New Roman"/>
                <w:b/>
                <w:color w:val="FFFFFF"/>
                <w:sz w:val="20"/>
                <w:szCs w:val="20"/>
              </w:rPr>
              <w:t>Kapitola</w:t>
            </w:r>
          </w:p>
          <w:p w:rsidR="0091003A" w:rsidRPr="004F0DFA" w:rsidP="00D07062">
            <w:pPr>
              <w:suppressAutoHyphens/>
              <w:bidi w:val="0"/>
              <w:jc w:val="center"/>
              <w:rPr>
                <w:rFonts w:ascii="Times New Roman" w:hAnsi="Times New Roman"/>
                <w:b/>
                <w:color w:val="FFFFFF"/>
                <w:sz w:val="20"/>
                <w:szCs w:val="20"/>
              </w:rPr>
            </w:pPr>
          </w:p>
          <w:p w:rsidR="00F85E1D" w:rsidRPr="004F0DFA" w:rsidP="00F85E1D">
            <w:pPr>
              <w:suppressAutoHyphens/>
              <w:bidi w:val="0"/>
              <w:rPr>
                <w:rFonts w:ascii="Times New Roman" w:hAnsi="Times New Roman"/>
                <w:b/>
                <w:color w:val="FFFFFF"/>
                <w:sz w:val="20"/>
                <w:szCs w:val="20"/>
              </w:rPr>
            </w:pPr>
            <w:r w:rsidRPr="004F0DFA">
              <w:rPr>
                <w:rFonts w:ascii="Times New Roman" w:hAnsi="Times New Roman"/>
                <w:b/>
                <w:color w:val="FFFFFF"/>
                <w:sz w:val="20"/>
                <w:szCs w:val="20"/>
              </w:rPr>
              <w:t>(v tis.</w:t>
            </w:r>
            <w:r w:rsidRPr="004F0DFA" w:rsidR="004F0DFA">
              <w:rPr>
                <w:rFonts w:ascii="Times New Roman" w:hAnsi="Times New Roman"/>
                <w:b/>
                <w:color w:val="FFFFFF"/>
                <w:sz w:val="20"/>
                <w:szCs w:val="20"/>
              </w:rPr>
              <w:t xml:space="preserve"> </w:t>
            </w:r>
            <w:r w:rsidRPr="004F0DFA">
              <w:rPr>
                <w:rFonts w:ascii="Times New Roman" w:hAnsi="Times New Roman"/>
                <w:b/>
                <w:color w:val="FFFFFF"/>
                <w:sz w:val="20"/>
                <w:szCs w:val="20"/>
              </w:rPr>
              <w:t>eur)</w:t>
            </w:r>
          </w:p>
        </w:tc>
        <w:tc>
          <w:tcPr>
            <w:tcW w:w="4887" w:type="dxa"/>
            <w:gridSpan w:val="4"/>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F0DFA" w:rsidP="00D07062">
            <w:pPr>
              <w:suppressAutoHyphens/>
              <w:bidi w:val="0"/>
              <w:jc w:val="center"/>
              <w:rPr>
                <w:rFonts w:ascii="Times New Roman" w:hAnsi="Times New Roman"/>
                <w:b/>
                <w:color w:val="FFFFFF"/>
                <w:sz w:val="20"/>
                <w:szCs w:val="20"/>
              </w:rPr>
            </w:pPr>
            <w:r w:rsidRPr="004B18B6" w:rsidR="00802C5E">
              <w:rPr>
                <w:rFonts w:ascii="Times New Roman" w:hAnsi="Times New Roman"/>
                <w:b/>
                <w:color w:val="FFFFFF"/>
                <w:sz w:val="20"/>
                <w:szCs w:val="20"/>
              </w:rPr>
              <w:t>Skutočnosť</w:t>
            </w:r>
          </w:p>
        </w:tc>
      </w:tr>
      <w:tr>
        <w:tblPrEx>
          <w:tblW w:w="4740" w:type="pct"/>
          <w:jc w:val="center"/>
          <w:tblInd w:w="108" w:type="dxa"/>
          <w:tblLayout w:type="fixed"/>
          <w:tblLook w:val="04A0"/>
        </w:tblPrEx>
        <w:trPr>
          <w:trHeight w:hRule="exact" w:val="673"/>
          <w:jc w:val="center"/>
        </w:trPr>
        <w:tc>
          <w:tcPr>
            <w:tcW w:w="4187"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top"/>
          </w:tcPr>
          <w:p w:rsidR="0091003A" w:rsidRPr="004B18B6" w:rsidP="00D07062">
            <w:pPr>
              <w:suppressAutoHyphens/>
              <w:bidi w:val="0"/>
              <w:ind w:firstLine="567"/>
              <w:jc w:val="both"/>
              <w:rPr>
                <w:rFonts w:ascii="Times New Roman" w:hAnsi="Times New Roman"/>
                <w:b/>
                <w:color w:val="FFFFFF"/>
                <w:sz w:val="20"/>
                <w:szCs w:val="20"/>
              </w:rPr>
            </w:pPr>
          </w:p>
        </w:tc>
        <w:tc>
          <w:tcPr>
            <w:tcW w:w="1202"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4F0DFA">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 xml:space="preserve">2010 </w:t>
            </w:r>
          </w:p>
        </w:tc>
        <w:tc>
          <w:tcPr>
            <w:tcW w:w="127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D07062">
            <w:pPr>
              <w:suppressAutoHyphens/>
              <w:bidi w:val="0"/>
              <w:jc w:val="center"/>
              <w:rPr>
                <w:rFonts w:ascii="Times New Roman" w:hAnsi="Times New Roman"/>
                <w:b/>
                <w:color w:val="FFFFFF"/>
                <w:sz w:val="20"/>
                <w:szCs w:val="20"/>
              </w:rPr>
            </w:pPr>
            <w:r w:rsidR="00802C5E">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4F0DFA">
            <w:pPr>
              <w:suppressAutoHyphens/>
              <w:bidi w:val="0"/>
              <w:jc w:val="center"/>
              <w:rPr>
                <w:rFonts w:ascii="Times New Roman" w:hAnsi="Times New Roman"/>
                <w:b/>
                <w:color w:val="FFFFFF"/>
                <w:sz w:val="20"/>
                <w:szCs w:val="20"/>
              </w:rPr>
            </w:pPr>
            <w:r w:rsidRPr="004B18B6">
              <w:rPr>
                <w:rFonts w:ascii="Times New Roman" w:hAnsi="Times New Roman"/>
                <w:b/>
                <w:color w:val="FFFFFF"/>
                <w:sz w:val="20"/>
                <w:szCs w:val="20"/>
              </w:rPr>
              <w:t>2009</w:t>
            </w:r>
          </w:p>
        </w:tc>
        <w:tc>
          <w:tcPr>
            <w:tcW w:w="127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91003A" w:rsidRPr="004B18B6" w:rsidP="00D07062">
            <w:pPr>
              <w:suppressAutoHyphens/>
              <w:bidi w:val="0"/>
              <w:jc w:val="center"/>
              <w:rPr>
                <w:rFonts w:ascii="Times New Roman" w:hAnsi="Times New Roman"/>
                <w:b/>
                <w:color w:val="FFFFFF"/>
                <w:sz w:val="20"/>
                <w:szCs w:val="20"/>
              </w:rPr>
            </w:pPr>
            <w:r w:rsidR="00802C5E">
              <w:rPr>
                <w:rFonts w:ascii="Times New Roman" w:hAnsi="Times New Roman"/>
                <w:b/>
                <w:color w:val="FFFFFF"/>
                <w:sz w:val="20"/>
                <w:szCs w:val="20"/>
              </w:rPr>
              <w:t>z</w:t>
            </w:r>
            <w:r w:rsidRPr="004B18B6">
              <w:rPr>
                <w:rFonts w:ascii="Times New Roman" w:hAnsi="Times New Roman"/>
                <w:b/>
                <w:color w:val="FFFFFF"/>
                <w:sz w:val="20"/>
                <w:szCs w:val="20"/>
              </w:rPr>
              <w:t xml:space="preserve"> toho: zdroj 111*</w:t>
            </w:r>
          </w:p>
        </w:tc>
      </w:tr>
      <w:tr>
        <w:tblPrEx>
          <w:tblW w:w="4740" w:type="pct"/>
          <w:jc w:val="center"/>
          <w:tblInd w:w="108" w:type="dxa"/>
          <w:tblLayout w:type="fixed"/>
          <w:tblLook w:val="04A0"/>
        </w:tblPrEx>
        <w:trPr>
          <w:trHeight w:hRule="exact" w:val="284"/>
          <w:jc w:val="center"/>
        </w:trPr>
        <w:tc>
          <w:tcPr>
            <w:tcW w:w="4187"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Úrad vlády SR</w:t>
            </w:r>
          </w:p>
        </w:tc>
        <w:tc>
          <w:tcPr>
            <w:tcW w:w="1202" w:type="dxa"/>
            <w:tcBorders>
              <w:top w:val="single" w:sz="4" w:space="0" w:color="FFFFFF"/>
              <w:left w:val="single" w:sz="4" w:space="0" w:color="auto"/>
              <w:bottom w:val="single" w:sz="4" w:space="0" w:color="auto"/>
              <w:right w:val="single" w:sz="4" w:space="0" w:color="auto"/>
            </w:tcBorders>
            <w:shd w:val="clear" w:color="auto" w:fill="FFFFFF"/>
            <w:noWrap/>
            <w:textDirection w:val="lrTb"/>
            <w:vAlign w:val="center"/>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1 169</w:t>
            </w:r>
          </w:p>
        </w:tc>
        <w:tc>
          <w:tcPr>
            <w:tcW w:w="1276"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1 169</w:t>
            </w:r>
          </w:p>
        </w:tc>
        <w:tc>
          <w:tcPr>
            <w:tcW w:w="1134"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317</w:t>
            </w:r>
          </w:p>
        </w:tc>
        <w:tc>
          <w:tcPr>
            <w:tcW w:w="1275" w:type="dxa"/>
            <w:tcBorders>
              <w:top w:val="single" w:sz="4" w:space="0" w:color="FFFFFF"/>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317</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vnútra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bidi w:val="0"/>
              <w:jc w:val="right"/>
              <w:rPr>
                <w:rFonts w:ascii="Times New Roman" w:hAnsi="Times New Roman"/>
                <w:sz w:val="20"/>
                <w:szCs w:val="20"/>
              </w:rPr>
            </w:pPr>
            <w:r w:rsidRPr="008E4204">
              <w:rPr>
                <w:rFonts w:ascii="Times New Roman" w:hAnsi="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237</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219</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financií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životného prostredia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1 005</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615</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599</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školstva, vedy, výskumu a športu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410 030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401 464</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410 758</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404 432</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zdravotníctva</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446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945</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práce, sociálnych vecí a rodiny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1 566</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1 196</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2 683</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1 412</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kultúry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2 452</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2 452</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2 261</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2 261</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hospodárstva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1 674</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pôdohospodárstva a rozvoja vidieka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16 471</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231</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9F3F3B">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Ministerstvo výstavby a regionálneho rozvoja SR</w:t>
            </w:r>
          </w:p>
        </w:tc>
        <w:tc>
          <w:tcPr>
            <w:tcW w:w="12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19 168</w:t>
            </w:r>
          </w:p>
        </w:tc>
        <w:tc>
          <w:tcPr>
            <w:tcW w:w="1276"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6 705</w:t>
            </w:r>
          </w:p>
        </w:tc>
        <w:tc>
          <w:tcPr>
            <w:tcW w:w="1275" w:type="dxa"/>
            <w:tcBorders>
              <w:top w:val="single" w:sz="4"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264</w:t>
            </w:r>
          </w:p>
        </w:tc>
      </w:tr>
      <w:tr>
        <w:tblPrEx>
          <w:tblW w:w="4740" w:type="pct"/>
          <w:jc w:val="center"/>
          <w:tblInd w:w="108" w:type="dxa"/>
          <w:tblLayout w:type="fixed"/>
          <w:tblLook w:val="04A0"/>
        </w:tblPrEx>
        <w:trPr>
          <w:trHeight w:hRule="exact" w:val="284"/>
          <w:jc w:val="center"/>
        </w:trPr>
        <w:tc>
          <w:tcPr>
            <w:tcW w:w="4187"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rPr>
                <w:rFonts w:ascii="Times New Roman" w:hAnsi="Times New Roman"/>
                <w:color w:val="000000"/>
                <w:sz w:val="20"/>
                <w:szCs w:val="20"/>
              </w:rPr>
            </w:pPr>
            <w:r w:rsidRPr="008E4204">
              <w:rPr>
                <w:rFonts w:ascii="Times New Roman" w:hAnsi="Times New Roman"/>
                <w:color w:val="000000"/>
                <w:sz w:val="20"/>
                <w:szCs w:val="20"/>
              </w:rPr>
              <w:t>Všeobecná pokladničná správa</w:t>
            </w:r>
          </w:p>
        </w:tc>
        <w:tc>
          <w:tcPr>
            <w:tcW w:w="1202" w:type="dxa"/>
            <w:tcBorders>
              <w:top w:val="single" w:sz="4" w:space="0" w:color="auto"/>
              <w:left w:val="single" w:sz="4" w:space="0" w:color="auto"/>
              <w:bottom w:val="double" w:sz="6" w:space="0" w:color="auto"/>
              <w:right w:val="single" w:sz="4" w:space="0" w:color="auto"/>
            </w:tcBorders>
            <w:shd w:val="clear" w:color="auto" w:fill="FFFFFF"/>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42 945</w:t>
            </w:r>
          </w:p>
        </w:tc>
        <w:tc>
          <w:tcPr>
            <w:tcW w:w="1276"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42 945</w:t>
            </w:r>
          </w:p>
        </w:tc>
        <w:tc>
          <w:tcPr>
            <w:tcW w:w="1134"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2 605</w:t>
            </w:r>
          </w:p>
        </w:tc>
        <w:tc>
          <w:tcPr>
            <w:tcW w:w="1275" w:type="dxa"/>
            <w:tcBorders>
              <w:top w:val="single" w:sz="4" w:space="0" w:color="auto"/>
              <w:left w:val="single" w:sz="4" w:space="0" w:color="auto"/>
              <w:bottom w:val="double" w:sz="6" w:space="0" w:color="auto"/>
              <w:right w:val="single" w:sz="4" w:space="0" w:color="auto"/>
            </w:tcBorders>
            <w:noWrap/>
            <w:textDirection w:val="lrTb"/>
            <w:vAlign w:val="bottom"/>
          </w:tcPr>
          <w:p w:rsidR="0091003A" w:rsidRPr="008E4204" w:rsidP="00D07062">
            <w:pPr>
              <w:suppressAutoHyphens/>
              <w:bidi w:val="0"/>
              <w:ind w:hanging="108"/>
              <w:jc w:val="right"/>
              <w:rPr>
                <w:rFonts w:ascii="Times New Roman" w:hAnsi="Times New Roman"/>
                <w:sz w:val="20"/>
                <w:szCs w:val="20"/>
              </w:rPr>
            </w:pPr>
            <w:r w:rsidRPr="008E4204">
              <w:rPr>
                <w:rFonts w:ascii="Times New Roman" w:hAnsi="Times New Roman"/>
                <w:sz w:val="20"/>
                <w:szCs w:val="20"/>
              </w:rPr>
              <w:t>2 605</w:t>
            </w:r>
          </w:p>
        </w:tc>
      </w:tr>
      <w:tr>
        <w:tblPrEx>
          <w:tblW w:w="4740" w:type="pct"/>
          <w:jc w:val="center"/>
          <w:tblInd w:w="108" w:type="dxa"/>
          <w:tblLayout w:type="fixed"/>
          <w:tblLook w:val="04A0"/>
        </w:tblPrEx>
        <w:trPr>
          <w:trHeight w:hRule="exact" w:val="284"/>
          <w:jc w:val="center"/>
        </w:trPr>
        <w:tc>
          <w:tcPr>
            <w:tcW w:w="4187" w:type="dxa"/>
            <w:tcBorders>
              <w:top w:val="double" w:sz="6" w:space="0" w:color="auto"/>
              <w:left w:val="single" w:sz="4" w:space="0" w:color="auto"/>
              <w:bottom w:val="single" w:sz="4" w:space="0" w:color="auto"/>
              <w:right w:val="single" w:sz="4" w:space="0" w:color="auto"/>
            </w:tcBorders>
            <w:noWrap/>
            <w:textDirection w:val="lrTb"/>
            <w:vAlign w:val="bottom"/>
          </w:tcPr>
          <w:p w:rsidR="0091003A" w:rsidRPr="008E4204" w:rsidP="00D07062">
            <w:pPr>
              <w:suppressAutoHyphens/>
              <w:bidi w:val="0"/>
              <w:rPr>
                <w:rFonts w:ascii="Times New Roman" w:hAnsi="Times New Roman"/>
                <w:b/>
                <w:color w:val="000000"/>
                <w:sz w:val="20"/>
                <w:szCs w:val="20"/>
              </w:rPr>
            </w:pPr>
            <w:r w:rsidRPr="008E4204">
              <w:rPr>
                <w:rFonts w:ascii="Times New Roman" w:hAnsi="Times New Roman"/>
                <w:b/>
                <w:color w:val="000000"/>
                <w:sz w:val="20"/>
                <w:szCs w:val="20"/>
              </w:rPr>
              <w:t>Spolu</w:t>
            </w:r>
          </w:p>
        </w:tc>
        <w:tc>
          <w:tcPr>
            <w:tcW w:w="1202" w:type="dxa"/>
            <w:tcBorders>
              <w:top w:val="double" w:sz="6" w:space="0" w:color="auto"/>
              <w:left w:val="single" w:sz="4" w:space="0" w:color="auto"/>
              <w:bottom w:val="single" w:sz="4" w:space="0" w:color="auto"/>
              <w:right w:val="single" w:sz="4" w:space="0" w:color="auto"/>
            </w:tcBorders>
            <w:shd w:val="clear" w:color="auto" w:fill="FFFFFF"/>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495 348</w:t>
            </w:r>
          </w:p>
        </w:tc>
        <w:tc>
          <w:tcPr>
            <w:tcW w:w="1276"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449 233</w:t>
            </w:r>
          </w:p>
        </w:tc>
        <w:tc>
          <w:tcPr>
            <w:tcW w:w="1134"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429 031</w:t>
            </w:r>
          </w:p>
        </w:tc>
        <w:tc>
          <w:tcPr>
            <w:tcW w:w="1275" w:type="dxa"/>
            <w:tcBorders>
              <w:top w:val="double" w:sz="6" w:space="0" w:color="auto"/>
              <w:left w:val="single" w:sz="4" w:space="0" w:color="auto"/>
              <w:bottom w:val="single" w:sz="4" w:space="0" w:color="auto"/>
              <w:right w:val="single" w:sz="4" w:space="0" w:color="auto"/>
            </w:tcBorders>
            <w:noWrap/>
            <w:textDirection w:val="lrTb"/>
            <w:vAlign w:val="center"/>
          </w:tcPr>
          <w:p w:rsidR="0091003A" w:rsidRPr="008E4204" w:rsidP="00D07062">
            <w:pPr>
              <w:suppressAutoHyphens/>
              <w:bidi w:val="0"/>
              <w:ind w:hanging="108"/>
              <w:jc w:val="right"/>
              <w:rPr>
                <w:rFonts w:ascii="Times New Roman" w:hAnsi="Times New Roman"/>
                <w:b/>
                <w:sz w:val="20"/>
                <w:szCs w:val="20"/>
              </w:rPr>
            </w:pPr>
            <w:r w:rsidRPr="008E4204">
              <w:rPr>
                <w:rFonts w:ascii="Times New Roman" w:hAnsi="Times New Roman"/>
                <w:b/>
                <w:sz w:val="20"/>
                <w:szCs w:val="20"/>
              </w:rPr>
              <w:t>412 109</w:t>
            </w:r>
          </w:p>
        </w:tc>
      </w:tr>
    </w:tbl>
    <w:p w:rsidR="0062036C" w:rsidP="0062036C">
      <w:pPr>
        <w:suppressAutoHyphens/>
        <w:bidi w:val="0"/>
        <w:jc w:val="both"/>
        <w:rPr>
          <w:rFonts w:ascii="Times New Roman" w:hAnsi="Times New Roman"/>
          <w:sz w:val="20"/>
          <w:szCs w:val="20"/>
        </w:rPr>
      </w:pPr>
      <w:r w:rsidR="001D1477">
        <w:rPr>
          <w:rFonts w:ascii="Times New Roman" w:hAnsi="Times New Roman"/>
          <w:sz w:val="20"/>
          <w:szCs w:val="20"/>
        </w:rPr>
        <w:t xml:space="preserve"> </w:t>
      </w:r>
      <w:r w:rsidR="00AA0BE0">
        <w:rPr>
          <w:rFonts w:ascii="Times New Roman" w:hAnsi="Times New Roman"/>
          <w:sz w:val="20"/>
          <w:szCs w:val="20"/>
        </w:rPr>
        <w:t xml:space="preserve"> </w:t>
      </w:r>
      <w:r w:rsidR="001D1477">
        <w:rPr>
          <w:rFonts w:ascii="Times New Roman" w:hAnsi="Times New Roman"/>
          <w:sz w:val="20"/>
          <w:szCs w:val="20"/>
        </w:rPr>
        <w:t xml:space="preserve"> </w:t>
      </w:r>
      <w:r w:rsidRPr="008E4204">
        <w:rPr>
          <w:rFonts w:ascii="Times New Roman" w:hAnsi="Times New Roman"/>
          <w:sz w:val="20"/>
          <w:szCs w:val="20"/>
        </w:rPr>
        <w:t>Poznámka: *</w:t>
      </w:r>
      <w:r>
        <w:rPr>
          <w:rFonts w:ascii="Times New Roman" w:hAnsi="Times New Roman"/>
          <w:sz w:val="20"/>
          <w:szCs w:val="20"/>
        </w:rPr>
        <w:t xml:space="preserve"> len </w:t>
      </w:r>
      <w:r w:rsidRPr="008E4204">
        <w:rPr>
          <w:rFonts w:ascii="Times New Roman" w:hAnsi="Times New Roman"/>
          <w:sz w:val="20"/>
          <w:szCs w:val="20"/>
        </w:rPr>
        <w:t xml:space="preserve">prostriedky štátneho rozpočtu </w:t>
      </w:r>
    </w:p>
    <w:p w:rsidR="0091003A" w:rsidRPr="008E4204" w:rsidP="0091003A">
      <w:pPr>
        <w:suppressAutoHyphens/>
        <w:bidi w:val="0"/>
        <w:spacing w:line="360" w:lineRule="auto"/>
        <w:jc w:val="both"/>
        <w:rPr>
          <w:rFonts w:ascii="Times New Roman" w:hAnsi="Times New Roman"/>
          <w:sz w:val="20"/>
          <w:szCs w:val="20"/>
        </w:rPr>
      </w:pPr>
      <w:r w:rsidR="001D1477">
        <w:rPr>
          <w:rFonts w:ascii="Times New Roman" w:hAnsi="Times New Roman"/>
          <w:sz w:val="20"/>
          <w:szCs w:val="20"/>
        </w:rPr>
        <w:t xml:space="preserve">  </w:t>
      </w:r>
      <w:r w:rsidR="00AA0BE0">
        <w:rPr>
          <w:rFonts w:ascii="Times New Roman" w:hAnsi="Times New Roman"/>
          <w:sz w:val="20"/>
          <w:szCs w:val="20"/>
        </w:rPr>
        <w:t xml:space="preserve"> </w:t>
      </w:r>
      <w:r w:rsidRPr="008E4204">
        <w:rPr>
          <w:rFonts w:ascii="Times New Roman" w:hAnsi="Times New Roman"/>
          <w:sz w:val="20"/>
          <w:szCs w:val="20"/>
        </w:rPr>
        <w:t>Zdroj: Ministerstvo financií SR</w:t>
      </w:r>
    </w:p>
    <w:p w:rsidR="0091003A" w:rsidRPr="00BC4AB9" w:rsidP="004D431A">
      <w:pPr>
        <w:suppressAutoHyphens/>
        <w:bidi w:val="0"/>
        <w:spacing w:before="120" w:after="120" w:line="360" w:lineRule="auto"/>
        <w:jc w:val="both"/>
        <w:rPr>
          <w:rFonts w:ascii="Times New Roman" w:hAnsi="Times New Roman"/>
        </w:rPr>
      </w:pPr>
      <w:r>
        <w:rPr>
          <w:rFonts w:ascii="Times New Roman" w:hAnsi="Times New Roman"/>
        </w:rPr>
        <w:t xml:space="preserve">Na celkovom objeme poskytnutých </w:t>
      </w:r>
      <w:r w:rsidRPr="004D431A">
        <w:rPr>
          <w:rFonts w:ascii="Times New Roman" w:hAnsi="Times New Roman"/>
          <w:b/>
        </w:rPr>
        <w:t>grantov a transferov VÚC</w:t>
      </w:r>
      <w:r>
        <w:rPr>
          <w:rFonts w:ascii="Times New Roman" w:hAnsi="Times New Roman"/>
        </w:rPr>
        <w:t xml:space="preserve"> sa najväčšou sumou podieľalo Ministerstvo školstva</w:t>
      </w:r>
      <w:r w:rsidR="00852256">
        <w:rPr>
          <w:rFonts w:ascii="Times New Roman" w:hAnsi="Times New Roman"/>
        </w:rPr>
        <w:t xml:space="preserve">, </w:t>
      </w:r>
      <w:r w:rsidRPr="00852256" w:rsidR="00852256">
        <w:rPr>
          <w:rFonts w:ascii="Times New Roman" w:hAnsi="Times New Roman"/>
          <w:color w:val="000000"/>
        </w:rPr>
        <w:t>vedy, výskumu a športu SR</w:t>
      </w:r>
      <w:r>
        <w:rPr>
          <w:rFonts w:ascii="Times New Roman" w:hAnsi="Times New Roman"/>
        </w:rPr>
        <w:t>, ktoré na tento účel vynaložilo 398 005 tis. eur</w:t>
      </w:r>
      <w:r w:rsidR="0027716F">
        <w:rPr>
          <w:rFonts w:ascii="Times New Roman" w:hAnsi="Times New Roman"/>
        </w:rPr>
        <w:t xml:space="preserve"> (2010: 410 030 tis. eur)</w:t>
      </w:r>
      <w:r>
        <w:rPr>
          <w:rFonts w:ascii="Times New Roman" w:hAnsi="Times New Roman"/>
        </w:rPr>
        <w:t>. Z tejto sumy smerovala podstatná časť – 340 109 tis. eur na činnosť stredných odborných škôl. Ostatné prostriedky boli určené pre gymnáziá, predškolskú výchovu a základné vzdelávanie, atď.</w:t>
      </w:r>
    </w:p>
    <w:p w:rsidR="0091003A" w:rsidP="004D431A">
      <w:pPr>
        <w:bidi w:val="0"/>
        <w:spacing w:before="120" w:after="120" w:line="360" w:lineRule="auto"/>
        <w:jc w:val="both"/>
        <w:rPr>
          <w:rFonts w:ascii="Times New Roman" w:hAnsi="Times New Roman"/>
          <w:color w:val="000000"/>
        </w:rPr>
      </w:pPr>
      <w:r w:rsidRPr="007B4C8B">
        <w:rPr>
          <w:rFonts w:ascii="Times New Roman" w:hAnsi="Times New Roman"/>
          <w:color w:val="000000"/>
        </w:rPr>
        <w:t xml:space="preserve">V kapitole Všeobecná pokladničná správa na rok 2011 neboli schválené žiadne transfery pre vyššie územné celky. Rozpočtovým opatreniami bol navýšený rozpočet dotácií na bežné výdavky </w:t>
      </w:r>
      <w:r>
        <w:rPr>
          <w:rFonts w:ascii="Times New Roman" w:hAnsi="Times New Roman"/>
          <w:color w:val="000000"/>
        </w:rPr>
        <w:t>na</w:t>
      </w:r>
      <w:r w:rsidRPr="007B4C8B">
        <w:rPr>
          <w:rFonts w:ascii="Times New Roman" w:hAnsi="Times New Roman"/>
          <w:color w:val="000000"/>
        </w:rPr>
        <w:t xml:space="preserve"> sum</w:t>
      </w:r>
      <w:r>
        <w:rPr>
          <w:rFonts w:ascii="Times New Roman" w:hAnsi="Times New Roman"/>
          <w:color w:val="000000"/>
        </w:rPr>
        <w:t>u</w:t>
      </w:r>
      <w:r w:rsidRPr="007B4C8B">
        <w:rPr>
          <w:rFonts w:ascii="Times New Roman" w:hAnsi="Times New Roman"/>
          <w:color w:val="000000"/>
        </w:rPr>
        <w:t xml:space="preserve"> 8 230 tis. eur. Dotácie boli </w:t>
      </w:r>
      <w:r>
        <w:rPr>
          <w:rFonts w:ascii="Times New Roman" w:hAnsi="Times New Roman"/>
          <w:color w:val="000000"/>
        </w:rPr>
        <w:t>určené</w:t>
      </w:r>
      <w:r w:rsidRPr="007B4C8B">
        <w:rPr>
          <w:rFonts w:ascii="Times New Roman" w:hAnsi="Times New Roman"/>
          <w:color w:val="000000"/>
        </w:rPr>
        <w:t xml:space="preserve"> na účel vyplývajúci z </w:t>
      </w:r>
      <w:r w:rsidRPr="007B4C8B">
        <w:rPr>
          <w:rFonts w:ascii="Times New Roman" w:hAnsi="Times New Roman"/>
          <w:bCs/>
          <w:color w:val="000000"/>
        </w:rPr>
        <w:t xml:space="preserve">monitoringu implementácie zákona č. 448/2008 Z. z. o sociálnych službách za obdobie </w:t>
      </w:r>
      <w:r w:rsidRPr="007B4C8B">
        <w:rPr>
          <w:rFonts w:ascii="Times New Roman" w:hAnsi="Times New Roman"/>
          <w:color w:val="000000"/>
        </w:rPr>
        <w:t>2. polroka 2010 (uznesenie</w:t>
      </w:r>
      <w:r w:rsidR="00AA0BE0">
        <w:rPr>
          <w:rFonts w:ascii="Times New Roman" w:hAnsi="Times New Roman"/>
          <w:color w:val="000000"/>
        </w:rPr>
        <w:t xml:space="preserve"> v</w:t>
      </w:r>
      <w:r w:rsidRPr="007B4C8B">
        <w:rPr>
          <w:rFonts w:ascii="Times New Roman" w:hAnsi="Times New Roman"/>
          <w:color w:val="000000"/>
        </w:rPr>
        <w:t>lády</w:t>
      </w:r>
      <w:r w:rsidR="00AA0BE0">
        <w:rPr>
          <w:rFonts w:ascii="Times New Roman" w:hAnsi="Times New Roman"/>
          <w:color w:val="000000"/>
        </w:rPr>
        <w:t xml:space="preserve"> </w:t>
      </w:r>
      <w:r w:rsidRPr="007B4C8B">
        <w:rPr>
          <w:rFonts w:ascii="Times New Roman" w:hAnsi="Times New Roman"/>
          <w:color w:val="000000"/>
        </w:rPr>
        <w:t xml:space="preserve">č. 333/2011), na ochranu majetku pred povodňami (uznesenia vlády </w:t>
      </w:r>
      <w:r w:rsidR="00AA0BE0">
        <w:rPr>
          <w:rFonts w:ascii="Times New Roman" w:hAnsi="Times New Roman"/>
          <w:color w:val="000000"/>
        </w:rPr>
        <w:br/>
      </w:r>
      <w:r w:rsidRPr="007B4C8B">
        <w:rPr>
          <w:rFonts w:ascii="Times New Roman" w:hAnsi="Times New Roman"/>
          <w:color w:val="000000"/>
        </w:rPr>
        <w:t>č. 326/2011 a 820/2011) a na financovanie sociálnych služieb poskytovaných vybranými neverejnými poskytovateľmi (uznesenie č. 485/2011).</w:t>
      </w:r>
    </w:p>
    <w:p w:rsidR="0091003A" w:rsidP="004D431A">
      <w:pPr>
        <w:bidi w:val="0"/>
        <w:spacing w:before="120" w:after="120" w:line="360" w:lineRule="auto"/>
        <w:jc w:val="both"/>
        <w:rPr>
          <w:rFonts w:ascii="Times New Roman" w:hAnsi="Times New Roman"/>
        </w:rPr>
      </w:pPr>
      <w:r>
        <w:rPr>
          <w:rFonts w:ascii="Times New Roman" w:hAnsi="Times New Roman"/>
        </w:rPr>
        <w:t>V skutočnosti sa vyšším územným celkom zo štátneho rozpočtu z kapitoly Všeobecná pokladničná správa poskytli finančné prostriedky v celkovej sume 8 230 tis. eur</w:t>
      </w:r>
      <w:r w:rsidR="0027716F">
        <w:rPr>
          <w:rFonts w:ascii="Times New Roman" w:hAnsi="Times New Roman"/>
        </w:rPr>
        <w:t xml:space="preserve"> (2010: 43 168 tis. eur)</w:t>
      </w:r>
      <w:r>
        <w:rPr>
          <w:rFonts w:ascii="Times New Roman" w:hAnsi="Times New Roman"/>
        </w:rPr>
        <w:t>, t. j. 100 % z upraveného rozpočtu vrátane 117 tis. eur vrátených ako nepoužité prostriedky v roku, v ktorom boli poskytnuté. Z celkovej sumy pripadá na:</w:t>
      </w:r>
    </w:p>
    <w:tbl>
      <w:tblPr>
        <w:tblStyle w:val="TableNormal"/>
        <w:tblW w:w="0" w:type="auto"/>
        <w:jc w:val="center"/>
        <w:tblInd w:w="-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955"/>
        <w:gridCol w:w="1970"/>
      </w:tblGrid>
      <w:tr>
        <w:tblPrEx>
          <w:tblW w:w="0" w:type="auto"/>
          <w:jc w:val="center"/>
          <w:tblInd w:w="-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Ex>
        <w:trPr>
          <w:trHeight w:hRule="exact" w:val="567"/>
          <w:jc w:val="center"/>
        </w:trPr>
        <w:tc>
          <w:tcPr>
            <w:tcW w:w="6955"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B866BC" w:rsidP="00B866BC">
            <w:pPr>
              <w:bidi w:val="0"/>
              <w:ind w:firstLine="64"/>
              <w:jc w:val="center"/>
              <w:rPr>
                <w:rFonts w:ascii="Times New Roman" w:hAnsi="Times New Roman"/>
                <w:b/>
                <w:color w:val="FFFFFF"/>
                <w:sz w:val="20"/>
                <w:szCs w:val="20"/>
              </w:rPr>
            </w:pPr>
            <w:r w:rsidRPr="007725D5" w:rsidR="000E2C34">
              <w:rPr>
                <w:rFonts w:ascii="Times New Roman" w:hAnsi="Times New Roman"/>
                <w:b/>
                <w:color w:val="FFFFFF"/>
                <w:sz w:val="20"/>
                <w:szCs w:val="20"/>
              </w:rPr>
              <w:t>Ukazovateľ</w:t>
            </w:r>
          </w:p>
          <w:p w:rsidR="000E2C34" w:rsidRPr="007725D5" w:rsidP="00B866BC">
            <w:pPr>
              <w:bidi w:val="0"/>
              <w:ind w:firstLine="64"/>
              <w:jc w:val="both"/>
              <w:rPr>
                <w:rFonts w:ascii="Times New Roman" w:hAnsi="Times New Roman"/>
                <w:b/>
                <w:color w:val="FFFFFF"/>
                <w:sz w:val="20"/>
                <w:szCs w:val="20"/>
              </w:rPr>
            </w:pPr>
            <w:r w:rsidRPr="007725D5">
              <w:rPr>
                <w:rFonts w:ascii="Times New Roman" w:hAnsi="Times New Roman"/>
                <w:b/>
                <w:color w:val="FFFFFF"/>
                <w:sz w:val="20"/>
                <w:szCs w:val="20"/>
              </w:rPr>
              <w:t>(v tis. eur)</w:t>
            </w:r>
          </w:p>
        </w:tc>
        <w:tc>
          <w:tcPr>
            <w:tcW w:w="1970"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0E2C34" w:rsidRPr="007725D5" w:rsidP="000E2C34">
            <w:pPr>
              <w:bidi w:val="0"/>
              <w:rPr>
                <w:rFonts w:ascii="Times New Roman" w:hAnsi="Times New Roman"/>
                <w:b/>
                <w:color w:val="FFFFFF"/>
                <w:sz w:val="20"/>
                <w:szCs w:val="20"/>
              </w:rPr>
            </w:pPr>
            <w:r w:rsidRPr="007725D5">
              <w:rPr>
                <w:rFonts w:ascii="Times New Roman" w:hAnsi="Times New Roman"/>
                <w:b/>
                <w:color w:val="FFFFFF"/>
                <w:sz w:val="20"/>
                <w:szCs w:val="20"/>
              </w:rPr>
              <w:t>Skutočnosť 2011</w:t>
            </w:r>
          </w:p>
        </w:tc>
      </w:tr>
      <w:tr>
        <w:tblPrEx>
          <w:tblW w:w="0" w:type="auto"/>
          <w:jc w:val="center"/>
          <w:tblInd w:w="-49" w:type="dxa"/>
          <w:tblLayout w:type="fixed"/>
          <w:tblLook w:val="01E0"/>
        </w:tblPrEx>
        <w:trPr>
          <w:trHeight w:hRule="exact" w:val="329"/>
          <w:jc w:val="center"/>
        </w:trPr>
        <w:tc>
          <w:tcPr>
            <w:tcW w:w="6955" w:type="dxa"/>
            <w:tcBorders>
              <w:top w:val="single" w:sz="4" w:space="0" w:color="FFFFFF"/>
              <w:left w:val="single" w:sz="4" w:space="0" w:color="auto"/>
              <w:bottom w:val="single" w:sz="4" w:space="0" w:color="auto"/>
              <w:right w:val="single" w:sz="4" w:space="0" w:color="auto"/>
            </w:tcBorders>
            <w:textDirection w:val="lrTb"/>
            <w:vAlign w:val="center"/>
          </w:tcPr>
          <w:p w:rsidR="0091003A" w:rsidRPr="00A715DF" w:rsidP="00D07062">
            <w:pPr>
              <w:bidi w:val="0"/>
              <w:ind w:firstLine="64"/>
              <w:jc w:val="both"/>
              <w:rPr>
                <w:rFonts w:ascii="Times New Roman" w:hAnsi="Times New Roman"/>
                <w:color w:val="000000"/>
                <w:sz w:val="20"/>
                <w:szCs w:val="20"/>
              </w:rPr>
            </w:pPr>
            <w:r w:rsidRPr="00A715DF">
              <w:rPr>
                <w:rFonts w:ascii="Times New Roman" w:hAnsi="Times New Roman"/>
                <w:color w:val="000000"/>
                <w:sz w:val="20"/>
                <w:szCs w:val="20"/>
              </w:rPr>
              <w:t>Implementácia zákona č. 448/</w:t>
            </w:r>
            <w:r w:rsidRPr="0074741B">
              <w:rPr>
                <w:rFonts w:ascii="Times New Roman" w:hAnsi="Times New Roman"/>
                <w:color w:val="000000"/>
                <w:sz w:val="20"/>
                <w:szCs w:val="20"/>
              </w:rPr>
              <w:t>2008 Z. z.</w:t>
            </w:r>
            <w:r w:rsidRPr="0074741B" w:rsidR="0074741B">
              <w:rPr>
                <w:rFonts w:ascii="Times New Roman" w:hAnsi="Times New Roman"/>
                <w:color w:val="000000"/>
                <w:sz w:val="20"/>
                <w:szCs w:val="20"/>
              </w:rPr>
              <w:t xml:space="preserve"> </w:t>
            </w:r>
            <w:r w:rsidRPr="0074741B" w:rsidR="0074741B">
              <w:rPr>
                <w:rFonts w:ascii="Times New Roman" w:hAnsi="Times New Roman"/>
                <w:bCs/>
                <w:sz w:val="20"/>
                <w:szCs w:val="20"/>
              </w:rPr>
              <w:t>o sociálnych službách</w:t>
            </w:r>
          </w:p>
        </w:tc>
        <w:tc>
          <w:tcPr>
            <w:tcW w:w="1970" w:type="dxa"/>
            <w:tcBorders>
              <w:top w:val="single" w:sz="4" w:space="0" w:color="FFFFFF"/>
              <w:left w:val="single" w:sz="4" w:space="0" w:color="auto"/>
              <w:bottom w:val="single" w:sz="4" w:space="0" w:color="auto"/>
              <w:right w:val="single" w:sz="4" w:space="0" w:color="auto"/>
            </w:tcBorders>
            <w:textDirection w:val="lrTb"/>
            <w:vAlign w:val="center"/>
          </w:tcPr>
          <w:p w:rsidR="0091003A" w:rsidRPr="00A715DF" w:rsidP="00D07062">
            <w:pPr>
              <w:bidi w:val="0"/>
              <w:ind w:firstLine="567"/>
              <w:jc w:val="right"/>
              <w:rPr>
                <w:rFonts w:ascii="Times New Roman" w:hAnsi="Times New Roman"/>
                <w:color w:val="000000"/>
                <w:sz w:val="20"/>
                <w:szCs w:val="20"/>
              </w:rPr>
            </w:pPr>
            <w:r w:rsidRPr="00A715DF">
              <w:rPr>
                <w:rFonts w:ascii="Times New Roman" w:hAnsi="Times New Roman"/>
                <w:color w:val="000000"/>
                <w:sz w:val="20"/>
                <w:szCs w:val="20"/>
              </w:rPr>
              <w:t>3 032</w:t>
            </w:r>
          </w:p>
        </w:tc>
      </w:tr>
      <w:tr>
        <w:tblPrEx>
          <w:tblW w:w="0" w:type="auto"/>
          <w:jc w:val="center"/>
          <w:tblInd w:w="-49" w:type="dxa"/>
          <w:tblLayout w:type="fixed"/>
          <w:tblLook w:val="01E0"/>
        </w:tblPrEx>
        <w:trPr>
          <w:trHeight w:hRule="exact" w:val="329"/>
          <w:jc w:val="center"/>
        </w:trPr>
        <w:tc>
          <w:tcPr>
            <w:tcW w:w="6955" w:type="dxa"/>
            <w:tcBorders>
              <w:top w:val="sing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jc w:val="both"/>
              <w:rPr>
                <w:rFonts w:ascii="Times New Roman" w:hAnsi="Times New Roman"/>
                <w:color w:val="000000"/>
                <w:sz w:val="20"/>
                <w:szCs w:val="20"/>
              </w:rPr>
            </w:pPr>
            <w:r w:rsidRPr="00A715DF">
              <w:rPr>
                <w:rFonts w:ascii="Times New Roman" w:hAnsi="Times New Roman"/>
                <w:color w:val="000000"/>
                <w:sz w:val="20"/>
                <w:szCs w:val="20"/>
              </w:rPr>
              <w:t xml:space="preserve"> Ochrana majetku pred povodňami – uznesenia vlády č. 326/2011 a 820/2011</w:t>
            </w:r>
          </w:p>
        </w:tc>
        <w:tc>
          <w:tcPr>
            <w:tcW w:w="1970" w:type="dxa"/>
            <w:tcBorders>
              <w:top w:val="sing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ind w:firstLine="567"/>
              <w:jc w:val="right"/>
              <w:rPr>
                <w:rFonts w:ascii="Times New Roman" w:hAnsi="Times New Roman"/>
                <w:color w:val="000000"/>
                <w:sz w:val="20"/>
                <w:szCs w:val="20"/>
              </w:rPr>
            </w:pPr>
            <w:r>
              <w:rPr>
                <w:rFonts w:ascii="Times New Roman" w:hAnsi="Times New Roman"/>
                <w:color w:val="000000"/>
                <w:sz w:val="20"/>
                <w:szCs w:val="20"/>
              </w:rPr>
              <w:t>378</w:t>
            </w:r>
          </w:p>
        </w:tc>
      </w:tr>
      <w:tr>
        <w:tblPrEx>
          <w:tblW w:w="0" w:type="auto"/>
          <w:jc w:val="center"/>
          <w:tblInd w:w="-49" w:type="dxa"/>
          <w:tblLayout w:type="fixed"/>
          <w:tblLook w:val="01E0"/>
        </w:tblPrEx>
        <w:trPr>
          <w:trHeight w:hRule="exact" w:val="329"/>
          <w:jc w:val="center"/>
        </w:trPr>
        <w:tc>
          <w:tcPr>
            <w:tcW w:w="6955" w:type="dxa"/>
            <w:tcBorders>
              <w:top w:val="sing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ind w:firstLine="64"/>
              <w:jc w:val="both"/>
              <w:rPr>
                <w:rFonts w:ascii="Times New Roman" w:hAnsi="Times New Roman"/>
                <w:color w:val="000000"/>
                <w:sz w:val="20"/>
                <w:szCs w:val="20"/>
              </w:rPr>
            </w:pPr>
            <w:r w:rsidRPr="00A715DF">
              <w:rPr>
                <w:rFonts w:ascii="Times New Roman" w:hAnsi="Times New Roman"/>
                <w:color w:val="000000"/>
                <w:sz w:val="20"/>
                <w:szCs w:val="20"/>
              </w:rPr>
              <w:t>Dotácia na základe zákona č. 171/2005 Z. z. o hazardných hrách</w:t>
            </w:r>
          </w:p>
        </w:tc>
        <w:tc>
          <w:tcPr>
            <w:tcW w:w="1970" w:type="dxa"/>
            <w:tcBorders>
              <w:top w:val="sing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ind w:firstLine="567"/>
              <w:jc w:val="right"/>
              <w:rPr>
                <w:rFonts w:ascii="Times New Roman" w:hAnsi="Times New Roman"/>
                <w:color w:val="000000"/>
                <w:sz w:val="20"/>
                <w:szCs w:val="20"/>
              </w:rPr>
            </w:pPr>
            <w:r>
              <w:rPr>
                <w:rFonts w:ascii="Times New Roman" w:hAnsi="Times New Roman"/>
                <w:color w:val="000000"/>
                <w:sz w:val="20"/>
                <w:szCs w:val="20"/>
              </w:rPr>
              <w:t>13</w:t>
            </w:r>
          </w:p>
        </w:tc>
      </w:tr>
      <w:tr>
        <w:tblPrEx>
          <w:tblW w:w="0" w:type="auto"/>
          <w:jc w:val="center"/>
          <w:tblInd w:w="-49" w:type="dxa"/>
          <w:tblLayout w:type="fixed"/>
          <w:tblLook w:val="01E0"/>
        </w:tblPrEx>
        <w:trPr>
          <w:trHeight w:hRule="exact" w:val="329"/>
          <w:jc w:val="center"/>
        </w:trPr>
        <w:tc>
          <w:tcPr>
            <w:tcW w:w="6955" w:type="dxa"/>
            <w:tcBorders>
              <w:top w:val="single" w:sz="4" w:space="0" w:color="auto"/>
              <w:left w:val="single" w:sz="4" w:space="0" w:color="auto"/>
              <w:bottom w:val="double" w:sz="4" w:space="0" w:color="auto"/>
              <w:right w:val="single" w:sz="4" w:space="0" w:color="auto"/>
            </w:tcBorders>
            <w:textDirection w:val="lrTb"/>
            <w:vAlign w:val="center"/>
          </w:tcPr>
          <w:p w:rsidR="0091003A" w:rsidRPr="00A715DF" w:rsidP="00D07062">
            <w:pPr>
              <w:bidi w:val="0"/>
              <w:ind w:firstLine="64"/>
              <w:jc w:val="both"/>
              <w:rPr>
                <w:rFonts w:ascii="Times New Roman" w:hAnsi="Times New Roman"/>
                <w:color w:val="000000"/>
                <w:sz w:val="20"/>
                <w:szCs w:val="20"/>
              </w:rPr>
            </w:pPr>
            <w:r w:rsidRPr="00A715DF">
              <w:rPr>
                <w:rFonts w:ascii="Times New Roman" w:hAnsi="Times New Roman"/>
                <w:color w:val="000000"/>
                <w:sz w:val="20"/>
                <w:szCs w:val="20"/>
              </w:rPr>
              <w:t>Sociálne zabezpečenie - uznesenie vlády č. 485/2011</w:t>
            </w:r>
          </w:p>
        </w:tc>
        <w:tc>
          <w:tcPr>
            <w:tcW w:w="1970" w:type="dxa"/>
            <w:tcBorders>
              <w:top w:val="single" w:sz="4" w:space="0" w:color="auto"/>
              <w:left w:val="single" w:sz="4" w:space="0" w:color="auto"/>
              <w:bottom w:val="double" w:sz="4" w:space="0" w:color="auto"/>
              <w:right w:val="single" w:sz="4" w:space="0" w:color="auto"/>
            </w:tcBorders>
            <w:textDirection w:val="lrTb"/>
            <w:vAlign w:val="center"/>
          </w:tcPr>
          <w:p w:rsidR="0091003A" w:rsidRPr="00A715DF" w:rsidP="00D07062">
            <w:pPr>
              <w:bidi w:val="0"/>
              <w:ind w:firstLine="567"/>
              <w:jc w:val="right"/>
              <w:rPr>
                <w:rFonts w:ascii="Times New Roman" w:hAnsi="Times New Roman"/>
                <w:color w:val="000000"/>
                <w:sz w:val="20"/>
                <w:szCs w:val="20"/>
              </w:rPr>
            </w:pPr>
            <w:r w:rsidRPr="00A715DF">
              <w:rPr>
                <w:rFonts w:ascii="Times New Roman" w:hAnsi="Times New Roman"/>
                <w:color w:val="000000"/>
                <w:sz w:val="20"/>
                <w:szCs w:val="20"/>
              </w:rPr>
              <w:t>4 80</w:t>
            </w:r>
            <w:r>
              <w:rPr>
                <w:rFonts w:ascii="Times New Roman" w:hAnsi="Times New Roman"/>
                <w:color w:val="000000"/>
                <w:sz w:val="20"/>
                <w:szCs w:val="20"/>
              </w:rPr>
              <w:t>7</w:t>
            </w:r>
          </w:p>
        </w:tc>
      </w:tr>
      <w:tr>
        <w:tblPrEx>
          <w:tblW w:w="0" w:type="auto"/>
          <w:jc w:val="center"/>
          <w:tblInd w:w="-49" w:type="dxa"/>
          <w:tblLayout w:type="fixed"/>
          <w:tblLook w:val="01E0"/>
        </w:tblPrEx>
        <w:trPr>
          <w:trHeight w:hRule="exact" w:val="329"/>
          <w:jc w:val="center"/>
        </w:trPr>
        <w:tc>
          <w:tcPr>
            <w:tcW w:w="6955" w:type="dxa"/>
            <w:tcBorders>
              <w:top w:val="doub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jc w:val="both"/>
              <w:rPr>
                <w:rFonts w:ascii="Times New Roman" w:hAnsi="Times New Roman"/>
                <w:b/>
                <w:color w:val="000000"/>
                <w:sz w:val="20"/>
                <w:szCs w:val="20"/>
              </w:rPr>
            </w:pPr>
            <w:r w:rsidRPr="00A715DF">
              <w:rPr>
                <w:rFonts w:ascii="Times New Roman" w:hAnsi="Times New Roman"/>
                <w:b/>
                <w:color w:val="000000"/>
                <w:sz w:val="20"/>
                <w:szCs w:val="20"/>
              </w:rPr>
              <w:t xml:space="preserve"> Spolu</w:t>
            </w:r>
          </w:p>
        </w:tc>
        <w:tc>
          <w:tcPr>
            <w:tcW w:w="1970" w:type="dxa"/>
            <w:tcBorders>
              <w:top w:val="double" w:sz="4" w:space="0" w:color="auto"/>
              <w:left w:val="single" w:sz="4" w:space="0" w:color="auto"/>
              <w:bottom w:val="single" w:sz="4" w:space="0" w:color="auto"/>
              <w:right w:val="single" w:sz="4" w:space="0" w:color="auto"/>
            </w:tcBorders>
            <w:textDirection w:val="lrTb"/>
            <w:vAlign w:val="center"/>
          </w:tcPr>
          <w:p w:rsidR="0091003A" w:rsidRPr="00A715DF" w:rsidP="00D07062">
            <w:pPr>
              <w:bidi w:val="0"/>
              <w:ind w:firstLine="567"/>
              <w:jc w:val="right"/>
              <w:rPr>
                <w:rFonts w:ascii="Times New Roman" w:hAnsi="Times New Roman"/>
                <w:b/>
                <w:color w:val="000000"/>
                <w:sz w:val="20"/>
                <w:szCs w:val="20"/>
              </w:rPr>
            </w:pPr>
            <w:r w:rsidRPr="00A715DF">
              <w:rPr>
                <w:rFonts w:ascii="Times New Roman" w:hAnsi="Times New Roman"/>
                <w:b/>
                <w:color w:val="000000"/>
                <w:sz w:val="20"/>
                <w:szCs w:val="20"/>
              </w:rPr>
              <w:fldChar w:fldCharType="begin"/>
            </w:r>
            <w:r w:rsidRPr="00A715DF">
              <w:rPr>
                <w:rFonts w:ascii="Times New Roman" w:hAnsi="Times New Roman"/>
                <w:b/>
                <w:color w:val="000000"/>
                <w:sz w:val="20"/>
                <w:szCs w:val="20"/>
              </w:rPr>
              <w:instrText xml:space="preserve"> =SUM(ABOVE) </w:instrText>
            </w:r>
            <w:r w:rsidRPr="00A715DF">
              <w:rPr>
                <w:rFonts w:ascii="Times New Roman" w:hAnsi="Times New Roman"/>
                <w:b/>
                <w:color w:val="000000"/>
                <w:sz w:val="20"/>
                <w:szCs w:val="20"/>
              </w:rPr>
              <w:fldChar w:fldCharType="separate"/>
            </w:r>
            <w:r w:rsidRPr="00A715DF">
              <w:rPr>
                <w:rFonts w:ascii="Times New Roman" w:hAnsi="Times New Roman"/>
                <w:b/>
                <w:noProof/>
                <w:color w:val="000000"/>
                <w:sz w:val="20"/>
                <w:szCs w:val="20"/>
              </w:rPr>
              <w:t>8 23</w:t>
            </w:r>
            <w:r>
              <w:rPr>
                <w:rFonts w:ascii="Times New Roman" w:hAnsi="Times New Roman"/>
                <w:b/>
                <w:noProof/>
                <w:color w:val="000000"/>
                <w:sz w:val="20"/>
                <w:szCs w:val="20"/>
              </w:rPr>
              <w:t>0</w:t>
            </w:r>
            <w:r w:rsidRPr="00A715DF">
              <w:rPr>
                <w:rFonts w:ascii="Times New Roman" w:hAnsi="Times New Roman"/>
                <w:b/>
                <w:color w:val="000000"/>
                <w:sz w:val="20"/>
                <w:szCs w:val="20"/>
              </w:rPr>
              <w:fldChar w:fldCharType="end"/>
            </w:r>
          </w:p>
        </w:tc>
      </w:tr>
    </w:tbl>
    <w:p w:rsidR="0091003A" w:rsidRPr="008E4204" w:rsidP="0091003A">
      <w:pPr>
        <w:bidi w:val="0"/>
        <w:jc w:val="both"/>
        <w:rPr>
          <w:rFonts w:ascii="Times New Roman" w:hAnsi="Times New Roman"/>
          <w:sz w:val="20"/>
          <w:szCs w:val="20"/>
        </w:rPr>
      </w:pPr>
      <w:r w:rsidR="001D1477">
        <w:rPr>
          <w:rFonts w:ascii="Times New Roman" w:hAnsi="Times New Roman"/>
          <w:sz w:val="20"/>
          <w:szCs w:val="20"/>
        </w:rPr>
        <w:t xml:space="preserve">      </w:t>
      </w:r>
      <w:r w:rsidRPr="008E4204">
        <w:rPr>
          <w:rFonts w:ascii="Times New Roman" w:hAnsi="Times New Roman"/>
          <w:sz w:val="20"/>
          <w:szCs w:val="20"/>
        </w:rPr>
        <w:t>Zdroj: Ministerstvo financií SR</w:t>
      </w:r>
    </w:p>
    <w:p w:rsidR="0091003A" w:rsidRPr="00B330DC" w:rsidP="0091003A">
      <w:pPr>
        <w:bidi w:val="0"/>
        <w:jc w:val="both"/>
        <w:rPr>
          <w:rFonts w:ascii="Times New Roman" w:hAnsi="Times New Roman"/>
          <w:sz w:val="16"/>
          <w:szCs w:val="16"/>
        </w:rPr>
      </w:pPr>
    </w:p>
    <w:p w:rsidR="0027716F" w:rsidRPr="00115072" w:rsidP="004D431A">
      <w:pPr>
        <w:suppressAutoHyphens/>
        <w:bidi w:val="0"/>
        <w:spacing w:line="360" w:lineRule="auto"/>
        <w:jc w:val="both"/>
        <w:rPr>
          <w:rFonts w:ascii="Times New Roman" w:hAnsi="Times New Roman"/>
          <w:color w:val="000000"/>
        </w:rPr>
      </w:pPr>
      <w:r w:rsidRPr="00115072">
        <w:rPr>
          <w:rFonts w:ascii="Times New Roman" w:hAnsi="Times New Roman"/>
          <w:color w:val="000000"/>
        </w:rPr>
        <w:t>Podľa zákona č. 564/2004 Z. z. o rozpočtovom určení výnosu dane z príjmov územnej samospráve z celkového v</w:t>
      </w:r>
      <w:r w:rsidRPr="00115072">
        <w:rPr>
          <w:rFonts w:ascii="Times New Roman" w:hAnsi="Times New Roman"/>
          <w:color w:val="000000"/>
        </w:rPr>
        <w:t>ý</w:t>
      </w:r>
      <w:r w:rsidRPr="00115072">
        <w:rPr>
          <w:rFonts w:ascii="Times New Roman" w:hAnsi="Times New Roman"/>
          <w:color w:val="000000"/>
        </w:rPr>
        <w:t>nosu dane z príjmov fyzických osôb je príjmom rozpočtov VÚC 23,5 %</w:t>
      </w:r>
      <w:r>
        <w:rPr>
          <w:rFonts w:ascii="Times New Roman" w:hAnsi="Times New Roman"/>
          <w:color w:val="000000"/>
        </w:rPr>
        <w:t xml:space="preserve"> z dane z príjmov fyzických osôb</w:t>
      </w:r>
      <w:r w:rsidRPr="00115072">
        <w:rPr>
          <w:rFonts w:ascii="Times New Roman" w:hAnsi="Times New Roman"/>
          <w:color w:val="000000"/>
        </w:rPr>
        <w:t xml:space="preserve">. Podľa finančných výkazov k 31.12.2011 </w:t>
      </w:r>
      <w:r>
        <w:rPr>
          <w:rFonts w:ascii="Times New Roman" w:hAnsi="Times New Roman"/>
          <w:color w:val="000000"/>
        </w:rPr>
        <w:t>bol výnos tejto dane v</w:t>
      </w:r>
      <w:r w:rsidRPr="00115072">
        <w:rPr>
          <w:rFonts w:ascii="Times New Roman" w:hAnsi="Times New Roman"/>
          <w:color w:val="000000"/>
        </w:rPr>
        <w:t xml:space="preserve"> sum</w:t>
      </w:r>
      <w:r>
        <w:rPr>
          <w:rFonts w:ascii="Times New Roman" w:hAnsi="Times New Roman"/>
          <w:color w:val="000000"/>
        </w:rPr>
        <w:t>e</w:t>
      </w:r>
      <w:r w:rsidRPr="00115072">
        <w:rPr>
          <w:rFonts w:ascii="Times New Roman" w:hAnsi="Times New Roman"/>
          <w:color w:val="000000"/>
        </w:rPr>
        <w:t xml:space="preserve"> 394 515 tis. eur poskytnut</w:t>
      </w:r>
      <w:r>
        <w:rPr>
          <w:rFonts w:ascii="Times New Roman" w:hAnsi="Times New Roman"/>
          <w:color w:val="000000"/>
        </w:rPr>
        <w:t xml:space="preserve">ý do rozpočtov VÚC. </w:t>
      </w:r>
      <w:r w:rsidRPr="00115072">
        <w:rPr>
          <w:rFonts w:ascii="Times New Roman" w:hAnsi="Times New Roman"/>
          <w:color w:val="000000"/>
        </w:rPr>
        <w:t>Vykazovaná suma sa rovná vykonanému prevodu do rozpočtov VÚC daňovými úradmi.</w:t>
      </w:r>
    </w:p>
    <w:p w:rsidR="0027716F" w:rsidRPr="00115072" w:rsidP="00B52084">
      <w:pPr>
        <w:suppressAutoHyphens/>
        <w:bidi w:val="0"/>
        <w:spacing w:before="120" w:after="120" w:line="360" w:lineRule="auto"/>
        <w:jc w:val="both"/>
        <w:rPr>
          <w:rFonts w:ascii="Times New Roman" w:hAnsi="Times New Roman"/>
          <w:color w:val="000000"/>
        </w:rPr>
      </w:pPr>
      <w:r w:rsidRPr="00115072">
        <w:rPr>
          <w:rFonts w:ascii="Times New Roman" w:hAnsi="Times New Roman"/>
          <w:color w:val="000000"/>
        </w:rPr>
        <w:t>Podľa zákona č. 582/2004 Z. z. o miestnych daniach a miestnom poplatku za komunálne odpady a drobné stavebné odpady je výnos dane z motorových vozidiel v plnom rozsahu príjmom rozpočtov VÚC. Prevod tejto dane podľa finančných výkazov bol vo výške 129 470 tis. eur, ktorý je zhodný s vykonaným prevodom tejto dane do rozpočtov VÚC príslušnými daňovými úradmi.</w:t>
      </w:r>
    </w:p>
    <w:p w:rsidR="0091003A" w:rsidRPr="00622C09" w:rsidP="00B52084">
      <w:pPr>
        <w:suppressAutoHyphens/>
        <w:bidi w:val="0"/>
        <w:spacing w:before="120" w:after="120" w:line="360" w:lineRule="auto"/>
        <w:jc w:val="both"/>
        <w:rPr>
          <w:rFonts w:ascii="Times New Roman" w:hAnsi="Times New Roman"/>
        </w:rPr>
      </w:pPr>
      <w:r>
        <w:rPr>
          <w:rFonts w:ascii="Times New Roman" w:hAnsi="Times New Roman"/>
        </w:rPr>
        <w:t>Prehľad záväzných limitov dotácií VÚC za rok 2011 je uvedený v</w:t>
      </w:r>
      <w:r w:rsidR="00B866BC">
        <w:rPr>
          <w:rFonts w:ascii="Times New Roman" w:hAnsi="Times New Roman"/>
        </w:rPr>
        <w:t xml:space="preserve"> tab. č. 21 </w:t>
      </w:r>
      <w:r>
        <w:rPr>
          <w:rFonts w:ascii="Times New Roman" w:hAnsi="Times New Roman"/>
        </w:rPr>
        <w:t xml:space="preserve">tabuľkovej </w:t>
      </w:r>
      <w:r w:rsidR="004D431A">
        <w:rPr>
          <w:rFonts w:ascii="Times New Roman" w:hAnsi="Times New Roman"/>
        </w:rPr>
        <w:t>príloh</w:t>
      </w:r>
      <w:r w:rsidR="00B866BC">
        <w:rPr>
          <w:rFonts w:ascii="Times New Roman" w:hAnsi="Times New Roman"/>
        </w:rPr>
        <w:t>y</w:t>
      </w:r>
      <w:r>
        <w:rPr>
          <w:rFonts w:ascii="Times New Roman" w:hAnsi="Times New Roman"/>
        </w:rPr>
        <w:t xml:space="preserve"> štátneho záverečného účtu.</w:t>
      </w:r>
    </w:p>
    <w:p w:rsidR="001D1477" w:rsidP="00B52084">
      <w:pPr>
        <w:pStyle w:val="Heading2"/>
        <w:bidi w:val="0"/>
        <w:spacing w:before="100" w:beforeAutospacing="1" w:after="100" w:afterAutospacing="1"/>
        <w:jc w:val="center"/>
        <w:rPr>
          <w:rFonts w:ascii="Times New Roman" w:hAnsi="Times New Roman"/>
          <w:color w:val="auto"/>
          <w:sz w:val="24"/>
          <w:szCs w:val="24"/>
          <w:lang w:val="sk-SK"/>
        </w:rPr>
      </w:pPr>
      <w:bookmarkStart w:id="40" w:name="_Toc322614768"/>
    </w:p>
    <w:p w:rsidR="007A648C" w:rsidRPr="00D559E8" w:rsidP="001C241F">
      <w:pPr>
        <w:pStyle w:val="Heading2"/>
        <w:bidi w:val="0"/>
        <w:spacing w:before="100" w:beforeAutospacing="1" w:after="100" w:afterAutospacing="1"/>
        <w:jc w:val="center"/>
        <w:rPr>
          <w:rFonts w:ascii="Times New Roman" w:hAnsi="Times New Roman"/>
          <w:color w:val="auto"/>
          <w:sz w:val="24"/>
          <w:szCs w:val="24"/>
        </w:rPr>
      </w:pPr>
      <w:r w:rsidR="001C241F">
        <w:rPr>
          <w:rFonts w:ascii="Times New Roman" w:hAnsi="Times New Roman"/>
          <w:color w:val="auto"/>
          <w:sz w:val="24"/>
          <w:szCs w:val="24"/>
        </w:rPr>
        <w:br w:type="page"/>
      </w:r>
      <w:r w:rsidRPr="00D559E8">
        <w:rPr>
          <w:rFonts w:ascii="Times New Roman" w:hAnsi="Times New Roman"/>
          <w:color w:val="auto"/>
          <w:sz w:val="24"/>
          <w:szCs w:val="24"/>
        </w:rPr>
        <w:t>3.</w:t>
      </w:r>
      <w:r w:rsidR="008B0183">
        <w:rPr>
          <w:rFonts w:ascii="Times New Roman" w:hAnsi="Times New Roman"/>
          <w:color w:val="auto"/>
          <w:sz w:val="24"/>
          <w:szCs w:val="24"/>
        </w:rPr>
        <w:t>7</w:t>
      </w:r>
      <w:r w:rsidRPr="00D559E8">
        <w:rPr>
          <w:rFonts w:ascii="Times New Roman" w:hAnsi="Times New Roman"/>
          <w:color w:val="auto"/>
          <w:sz w:val="24"/>
          <w:szCs w:val="24"/>
        </w:rPr>
        <w:t>. Čerpanie rezerv štátneho rozpočtu</w:t>
      </w:r>
      <w:bookmarkEnd w:id="40"/>
    </w:p>
    <w:p w:rsidR="00B57C93" w:rsidP="00B52084">
      <w:pPr>
        <w:bidi w:val="0"/>
        <w:spacing w:before="100" w:beforeAutospacing="1" w:after="100" w:afterAutospacing="1" w:line="360" w:lineRule="auto"/>
        <w:ind w:firstLine="720"/>
        <w:jc w:val="both"/>
        <w:rPr>
          <w:rFonts w:ascii="Times New Roman" w:hAnsi="Times New Roman"/>
        </w:rPr>
      </w:pPr>
      <w:r w:rsidR="007A648C">
        <w:rPr>
          <w:rFonts w:ascii="Times New Roman" w:hAnsi="Times New Roman"/>
        </w:rPr>
        <w:t>Zákonom č. 498/2010 Z. z. o štátnom rozpočte na rok 2011 schválila Národná rada SR výšku ro</w:t>
      </w:r>
      <w:r>
        <w:rPr>
          <w:rFonts w:ascii="Times New Roman" w:hAnsi="Times New Roman"/>
        </w:rPr>
        <w:t xml:space="preserve">zpočtových rezerv nasledovne: </w:t>
      </w:r>
    </w:p>
    <w:tbl>
      <w:tblPr>
        <w:tblStyle w:val="TableNormal"/>
        <w:tblW w:w="9262" w:type="dxa"/>
        <w:jc w:val="center"/>
        <w:tblBorders>
          <w:top w:val="single" w:sz="8" w:space="0" w:color="auto"/>
          <w:left w:val="single" w:sz="8" w:space="0" w:color="auto"/>
          <w:bottom w:val="double" w:sz="6" w:space="0" w:color="auto"/>
          <w:right w:val="single" w:sz="8" w:space="0" w:color="auto"/>
          <w:insideH w:val="single" w:sz="4" w:space="0" w:color="auto"/>
          <w:insideV w:val="single" w:sz="4" w:space="0" w:color="auto"/>
        </w:tblBorders>
        <w:tblLayout w:type="fixed"/>
        <w:tblLook w:val="01E0"/>
      </w:tblPr>
      <w:tblGrid>
        <w:gridCol w:w="3099"/>
        <w:gridCol w:w="1134"/>
        <w:gridCol w:w="1134"/>
        <w:gridCol w:w="964"/>
        <w:gridCol w:w="993"/>
        <w:gridCol w:w="946"/>
        <w:gridCol w:w="992"/>
      </w:tblGrid>
      <w:tr>
        <w:tblPrEx>
          <w:tblW w:w="9262" w:type="dxa"/>
          <w:jc w:val="center"/>
          <w:tblBorders>
            <w:top w:val="single" w:sz="8" w:space="0" w:color="auto"/>
            <w:left w:val="single" w:sz="8" w:space="0" w:color="auto"/>
            <w:bottom w:val="double" w:sz="6" w:space="0" w:color="auto"/>
            <w:right w:val="single" w:sz="8" w:space="0" w:color="auto"/>
            <w:insideH w:val="single" w:sz="4" w:space="0" w:color="auto"/>
            <w:insideV w:val="single" w:sz="4" w:space="0" w:color="auto"/>
          </w:tblBorders>
          <w:tblLayout w:type="fixed"/>
          <w:tblLook w:val="01E0"/>
        </w:tblPrEx>
        <w:trPr>
          <w:trHeight w:hRule="exact" w:val="340"/>
          <w:jc w:val="center"/>
        </w:trPr>
        <w:tc>
          <w:tcPr>
            <w:tcW w:w="3099" w:type="dxa"/>
            <w:vMerge w:val="restart"/>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4F0DFA" w:rsidP="00230016">
            <w:pPr>
              <w:bidi w:val="0"/>
              <w:spacing w:before="100" w:beforeAutospacing="1" w:after="100" w:afterAutospacing="1"/>
              <w:jc w:val="center"/>
              <w:rPr>
                <w:rFonts w:ascii="Times New Roman" w:hAnsi="Times New Roman"/>
                <w:b/>
                <w:sz w:val="20"/>
                <w:szCs w:val="20"/>
              </w:rPr>
            </w:pPr>
            <w:r w:rsidRPr="004F0DFA">
              <w:rPr>
                <w:rFonts w:ascii="Times New Roman" w:hAnsi="Times New Roman"/>
                <w:b/>
                <w:sz w:val="20"/>
                <w:szCs w:val="20"/>
              </w:rPr>
              <w:t>Rezerva</w:t>
            </w:r>
          </w:p>
          <w:p w:rsidR="00F03792" w:rsidRPr="004F0DFA" w:rsidP="00230016">
            <w:pPr>
              <w:bidi w:val="0"/>
              <w:spacing w:before="100" w:beforeAutospacing="1" w:after="100" w:afterAutospacing="1"/>
              <w:rPr>
                <w:rFonts w:ascii="Times New Roman" w:hAnsi="Times New Roman"/>
                <w:b/>
                <w:sz w:val="20"/>
                <w:szCs w:val="20"/>
              </w:rPr>
            </w:pPr>
            <w:r w:rsidRPr="004F0DFA">
              <w:rPr>
                <w:rFonts w:ascii="Times New Roman" w:hAnsi="Times New Roman"/>
                <w:b/>
                <w:sz w:val="20"/>
                <w:szCs w:val="20"/>
              </w:rPr>
              <w:t>(v tis. eur)</w:t>
            </w:r>
          </w:p>
        </w:tc>
        <w:tc>
          <w:tcPr>
            <w:tcW w:w="2268" w:type="dxa"/>
            <w:gridSpan w:val="2"/>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4F0DFA" w:rsidP="00230016">
            <w:pPr>
              <w:bidi w:val="0"/>
              <w:spacing w:before="100" w:beforeAutospacing="1" w:after="100" w:afterAutospacing="1"/>
              <w:jc w:val="center"/>
              <w:rPr>
                <w:rFonts w:ascii="Times New Roman" w:hAnsi="Times New Roman"/>
                <w:b/>
                <w:sz w:val="20"/>
                <w:szCs w:val="20"/>
              </w:rPr>
            </w:pPr>
            <w:r>
              <w:rPr>
                <w:rFonts w:ascii="Times New Roman" w:hAnsi="Times New Roman"/>
                <w:b/>
                <w:sz w:val="20"/>
                <w:szCs w:val="20"/>
              </w:rPr>
              <w:t>Rozpočet 2011</w:t>
            </w:r>
          </w:p>
        </w:tc>
        <w:tc>
          <w:tcPr>
            <w:tcW w:w="2903" w:type="dxa"/>
            <w:gridSpan w:val="3"/>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4F0DFA" w:rsidP="00E62A64">
            <w:pPr>
              <w:bidi w:val="0"/>
              <w:spacing w:before="100" w:beforeAutospacing="1" w:after="100" w:afterAutospacing="1"/>
              <w:jc w:val="center"/>
              <w:rPr>
                <w:rFonts w:ascii="Times New Roman" w:hAnsi="Times New Roman"/>
                <w:b/>
                <w:sz w:val="20"/>
                <w:szCs w:val="20"/>
              </w:rPr>
            </w:pPr>
            <w:r w:rsidRPr="004F0DFA">
              <w:rPr>
                <w:rFonts w:ascii="Times New Roman" w:hAnsi="Times New Roman"/>
                <w:b/>
                <w:sz w:val="20"/>
                <w:szCs w:val="20"/>
              </w:rPr>
              <w:t>Skutočnosť</w:t>
            </w:r>
          </w:p>
        </w:tc>
        <w:tc>
          <w:tcPr>
            <w:tcW w:w="992" w:type="dxa"/>
            <w:vMerge w:val="restart"/>
            <w:tcBorders>
              <w:top w:val="single" w:sz="4" w:space="0" w:color="FFFFFF"/>
              <w:left w:val="single" w:sz="4" w:space="0" w:color="FFFFFF"/>
              <w:bottom w:val="single" w:sz="4" w:space="0" w:color="auto"/>
              <w:right w:val="single" w:sz="4" w:space="0" w:color="FFFFFF"/>
            </w:tcBorders>
            <w:shd w:val="clear" w:color="auto" w:fill="000000"/>
            <w:textDirection w:val="lrTb"/>
            <w:vAlign w:val="center"/>
          </w:tcPr>
          <w:p w:rsidR="00F03792" w:rsidRPr="004F0DFA" w:rsidP="00F03792">
            <w:pPr>
              <w:bidi w:val="0"/>
              <w:spacing w:before="100" w:beforeAutospacing="1" w:after="100" w:afterAutospacing="1"/>
              <w:jc w:val="center"/>
              <w:rPr>
                <w:rFonts w:ascii="Times New Roman" w:hAnsi="Times New Roman"/>
                <w:b/>
                <w:sz w:val="20"/>
                <w:szCs w:val="20"/>
              </w:rPr>
            </w:pPr>
            <w:r>
              <w:rPr>
                <w:rFonts w:ascii="Times New Roman" w:hAnsi="Times New Roman"/>
                <w:b/>
                <w:sz w:val="20"/>
                <w:szCs w:val="20"/>
              </w:rPr>
              <w:t>Rozdiel</w:t>
            </w:r>
          </w:p>
        </w:tc>
      </w:tr>
      <w:tr>
        <w:tblPrEx>
          <w:tblW w:w="9262" w:type="dxa"/>
          <w:jc w:val="center"/>
          <w:tblLayout w:type="fixed"/>
          <w:tblLook w:val="01E0"/>
        </w:tblPrEx>
        <w:trPr>
          <w:trHeight w:hRule="exact" w:val="477"/>
          <w:jc w:val="center"/>
        </w:trPr>
        <w:tc>
          <w:tcPr>
            <w:tcW w:w="3099" w:type="dxa"/>
            <w:vMerge/>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9C3082" w:rsidP="00230016">
            <w:pPr>
              <w:bidi w:val="0"/>
              <w:spacing w:before="100" w:beforeAutospacing="1" w:after="100" w:afterAutospacing="1"/>
              <w:jc w:val="both"/>
              <w:rPr>
                <w:rFonts w:ascii="Times New Roman" w:hAnsi="Times New Roman"/>
                <w:sz w:val="20"/>
                <w:szCs w:val="20"/>
              </w:rPr>
            </w:pP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6B2C65" w:rsidP="00E415E9">
            <w:pPr>
              <w:bidi w:val="0"/>
              <w:spacing w:before="100" w:beforeAutospacing="1" w:after="100" w:afterAutospacing="1"/>
              <w:jc w:val="center"/>
              <w:rPr>
                <w:rFonts w:ascii="Times New Roman" w:hAnsi="Times New Roman"/>
                <w:b/>
                <w:sz w:val="20"/>
                <w:szCs w:val="20"/>
              </w:rPr>
            </w:pPr>
            <w:r>
              <w:rPr>
                <w:rFonts w:ascii="Times New Roman" w:hAnsi="Times New Roman"/>
                <w:b/>
                <w:sz w:val="20"/>
                <w:szCs w:val="20"/>
              </w:rPr>
              <w:t>s</w:t>
            </w:r>
            <w:r w:rsidRPr="006B2C65">
              <w:rPr>
                <w:rFonts w:ascii="Times New Roman" w:hAnsi="Times New Roman"/>
                <w:b/>
                <w:sz w:val="20"/>
                <w:szCs w:val="20"/>
              </w:rPr>
              <w:t>chválený</w:t>
            </w:r>
          </w:p>
        </w:tc>
        <w:tc>
          <w:tcPr>
            <w:tcW w:w="113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6B2C65" w:rsidP="00E415E9">
            <w:pPr>
              <w:bidi w:val="0"/>
              <w:spacing w:before="100" w:beforeAutospacing="1" w:after="100" w:afterAutospacing="1" w:line="360" w:lineRule="auto"/>
              <w:jc w:val="center"/>
              <w:rPr>
                <w:rFonts w:ascii="Times New Roman" w:hAnsi="Times New Roman"/>
                <w:b/>
                <w:sz w:val="20"/>
                <w:szCs w:val="20"/>
              </w:rPr>
            </w:pPr>
            <w:r w:rsidRPr="006B2C65">
              <w:rPr>
                <w:rFonts w:ascii="Times New Roman" w:hAnsi="Times New Roman"/>
                <w:b/>
                <w:sz w:val="20"/>
                <w:szCs w:val="20"/>
              </w:rPr>
              <w:t>upravený</w:t>
            </w:r>
          </w:p>
        </w:tc>
        <w:tc>
          <w:tcPr>
            <w:tcW w:w="964"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9C3082" w:rsidP="006B2C65">
            <w:pPr>
              <w:bidi w:val="0"/>
              <w:spacing w:before="100" w:beforeAutospacing="1" w:after="100" w:afterAutospacing="1" w:line="360" w:lineRule="auto"/>
              <w:jc w:val="center"/>
              <w:rPr>
                <w:rFonts w:ascii="Times New Roman" w:hAnsi="Times New Roman"/>
                <w:b/>
                <w:sz w:val="20"/>
                <w:szCs w:val="20"/>
              </w:rPr>
            </w:pPr>
            <w:r w:rsidRPr="009C3082">
              <w:rPr>
                <w:rFonts w:ascii="Times New Roman" w:hAnsi="Times New Roman"/>
                <w:b/>
                <w:sz w:val="20"/>
                <w:szCs w:val="20"/>
              </w:rPr>
              <w:t>2011</w:t>
            </w:r>
          </w:p>
        </w:tc>
        <w:tc>
          <w:tcPr>
            <w:tcW w:w="993"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9C3082" w:rsidP="006B2C65">
            <w:pPr>
              <w:bidi w:val="0"/>
              <w:spacing w:before="100" w:beforeAutospacing="1" w:after="100" w:afterAutospacing="1" w:line="360" w:lineRule="auto"/>
              <w:jc w:val="center"/>
              <w:rPr>
                <w:rFonts w:ascii="Times New Roman" w:hAnsi="Times New Roman"/>
                <w:b/>
                <w:sz w:val="20"/>
                <w:szCs w:val="20"/>
              </w:rPr>
            </w:pPr>
            <w:r w:rsidRPr="009C3082">
              <w:rPr>
                <w:rFonts w:ascii="Times New Roman" w:hAnsi="Times New Roman"/>
                <w:b/>
                <w:sz w:val="20"/>
                <w:szCs w:val="20"/>
              </w:rPr>
              <w:t>2010</w:t>
            </w:r>
          </w:p>
        </w:tc>
        <w:tc>
          <w:tcPr>
            <w:tcW w:w="946" w:type="dxa"/>
            <w:tcBorders>
              <w:top w:val="single" w:sz="4" w:space="0" w:color="FFFFFF"/>
              <w:left w:val="single" w:sz="4" w:space="0" w:color="FFFFFF"/>
              <w:bottom w:val="single" w:sz="4" w:space="0" w:color="FFFFFF"/>
              <w:right w:val="single" w:sz="4" w:space="0" w:color="FFFFFF"/>
            </w:tcBorders>
            <w:shd w:val="clear" w:color="auto" w:fill="000000"/>
            <w:textDirection w:val="lrTb"/>
            <w:vAlign w:val="center"/>
          </w:tcPr>
          <w:p w:rsidR="00F03792" w:rsidRPr="009C3082" w:rsidP="006B2C65">
            <w:pPr>
              <w:bidi w:val="0"/>
              <w:spacing w:before="100" w:beforeAutospacing="1" w:after="100" w:afterAutospacing="1" w:line="360" w:lineRule="auto"/>
              <w:jc w:val="center"/>
              <w:rPr>
                <w:rFonts w:ascii="Times New Roman" w:hAnsi="Times New Roman"/>
                <w:b/>
                <w:sz w:val="20"/>
                <w:szCs w:val="20"/>
              </w:rPr>
            </w:pPr>
            <w:r w:rsidRPr="009C3082">
              <w:rPr>
                <w:rFonts w:ascii="Times New Roman" w:hAnsi="Times New Roman"/>
                <w:b/>
                <w:sz w:val="20"/>
                <w:szCs w:val="20"/>
              </w:rPr>
              <w:t>2009</w:t>
            </w:r>
          </w:p>
        </w:tc>
        <w:tc>
          <w:tcPr>
            <w:tcW w:w="992" w:type="dxa"/>
            <w:vMerge/>
            <w:tcBorders>
              <w:top w:val="single" w:sz="4" w:space="0" w:color="auto"/>
              <w:left w:val="single" w:sz="4" w:space="0" w:color="FFFFFF"/>
              <w:bottom w:val="single" w:sz="4" w:space="0" w:color="FFFFFF"/>
              <w:right w:val="single" w:sz="4" w:space="0" w:color="FFFFFF"/>
            </w:tcBorders>
            <w:shd w:val="clear" w:color="auto" w:fill="000000"/>
            <w:textDirection w:val="lrTb"/>
            <w:vAlign w:val="top"/>
          </w:tcPr>
          <w:p w:rsidR="00F03792" w:rsidRPr="009C3082" w:rsidP="006B2C65">
            <w:pPr>
              <w:bidi w:val="0"/>
              <w:spacing w:before="100" w:beforeAutospacing="1" w:after="100" w:afterAutospacing="1" w:line="360" w:lineRule="auto"/>
              <w:jc w:val="center"/>
              <w:rPr>
                <w:rFonts w:ascii="Times New Roman" w:hAnsi="Times New Roman"/>
                <w:b/>
                <w:sz w:val="20"/>
                <w:szCs w:val="20"/>
              </w:rPr>
            </w:pPr>
          </w:p>
        </w:tc>
      </w:tr>
      <w:tr>
        <w:tblPrEx>
          <w:tblW w:w="9262" w:type="dxa"/>
          <w:jc w:val="center"/>
          <w:tblLayout w:type="fixed"/>
          <w:tblLook w:val="01E0"/>
        </w:tblPrEx>
        <w:trPr>
          <w:trHeight w:hRule="exact" w:val="340"/>
          <w:jc w:val="center"/>
        </w:trPr>
        <w:tc>
          <w:tcPr>
            <w:tcW w:w="3099" w:type="dxa"/>
            <w:tcBorders>
              <w:top w:val="single" w:sz="4" w:space="0" w:color="FFFFFF"/>
              <w:left w:val="single" w:sz="8" w:space="0" w:color="auto"/>
              <w:bottom w:val="single" w:sz="4" w:space="0" w:color="auto"/>
              <w:right w:val="single" w:sz="4" w:space="0" w:color="auto"/>
            </w:tcBorders>
            <w:textDirection w:val="lrTb"/>
            <w:vAlign w:val="center"/>
          </w:tcPr>
          <w:p w:rsidR="00F03792" w:rsidRPr="009C3082" w:rsidP="00351C21">
            <w:pPr>
              <w:bidi w:val="0"/>
              <w:jc w:val="both"/>
              <w:rPr>
                <w:rFonts w:ascii="Times New Roman" w:hAnsi="Times New Roman"/>
                <w:sz w:val="20"/>
                <w:szCs w:val="20"/>
              </w:rPr>
            </w:pPr>
            <w:r>
              <w:rPr>
                <w:rFonts w:ascii="Times New Roman" w:hAnsi="Times New Roman"/>
                <w:sz w:val="20"/>
                <w:szCs w:val="20"/>
              </w:rPr>
              <w:t>R</w:t>
            </w:r>
            <w:r w:rsidRPr="009C3082">
              <w:rPr>
                <w:rFonts w:ascii="Times New Roman" w:hAnsi="Times New Roman"/>
                <w:sz w:val="20"/>
                <w:szCs w:val="20"/>
              </w:rPr>
              <w:t>ezerva vlády SR</w:t>
            </w:r>
          </w:p>
        </w:tc>
        <w:tc>
          <w:tcPr>
            <w:tcW w:w="1134" w:type="dxa"/>
            <w:tcBorders>
              <w:top w:val="single" w:sz="4" w:space="0" w:color="FFFFFF"/>
              <w:left w:val="single" w:sz="4" w:space="0" w:color="auto"/>
              <w:bottom w:val="single" w:sz="4" w:space="0" w:color="auto"/>
              <w:right w:val="single" w:sz="4" w:space="0" w:color="auto"/>
            </w:tcBorders>
            <w:textDirection w:val="lrTb"/>
            <w:vAlign w:val="center"/>
          </w:tcPr>
          <w:p w:rsidR="00F03792" w:rsidRPr="009C3082" w:rsidP="00F85E1D">
            <w:pPr>
              <w:bidi w:val="0"/>
              <w:jc w:val="right"/>
              <w:rPr>
                <w:rFonts w:ascii="Times New Roman" w:hAnsi="Times New Roman"/>
                <w:sz w:val="20"/>
                <w:szCs w:val="20"/>
              </w:rPr>
            </w:pPr>
            <w:r w:rsidRPr="009C3082">
              <w:rPr>
                <w:rFonts w:ascii="Times New Roman" w:hAnsi="Times New Roman"/>
                <w:sz w:val="20"/>
                <w:szCs w:val="20"/>
              </w:rPr>
              <w:t>5 000</w:t>
            </w:r>
          </w:p>
        </w:tc>
        <w:tc>
          <w:tcPr>
            <w:tcW w:w="1134"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F03792" w:rsidRPr="009C3082" w:rsidP="00F03792">
            <w:pPr>
              <w:bidi w:val="0"/>
              <w:jc w:val="right"/>
              <w:rPr>
                <w:rFonts w:ascii="Times New Roman" w:hAnsi="Times New Roman"/>
                <w:sz w:val="20"/>
                <w:szCs w:val="20"/>
              </w:rPr>
            </w:pPr>
            <w:r>
              <w:rPr>
                <w:rFonts w:ascii="Times New Roman" w:hAnsi="Times New Roman"/>
                <w:sz w:val="20"/>
                <w:szCs w:val="20"/>
              </w:rPr>
              <w:t>865</w:t>
            </w:r>
          </w:p>
        </w:tc>
        <w:tc>
          <w:tcPr>
            <w:tcW w:w="964" w:type="dxa"/>
            <w:tcBorders>
              <w:top w:val="single" w:sz="4" w:space="0" w:color="FFFFFF"/>
              <w:left w:val="single" w:sz="4" w:space="0" w:color="auto"/>
              <w:bottom w:val="single" w:sz="4" w:space="0" w:color="auto"/>
              <w:right w:val="single" w:sz="4" w:space="0" w:color="auto"/>
            </w:tcBorders>
            <w:shd w:val="clear" w:color="auto" w:fill="D9D9D9"/>
            <w:textDirection w:val="lrTb"/>
            <w:vAlign w:val="center"/>
          </w:tcPr>
          <w:p w:rsidR="00F03792" w:rsidRPr="009C3082" w:rsidP="00F85E1D">
            <w:pPr>
              <w:bidi w:val="0"/>
              <w:jc w:val="right"/>
              <w:rPr>
                <w:rFonts w:ascii="Times New Roman" w:hAnsi="Times New Roman"/>
                <w:sz w:val="20"/>
                <w:szCs w:val="20"/>
              </w:rPr>
            </w:pPr>
            <w:r w:rsidRPr="009C3082">
              <w:rPr>
                <w:rFonts w:ascii="Times New Roman" w:hAnsi="Times New Roman"/>
                <w:sz w:val="20"/>
                <w:szCs w:val="20"/>
              </w:rPr>
              <w:t>4 135</w:t>
            </w:r>
          </w:p>
        </w:tc>
        <w:tc>
          <w:tcPr>
            <w:tcW w:w="993" w:type="dxa"/>
            <w:tcBorders>
              <w:top w:val="single" w:sz="4" w:space="0" w:color="FFFFFF"/>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11 563</w:t>
            </w:r>
          </w:p>
        </w:tc>
        <w:tc>
          <w:tcPr>
            <w:tcW w:w="946" w:type="dxa"/>
            <w:tcBorders>
              <w:top w:val="single" w:sz="4" w:space="0" w:color="FFFFFF"/>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9 167</w:t>
            </w:r>
          </w:p>
        </w:tc>
        <w:tc>
          <w:tcPr>
            <w:tcW w:w="992" w:type="dxa"/>
            <w:tcBorders>
              <w:top w:val="single" w:sz="4" w:space="0" w:color="FFFFFF"/>
              <w:left w:val="single" w:sz="4" w:space="0" w:color="auto"/>
              <w:bottom w:val="single" w:sz="4" w:space="0" w:color="auto"/>
              <w:right w:val="single" w:sz="8" w:space="0" w:color="auto"/>
            </w:tcBorders>
            <w:textDirection w:val="lrTb"/>
            <w:vAlign w:val="center"/>
          </w:tcPr>
          <w:p w:rsidR="00F03792" w:rsidRPr="009C3082" w:rsidP="00F03792">
            <w:pPr>
              <w:bidi w:val="0"/>
              <w:jc w:val="right"/>
              <w:rPr>
                <w:rFonts w:ascii="Times New Roman" w:hAnsi="Times New Roman"/>
                <w:sz w:val="20"/>
                <w:szCs w:val="20"/>
              </w:rPr>
            </w:pPr>
            <w:r>
              <w:rPr>
                <w:rFonts w:ascii="Times New Roman" w:hAnsi="Times New Roman"/>
                <w:sz w:val="20"/>
                <w:szCs w:val="20"/>
              </w:rPr>
              <w:t>3 270</w:t>
            </w:r>
          </w:p>
        </w:tc>
      </w:tr>
      <w:tr>
        <w:tblPrEx>
          <w:tblW w:w="9262" w:type="dxa"/>
          <w:jc w:val="center"/>
          <w:tblLayout w:type="fixed"/>
          <w:tblLook w:val="01E0"/>
        </w:tblPrEx>
        <w:trPr>
          <w:trHeight w:hRule="exact" w:val="340"/>
          <w:jc w:val="center"/>
        </w:trPr>
        <w:tc>
          <w:tcPr>
            <w:tcW w:w="3099" w:type="dxa"/>
            <w:tcBorders>
              <w:top w:val="single" w:sz="4" w:space="0" w:color="auto"/>
              <w:left w:val="single" w:sz="8" w:space="0" w:color="auto"/>
              <w:bottom w:val="single" w:sz="4" w:space="0" w:color="auto"/>
              <w:right w:val="single" w:sz="4" w:space="0" w:color="auto"/>
            </w:tcBorders>
            <w:textDirection w:val="lrTb"/>
            <w:vAlign w:val="center"/>
          </w:tcPr>
          <w:p w:rsidR="00F03792" w:rsidRPr="009C3082" w:rsidP="00351C21">
            <w:pPr>
              <w:bidi w:val="0"/>
              <w:jc w:val="both"/>
              <w:rPr>
                <w:rFonts w:ascii="Times New Roman" w:hAnsi="Times New Roman"/>
                <w:sz w:val="20"/>
                <w:szCs w:val="20"/>
              </w:rPr>
            </w:pPr>
            <w:r>
              <w:rPr>
                <w:rFonts w:ascii="Times New Roman" w:hAnsi="Times New Roman"/>
                <w:sz w:val="20"/>
                <w:szCs w:val="20"/>
              </w:rPr>
              <w:t>R</w:t>
            </w:r>
            <w:r w:rsidRPr="009C3082">
              <w:rPr>
                <w:rFonts w:ascii="Times New Roman" w:hAnsi="Times New Roman"/>
                <w:sz w:val="20"/>
                <w:szCs w:val="20"/>
              </w:rPr>
              <w:t>ezerva predsedu vlády SR</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1 660</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F03792" w:rsidRPr="009C3082" w:rsidP="00F03792">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r>
              <w:rPr>
                <w:rFonts w:ascii="Times New Roman" w:hAnsi="Times New Roman"/>
                <w:sz w:val="20"/>
                <w:szCs w:val="20"/>
              </w:rPr>
              <w:t>2 123</w:t>
            </w:r>
          </w:p>
        </w:tc>
        <w:tc>
          <w:tcPr>
            <w:tcW w:w="96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03792" w:rsidRPr="009C3082" w:rsidP="00351C21">
            <w:pPr>
              <w:pStyle w:val="ListParagraph"/>
              <w:widowControl w:val="0"/>
              <w:tabs>
                <w:tab w:val="left" w:pos="0"/>
                <w:tab w:val="left" w:pos="426"/>
              </w:tabs>
              <w:overflowPunct w:val="0"/>
              <w:autoSpaceDE w:val="0"/>
              <w:autoSpaceDN w:val="0"/>
              <w:bidi w:val="0"/>
              <w:adjustRightInd w:val="0"/>
              <w:spacing w:after="0" w:line="240" w:lineRule="auto"/>
              <w:ind w:left="0"/>
              <w:jc w:val="right"/>
              <w:textAlignment w:val="baseline"/>
              <w:rPr>
                <w:rFonts w:ascii="Times New Roman" w:hAnsi="Times New Roman"/>
                <w:sz w:val="20"/>
                <w:szCs w:val="20"/>
              </w:rPr>
            </w:pPr>
            <w:r w:rsidRPr="009C3082">
              <w:rPr>
                <w:rFonts w:ascii="Times New Roman" w:hAnsi="Times New Roman"/>
                <w:sz w:val="20"/>
                <w:szCs w:val="20"/>
              </w:rPr>
              <w:t>2 114</w:t>
            </w:r>
          </w:p>
        </w:tc>
        <w:tc>
          <w:tcPr>
            <w:tcW w:w="993" w:type="dxa"/>
            <w:tcBorders>
              <w:top w:val="single" w:sz="4" w:space="0" w:color="auto"/>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36 652</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5</w:t>
            </w:r>
            <w:r>
              <w:rPr>
                <w:rFonts w:ascii="Times New Roman" w:hAnsi="Times New Roman"/>
                <w:sz w:val="20"/>
                <w:szCs w:val="20"/>
              </w:rPr>
              <w:t> </w:t>
            </w:r>
            <w:r w:rsidRPr="009C3082">
              <w:rPr>
                <w:rFonts w:ascii="Times New Roman" w:hAnsi="Times New Roman"/>
                <w:sz w:val="20"/>
                <w:szCs w:val="20"/>
              </w:rPr>
              <w:t>162</w:t>
            </w:r>
          </w:p>
        </w:tc>
        <w:tc>
          <w:tcPr>
            <w:tcW w:w="992" w:type="dxa"/>
            <w:tcBorders>
              <w:top w:val="single" w:sz="4" w:space="0" w:color="auto"/>
              <w:left w:val="single" w:sz="4" w:space="0" w:color="auto"/>
              <w:bottom w:val="single" w:sz="4" w:space="0" w:color="auto"/>
              <w:right w:val="single" w:sz="8" w:space="0" w:color="auto"/>
            </w:tcBorders>
            <w:textDirection w:val="lrTb"/>
            <w:vAlign w:val="center"/>
          </w:tcPr>
          <w:p w:rsidR="00F03792" w:rsidRPr="009C3082" w:rsidP="00AA0BE0">
            <w:pPr>
              <w:bidi w:val="0"/>
              <w:jc w:val="right"/>
              <w:rPr>
                <w:rFonts w:ascii="Times New Roman" w:hAnsi="Times New Roman"/>
                <w:sz w:val="20"/>
                <w:szCs w:val="20"/>
              </w:rPr>
            </w:pPr>
            <w:r w:rsidR="00AA0BE0">
              <w:rPr>
                <w:rFonts w:ascii="Times New Roman" w:hAnsi="Times New Roman"/>
                <w:sz w:val="20"/>
                <w:szCs w:val="20"/>
              </w:rPr>
              <w:t>-9</w:t>
            </w:r>
          </w:p>
        </w:tc>
      </w:tr>
      <w:tr>
        <w:tblPrEx>
          <w:tblW w:w="9262" w:type="dxa"/>
          <w:jc w:val="center"/>
          <w:tblLayout w:type="fixed"/>
          <w:tblLook w:val="01E0"/>
        </w:tblPrEx>
        <w:trPr>
          <w:trHeight w:val="340"/>
          <w:jc w:val="center"/>
        </w:trPr>
        <w:tc>
          <w:tcPr>
            <w:tcW w:w="3099" w:type="dxa"/>
            <w:tcBorders>
              <w:top w:val="single" w:sz="4" w:space="0" w:color="auto"/>
              <w:left w:val="single" w:sz="8" w:space="0" w:color="auto"/>
              <w:bottom w:val="double" w:sz="4" w:space="0" w:color="auto"/>
              <w:right w:val="single" w:sz="4" w:space="0" w:color="auto"/>
            </w:tcBorders>
            <w:textDirection w:val="lrTb"/>
            <w:vAlign w:val="center"/>
          </w:tcPr>
          <w:p w:rsidR="00F03792" w:rsidRPr="009C3082" w:rsidP="00351C21">
            <w:pPr>
              <w:bidi w:val="0"/>
              <w:jc w:val="both"/>
              <w:rPr>
                <w:rFonts w:ascii="Times New Roman" w:hAnsi="Times New Roman"/>
                <w:sz w:val="20"/>
                <w:szCs w:val="20"/>
              </w:rPr>
            </w:pPr>
            <w:r>
              <w:rPr>
                <w:rFonts w:ascii="Times New Roman" w:hAnsi="Times New Roman"/>
                <w:sz w:val="20"/>
                <w:szCs w:val="20"/>
              </w:rPr>
              <w:t>R</w:t>
            </w:r>
            <w:r w:rsidRPr="009C3082">
              <w:rPr>
                <w:rFonts w:ascii="Times New Roman" w:hAnsi="Times New Roman"/>
                <w:sz w:val="20"/>
                <w:szCs w:val="20"/>
              </w:rPr>
              <w:t>ezerva na prostriedky Európskej</w:t>
            </w:r>
          </w:p>
          <w:p w:rsidR="00F03792" w:rsidRPr="009C3082" w:rsidP="00351C21">
            <w:pPr>
              <w:bidi w:val="0"/>
              <w:jc w:val="both"/>
              <w:rPr>
                <w:rFonts w:ascii="Times New Roman" w:hAnsi="Times New Roman"/>
                <w:sz w:val="20"/>
                <w:szCs w:val="20"/>
              </w:rPr>
            </w:pPr>
            <w:r w:rsidRPr="009C3082">
              <w:rPr>
                <w:rFonts w:ascii="Times New Roman" w:hAnsi="Times New Roman"/>
                <w:sz w:val="20"/>
                <w:szCs w:val="20"/>
              </w:rPr>
              <w:t>únie a odvody EÚ</w:t>
            </w:r>
          </w:p>
        </w:tc>
        <w:tc>
          <w:tcPr>
            <w:tcW w:w="1134" w:type="dxa"/>
            <w:tcBorders>
              <w:top w:val="single" w:sz="4" w:space="0" w:color="auto"/>
              <w:left w:val="single" w:sz="4" w:space="0" w:color="auto"/>
              <w:bottom w:val="doub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17 112</w:t>
            </w:r>
          </w:p>
        </w:tc>
        <w:tc>
          <w:tcPr>
            <w:tcW w:w="1134" w:type="dxa"/>
            <w:tcBorders>
              <w:top w:val="single" w:sz="4" w:space="0" w:color="auto"/>
              <w:left w:val="single" w:sz="4" w:space="0" w:color="auto"/>
              <w:bottom w:val="double" w:sz="4" w:space="0" w:color="auto"/>
              <w:right w:val="single" w:sz="4" w:space="0" w:color="auto"/>
            </w:tcBorders>
            <w:shd w:val="clear" w:color="auto" w:fill="FFFFFF"/>
            <w:textDirection w:val="lrTb"/>
            <w:vAlign w:val="center"/>
          </w:tcPr>
          <w:p w:rsidR="00F03792" w:rsidRPr="009C3082" w:rsidP="00F03792">
            <w:pPr>
              <w:bidi w:val="0"/>
              <w:jc w:val="right"/>
              <w:rPr>
                <w:rFonts w:ascii="Times New Roman" w:hAnsi="Times New Roman"/>
                <w:sz w:val="20"/>
                <w:szCs w:val="20"/>
              </w:rPr>
            </w:pPr>
            <w:r>
              <w:rPr>
                <w:rFonts w:ascii="Times New Roman" w:hAnsi="Times New Roman"/>
                <w:sz w:val="20"/>
                <w:szCs w:val="20"/>
              </w:rPr>
              <w:t>62 757</w:t>
            </w:r>
          </w:p>
        </w:tc>
        <w:tc>
          <w:tcPr>
            <w:tcW w:w="964" w:type="dxa"/>
            <w:tcBorders>
              <w:top w:val="single" w:sz="4" w:space="0" w:color="auto"/>
              <w:left w:val="single" w:sz="4" w:space="0" w:color="auto"/>
              <w:bottom w:val="double" w:sz="4" w:space="0" w:color="auto"/>
              <w:right w:val="single" w:sz="4" w:space="0" w:color="auto"/>
            </w:tcBorders>
            <w:shd w:val="clear" w:color="auto" w:fill="D9D9D9"/>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1 151</w:t>
            </w:r>
          </w:p>
        </w:tc>
        <w:tc>
          <w:tcPr>
            <w:tcW w:w="993" w:type="dxa"/>
            <w:tcBorders>
              <w:top w:val="single" w:sz="4" w:space="0" w:color="auto"/>
              <w:left w:val="single" w:sz="4" w:space="0" w:color="auto"/>
              <w:bottom w:val="doub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0</w:t>
            </w:r>
          </w:p>
        </w:tc>
        <w:tc>
          <w:tcPr>
            <w:tcW w:w="946" w:type="dxa"/>
            <w:tcBorders>
              <w:top w:val="single" w:sz="4" w:space="0" w:color="auto"/>
              <w:left w:val="single" w:sz="4" w:space="0" w:color="auto"/>
              <w:bottom w:val="doub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sz w:val="20"/>
                <w:szCs w:val="20"/>
              </w:rPr>
              <w:t>62 052</w:t>
            </w:r>
          </w:p>
        </w:tc>
        <w:tc>
          <w:tcPr>
            <w:tcW w:w="992" w:type="dxa"/>
            <w:tcBorders>
              <w:top w:val="single" w:sz="4" w:space="0" w:color="auto"/>
              <w:left w:val="single" w:sz="4" w:space="0" w:color="auto"/>
              <w:bottom w:val="double" w:sz="4" w:space="0" w:color="auto"/>
              <w:right w:val="single" w:sz="8" w:space="0" w:color="auto"/>
            </w:tcBorders>
            <w:textDirection w:val="lrTb"/>
            <w:vAlign w:val="center"/>
          </w:tcPr>
          <w:p w:rsidR="00F03792" w:rsidRPr="009C3082" w:rsidP="00F03792">
            <w:pPr>
              <w:bidi w:val="0"/>
              <w:jc w:val="right"/>
              <w:rPr>
                <w:rFonts w:ascii="Times New Roman" w:hAnsi="Times New Roman"/>
                <w:sz w:val="20"/>
                <w:szCs w:val="20"/>
              </w:rPr>
            </w:pPr>
            <w:r>
              <w:rPr>
                <w:rFonts w:ascii="Times New Roman" w:hAnsi="Times New Roman"/>
                <w:sz w:val="20"/>
                <w:szCs w:val="20"/>
              </w:rPr>
              <w:t>-61 606</w:t>
            </w:r>
          </w:p>
        </w:tc>
      </w:tr>
      <w:tr>
        <w:tblPrEx>
          <w:tblW w:w="9262" w:type="dxa"/>
          <w:jc w:val="center"/>
          <w:tblLayout w:type="fixed"/>
          <w:tblLook w:val="01E0"/>
        </w:tblPrEx>
        <w:trPr>
          <w:trHeight w:val="340"/>
          <w:jc w:val="center"/>
        </w:trPr>
        <w:tc>
          <w:tcPr>
            <w:tcW w:w="3099" w:type="dxa"/>
            <w:tcBorders>
              <w:top w:val="double" w:sz="4" w:space="0" w:color="auto"/>
              <w:left w:val="single" w:sz="8" w:space="0" w:color="auto"/>
              <w:bottom w:val="single" w:sz="4" w:space="0" w:color="auto"/>
              <w:right w:val="single" w:sz="4" w:space="0" w:color="auto"/>
            </w:tcBorders>
            <w:textDirection w:val="lrTb"/>
            <w:vAlign w:val="center"/>
          </w:tcPr>
          <w:p w:rsidR="00F03792" w:rsidRPr="009C3082" w:rsidP="00351C21">
            <w:pPr>
              <w:bidi w:val="0"/>
              <w:jc w:val="both"/>
              <w:rPr>
                <w:rFonts w:ascii="Times New Roman" w:hAnsi="Times New Roman"/>
                <w:sz w:val="20"/>
                <w:szCs w:val="20"/>
              </w:rPr>
            </w:pPr>
            <w:r w:rsidRPr="009C3082">
              <w:rPr>
                <w:rFonts w:ascii="Times New Roman" w:hAnsi="Times New Roman"/>
                <w:b/>
                <w:sz w:val="20"/>
                <w:szCs w:val="20"/>
              </w:rPr>
              <w:t>Rezervy spolu</w:t>
            </w:r>
          </w:p>
        </w:tc>
        <w:tc>
          <w:tcPr>
            <w:tcW w:w="1134" w:type="dxa"/>
            <w:tcBorders>
              <w:top w:val="double" w:sz="4" w:space="0" w:color="auto"/>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b/>
                <w:sz w:val="20"/>
                <w:szCs w:val="20"/>
              </w:rPr>
            </w:pPr>
            <w:r w:rsidRPr="009C3082">
              <w:rPr>
                <w:rFonts w:ascii="Times New Roman" w:hAnsi="Times New Roman"/>
                <w:b/>
                <w:sz w:val="20"/>
                <w:szCs w:val="20"/>
              </w:rPr>
              <w:t>23 772</w:t>
            </w:r>
          </w:p>
        </w:tc>
        <w:tc>
          <w:tcPr>
            <w:tcW w:w="1134" w:type="dxa"/>
            <w:tcBorders>
              <w:top w:val="double" w:sz="4" w:space="0" w:color="auto"/>
              <w:left w:val="single" w:sz="4" w:space="0" w:color="auto"/>
              <w:bottom w:val="single" w:sz="4" w:space="0" w:color="auto"/>
              <w:right w:val="single" w:sz="4" w:space="0" w:color="auto"/>
            </w:tcBorders>
            <w:shd w:val="clear" w:color="auto" w:fill="FFFFFF"/>
            <w:textDirection w:val="lrTb"/>
            <w:vAlign w:val="center"/>
          </w:tcPr>
          <w:p w:rsidR="00F03792" w:rsidRPr="00230016" w:rsidP="00F03792">
            <w:pPr>
              <w:bidi w:val="0"/>
              <w:jc w:val="right"/>
              <w:rPr>
                <w:rFonts w:ascii="Times New Roman" w:hAnsi="Times New Roman"/>
                <w:b/>
                <w:sz w:val="20"/>
                <w:szCs w:val="20"/>
              </w:rPr>
            </w:pPr>
            <w:r>
              <w:rPr>
                <w:rFonts w:ascii="Times New Roman" w:hAnsi="Times New Roman"/>
                <w:b/>
                <w:sz w:val="20"/>
                <w:szCs w:val="20"/>
              </w:rPr>
              <w:t>65 745</w:t>
            </w:r>
          </w:p>
        </w:tc>
        <w:tc>
          <w:tcPr>
            <w:tcW w:w="964" w:type="dxa"/>
            <w:tcBorders>
              <w:top w:val="double" w:sz="4" w:space="0" w:color="auto"/>
              <w:left w:val="single" w:sz="4" w:space="0" w:color="auto"/>
              <w:bottom w:val="single" w:sz="4" w:space="0" w:color="auto"/>
              <w:right w:val="single" w:sz="4" w:space="0" w:color="auto"/>
            </w:tcBorders>
            <w:shd w:val="clear" w:color="auto" w:fill="D9D9D9"/>
            <w:textDirection w:val="lrTb"/>
            <w:vAlign w:val="center"/>
          </w:tcPr>
          <w:p w:rsidR="00F03792" w:rsidRPr="00230016" w:rsidP="00351C21">
            <w:pPr>
              <w:bidi w:val="0"/>
              <w:jc w:val="right"/>
              <w:rPr>
                <w:rFonts w:ascii="Times New Roman" w:hAnsi="Times New Roman"/>
                <w:b/>
                <w:sz w:val="20"/>
                <w:szCs w:val="20"/>
              </w:rPr>
            </w:pPr>
            <w:r w:rsidRPr="00230016">
              <w:rPr>
                <w:rFonts w:ascii="Times New Roman" w:hAnsi="Times New Roman"/>
                <w:b/>
                <w:sz w:val="20"/>
                <w:szCs w:val="20"/>
              </w:rPr>
              <w:t>7 400</w:t>
            </w:r>
          </w:p>
        </w:tc>
        <w:tc>
          <w:tcPr>
            <w:tcW w:w="993" w:type="dxa"/>
            <w:tcBorders>
              <w:top w:val="double" w:sz="4" w:space="0" w:color="auto"/>
              <w:left w:val="single" w:sz="4" w:space="0" w:color="auto"/>
              <w:bottom w:val="single" w:sz="4" w:space="0" w:color="auto"/>
              <w:right w:val="single" w:sz="4" w:space="0" w:color="auto"/>
            </w:tcBorders>
            <w:textDirection w:val="lrTb"/>
            <w:vAlign w:val="center"/>
          </w:tcPr>
          <w:p w:rsidR="00F03792" w:rsidRPr="00230016" w:rsidP="00351C21">
            <w:pPr>
              <w:bidi w:val="0"/>
              <w:jc w:val="right"/>
              <w:rPr>
                <w:rFonts w:ascii="Times New Roman" w:hAnsi="Times New Roman"/>
                <w:b/>
                <w:sz w:val="20"/>
                <w:szCs w:val="20"/>
              </w:rPr>
            </w:pPr>
            <w:r w:rsidRPr="00230016">
              <w:rPr>
                <w:rFonts w:ascii="Times New Roman" w:hAnsi="Times New Roman"/>
                <w:b/>
                <w:sz w:val="20"/>
                <w:szCs w:val="20"/>
              </w:rPr>
              <w:t>48 215</w:t>
            </w:r>
          </w:p>
        </w:tc>
        <w:tc>
          <w:tcPr>
            <w:tcW w:w="946" w:type="dxa"/>
            <w:tcBorders>
              <w:top w:val="double" w:sz="4" w:space="0" w:color="auto"/>
              <w:left w:val="single" w:sz="4" w:space="0" w:color="auto"/>
              <w:bottom w:val="single" w:sz="4" w:space="0" w:color="auto"/>
              <w:right w:val="single" w:sz="4" w:space="0" w:color="auto"/>
            </w:tcBorders>
            <w:textDirection w:val="lrTb"/>
            <w:vAlign w:val="center"/>
          </w:tcPr>
          <w:p w:rsidR="00F03792" w:rsidRPr="009C3082" w:rsidP="00351C21">
            <w:pPr>
              <w:bidi w:val="0"/>
              <w:jc w:val="right"/>
              <w:rPr>
                <w:rFonts w:ascii="Times New Roman" w:hAnsi="Times New Roman"/>
                <w:sz w:val="20"/>
                <w:szCs w:val="20"/>
              </w:rPr>
            </w:pPr>
            <w:r w:rsidRPr="009C3082">
              <w:rPr>
                <w:rFonts w:ascii="Times New Roman" w:hAnsi="Times New Roman"/>
                <w:b/>
                <w:sz w:val="20"/>
                <w:szCs w:val="20"/>
              </w:rPr>
              <w:t>76 381</w:t>
            </w:r>
          </w:p>
        </w:tc>
        <w:tc>
          <w:tcPr>
            <w:tcW w:w="992" w:type="dxa"/>
            <w:tcBorders>
              <w:top w:val="double" w:sz="4" w:space="0" w:color="auto"/>
              <w:left w:val="single" w:sz="4" w:space="0" w:color="auto"/>
              <w:bottom w:val="single" w:sz="4" w:space="0" w:color="auto"/>
              <w:right w:val="single" w:sz="8" w:space="0" w:color="auto"/>
            </w:tcBorders>
            <w:textDirection w:val="lrTb"/>
            <w:vAlign w:val="center"/>
          </w:tcPr>
          <w:p w:rsidR="00F03792" w:rsidRPr="009C3082" w:rsidP="00F03792">
            <w:pPr>
              <w:bidi w:val="0"/>
              <w:jc w:val="right"/>
              <w:rPr>
                <w:rFonts w:ascii="Times New Roman" w:hAnsi="Times New Roman"/>
                <w:b/>
                <w:sz w:val="20"/>
                <w:szCs w:val="20"/>
              </w:rPr>
            </w:pPr>
            <w:r>
              <w:rPr>
                <w:rFonts w:ascii="Times New Roman" w:hAnsi="Times New Roman"/>
                <w:b/>
                <w:sz w:val="20"/>
                <w:szCs w:val="20"/>
              </w:rPr>
              <w:t>-58 345</w:t>
            </w:r>
          </w:p>
        </w:tc>
      </w:tr>
    </w:tbl>
    <w:p w:rsidR="007A648C" w:rsidRPr="00230016" w:rsidP="007A648C">
      <w:pPr>
        <w:bidi w:val="0"/>
        <w:spacing w:before="120" w:after="120" w:line="360" w:lineRule="auto"/>
        <w:rPr>
          <w:rFonts w:ascii="Times New Roman" w:hAnsi="Times New Roman"/>
          <w:sz w:val="20"/>
          <w:szCs w:val="20"/>
        </w:rPr>
      </w:pPr>
      <w:r w:rsidRPr="00230016">
        <w:rPr>
          <w:rFonts w:ascii="Times New Roman" w:hAnsi="Times New Roman"/>
          <w:sz w:val="20"/>
          <w:szCs w:val="20"/>
        </w:rPr>
        <w:t xml:space="preserve">Zdroj: Ministerstvo financií SR </w:t>
      </w:r>
    </w:p>
    <w:p w:rsidR="007A648C" w:rsidRPr="002B701F" w:rsidP="007A648C">
      <w:pPr>
        <w:bidi w:val="0"/>
        <w:spacing w:before="60" w:after="60" w:line="360" w:lineRule="auto"/>
        <w:jc w:val="both"/>
        <w:rPr>
          <w:rFonts w:ascii="Times New Roman" w:hAnsi="Times New Roman"/>
        </w:rPr>
      </w:pPr>
      <w:r w:rsidRPr="00230016">
        <w:rPr>
          <w:rFonts w:ascii="Times New Roman" w:hAnsi="Times New Roman"/>
          <w:b/>
        </w:rPr>
        <w:t>Z rezervy vlády SR</w:t>
      </w:r>
      <w:r>
        <w:rPr>
          <w:rFonts w:ascii="Times New Roman" w:hAnsi="Times New Roman"/>
        </w:rPr>
        <w:t xml:space="preserve"> sa formou rozpočtových opatrení uvoľnilo spolu 4 135 tis. eur, v tom 3 850 tis. eur pre Ministerstvo vnútra SR na úhradu časti výdavkov súvisiacich s pripojením Slovenskej republiky k Schengenskému informačnému systému II. generácie, 160 tis. eur pre Úrad vlády SR na výstavbu a vybavenie nového Slovenského domu v Mlynkoch a 125 tis. eur pre Ministerstvo školstva, vedy, výskumu a športu SR na obnovenie štipendia M.R. Štefánika</w:t>
      </w:r>
      <w:r w:rsidRPr="002B701F">
        <w:rPr>
          <w:rFonts w:ascii="Times New Roman" w:hAnsi="Times New Roman"/>
        </w:rPr>
        <w:t xml:space="preserve">. </w:t>
      </w:r>
      <w:r>
        <w:rPr>
          <w:rFonts w:ascii="Times New Roman" w:hAnsi="Times New Roman"/>
        </w:rPr>
        <w:t>Vyššie čerpanie rezervy vlády SR v rokoch 2010 a 2009 súvisí najmä s uvoľnením finančných prostriedkov pre</w:t>
      </w:r>
      <w:r w:rsidRPr="004E4CFB">
        <w:rPr>
          <w:rFonts w:ascii="Times New Roman" w:hAnsi="Times New Roman"/>
        </w:rPr>
        <w:t xml:space="preserve"> </w:t>
      </w:r>
      <w:r>
        <w:rPr>
          <w:rFonts w:ascii="Times New Roman" w:hAnsi="Times New Roman"/>
        </w:rPr>
        <w:t xml:space="preserve">konkrétne regióny Slovenskej republiky v nadväznosti na analýzu ich </w:t>
      </w:r>
      <w:r w:rsidR="00230016">
        <w:rPr>
          <w:rFonts w:ascii="Times New Roman" w:hAnsi="Times New Roman"/>
        </w:rPr>
        <w:t>sociálno-ekonomickej situácie.</w:t>
      </w:r>
    </w:p>
    <w:p w:rsidR="007A648C" w:rsidRPr="007725D5" w:rsidP="00230016">
      <w:pPr>
        <w:bidi w:val="0"/>
        <w:spacing w:before="60" w:after="60" w:line="360" w:lineRule="auto"/>
        <w:jc w:val="both"/>
        <w:rPr>
          <w:rFonts w:ascii="Times New Roman" w:hAnsi="Times New Roman"/>
          <w:color w:val="000000"/>
        </w:rPr>
      </w:pPr>
      <w:r>
        <w:rPr>
          <w:rFonts w:ascii="Times New Roman" w:hAnsi="Times New Roman"/>
        </w:rPr>
        <w:t xml:space="preserve">Pôvodný rozpočet </w:t>
      </w:r>
      <w:r w:rsidRPr="00230016">
        <w:rPr>
          <w:rFonts w:ascii="Times New Roman" w:hAnsi="Times New Roman"/>
          <w:b/>
        </w:rPr>
        <w:t>rezervy predsedu vlády SR</w:t>
      </w:r>
      <w:r>
        <w:rPr>
          <w:rFonts w:ascii="Times New Roman" w:hAnsi="Times New Roman"/>
        </w:rPr>
        <w:t xml:space="preserve"> sa </w:t>
      </w:r>
      <w:r w:rsidR="00230016">
        <w:rPr>
          <w:rFonts w:ascii="Times New Roman" w:hAnsi="Times New Roman"/>
        </w:rPr>
        <w:t>zvýšil rozpočtovým opatrením a </w:t>
      </w:r>
      <w:r>
        <w:rPr>
          <w:rFonts w:ascii="Times New Roman" w:hAnsi="Times New Roman"/>
        </w:rPr>
        <w:t>prostriedk</w:t>
      </w:r>
      <w:r w:rsidR="00230016">
        <w:rPr>
          <w:rFonts w:ascii="Times New Roman" w:hAnsi="Times New Roman"/>
        </w:rPr>
        <w:t>ami</w:t>
      </w:r>
      <w:r>
        <w:rPr>
          <w:rFonts w:ascii="Times New Roman" w:hAnsi="Times New Roman"/>
        </w:rPr>
        <w:t xml:space="preserve"> vráten</w:t>
      </w:r>
      <w:r w:rsidR="00230016">
        <w:rPr>
          <w:rFonts w:ascii="Times New Roman" w:hAnsi="Times New Roman"/>
        </w:rPr>
        <w:t>ými</w:t>
      </w:r>
      <w:r>
        <w:rPr>
          <w:rFonts w:ascii="Times New Roman" w:hAnsi="Times New Roman"/>
        </w:rPr>
        <w:t xml:space="preserve"> v priebehu roka na 2 123 tis. eur. Z nich sa príjemcom, ktorými sú predovšetkým občania – fyzické osoby, neziskové organizácie, obce a mestá poskytlo spolu 2 114 tis. eur. Zoznam príjemcov je uverejnený na webovom sídle Úradu vlády SR </w:t>
      </w:r>
      <w:hyperlink r:id="rId10" w:history="1">
        <w:r w:rsidRPr="007725D5">
          <w:rPr>
            <w:rStyle w:val="Hyperlink"/>
            <w:rFonts w:ascii="Times New Roman" w:hAnsi="Times New Roman"/>
            <w:color w:val="000000"/>
          </w:rPr>
          <w:t>http://www.vlada.gov.sk/data/files/1721_cerpanie-dotacii-z-rezervy-pvl-sr-v-roku-2011.pdf</w:t>
        </w:r>
      </w:hyperlink>
      <w:r w:rsidRPr="007725D5">
        <w:rPr>
          <w:rFonts w:ascii="Times New Roman" w:hAnsi="Times New Roman"/>
          <w:color w:val="000000"/>
        </w:rPr>
        <w:t>.</w:t>
      </w:r>
    </w:p>
    <w:p w:rsidR="007A648C" w:rsidP="007A648C">
      <w:pPr>
        <w:bidi w:val="0"/>
        <w:spacing w:before="60" w:after="60" w:line="360" w:lineRule="auto"/>
        <w:jc w:val="both"/>
        <w:rPr>
          <w:rFonts w:ascii="Times New Roman" w:hAnsi="Times New Roman"/>
        </w:rPr>
      </w:pPr>
      <w:r>
        <w:rPr>
          <w:rFonts w:ascii="Times New Roman" w:hAnsi="Times New Roman"/>
        </w:rPr>
        <w:t>Vysoké čerpanie rezervy predsedu vlády SR v roku 2010 súvis</w:t>
      </w:r>
      <w:r w:rsidR="00230016">
        <w:rPr>
          <w:rFonts w:ascii="Times New Roman" w:hAnsi="Times New Roman"/>
        </w:rPr>
        <w:t>elo</w:t>
      </w:r>
      <w:r>
        <w:rPr>
          <w:rFonts w:ascii="Times New Roman" w:hAnsi="Times New Roman"/>
        </w:rPr>
        <w:t xml:space="preserve"> predovšetkým s poskytnutím finančnej pomoci vo výške 30 099 tis. eur občanom postihnutým povodňami.</w:t>
      </w:r>
    </w:p>
    <w:p w:rsidR="005A4B3B" w:rsidP="00230016">
      <w:pPr>
        <w:bidi w:val="0"/>
        <w:spacing w:line="360" w:lineRule="auto"/>
        <w:jc w:val="both"/>
        <w:rPr>
          <w:rFonts w:ascii="Times New Roman" w:hAnsi="Times New Roman"/>
        </w:rPr>
      </w:pPr>
      <w:r>
        <w:rPr>
          <w:rFonts w:ascii="Times New Roman" w:hAnsi="Times New Roman"/>
        </w:rPr>
        <w:t xml:space="preserve">Rozpočet </w:t>
      </w:r>
      <w:r w:rsidRPr="00230016">
        <w:rPr>
          <w:rFonts w:ascii="Times New Roman" w:hAnsi="Times New Roman"/>
          <w:b/>
        </w:rPr>
        <w:t>rezervy na prostriedky EÚ a odvody EÚ</w:t>
      </w:r>
      <w:r w:rsidR="00230016">
        <w:rPr>
          <w:rFonts w:ascii="Times New Roman" w:hAnsi="Times New Roman"/>
        </w:rPr>
        <w:t xml:space="preserve"> </w:t>
      </w:r>
      <w:r>
        <w:rPr>
          <w:rFonts w:ascii="Times New Roman" w:hAnsi="Times New Roman"/>
        </w:rPr>
        <w:t xml:space="preserve">sa upravil podľa § 8 zákona o rozpočtových pravidlách verejnej správy (zvýšil sa o nevyčerpané prostriedky z predchádzajúcich rokov a znížil sa o viazané prostriedky určené na použitie v roku 2012) na 62 757 tis. eur. Z nich sa efektívne použilo 151 tis. eur na úhradu ťarchopisov vystavených Európskou komisiou za nevymožiteľné pohľadávky a úroky z omeškania od konečných prijímateľov programu SAPARD a 1 000 tis. eur formou rozpočtového opatrenia pre Ministerstvo pôdohospodárstva a regionálneho rozvoja SR na zefektívnenie finančného riadenia fondov EÚ implementovaných v tejto kapitole štátneho rozpočtu. Na použitie do ďalších rokov </w:t>
      </w:r>
      <w:r w:rsidR="007814FD">
        <w:rPr>
          <w:rFonts w:ascii="Times New Roman" w:hAnsi="Times New Roman"/>
        </w:rPr>
        <w:t>boli prevedené</w:t>
      </w:r>
      <w:r>
        <w:rPr>
          <w:rFonts w:ascii="Times New Roman" w:hAnsi="Times New Roman"/>
        </w:rPr>
        <w:t xml:space="preserve"> </w:t>
      </w:r>
      <w:r w:rsidR="007814FD">
        <w:rPr>
          <w:rFonts w:ascii="Times New Roman" w:hAnsi="Times New Roman"/>
        </w:rPr>
        <w:t>rozpočtové zdroje roku 2011 v objeme 3 752 tis. eur.</w:t>
      </w:r>
    </w:p>
    <w:p w:rsidR="00CC7CE4" w:rsidP="00230016">
      <w:pPr>
        <w:bidi w:val="0"/>
        <w:spacing w:line="360" w:lineRule="auto"/>
        <w:jc w:val="both"/>
        <w:rPr>
          <w:rFonts w:ascii="Times New Roman" w:hAnsi="Times New Roman"/>
        </w:rPr>
      </w:pPr>
      <w:r>
        <w:rPr>
          <w:rFonts w:ascii="Times New Roman" w:hAnsi="Times New Roman"/>
        </w:rPr>
        <w:t>Zvýšené čerpanie rezervy v roku 2009 bolo spôsobené najmä jej použitím na krytie odvodov do všeobecného rozpočtu Európskej únie.</w:t>
      </w: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000199" w:rsidP="0053060C">
      <w:pPr>
        <w:pStyle w:val="Heading1"/>
        <w:bidi w:val="0"/>
        <w:jc w:val="center"/>
        <w:rPr>
          <w:rFonts w:ascii="Times New Roman" w:hAnsi="Times New Roman"/>
          <w:color w:val="auto"/>
          <w:sz w:val="24"/>
          <w:szCs w:val="24"/>
        </w:rPr>
      </w:pPr>
    </w:p>
    <w:p w:rsidR="001C241F" w:rsidP="0053060C">
      <w:pPr>
        <w:pStyle w:val="Heading1"/>
        <w:bidi w:val="0"/>
        <w:jc w:val="center"/>
        <w:rPr>
          <w:rFonts w:ascii="Times New Roman" w:hAnsi="Times New Roman"/>
          <w:color w:val="auto"/>
          <w:sz w:val="24"/>
          <w:szCs w:val="24"/>
          <w:lang w:val="sk-SK"/>
        </w:rPr>
      </w:pPr>
      <w:bookmarkStart w:id="41" w:name="_Toc322614769"/>
      <w:r>
        <w:rPr>
          <w:rFonts w:ascii="Times New Roman" w:hAnsi="Times New Roman"/>
          <w:color w:val="auto"/>
          <w:sz w:val="24"/>
          <w:szCs w:val="24"/>
        </w:rPr>
        <w:br w:type="page"/>
      </w: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1C241F" w:rsidP="0053060C">
      <w:pPr>
        <w:pStyle w:val="Heading1"/>
        <w:bidi w:val="0"/>
        <w:jc w:val="center"/>
        <w:rPr>
          <w:rFonts w:ascii="Times New Roman" w:hAnsi="Times New Roman"/>
          <w:color w:val="auto"/>
          <w:sz w:val="24"/>
          <w:szCs w:val="24"/>
          <w:lang w:val="sk-SK"/>
        </w:rPr>
      </w:pPr>
    </w:p>
    <w:p w:rsidR="0053060C" w:rsidP="0053060C">
      <w:pPr>
        <w:pStyle w:val="Heading1"/>
        <w:bidi w:val="0"/>
        <w:jc w:val="center"/>
        <w:rPr>
          <w:rFonts w:ascii="Times New Roman" w:hAnsi="Times New Roman"/>
          <w:color w:val="auto"/>
          <w:sz w:val="24"/>
          <w:szCs w:val="24"/>
        </w:rPr>
      </w:pPr>
      <w:r w:rsidRPr="0053060C">
        <w:rPr>
          <w:rFonts w:ascii="Times New Roman" w:hAnsi="Times New Roman"/>
          <w:color w:val="auto"/>
          <w:sz w:val="24"/>
          <w:szCs w:val="24"/>
        </w:rPr>
        <w:t>Tabuľková príloha</w:t>
      </w:r>
      <w:bookmarkEnd w:id="41"/>
    </w:p>
    <w:p w:rsidR="0053060C" w:rsidP="0053060C">
      <w:pPr>
        <w:bidi w:val="0"/>
        <w:rPr>
          <w:rFonts w:ascii="Times New Roman" w:hAnsi="Times New Roman"/>
        </w:rPr>
      </w:pPr>
    </w:p>
    <w:p w:rsidR="0053060C" w:rsidRPr="0053060C" w:rsidP="0053060C">
      <w:pPr>
        <w:bidi w:val="0"/>
        <w:rPr>
          <w:rFonts w:ascii="Times New Roman" w:hAnsi="Times New Roman"/>
        </w:rPr>
      </w:pPr>
    </w:p>
    <w:p w:rsidR="0053060C" w:rsidRPr="0053060C" w:rsidP="0053060C">
      <w:pPr>
        <w:bidi w:val="0"/>
        <w:spacing w:line="480" w:lineRule="auto"/>
        <w:jc w:val="center"/>
        <w:rPr>
          <w:rFonts w:ascii="Times New Roman" w:hAnsi="Times New Roman"/>
          <w:b/>
        </w:rPr>
      </w:pPr>
      <w:r w:rsidRPr="0053060C">
        <w:rPr>
          <w:rFonts w:ascii="Times New Roman" w:hAnsi="Times New Roman"/>
          <w:b/>
        </w:rPr>
        <w:t>Návrhu štátneho záverečného účtu Slovenskej republiky za rok 2011</w:t>
      </w:r>
    </w:p>
    <w:p w:rsidR="0053060C" w:rsidRPr="0053060C" w:rsidP="0053060C">
      <w:pPr>
        <w:bidi w:val="0"/>
        <w:spacing w:line="480" w:lineRule="auto"/>
        <w:jc w:val="center"/>
        <w:rPr>
          <w:rFonts w:ascii="Times New Roman" w:hAnsi="Times New Roman"/>
          <w:b/>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53060C" w:rsidP="00230016">
      <w:pPr>
        <w:bidi w:val="0"/>
        <w:spacing w:line="360" w:lineRule="auto"/>
        <w:jc w:val="both"/>
        <w:rPr>
          <w:rFonts w:ascii="Times New Roman" w:hAnsi="Times New Roman"/>
        </w:rPr>
      </w:pPr>
    </w:p>
    <w:p w:rsidR="00B52084">
      <w:pPr>
        <w:bidi w:val="0"/>
        <w:rPr>
          <w:rFonts w:ascii="Times New Roman" w:hAnsi="Times New Roman"/>
        </w:rPr>
      </w:pPr>
      <w:r>
        <w:rPr>
          <w:rFonts w:ascii="Times New Roman" w:hAnsi="Times New Roman"/>
        </w:rPr>
        <w:br w:type="page"/>
      </w:r>
    </w:p>
    <w:tbl>
      <w:tblPr>
        <w:tblStyle w:val="TableNormal"/>
        <w:tblW w:w="10065" w:type="dxa"/>
        <w:jc w:val="center"/>
        <w:tblLayout w:type="fixed"/>
        <w:tblLook w:val="01E0"/>
      </w:tblPr>
      <w:tblGrid>
        <w:gridCol w:w="1081"/>
        <w:gridCol w:w="8984"/>
      </w:tblGrid>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Pr>
                <w:rFonts w:ascii="Times New Roman" w:hAnsi="Times New Roman"/>
              </w:rPr>
              <w:br w:type="page"/>
            </w:r>
            <w:r w:rsidRPr="002F0FC7">
              <w:rPr>
                <w:rFonts w:ascii="Times New Roman" w:hAnsi="Times New Roman"/>
              </w:rPr>
              <w:t>Tab. 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Bilancia príjmov a výdavkov štátneho rozpočtu za rok 20</w:t>
            </w:r>
            <w:r>
              <w:rPr>
                <w:rFonts w:ascii="Times New Roman" w:hAnsi="Times New Roman"/>
              </w:rPr>
              <w:t>11</w:t>
            </w:r>
            <w:r w:rsidRPr="002F0FC7">
              <w:rPr>
                <w:rFonts w:ascii="Times New Roman" w:hAnsi="Times New Roman"/>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2</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Daňové príjmy štátneho rozpočtu za rok 20</w:t>
            </w:r>
            <w:r>
              <w:rPr>
                <w:rFonts w:ascii="Times New Roman" w:hAnsi="Times New Roman"/>
              </w:rPr>
              <w:t>11</w:t>
            </w:r>
            <w:r w:rsidRPr="002F0FC7">
              <w:rPr>
                <w:rFonts w:ascii="Times New Roman" w:hAnsi="Times New Roman"/>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3</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Nedaňové príjmy štátneho rozpočtu, granty a transfery za rok</w:t>
            </w:r>
            <w:r>
              <w:rPr>
                <w:rFonts w:ascii="Times New Roman" w:hAnsi="Times New Roman"/>
              </w:rPr>
              <w:t xml:space="preserve"> 2011</w:t>
            </w:r>
            <w:r w:rsidRPr="002F0FC7">
              <w:rPr>
                <w:rFonts w:ascii="Times New Roman" w:hAnsi="Times New Roman"/>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Príjmy kapitol ŠR za rok</w:t>
            </w:r>
            <w:r>
              <w:rPr>
                <w:rFonts w:ascii="Times New Roman" w:hAnsi="Times New Roman"/>
              </w:rPr>
              <w:t xml:space="preserve"> 2011</w:t>
            </w:r>
            <w:r w:rsidRPr="002F0FC7">
              <w:rPr>
                <w:rFonts w:ascii="Times New Roman" w:hAnsi="Times New Roman"/>
              </w:rPr>
              <w:t xml:space="preserve"> – záväzné ukazovatele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5</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Príjmy štátneho rozpočtu podľa kategórií a kapitol ŠR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6</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bCs/>
              </w:rPr>
              <w:t>Príjmy štátneho rozpočtu podľa zdrojov v</w:t>
            </w:r>
            <w:r>
              <w:rPr>
                <w:rFonts w:ascii="Times New Roman" w:hAnsi="Times New Roman"/>
                <w:bCs/>
              </w:rPr>
              <w:t> </w:t>
            </w:r>
            <w:r w:rsidRPr="002F0FC7">
              <w:rPr>
                <w:rFonts w:ascii="Times New Roman" w:hAnsi="Times New Roman"/>
                <w:bCs/>
              </w:rPr>
              <w:t>roku</w:t>
            </w:r>
            <w:r>
              <w:rPr>
                <w:rFonts w:ascii="Times New Roman" w:hAnsi="Times New Roman"/>
                <w:bCs/>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7</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Výdavky štátneho rozpočtu podľa kategórií a kapitol ŠR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 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Bežné transfery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6B2503">
            <w:pPr>
              <w:bidi w:val="0"/>
              <w:rPr>
                <w:rFonts w:ascii="Times New Roman" w:hAnsi="Times New Roman"/>
              </w:rPr>
            </w:pPr>
            <w:r w:rsidRPr="002F0FC7">
              <w:rPr>
                <w:rFonts w:ascii="Times New Roman" w:hAnsi="Times New Roman"/>
              </w:rPr>
              <w:t>Tab.</w:t>
            </w:r>
            <w:r w:rsidR="006B2503">
              <w:rPr>
                <w:rFonts w:ascii="Times New Roman" w:hAnsi="Times New Roman"/>
              </w:rPr>
              <w:t xml:space="preserve"> 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Kapitálové výdavky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10</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354FBF">
            <w:pPr>
              <w:bidi w:val="0"/>
              <w:spacing w:line="276" w:lineRule="auto"/>
              <w:jc w:val="both"/>
              <w:rPr>
                <w:rFonts w:ascii="Times New Roman" w:hAnsi="Times New Roman"/>
              </w:rPr>
            </w:pPr>
            <w:r w:rsidRPr="002F0FC7">
              <w:rPr>
                <w:rFonts w:ascii="Times New Roman" w:hAnsi="Times New Roman"/>
              </w:rPr>
              <w:t>Finančné operácie na mimorozpočtových účtoch štátnych rozpočt</w:t>
            </w:r>
            <w:r>
              <w:rPr>
                <w:rFonts w:ascii="Times New Roman" w:hAnsi="Times New Roman"/>
              </w:rPr>
              <w:t xml:space="preserve">ových </w:t>
            </w:r>
            <w:r w:rsidRPr="002F0FC7">
              <w:rPr>
                <w:rFonts w:ascii="Times New Roman" w:hAnsi="Times New Roman"/>
              </w:rPr>
              <w:t>organizácií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6B2503">
            <w:pPr>
              <w:bidi w:val="0"/>
              <w:rPr>
                <w:rFonts w:ascii="Times New Roman" w:hAnsi="Times New Roman"/>
              </w:rPr>
            </w:pPr>
            <w:r w:rsidRPr="002F0FC7">
              <w:rPr>
                <w:rFonts w:ascii="Times New Roman" w:hAnsi="Times New Roman"/>
              </w:rPr>
              <w:t>Tab. 11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Výdavky štátneho rozpočtu podľa funkčnej klasifikácie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12</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bCs/>
              </w:rPr>
              <w:t>Výdavky štátneho rozpočtu podľa kapitol ŠR a zdrojov v</w:t>
            </w:r>
            <w:r>
              <w:rPr>
                <w:rFonts w:ascii="Times New Roman" w:hAnsi="Times New Roman"/>
                <w:bCs/>
              </w:rPr>
              <w:t> </w:t>
            </w:r>
            <w:r w:rsidRPr="002F0FC7">
              <w:rPr>
                <w:rFonts w:ascii="Times New Roman" w:hAnsi="Times New Roman"/>
                <w:bCs/>
              </w:rPr>
              <w:t>roku</w:t>
            </w:r>
            <w:r>
              <w:rPr>
                <w:rFonts w:ascii="Times New Roman" w:hAnsi="Times New Roman"/>
                <w:bCs/>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6B2503">
            <w:pPr>
              <w:bidi w:val="0"/>
              <w:rPr>
                <w:rFonts w:ascii="Times New Roman" w:hAnsi="Times New Roman"/>
              </w:rPr>
            </w:pPr>
            <w:r w:rsidRPr="002F0FC7">
              <w:rPr>
                <w:rFonts w:ascii="Times New Roman" w:hAnsi="Times New Roman"/>
              </w:rPr>
              <w:t>Tab. 13</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Výdavky štátneho rozpočtu na vedu a techniku podľa kapitol ŠR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14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2F0FC7">
              <w:rPr>
                <w:rFonts w:ascii="Times New Roman" w:hAnsi="Times New Roman"/>
              </w:rPr>
              <w:t>Výdavky štátneho rozpočtu na vedu a techniku podľa funkčnej klasifikácie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15</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Prehľad výdavkov štátneho rozpočtu na realizáciu programov za rok</w:t>
            </w:r>
            <w:r>
              <w:rPr>
                <w:rFonts w:ascii="Times New Roman" w:hAnsi="Times New Roman"/>
              </w:rPr>
              <w:t xml:space="preserve"> 2011</w:t>
            </w:r>
          </w:p>
        </w:tc>
      </w:tr>
      <w:tr>
        <w:tblPrEx>
          <w:tblW w:w="10065" w:type="dxa"/>
          <w:jc w:val="center"/>
          <w:tblLayout w:type="fixed"/>
          <w:tblLook w:val="01E0"/>
        </w:tblPrEx>
        <w:trPr>
          <w:trHeight w:val="686"/>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16</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2F0FC7">
              <w:rPr>
                <w:rFonts w:ascii="Times New Roman" w:hAnsi="Times New Roman"/>
              </w:rPr>
              <w:t>Prehľad príjmov a výdavkov z rozpočtu Európskej únie zaradených do príjmov a výdavkov štátneho rozpočtu podľa kapitol ŠR</w:t>
            </w:r>
          </w:p>
        </w:tc>
      </w:tr>
      <w:tr>
        <w:tblPrEx>
          <w:tblW w:w="10065" w:type="dxa"/>
          <w:jc w:val="center"/>
          <w:tblLayout w:type="fixed"/>
          <w:tblLook w:val="01E0"/>
        </w:tblPrEx>
        <w:trPr>
          <w:trHeight w:val="724"/>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17</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6A161C">
              <w:rPr>
                <w:rFonts w:ascii="Times New Roman" w:hAnsi="Times New Roman"/>
              </w:rPr>
              <w:t>Prostriedky štátneho rozpočtu na financovanie spoločných programov Slovenskej republiky a EÚ podľa kapitol ŠR</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tabs>
                <w:tab w:val="left" w:pos="1310"/>
              </w:tabs>
              <w:bidi w:val="0"/>
              <w:ind w:right="34"/>
              <w:rPr>
                <w:rFonts w:ascii="Times New Roman" w:hAnsi="Times New Roman"/>
              </w:rPr>
            </w:pPr>
            <w:r w:rsidRPr="002F0FC7">
              <w:rPr>
                <w:rFonts w:ascii="Times New Roman" w:hAnsi="Times New Roman"/>
              </w:rPr>
              <w:t>Tab. 18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C36624">
            <w:pPr>
              <w:bidi w:val="0"/>
              <w:jc w:val="both"/>
              <w:rPr>
                <w:rFonts w:ascii="Times New Roman" w:hAnsi="Times New Roman"/>
              </w:rPr>
            </w:pPr>
            <w:r w:rsidRPr="002F0FC7">
              <w:rPr>
                <w:rFonts w:ascii="Times New Roman" w:hAnsi="Times New Roman"/>
              </w:rPr>
              <w:t>Prehľad vzťahu jednotlivých kapitol ŠR k štátnemu rozpočtu za rok</w:t>
            </w:r>
            <w:r>
              <w:rPr>
                <w:rFonts w:ascii="Times New Roman" w:hAnsi="Times New Roman"/>
              </w:rPr>
              <w:t xml:space="preserve"> 2011</w:t>
            </w:r>
            <w:r w:rsidRPr="002F0FC7">
              <w:rPr>
                <w:rFonts w:ascii="Times New Roman" w:hAnsi="Times New Roman"/>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19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Vývoj príjmov a výdavkov štátneho rozpočtu v</w:t>
            </w:r>
            <w:r>
              <w:rPr>
                <w:rFonts w:ascii="Times New Roman" w:hAnsi="Times New Roman"/>
              </w:rPr>
              <w:t> </w:t>
            </w:r>
            <w:r w:rsidRPr="002F0FC7">
              <w:rPr>
                <w:rFonts w:ascii="Times New Roman" w:hAnsi="Times New Roman"/>
              </w:rPr>
              <w:t>rokoch</w:t>
            </w:r>
            <w:r>
              <w:rPr>
                <w:rFonts w:ascii="Times New Roman" w:hAnsi="Times New Roman"/>
              </w:rPr>
              <w:t xml:space="preserve"> 2011</w:t>
            </w:r>
            <w:r w:rsidRPr="002F0FC7">
              <w:rPr>
                <w:rFonts w:ascii="Times New Roman" w:hAnsi="Times New Roman"/>
              </w:rPr>
              <w:t xml:space="preserve"> a 20</w:t>
            </w:r>
            <w:r>
              <w:rPr>
                <w:rFonts w:ascii="Times New Roman" w:hAnsi="Times New Roman"/>
              </w:rPr>
              <w:t>10</w:t>
            </w:r>
            <w:r w:rsidRPr="002F0FC7">
              <w:rPr>
                <w:rFonts w:ascii="Times New Roman" w:hAnsi="Times New Roman"/>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6B2503">
            <w:pPr>
              <w:bidi w:val="0"/>
              <w:rPr>
                <w:rFonts w:ascii="Times New Roman" w:hAnsi="Times New Roman"/>
              </w:rPr>
            </w:pPr>
            <w:r w:rsidRPr="002F0FC7">
              <w:rPr>
                <w:rFonts w:ascii="Times New Roman" w:hAnsi="Times New Roman"/>
              </w:rPr>
              <w:t>Tab. 20</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Záväzné limity dotácií zo ŠR obciam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6B2503">
            <w:pPr>
              <w:bidi w:val="0"/>
              <w:rPr>
                <w:rFonts w:ascii="Times New Roman" w:hAnsi="Times New Roman"/>
              </w:rPr>
            </w:pPr>
            <w:r w:rsidRPr="002F0FC7">
              <w:rPr>
                <w:rFonts w:ascii="Times New Roman" w:hAnsi="Times New Roman"/>
              </w:rPr>
              <w:t>Tab. 21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Záväzné limity dotácií zo ŠR vyšším územným celkom za rok</w:t>
            </w:r>
            <w:r>
              <w:rPr>
                <w:rFonts w:ascii="Times New Roman" w:hAnsi="Times New Roman"/>
              </w:rPr>
              <w:t xml:space="preserve"> 2011</w:t>
            </w:r>
          </w:p>
        </w:tc>
      </w:tr>
      <w:tr>
        <w:tblPrEx>
          <w:tblW w:w="10065" w:type="dxa"/>
          <w:jc w:val="center"/>
          <w:tblLayout w:type="fixed"/>
          <w:tblLook w:val="01E0"/>
        </w:tblPrEx>
        <w:trPr>
          <w:trHeight w:val="845"/>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22</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2F0FC7">
              <w:rPr>
                <w:rFonts w:ascii="Times New Roman" w:hAnsi="Times New Roman"/>
              </w:rPr>
              <w:t>Prehľad o plnení limitu počtu zamestnancov, miezd, platov, služobných príjmov a ostatných osobných vyrovnaní v kapitolách ŠR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23</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C36624">
            <w:pPr>
              <w:bidi w:val="0"/>
              <w:spacing w:line="276" w:lineRule="auto"/>
              <w:jc w:val="both"/>
              <w:rPr>
                <w:rFonts w:ascii="Times New Roman" w:hAnsi="Times New Roman"/>
              </w:rPr>
            </w:pPr>
            <w:r w:rsidRPr="002F0FC7">
              <w:rPr>
                <w:rFonts w:ascii="Times New Roman" w:hAnsi="Times New Roman"/>
              </w:rPr>
              <w:t>Prehľad o čerpaní miezd, platov, služobných príjmov a ostatných osobných vyrovnaní v kapitolách ŠR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24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Systemizácia colníkov v štátnej službe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P="0053060C">
            <w:pPr>
              <w:bidi w:val="0"/>
              <w:rPr>
                <w:rFonts w:ascii="Times New Roman" w:hAnsi="Times New Roman"/>
              </w:rPr>
            </w:pPr>
            <w:r w:rsidRPr="002F0FC7">
              <w:rPr>
                <w:rFonts w:ascii="Times New Roman" w:hAnsi="Times New Roman"/>
              </w:rPr>
              <w:t>Tab. 25</w:t>
            </w:r>
          </w:p>
          <w:p w:rsidR="0053060C" w:rsidRPr="002F0FC7" w:rsidP="0053060C">
            <w:pPr>
              <w:bidi w:val="0"/>
              <w:rPr>
                <w:rFonts w:ascii="Times New Roman" w:hAnsi="Times New Roman"/>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2F0FC7">
              <w:rPr>
                <w:rFonts w:ascii="Times New Roman" w:hAnsi="Times New Roman"/>
                <w:color w:val="000000"/>
              </w:rPr>
              <w:t>Systemizácia príslušníkov Hasičského záchranného zboru a príslušníkov Hasičskej záchrannej služby v štátnej službe za rok</w:t>
            </w:r>
            <w:r>
              <w:rPr>
                <w:rFonts w:ascii="Times New Roman" w:hAnsi="Times New Roman"/>
                <w:color w:val="000000"/>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26</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Systemizácia policajtov v štátnej službe za rok</w:t>
            </w:r>
            <w:r>
              <w:rPr>
                <w:rFonts w:ascii="Times New Roman" w:hAnsi="Times New Roman"/>
              </w:rPr>
              <w:t xml:space="preserve"> 2011</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27</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Príjmy štátnych príspevkových organizácií podľa kategórií a kapitol ŠR za rok</w:t>
            </w:r>
            <w:r>
              <w:rPr>
                <w:rFonts w:ascii="Times New Roman" w:hAnsi="Times New Roman"/>
              </w:rPr>
              <w:t xml:space="preserve"> 2011</w:t>
            </w:r>
          </w:p>
        </w:tc>
      </w:tr>
      <w:tr>
        <w:tblPrEx>
          <w:tblW w:w="10065" w:type="dxa"/>
          <w:jc w:val="center"/>
          <w:tblLayout w:type="fixed"/>
          <w:tblLook w:val="01E0"/>
        </w:tblPrEx>
        <w:trPr>
          <w:cantSplit/>
          <w:trHeight w:val="43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28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Pr>
                <w:rFonts w:ascii="Times New Roman" w:hAnsi="Times New Roman"/>
              </w:rPr>
              <w:t>V</w:t>
            </w:r>
            <w:r w:rsidRPr="002F0FC7">
              <w:rPr>
                <w:rFonts w:ascii="Times New Roman" w:hAnsi="Times New Roman"/>
              </w:rPr>
              <w:t>ýdavky štátnych príspevkových organizácií podľa kategórií a kapitol ŠR za rok</w:t>
            </w:r>
            <w:r>
              <w:rPr>
                <w:rFonts w:ascii="Times New Roman" w:hAnsi="Times New Roman"/>
              </w:rPr>
              <w:t xml:space="preserve"> 2011</w:t>
            </w:r>
          </w:p>
        </w:tc>
      </w:tr>
      <w:tr>
        <w:tblPrEx>
          <w:tblW w:w="10065" w:type="dxa"/>
          <w:jc w:val="center"/>
          <w:tblLayout w:type="fixed"/>
          <w:tblLook w:val="01E0"/>
        </w:tblPrEx>
        <w:trPr>
          <w:cantSplit/>
          <w:trHeight w:val="413"/>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29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jc w:val="both"/>
              <w:rPr>
                <w:rFonts w:ascii="Times New Roman" w:hAnsi="Times New Roman"/>
              </w:rPr>
            </w:pPr>
            <w:r w:rsidRPr="002F0FC7">
              <w:rPr>
                <w:rFonts w:ascii="Times New Roman" w:hAnsi="Times New Roman"/>
              </w:rPr>
              <w:t>Výdavky štátnych príspevkových organizácií podľa funkčnej klasifikácie za rok</w:t>
            </w:r>
            <w:r>
              <w:rPr>
                <w:rFonts w:ascii="Times New Roman" w:hAnsi="Times New Roman"/>
              </w:rPr>
              <w:t xml:space="preserve"> 2011</w:t>
            </w:r>
          </w:p>
        </w:tc>
      </w:tr>
      <w:tr>
        <w:tblPrEx>
          <w:tblW w:w="10065" w:type="dxa"/>
          <w:jc w:val="center"/>
          <w:tblLayout w:type="fixed"/>
          <w:tblLook w:val="01E0"/>
        </w:tblPrEx>
        <w:trPr>
          <w:cantSplit/>
          <w:trHeight w:val="433"/>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2F0FC7" w:rsidP="0053060C">
            <w:pPr>
              <w:bidi w:val="0"/>
              <w:rPr>
                <w:rFonts w:ascii="Times New Roman" w:hAnsi="Times New Roman"/>
              </w:rPr>
            </w:pPr>
            <w:r w:rsidRPr="002F0FC7">
              <w:rPr>
                <w:rFonts w:ascii="Times New Roman" w:hAnsi="Times New Roman"/>
              </w:rPr>
              <w:t>Tab. 30</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2F0FC7" w:rsidP="0053060C">
            <w:pPr>
              <w:bidi w:val="0"/>
              <w:spacing w:line="276" w:lineRule="auto"/>
              <w:jc w:val="both"/>
              <w:rPr>
                <w:rFonts w:ascii="Times New Roman" w:hAnsi="Times New Roman"/>
              </w:rPr>
            </w:pPr>
            <w:r w:rsidRPr="002F0FC7">
              <w:rPr>
                <w:rFonts w:ascii="Times New Roman" w:hAnsi="Times New Roman"/>
              </w:rPr>
              <w:t>Finančné operácie štátnych príspevkových organizácií za rok</w:t>
            </w:r>
            <w:r>
              <w:rPr>
                <w:rFonts w:ascii="Times New Roman" w:hAnsi="Times New Roman"/>
              </w:rPr>
              <w:t xml:space="preserve"> 2011</w:t>
            </w:r>
          </w:p>
        </w:tc>
      </w:tr>
    </w:tbl>
    <w:p w:rsidR="0053060C" w:rsidP="00230016">
      <w:pPr>
        <w:bidi w:val="0"/>
        <w:spacing w:line="360" w:lineRule="auto"/>
        <w:jc w:val="both"/>
        <w:rPr>
          <w:rFonts w:ascii="Arial Narrow" w:hAnsi="Arial Narrow"/>
          <w:sz w:val="22"/>
          <w:szCs w:val="22"/>
        </w:rPr>
      </w:pPr>
    </w:p>
    <w:sectPr w:rsidSect="007E6441">
      <w:footerReference w:type="even" r:id="rId11"/>
      <w:footerReference w:type="default" r:id="rId12"/>
      <w:pgSz w:w="11907" w:h="16840" w:code="9"/>
      <w:pgMar w:top="1134" w:right="1134" w:bottom="1134" w:left="1134" w:header="709" w:footer="709" w:gutter="284"/>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938" w:rsidP="00351C2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4293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93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4510A">
      <w:rPr>
        <w:rFonts w:ascii="Times New Roman" w:hAnsi="Times New Roman"/>
        <w:noProof/>
      </w:rPr>
      <w:t>57</w:t>
    </w:r>
    <w:r>
      <w:rPr>
        <w:rFonts w:ascii="Times New Roman" w:hAnsi="Times New Roman"/>
      </w:rPr>
      <w:fldChar w:fldCharType="end"/>
    </w:r>
  </w:p>
  <w:p w:rsidR="0044293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B39" w:rsidP="00D559E8">
      <w:pPr>
        <w:bidi w:val="0"/>
        <w:rPr>
          <w:rFonts w:ascii="Times New Roman" w:hAnsi="Times New Roman"/>
        </w:rPr>
      </w:pPr>
      <w:r>
        <w:rPr>
          <w:rFonts w:ascii="Times New Roman" w:hAnsi="Times New Roman"/>
        </w:rPr>
        <w:separator/>
      </w:r>
    </w:p>
  </w:footnote>
  <w:footnote w:type="continuationSeparator" w:id="1">
    <w:p w:rsidR="007B6B39" w:rsidP="00D559E8">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442938">
        <w:rPr>
          <w:rStyle w:val="FootnoteReference"/>
          <w:rFonts w:ascii="Times New Roman" w:hAnsi="Times New Roman"/>
        </w:rPr>
        <w:t>1)</w:t>
      </w:r>
      <w:r w:rsidR="00442938">
        <w:rPr>
          <w:rFonts w:ascii="Times New Roman" w:hAnsi="Times New Roman"/>
        </w:rPr>
        <w:t xml:space="preserve"> </w:t>
      </w:r>
      <w:r w:rsidRPr="001C6919" w:rsidR="00442938">
        <w:rPr>
          <w:rFonts w:ascii="Times New Roman" w:hAnsi="Times New Roman"/>
          <w:sz w:val="20"/>
          <w:szCs w:val="20"/>
        </w:rPr>
        <w:t xml:space="preserve">Výberové zisťovanie pracovných </w:t>
      </w:r>
      <w:r w:rsidR="00442938">
        <w:rPr>
          <w:rFonts w:ascii="Times New Roman" w:hAnsi="Times New Roman"/>
          <w:sz w:val="20"/>
          <w:szCs w:val="20"/>
        </w:rPr>
        <w:t>síl</w:t>
      </w:r>
      <w:r w:rsidRPr="001C6919" w:rsidR="00442938">
        <w:rPr>
          <w:rFonts w:ascii="Times New Roman" w:hAnsi="Times New Roman"/>
          <w:sz w:val="20"/>
          <w:szCs w:val="20"/>
        </w:rPr>
        <w:t xml:space="preserve"> vykonávané ŠÚ SR</w:t>
      </w:r>
    </w:p>
  </w:footnote>
  <w:footnote w:id="3">
    <w:p>
      <w:pPr>
        <w:pStyle w:val="FootnoteText"/>
        <w:bidi w:val="0"/>
        <w:rPr>
          <w:rFonts w:ascii="Times New Roman" w:hAnsi="Times New Roman"/>
        </w:rPr>
      </w:pPr>
      <w:r w:rsidR="00442938">
        <w:rPr>
          <w:rStyle w:val="FootnoteReference"/>
          <w:rFonts w:ascii="Times New Roman" w:hAnsi="Times New Roman"/>
        </w:rPr>
        <w:t>2)</w:t>
      </w:r>
      <w:r w:rsidR="00442938">
        <w:rPr>
          <w:rFonts w:ascii="Times New Roman" w:hAnsi="Times New Roman"/>
        </w:rPr>
        <w:t xml:space="preserve"> </w:t>
      </w:r>
      <w:r w:rsidRPr="001C6919" w:rsidR="00442938">
        <w:rPr>
          <w:rFonts w:ascii="Times New Roman" w:hAnsi="Times New Roman"/>
          <w:sz w:val="20"/>
          <w:szCs w:val="20"/>
        </w:rPr>
        <w:t>Podľa podnikového výkazníctva SK NACE Rev. 2</w:t>
      </w:r>
    </w:p>
  </w:footnote>
  <w:footnote w:id="4">
    <w:p>
      <w:pPr>
        <w:pStyle w:val="FootnoteText"/>
        <w:bidi w:val="0"/>
        <w:rPr>
          <w:rFonts w:ascii="Times New Roman" w:hAnsi="Times New Roman"/>
        </w:rPr>
      </w:pPr>
      <w:r w:rsidR="00442938">
        <w:rPr>
          <w:rStyle w:val="FootnoteReference"/>
          <w:rFonts w:ascii="Times New Roman" w:hAnsi="Times New Roman"/>
        </w:rPr>
        <w:t>3)</w:t>
      </w:r>
      <w:r w:rsidR="00442938">
        <w:rPr>
          <w:rFonts w:ascii="Times New Roman" w:hAnsi="Times New Roman"/>
        </w:rPr>
        <w:t xml:space="preserve"> </w:t>
      </w:r>
      <w:r w:rsidRPr="00DF397E" w:rsidR="00442938">
        <w:rPr>
          <w:rFonts w:ascii="Times New Roman" w:hAnsi="Times New Roman"/>
          <w:sz w:val="20"/>
          <w:szCs w:val="20"/>
        </w:rPr>
        <w:t>Nariadenie Rady (ES) č. 479/2009 z 25. mája 2009 o uplatňovaní Protokolu o nadmernom schodku, ktorý tvorí prílohu Zmluvy o založení Európskeho spoločenstva</w:t>
      </w:r>
    </w:p>
  </w:footnote>
  <w:footnote w:id="5">
    <w:p>
      <w:pPr>
        <w:pStyle w:val="FootnoteText"/>
        <w:bidi w:val="0"/>
        <w:rPr>
          <w:rFonts w:ascii="Times New Roman" w:hAnsi="Times New Roman"/>
        </w:rPr>
      </w:pPr>
      <w:r w:rsidR="00442938">
        <w:rPr>
          <w:rStyle w:val="FootnoteReference"/>
          <w:rFonts w:ascii="Times New Roman" w:hAnsi="Times New Roman"/>
        </w:rPr>
        <w:t>4)</w:t>
      </w:r>
      <w:r w:rsidR="00442938">
        <w:rPr>
          <w:rFonts w:ascii="Times New Roman" w:hAnsi="Times New Roman"/>
        </w:rPr>
        <w:t xml:space="preserve"> </w:t>
      </w:r>
      <w:r w:rsidR="00442938">
        <w:rPr>
          <w:rFonts w:ascii="Times New Roman" w:hAnsi="Times New Roman"/>
          <w:sz w:val="20"/>
          <w:szCs w:val="20"/>
        </w:rPr>
        <w:t>Záverečný účet verejnej správy SR za rok 2010, materiál na rokovanie NR SR, č. UV-15015/2011, jún 2011</w:t>
      </w:r>
    </w:p>
  </w:footnote>
  <w:footnote w:id="6">
    <w:p>
      <w:pPr>
        <w:pStyle w:val="FootnoteText"/>
        <w:bidi w:val="0"/>
        <w:rPr>
          <w:rFonts w:ascii="Times New Roman" w:hAnsi="Times New Roman"/>
        </w:rPr>
      </w:pPr>
      <w:r w:rsidR="00442938">
        <w:rPr>
          <w:rStyle w:val="FootnoteReference"/>
          <w:rFonts w:ascii="Times New Roman" w:hAnsi="Times New Roman"/>
        </w:rPr>
        <w:t>5)</w:t>
      </w:r>
      <w:r w:rsidR="00442938">
        <w:rPr>
          <w:rFonts w:ascii="Times New Roman" w:hAnsi="Times New Roman"/>
        </w:rPr>
        <w:t xml:space="preserve"> </w:t>
      </w:r>
      <w:r w:rsidR="00442938">
        <w:rPr>
          <w:rFonts w:ascii="Times New Roman" w:hAnsi="Times New Roman"/>
          <w:sz w:val="20"/>
          <w:szCs w:val="20"/>
        </w:rPr>
        <w:t>Príručka vládneho deficitu a dlhu (implementácia systému ESA 95), Eurostat, 2010, časť VIII.</w:t>
      </w:r>
    </w:p>
  </w:footnote>
  <w:footnote w:id="7">
    <w:p>
      <w:pPr>
        <w:pStyle w:val="FootnoteText"/>
        <w:bidi w:val="0"/>
        <w:rPr>
          <w:rFonts w:ascii="Times New Roman" w:hAnsi="Times New Roman"/>
        </w:rPr>
      </w:pPr>
      <w:r w:rsidR="00442938">
        <w:rPr>
          <w:rStyle w:val="FootnoteReference"/>
          <w:rFonts w:ascii="Times New Roman" w:hAnsi="Times New Roman"/>
        </w:rPr>
        <w:t>6)</w:t>
      </w:r>
      <w:r w:rsidR="00442938">
        <w:rPr>
          <w:rFonts w:ascii="Times New Roman" w:hAnsi="Times New Roman"/>
        </w:rPr>
        <w:t xml:space="preserve"> </w:t>
      </w:r>
      <w:r w:rsidR="00442938">
        <w:rPr>
          <w:rFonts w:ascii="Times New Roman" w:hAnsi="Times New Roman"/>
          <w:sz w:val="20"/>
          <w:szCs w:val="20"/>
        </w:rPr>
        <w:t>Dlh vyšších územných celkov a obcí určený podľa maastrichtských kritérií nemožno stotožňovať s ich dlhom ako kritériom pre prijatie návratných zdrojov financovania podľa § 17 ods. 6-8 zákona č. 583/2004 Z. z. o rozpočtových pravidlách územnej samosprávy a o zmene a doplnení niektorých zákonov v znení neskorších predpisov.</w:t>
      </w:r>
    </w:p>
  </w:footnote>
  <w:footnote w:id="8">
    <w:p>
      <w:pPr>
        <w:pStyle w:val="FootnoteText"/>
        <w:bidi w:val="0"/>
        <w:rPr>
          <w:rFonts w:ascii="Times New Roman" w:hAnsi="Times New Roman"/>
        </w:rPr>
      </w:pPr>
      <w:r w:rsidR="00442938">
        <w:rPr>
          <w:rStyle w:val="FootnoteReference"/>
          <w:rFonts w:ascii="Times New Roman" w:hAnsi="Times New Roman"/>
        </w:rPr>
        <w:t>7)</w:t>
      </w:r>
      <w:r w:rsidR="00442938">
        <w:rPr>
          <w:rFonts w:ascii="Times New Roman" w:hAnsi="Times New Roman"/>
        </w:rPr>
        <w:t xml:space="preserve"> </w:t>
      </w:r>
      <w:r w:rsidR="00442938">
        <w:rPr>
          <w:rFonts w:ascii="Times New Roman" w:hAnsi="Times New Roman"/>
          <w:sz w:val="20"/>
          <w:szCs w:val="20"/>
        </w:rPr>
        <w:t>Programové vyhlásenie vlády SR na obdobie rokov 2010 – 2014 schválila NR SR 10. 8. 2010</w:t>
      </w:r>
    </w:p>
  </w:footnote>
  <w:footnote w:id="9">
    <w:p w:rsidP="00A94EA0">
      <w:pPr>
        <w:pStyle w:val="FootnoteText"/>
        <w:bidi w:val="0"/>
        <w:jc w:val="both"/>
        <w:rPr>
          <w:rFonts w:ascii="Times New Roman" w:hAnsi="Times New Roman"/>
        </w:rPr>
      </w:pPr>
      <w:r w:rsidR="00442938">
        <w:rPr>
          <w:rStyle w:val="FootnoteReference"/>
          <w:rFonts w:ascii="Times New Roman" w:hAnsi="Times New Roman"/>
        </w:rPr>
        <w:t>8)</w:t>
      </w:r>
      <w:r w:rsidR="00442938">
        <w:rPr>
          <w:rFonts w:ascii="Times New Roman" w:hAnsi="Times New Roman"/>
        </w:rPr>
        <w:t xml:space="preserve"> „</w:t>
      </w:r>
      <w:r w:rsidR="00442938">
        <w:rPr>
          <w:rFonts w:ascii="Times New Roman" w:hAnsi="Times New Roman"/>
          <w:sz w:val="20"/>
          <w:szCs w:val="20"/>
        </w:rPr>
        <w:t>Správa o makroekonomickom vývoji a vývoji verejných financií za prvý polrok 2011 a predikcia vývoja do konca roka“, ktorá sa pripravuje po ukončení prvého polroka a materiál „Správa o makroekonomickom vývoji a vývoji verejných financií za tri štvrťroky 2011 a predikcia vývoja do konca roka“, ktorá sa pripravuje po ukončení troch štvrťrokov kalendárneho roka.</w:t>
      </w:r>
    </w:p>
  </w:footnote>
  <w:footnote w:id="10">
    <w:p w:rsidR="00442938" w:rsidRPr="004017AC" w:rsidP="00D64604">
      <w:pPr>
        <w:pStyle w:val="FootnoteText"/>
        <w:bidi w:val="0"/>
        <w:rPr>
          <w:rFonts w:ascii="Times New Roman" w:hAnsi="Times New Roman"/>
          <w:sz w:val="20"/>
          <w:szCs w:val="20"/>
        </w:rPr>
      </w:pPr>
      <w:r>
        <w:rPr>
          <w:rStyle w:val="FootnoteReference"/>
          <w:rFonts w:ascii="Times New Roman" w:hAnsi="Times New Roman"/>
        </w:rPr>
        <w:t>9)</w:t>
      </w:r>
      <w:r>
        <w:rPr>
          <w:rFonts w:ascii="Times New Roman" w:hAnsi="Times New Roman"/>
        </w:rPr>
        <w:t xml:space="preserve"> </w:t>
      </w:r>
      <w:r>
        <w:rPr>
          <w:rFonts w:ascii="Times New Roman" w:hAnsi="Times New Roman"/>
          <w:sz w:val="20"/>
          <w:szCs w:val="20"/>
        </w:rPr>
        <w:t>Podrobné údaje o plnení nedaňových príjmov štátneho rozpočtu v roku 2011 sú uvedené v tab. č. 3 tabuľkovej prílohy štátneho záverečného účtu.</w:t>
      </w:r>
    </w:p>
    <w:p w:rsidP="00D64604">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2DB"/>
    <w:multiLevelType w:val="hybridMultilevel"/>
    <w:tmpl w:val="F0022964"/>
    <w:lvl w:ilvl="0">
      <w:start w:val="1"/>
      <w:numFmt w:val="upperLetter"/>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1B21F8"/>
    <w:multiLevelType w:val="singleLevel"/>
    <w:tmpl w:val="D54ED3E6"/>
    <w:lvl w:ilvl="0">
      <w:start w:val="1"/>
      <w:numFmt w:val="upperLetter"/>
      <w:lvlText w:val="%1."/>
      <w:lvlJc w:val="left"/>
      <w:pPr>
        <w:tabs>
          <w:tab w:val="num" w:pos="420"/>
        </w:tabs>
        <w:ind w:left="420" w:hanging="420"/>
      </w:pPr>
      <w:rPr>
        <w:rFonts w:cs="Times New Roman" w:hint="default"/>
        <w:rtl w:val="0"/>
        <w:cs w:val="0"/>
      </w:rPr>
    </w:lvl>
  </w:abstractNum>
  <w:abstractNum w:abstractNumId="2">
    <w:nsid w:val="17C17062"/>
    <w:multiLevelType w:val="hybridMultilevel"/>
    <w:tmpl w:val="50649432"/>
    <w:lvl w:ilvl="0">
      <w:start w:val="1"/>
      <w:numFmt w:val="bullet"/>
      <w:lvlText w:val=""/>
      <w:lvlJc w:val="left"/>
      <w:pPr>
        <w:tabs>
          <w:tab w:val="num" w:pos="945"/>
        </w:tabs>
        <w:ind w:left="945" w:hanging="360"/>
      </w:pPr>
      <w:rPr>
        <w:rFonts w:ascii="Symbol" w:hAnsi="Symbol" w:hint="default"/>
      </w:rPr>
    </w:lvl>
    <w:lvl w:ilvl="1">
      <w:start w:val="1"/>
      <w:numFmt w:val="bullet"/>
      <w:lvlText w:val=""/>
      <w:lvlJc w:val="left"/>
      <w:pPr>
        <w:tabs>
          <w:tab w:val="num" w:pos="945"/>
        </w:tabs>
        <w:ind w:left="945" w:hanging="360"/>
      </w:pPr>
      <w:rPr>
        <w:rFonts w:ascii="Wingdings" w:hAnsi="Wingdings" w:hint="default"/>
      </w:rPr>
    </w:lvl>
    <w:lvl w:ilvl="2">
      <w:start w:val="4"/>
      <w:numFmt w:val="bullet"/>
      <w:lvlText w:val="-"/>
      <w:lvlJc w:val="left"/>
      <w:pPr>
        <w:tabs>
          <w:tab w:val="num" w:pos="2160"/>
        </w:tabs>
        <w:ind w:left="2160" w:hanging="360"/>
      </w:pPr>
      <w:rPr>
        <w:rFonts w:ascii="Times New Roman" w:eastAsia="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2875EC2"/>
    <w:multiLevelType w:val="hybridMultilevel"/>
    <w:tmpl w:val="0EB6B7E2"/>
    <w:lvl w:ilvl="0">
      <w:start w:val="1"/>
      <w:numFmt w:val="bullet"/>
      <w:lvlText w:val=""/>
      <w:lvlJc w:val="left"/>
      <w:pPr>
        <w:ind w:left="1637" w:hanging="360"/>
      </w:pPr>
      <w:rPr>
        <w:rFonts w:ascii="Symbol" w:hAnsi="Symbol" w:hint="default"/>
      </w:rPr>
    </w:lvl>
    <w:lvl w:ilvl="1">
      <w:start w:val="1"/>
      <w:numFmt w:val="bullet"/>
      <w:lvlText w:val="o"/>
      <w:lvlJc w:val="left"/>
      <w:pPr>
        <w:ind w:left="2357" w:hanging="360"/>
      </w:pPr>
      <w:rPr>
        <w:rFonts w:ascii="Courier New" w:hAnsi="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hint="default"/>
      </w:rPr>
    </w:lvl>
    <w:lvl w:ilvl="8">
      <w:start w:val="1"/>
      <w:numFmt w:val="bullet"/>
      <w:lvlText w:val=""/>
      <w:lvlJc w:val="left"/>
      <w:pPr>
        <w:ind w:left="7397" w:hanging="360"/>
      </w:pPr>
      <w:rPr>
        <w:rFonts w:ascii="Wingdings" w:hAnsi="Wingdings" w:hint="default"/>
      </w:rPr>
    </w:lvl>
  </w:abstractNum>
  <w:abstractNum w:abstractNumId="4">
    <w:nsid w:val="230B0AC3"/>
    <w:multiLevelType w:val="hybridMultilevel"/>
    <w:tmpl w:val="096260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5">
    <w:nsid w:val="3C4D2676"/>
    <w:multiLevelType w:val="hybridMultilevel"/>
    <w:tmpl w:val="B402342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3DC97A65"/>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43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7">
    <w:nsid w:val="3E1E4BBE"/>
    <w:multiLevelType w:val="hybridMultilevel"/>
    <w:tmpl w:val="085634AC"/>
    <w:lvl w:ilvl="0">
      <w:start w:val="1"/>
      <w:numFmt w:val="bullet"/>
      <w:lvlText w:val=""/>
      <w:lvlJc w:val="left"/>
      <w:pPr>
        <w:ind w:left="1287" w:hanging="360"/>
      </w:pPr>
      <w:rPr>
        <w:rFonts w:ascii="Symbol" w:hAnsi="Symbol" w:hint="default"/>
      </w:rPr>
    </w:lvl>
    <w:lvl w:ilvl="1">
      <w:start w:val="1"/>
      <w:numFmt w:val="bullet"/>
      <w:lvlText w:val=""/>
      <w:lvlJc w:val="left"/>
      <w:pPr>
        <w:ind w:left="1353" w:hanging="360"/>
      </w:pPr>
      <w:rPr>
        <w:rFonts w:ascii="Symbol" w:hAnsi="Symbol"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
    <w:nsid w:val="3EAB616D"/>
    <w:multiLevelType w:val="hybridMultilevel"/>
    <w:tmpl w:val="AD5062FC"/>
    <w:lvl w:ilvl="0">
      <w:start w:val="1"/>
      <w:numFmt w:val="bullet"/>
      <w:lvlText w:val=""/>
      <w:lvlJc w:val="left"/>
      <w:pPr>
        <w:tabs>
          <w:tab w:val="num" w:pos="945"/>
        </w:tabs>
        <w:ind w:left="945" w:hanging="360"/>
      </w:pPr>
      <w:rPr>
        <w:rFonts w:ascii="Wingdings" w:hAnsi="Wingdings" w:hint="default"/>
      </w:rPr>
    </w:lvl>
    <w:lvl w:ilvl="1">
      <w:start w:val="1"/>
      <w:numFmt w:val="bullet"/>
      <w:lvlText w:val=""/>
      <w:lvlJc w:val="left"/>
      <w:pPr>
        <w:tabs>
          <w:tab w:val="num" w:pos="945"/>
        </w:tabs>
        <w:ind w:left="945" w:hanging="360"/>
      </w:pPr>
      <w:rPr>
        <w:rFonts w:ascii="Wingdings" w:hAnsi="Wingdings" w:hint="default"/>
      </w:rPr>
    </w:lvl>
    <w:lvl w:ilvl="2">
      <w:start w:val="4"/>
      <w:numFmt w:val="bullet"/>
      <w:lvlText w:val="-"/>
      <w:lvlJc w:val="left"/>
      <w:pPr>
        <w:tabs>
          <w:tab w:val="num" w:pos="2160"/>
        </w:tabs>
        <w:ind w:left="2160" w:hanging="360"/>
      </w:pPr>
      <w:rPr>
        <w:rFonts w:ascii="Times New Roman" w:eastAsia="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B87E2F"/>
    <w:multiLevelType w:val="hybridMultilevel"/>
    <w:tmpl w:val="EED64330"/>
    <w:lvl w:ilvl="0">
      <w:start w:val="1"/>
      <w:numFmt w:val="bullet"/>
      <w:lvlText w:val="-"/>
      <w:lvlJc w:val="left"/>
      <w:pPr>
        <w:ind w:left="720" w:hanging="360"/>
      </w:pPr>
      <w:rPr>
        <w:rFonts w:ascii="Arial Narrow" w:eastAsia="Calibri"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78745C1"/>
    <w:multiLevelType w:val="hybridMultilevel"/>
    <w:tmpl w:val="3CF627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81D409E"/>
    <w:multiLevelType w:val="hybridMultilevel"/>
    <w:tmpl w:val="A2D0A14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96B55C0"/>
    <w:multiLevelType w:val="hybridMultilevel"/>
    <w:tmpl w:val="18D02868"/>
    <w:lvl w:ilvl="0">
      <w:start w:val="1"/>
      <w:numFmt w:val="decimal"/>
      <w:lvlText w:val="%1)"/>
      <w:lvlJc w:val="left"/>
      <w:pPr>
        <w:ind w:left="295" w:hanging="360"/>
      </w:pPr>
      <w:rPr>
        <w:rFonts w:cs="Times New Roman" w:hint="default"/>
        <w:rtl w:val="0"/>
        <w:cs w:val="0"/>
      </w:rPr>
    </w:lvl>
    <w:lvl w:ilvl="1">
      <w:start w:val="1"/>
      <w:numFmt w:val="lowerLetter"/>
      <w:lvlText w:val="%2."/>
      <w:lvlJc w:val="left"/>
      <w:pPr>
        <w:ind w:left="1015" w:hanging="360"/>
      </w:pPr>
      <w:rPr>
        <w:rFonts w:cs="Times New Roman"/>
        <w:rtl w:val="0"/>
        <w:cs w:val="0"/>
      </w:rPr>
    </w:lvl>
    <w:lvl w:ilvl="2">
      <w:start w:val="1"/>
      <w:numFmt w:val="lowerRoman"/>
      <w:lvlText w:val="%3."/>
      <w:lvlJc w:val="right"/>
      <w:pPr>
        <w:ind w:left="1735" w:hanging="180"/>
      </w:pPr>
      <w:rPr>
        <w:rFonts w:cs="Times New Roman"/>
        <w:rtl w:val="0"/>
        <w:cs w:val="0"/>
      </w:rPr>
    </w:lvl>
    <w:lvl w:ilvl="3">
      <w:start w:val="1"/>
      <w:numFmt w:val="decimal"/>
      <w:lvlText w:val="%4."/>
      <w:lvlJc w:val="left"/>
      <w:pPr>
        <w:ind w:left="2455" w:hanging="360"/>
      </w:pPr>
      <w:rPr>
        <w:rFonts w:cs="Times New Roman"/>
        <w:rtl w:val="0"/>
        <w:cs w:val="0"/>
      </w:rPr>
    </w:lvl>
    <w:lvl w:ilvl="4">
      <w:start w:val="1"/>
      <w:numFmt w:val="lowerLetter"/>
      <w:lvlText w:val="%5."/>
      <w:lvlJc w:val="left"/>
      <w:pPr>
        <w:ind w:left="3175" w:hanging="360"/>
      </w:pPr>
      <w:rPr>
        <w:rFonts w:cs="Times New Roman"/>
        <w:rtl w:val="0"/>
        <w:cs w:val="0"/>
      </w:rPr>
    </w:lvl>
    <w:lvl w:ilvl="5">
      <w:start w:val="1"/>
      <w:numFmt w:val="lowerRoman"/>
      <w:lvlText w:val="%6."/>
      <w:lvlJc w:val="right"/>
      <w:pPr>
        <w:ind w:left="3895" w:hanging="180"/>
      </w:pPr>
      <w:rPr>
        <w:rFonts w:cs="Times New Roman"/>
        <w:rtl w:val="0"/>
        <w:cs w:val="0"/>
      </w:rPr>
    </w:lvl>
    <w:lvl w:ilvl="6">
      <w:start w:val="1"/>
      <w:numFmt w:val="decimal"/>
      <w:lvlText w:val="%7."/>
      <w:lvlJc w:val="left"/>
      <w:pPr>
        <w:ind w:left="4615" w:hanging="360"/>
      </w:pPr>
      <w:rPr>
        <w:rFonts w:cs="Times New Roman"/>
        <w:rtl w:val="0"/>
        <w:cs w:val="0"/>
      </w:rPr>
    </w:lvl>
    <w:lvl w:ilvl="7">
      <w:start w:val="1"/>
      <w:numFmt w:val="lowerLetter"/>
      <w:lvlText w:val="%8."/>
      <w:lvlJc w:val="left"/>
      <w:pPr>
        <w:ind w:left="5335" w:hanging="360"/>
      </w:pPr>
      <w:rPr>
        <w:rFonts w:cs="Times New Roman"/>
        <w:rtl w:val="0"/>
        <w:cs w:val="0"/>
      </w:rPr>
    </w:lvl>
    <w:lvl w:ilvl="8">
      <w:start w:val="1"/>
      <w:numFmt w:val="lowerRoman"/>
      <w:lvlText w:val="%9."/>
      <w:lvlJc w:val="right"/>
      <w:pPr>
        <w:ind w:left="6055" w:hanging="180"/>
      </w:pPr>
      <w:rPr>
        <w:rFonts w:cs="Times New Roman"/>
        <w:rtl w:val="0"/>
        <w:cs w:val="0"/>
      </w:rPr>
    </w:lvl>
  </w:abstractNum>
  <w:abstractNum w:abstractNumId="13">
    <w:nsid w:val="573A0D53"/>
    <w:multiLevelType w:val="hybridMultilevel"/>
    <w:tmpl w:val="9118D696"/>
    <w:lvl w:ilvl="0">
      <w:start w:val="1"/>
      <w:numFmt w:val="bullet"/>
      <w:lvlText w:val=""/>
      <w:lvlJc w:val="left"/>
      <w:pPr>
        <w:ind w:left="945" w:hanging="360"/>
      </w:pPr>
      <w:rPr>
        <w:rFonts w:ascii="Wingdings" w:hAnsi="Wingdings" w:hint="default"/>
      </w:rPr>
    </w:lvl>
    <w:lvl w:ilvl="1">
      <w:start w:val="1"/>
      <w:numFmt w:val="bullet"/>
      <w:lvlText w:val="o"/>
      <w:lvlJc w:val="left"/>
      <w:pPr>
        <w:ind w:left="1665" w:hanging="360"/>
      </w:pPr>
      <w:rPr>
        <w:rFonts w:ascii="Courier New" w:hAnsi="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hint="default"/>
      </w:rPr>
    </w:lvl>
    <w:lvl w:ilvl="8">
      <w:start w:val="1"/>
      <w:numFmt w:val="bullet"/>
      <w:lvlText w:val=""/>
      <w:lvlJc w:val="left"/>
      <w:pPr>
        <w:ind w:left="6705" w:hanging="360"/>
      </w:pPr>
      <w:rPr>
        <w:rFonts w:ascii="Wingdings" w:hAnsi="Wingdings" w:hint="default"/>
      </w:rPr>
    </w:lvl>
  </w:abstractNum>
  <w:abstractNum w:abstractNumId="14">
    <w:nsid w:val="5FF20765"/>
    <w:multiLevelType w:val="hybridMultilevel"/>
    <w:tmpl w:val="C7A49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D04789B"/>
    <w:multiLevelType w:val="hybridMultilevel"/>
    <w:tmpl w:val="A3BE4550"/>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4C7462D"/>
    <w:multiLevelType w:val="hybridMultilevel"/>
    <w:tmpl w:val="2B5CD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D3408A0"/>
    <w:multiLevelType w:val="hybridMultilevel"/>
    <w:tmpl w:val="667E71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10"/>
  </w:num>
  <w:num w:numId="3">
    <w:abstractNumId w:val="13"/>
  </w:num>
  <w:num w:numId="4">
    <w:abstractNumId w:val="6"/>
  </w:num>
  <w:num w:numId="5">
    <w:abstractNumId w:val="5"/>
  </w:num>
  <w:num w:numId="6">
    <w:abstractNumId w:val="15"/>
  </w:num>
  <w:num w:numId="7">
    <w:abstractNumId w:val="9"/>
  </w:num>
  <w:num w:numId="8">
    <w:abstractNumId w:val="17"/>
  </w:num>
  <w:num w:numId="9">
    <w:abstractNumId w:val="3"/>
  </w:num>
  <w:num w:numId="10">
    <w:abstractNumId w:val="4"/>
  </w:num>
  <w:num w:numId="11">
    <w:abstractNumId w:val="1"/>
  </w:num>
  <w:num w:numId="12">
    <w:abstractNumId w:val="0"/>
  </w:num>
  <w:num w:numId="13">
    <w:abstractNumId w:val="16"/>
  </w:num>
  <w:num w:numId="14">
    <w:abstractNumId w:val="14"/>
  </w:num>
  <w:num w:numId="15">
    <w:abstractNumId w:val="11"/>
  </w:num>
  <w:num w:numId="16">
    <w:abstractNumId w:val="2"/>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B07DEC"/>
    <w:rsid w:val="00000199"/>
    <w:rsid w:val="00002967"/>
    <w:rsid w:val="00005D1D"/>
    <w:rsid w:val="00017808"/>
    <w:rsid w:val="00032589"/>
    <w:rsid w:val="00052AAD"/>
    <w:rsid w:val="00053BDF"/>
    <w:rsid w:val="00055164"/>
    <w:rsid w:val="000637A7"/>
    <w:rsid w:val="000665C1"/>
    <w:rsid w:val="000702C3"/>
    <w:rsid w:val="0007568A"/>
    <w:rsid w:val="00077CDC"/>
    <w:rsid w:val="00084B90"/>
    <w:rsid w:val="00084C2D"/>
    <w:rsid w:val="00091C06"/>
    <w:rsid w:val="00097139"/>
    <w:rsid w:val="00097CCC"/>
    <w:rsid w:val="000A0A3C"/>
    <w:rsid w:val="000A1271"/>
    <w:rsid w:val="000A55B7"/>
    <w:rsid w:val="000B7219"/>
    <w:rsid w:val="000B7F8B"/>
    <w:rsid w:val="000C0EF0"/>
    <w:rsid w:val="000C1BE0"/>
    <w:rsid w:val="000C21CC"/>
    <w:rsid w:val="000C39FE"/>
    <w:rsid w:val="000C46B9"/>
    <w:rsid w:val="000C5094"/>
    <w:rsid w:val="000D2AE0"/>
    <w:rsid w:val="000E2C34"/>
    <w:rsid w:val="000E2C7C"/>
    <w:rsid w:val="000E33A7"/>
    <w:rsid w:val="000F4F04"/>
    <w:rsid w:val="001018CC"/>
    <w:rsid w:val="00102055"/>
    <w:rsid w:val="001145B7"/>
    <w:rsid w:val="00115072"/>
    <w:rsid w:val="0011768B"/>
    <w:rsid w:val="001267E6"/>
    <w:rsid w:val="0013260D"/>
    <w:rsid w:val="00136749"/>
    <w:rsid w:val="00136810"/>
    <w:rsid w:val="0014510A"/>
    <w:rsid w:val="00150B1D"/>
    <w:rsid w:val="001514AA"/>
    <w:rsid w:val="001622BF"/>
    <w:rsid w:val="00164C8F"/>
    <w:rsid w:val="001650C9"/>
    <w:rsid w:val="00166315"/>
    <w:rsid w:val="001677E9"/>
    <w:rsid w:val="00167FEB"/>
    <w:rsid w:val="00171BC6"/>
    <w:rsid w:val="00171DEE"/>
    <w:rsid w:val="00172BEE"/>
    <w:rsid w:val="0017400C"/>
    <w:rsid w:val="00182896"/>
    <w:rsid w:val="00183787"/>
    <w:rsid w:val="00195460"/>
    <w:rsid w:val="001956DE"/>
    <w:rsid w:val="00196628"/>
    <w:rsid w:val="001972FF"/>
    <w:rsid w:val="001A066A"/>
    <w:rsid w:val="001A5C54"/>
    <w:rsid w:val="001A69A5"/>
    <w:rsid w:val="001A6ACE"/>
    <w:rsid w:val="001B1D31"/>
    <w:rsid w:val="001B2949"/>
    <w:rsid w:val="001B5112"/>
    <w:rsid w:val="001C1448"/>
    <w:rsid w:val="001C241F"/>
    <w:rsid w:val="001C27C8"/>
    <w:rsid w:val="001C4C5A"/>
    <w:rsid w:val="001C6919"/>
    <w:rsid w:val="001C7791"/>
    <w:rsid w:val="001D1477"/>
    <w:rsid w:val="001D15F2"/>
    <w:rsid w:val="001D1A01"/>
    <w:rsid w:val="001D2FF8"/>
    <w:rsid w:val="001D7787"/>
    <w:rsid w:val="001E0A5D"/>
    <w:rsid w:val="001E60EA"/>
    <w:rsid w:val="001F62B5"/>
    <w:rsid w:val="00202C37"/>
    <w:rsid w:val="002042B1"/>
    <w:rsid w:val="00214247"/>
    <w:rsid w:val="0022337B"/>
    <w:rsid w:val="00230016"/>
    <w:rsid w:val="00230B42"/>
    <w:rsid w:val="00231405"/>
    <w:rsid w:val="0023615F"/>
    <w:rsid w:val="00244909"/>
    <w:rsid w:val="00244BE7"/>
    <w:rsid w:val="00247FDD"/>
    <w:rsid w:val="002576A9"/>
    <w:rsid w:val="00261B74"/>
    <w:rsid w:val="00274CB0"/>
    <w:rsid w:val="00275D41"/>
    <w:rsid w:val="0027716F"/>
    <w:rsid w:val="002800FB"/>
    <w:rsid w:val="00281C1F"/>
    <w:rsid w:val="00291B79"/>
    <w:rsid w:val="00296E4F"/>
    <w:rsid w:val="002A02A4"/>
    <w:rsid w:val="002A115F"/>
    <w:rsid w:val="002A74F6"/>
    <w:rsid w:val="002B1D05"/>
    <w:rsid w:val="002B32DC"/>
    <w:rsid w:val="002B331D"/>
    <w:rsid w:val="002B701F"/>
    <w:rsid w:val="002D1CFC"/>
    <w:rsid w:val="002F0FC7"/>
    <w:rsid w:val="002F2B2A"/>
    <w:rsid w:val="0030033F"/>
    <w:rsid w:val="00302CAF"/>
    <w:rsid w:val="0031383C"/>
    <w:rsid w:val="00314AC9"/>
    <w:rsid w:val="00317D89"/>
    <w:rsid w:val="003239E7"/>
    <w:rsid w:val="00325B05"/>
    <w:rsid w:val="00334D71"/>
    <w:rsid w:val="00336833"/>
    <w:rsid w:val="003463D4"/>
    <w:rsid w:val="003509F6"/>
    <w:rsid w:val="00351C21"/>
    <w:rsid w:val="00353BF3"/>
    <w:rsid w:val="00354FBF"/>
    <w:rsid w:val="0035660E"/>
    <w:rsid w:val="00356D45"/>
    <w:rsid w:val="003634A8"/>
    <w:rsid w:val="00373523"/>
    <w:rsid w:val="00381259"/>
    <w:rsid w:val="00397A04"/>
    <w:rsid w:val="003A04DE"/>
    <w:rsid w:val="003A2AFA"/>
    <w:rsid w:val="003A2F2D"/>
    <w:rsid w:val="003B4987"/>
    <w:rsid w:val="003C467F"/>
    <w:rsid w:val="003C536C"/>
    <w:rsid w:val="003D5A38"/>
    <w:rsid w:val="003D7DDB"/>
    <w:rsid w:val="003E20E5"/>
    <w:rsid w:val="003E7037"/>
    <w:rsid w:val="004017AC"/>
    <w:rsid w:val="00401888"/>
    <w:rsid w:val="00411E9A"/>
    <w:rsid w:val="00417C47"/>
    <w:rsid w:val="0042166B"/>
    <w:rsid w:val="004217D1"/>
    <w:rsid w:val="004242C9"/>
    <w:rsid w:val="00425DA9"/>
    <w:rsid w:val="004332BE"/>
    <w:rsid w:val="00435810"/>
    <w:rsid w:val="004377E8"/>
    <w:rsid w:val="00442938"/>
    <w:rsid w:val="004465D0"/>
    <w:rsid w:val="00446CEA"/>
    <w:rsid w:val="00472126"/>
    <w:rsid w:val="00481E61"/>
    <w:rsid w:val="00483BDA"/>
    <w:rsid w:val="00484A54"/>
    <w:rsid w:val="0049135A"/>
    <w:rsid w:val="00491A4A"/>
    <w:rsid w:val="00491E04"/>
    <w:rsid w:val="00497903"/>
    <w:rsid w:val="004A0ACE"/>
    <w:rsid w:val="004A3989"/>
    <w:rsid w:val="004B18B6"/>
    <w:rsid w:val="004C1AC8"/>
    <w:rsid w:val="004C1F8C"/>
    <w:rsid w:val="004D431A"/>
    <w:rsid w:val="004E04C1"/>
    <w:rsid w:val="004E4555"/>
    <w:rsid w:val="004E4CFB"/>
    <w:rsid w:val="004E5FED"/>
    <w:rsid w:val="004F0DFA"/>
    <w:rsid w:val="004F2313"/>
    <w:rsid w:val="00500D10"/>
    <w:rsid w:val="005028F3"/>
    <w:rsid w:val="00502D45"/>
    <w:rsid w:val="00505476"/>
    <w:rsid w:val="00515051"/>
    <w:rsid w:val="00516BA2"/>
    <w:rsid w:val="00526A3B"/>
    <w:rsid w:val="00527549"/>
    <w:rsid w:val="00530034"/>
    <w:rsid w:val="0053060C"/>
    <w:rsid w:val="00531BD1"/>
    <w:rsid w:val="00534001"/>
    <w:rsid w:val="00541C9E"/>
    <w:rsid w:val="00543037"/>
    <w:rsid w:val="00545E0E"/>
    <w:rsid w:val="005463E6"/>
    <w:rsid w:val="0057120C"/>
    <w:rsid w:val="0057157C"/>
    <w:rsid w:val="00572C26"/>
    <w:rsid w:val="00575A20"/>
    <w:rsid w:val="00583F0C"/>
    <w:rsid w:val="00585E53"/>
    <w:rsid w:val="00590E08"/>
    <w:rsid w:val="00591829"/>
    <w:rsid w:val="0059283F"/>
    <w:rsid w:val="005975A4"/>
    <w:rsid w:val="005A3049"/>
    <w:rsid w:val="005A405D"/>
    <w:rsid w:val="005A4B3B"/>
    <w:rsid w:val="005A4E8D"/>
    <w:rsid w:val="005A501E"/>
    <w:rsid w:val="005B0F88"/>
    <w:rsid w:val="005B620F"/>
    <w:rsid w:val="005C0D28"/>
    <w:rsid w:val="005C20CE"/>
    <w:rsid w:val="005C61C0"/>
    <w:rsid w:val="005D370E"/>
    <w:rsid w:val="005D5335"/>
    <w:rsid w:val="005D622D"/>
    <w:rsid w:val="005E3CC7"/>
    <w:rsid w:val="005E4C1B"/>
    <w:rsid w:val="005F1220"/>
    <w:rsid w:val="005F4761"/>
    <w:rsid w:val="00601FC9"/>
    <w:rsid w:val="00605254"/>
    <w:rsid w:val="006054C4"/>
    <w:rsid w:val="0062036C"/>
    <w:rsid w:val="00620A1A"/>
    <w:rsid w:val="00621E7E"/>
    <w:rsid w:val="00622C09"/>
    <w:rsid w:val="0062399B"/>
    <w:rsid w:val="0062653F"/>
    <w:rsid w:val="00633951"/>
    <w:rsid w:val="00635BF5"/>
    <w:rsid w:val="00645EC8"/>
    <w:rsid w:val="00651C00"/>
    <w:rsid w:val="00665625"/>
    <w:rsid w:val="0066580D"/>
    <w:rsid w:val="0067145F"/>
    <w:rsid w:val="00672460"/>
    <w:rsid w:val="00673EBF"/>
    <w:rsid w:val="00677BEE"/>
    <w:rsid w:val="006812BA"/>
    <w:rsid w:val="0068485D"/>
    <w:rsid w:val="006858F5"/>
    <w:rsid w:val="006871B1"/>
    <w:rsid w:val="00687676"/>
    <w:rsid w:val="0069231F"/>
    <w:rsid w:val="00696B6E"/>
    <w:rsid w:val="006A07E9"/>
    <w:rsid w:val="006A161C"/>
    <w:rsid w:val="006A57AC"/>
    <w:rsid w:val="006B2503"/>
    <w:rsid w:val="006B2C65"/>
    <w:rsid w:val="006B6FEA"/>
    <w:rsid w:val="006C2853"/>
    <w:rsid w:val="006C7F95"/>
    <w:rsid w:val="006D0083"/>
    <w:rsid w:val="006D0CFE"/>
    <w:rsid w:val="006D2101"/>
    <w:rsid w:val="006D7E68"/>
    <w:rsid w:val="006E0559"/>
    <w:rsid w:val="006E100B"/>
    <w:rsid w:val="006E335F"/>
    <w:rsid w:val="006E3825"/>
    <w:rsid w:val="006F1C76"/>
    <w:rsid w:val="006F3414"/>
    <w:rsid w:val="006F523F"/>
    <w:rsid w:val="006F66C8"/>
    <w:rsid w:val="00706A99"/>
    <w:rsid w:val="00720BB7"/>
    <w:rsid w:val="00727AA9"/>
    <w:rsid w:val="007319BE"/>
    <w:rsid w:val="00733603"/>
    <w:rsid w:val="0073524E"/>
    <w:rsid w:val="00737CAB"/>
    <w:rsid w:val="0074741B"/>
    <w:rsid w:val="00753AC8"/>
    <w:rsid w:val="00757BA7"/>
    <w:rsid w:val="00762545"/>
    <w:rsid w:val="0076408C"/>
    <w:rsid w:val="00766E39"/>
    <w:rsid w:val="007671BB"/>
    <w:rsid w:val="007706DC"/>
    <w:rsid w:val="00770951"/>
    <w:rsid w:val="0077181E"/>
    <w:rsid w:val="007725D5"/>
    <w:rsid w:val="007755B3"/>
    <w:rsid w:val="00775DB5"/>
    <w:rsid w:val="007814FD"/>
    <w:rsid w:val="007853EB"/>
    <w:rsid w:val="00787080"/>
    <w:rsid w:val="00787C32"/>
    <w:rsid w:val="00790CCD"/>
    <w:rsid w:val="00791C7F"/>
    <w:rsid w:val="007A5673"/>
    <w:rsid w:val="007A648C"/>
    <w:rsid w:val="007A7E07"/>
    <w:rsid w:val="007B339C"/>
    <w:rsid w:val="007B4C8B"/>
    <w:rsid w:val="007B6B39"/>
    <w:rsid w:val="007B6BFA"/>
    <w:rsid w:val="007B7556"/>
    <w:rsid w:val="007C0993"/>
    <w:rsid w:val="007C2899"/>
    <w:rsid w:val="007C4F44"/>
    <w:rsid w:val="007D0991"/>
    <w:rsid w:val="007D1890"/>
    <w:rsid w:val="007D3E17"/>
    <w:rsid w:val="007D601A"/>
    <w:rsid w:val="007D744B"/>
    <w:rsid w:val="007D7C73"/>
    <w:rsid w:val="007E6441"/>
    <w:rsid w:val="007F245A"/>
    <w:rsid w:val="007F4AC0"/>
    <w:rsid w:val="007F6F78"/>
    <w:rsid w:val="00802C5E"/>
    <w:rsid w:val="008057DB"/>
    <w:rsid w:val="00805865"/>
    <w:rsid w:val="008104CD"/>
    <w:rsid w:val="00812D93"/>
    <w:rsid w:val="00813962"/>
    <w:rsid w:val="00820B99"/>
    <w:rsid w:val="00823F16"/>
    <w:rsid w:val="0082431C"/>
    <w:rsid w:val="008323AA"/>
    <w:rsid w:val="008330ED"/>
    <w:rsid w:val="008361DF"/>
    <w:rsid w:val="00842FFD"/>
    <w:rsid w:val="00845152"/>
    <w:rsid w:val="00852256"/>
    <w:rsid w:val="00853097"/>
    <w:rsid w:val="00854467"/>
    <w:rsid w:val="00857DF2"/>
    <w:rsid w:val="00867E66"/>
    <w:rsid w:val="00870857"/>
    <w:rsid w:val="0087088E"/>
    <w:rsid w:val="00885228"/>
    <w:rsid w:val="00891281"/>
    <w:rsid w:val="008912C3"/>
    <w:rsid w:val="00893198"/>
    <w:rsid w:val="008A232D"/>
    <w:rsid w:val="008A4308"/>
    <w:rsid w:val="008B0183"/>
    <w:rsid w:val="008B5CB3"/>
    <w:rsid w:val="008C3AC6"/>
    <w:rsid w:val="008C52A2"/>
    <w:rsid w:val="008D2C83"/>
    <w:rsid w:val="008D391B"/>
    <w:rsid w:val="008D6EB9"/>
    <w:rsid w:val="008D7909"/>
    <w:rsid w:val="008E1A77"/>
    <w:rsid w:val="008E4204"/>
    <w:rsid w:val="008E5AFC"/>
    <w:rsid w:val="008E5BC6"/>
    <w:rsid w:val="008F750D"/>
    <w:rsid w:val="00900D89"/>
    <w:rsid w:val="00901073"/>
    <w:rsid w:val="00903AC8"/>
    <w:rsid w:val="0091003A"/>
    <w:rsid w:val="00913563"/>
    <w:rsid w:val="009205C9"/>
    <w:rsid w:val="00920733"/>
    <w:rsid w:val="0092126C"/>
    <w:rsid w:val="00923A04"/>
    <w:rsid w:val="009241B8"/>
    <w:rsid w:val="00924E85"/>
    <w:rsid w:val="00925989"/>
    <w:rsid w:val="00930D9F"/>
    <w:rsid w:val="0093230F"/>
    <w:rsid w:val="00961E88"/>
    <w:rsid w:val="00966BEE"/>
    <w:rsid w:val="009747E9"/>
    <w:rsid w:val="00980416"/>
    <w:rsid w:val="00980D1F"/>
    <w:rsid w:val="00982E24"/>
    <w:rsid w:val="009837CA"/>
    <w:rsid w:val="009839C3"/>
    <w:rsid w:val="0098434A"/>
    <w:rsid w:val="009860AE"/>
    <w:rsid w:val="0099015F"/>
    <w:rsid w:val="00994C40"/>
    <w:rsid w:val="009957DE"/>
    <w:rsid w:val="009A1BFD"/>
    <w:rsid w:val="009A7963"/>
    <w:rsid w:val="009A7A34"/>
    <w:rsid w:val="009C3082"/>
    <w:rsid w:val="009C3DED"/>
    <w:rsid w:val="009C564F"/>
    <w:rsid w:val="009E3362"/>
    <w:rsid w:val="009E50B2"/>
    <w:rsid w:val="009E6F02"/>
    <w:rsid w:val="009F1EE8"/>
    <w:rsid w:val="009F256B"/>
    <w:rsid w:val="009F3F3B"/>
    <w:rsid w:val="00A043BC"/>
    <w:rsid w:val="00A0698B"/>
    <w:rsid w:val="00A14038"/>
    <w:rsid w:val="00A2408E"/>
    <w:rsid w:val="00A26AFA"/>
    <w:rsid w:val="00A30B6F"/>
    <w:rsid w:val="00A366F0"/>
    <w:rsid w:val="00A36930"/>
    <w:rsid w:val="00A455E6"/>
    <w:rsid w:val="00A475C1"/>
    <w:rsid w:val="00A55123"/>
    <w:rsid w:val="00A63281"/>
    <w:rsid w:val="00A63D8B"/>
    <w:rsid w:val="00A64176"/>
    <w:rsid w:val="00A64F43"/>
    <w:rsid w:val="00A715DF"/>
    <w:rsid w:val="00A72BC6"/>
    <w:rsid w:val="00A75676"/>
    <w:rsid w:val="00A8025E"/>
    <w:rsid w:val="00A92219"/>
    <w:rsid w:val="00A92DE6"/>
    <w:rsid w:val="00A94EA0"/>
    <w:rsid w:val="00AA0BE0"/>
    <w:rsid w:val="00AA35D3"/>
    <w:rsid w:val="00AB188A"/>
    <w:rsid w:val="00AC2F46"/>
    <w:rsid w:val="00AC30FB"/>
    <w:rsid w:val="00AC37D3"/>
    <w:rsid w:val="00AD26BC"/>
    <w:rsid w:val="00AD720E"/>
    <w:rsid w:val="00AE516C"/>
    <w:rsid w:val="00B03853"/>
    <w:rsid w:val="00B07DEC"/>
    <w:rsid w:val="00B21911"/>
    <w:rsid w:val="00B324BC"/>
    <w:rsid w:val="00B330DC"/>
    <w:rsid w:val="00B35ADC"/>
    <w:rsid w:val="00B41C2C"/>
    <w:rsid w:val="00B4734E"/>
    <w:rsid w:val="00B52084"/>
    <w:rsid w:val="00B52BD6"/>
    <w:rsid w:val="00B57C93"/>
    <w:rsid w:val="00B62250"/>
    <w:rsid w:val="00B63D3F"/>
    <w:rsid w:val="00B742F4"/>
    <w:rsid w:val="00B7497A"/>
    <w:rsid w:val="00B866BC"/>
    <w:rsid w:val="00BA0383"/>
    <w:rsid w:val="00BA1373"/>
    <w:rsid w:val="00BA18AB"/>
    <w:rsid w:val="00BA19F6"/>
    <w:rsid w:val="00BA242C"/>
    <w:rsid w:val="00BB78E6"/>
    <w:rsid w:val="00BC136F"/>
    <w:rsid w:val="00BC20CE"/>
    <w:rsid w:val="00BC2ED3"/>
    <w:rsid w:val="00BC453D"/>
    <w:rsid w:val="00BC47B2"/>
    <w:rsid w:val="00BC4AB9"/>
    <w:rsid w:val="00BC7DC4"/>
    <w:rsid w:val="00BD0009"/>
    <w:rsid w:val="00BE1AF0"/>
    <w:rsid w:val="00BE1ECD"/>
    <w:rsid w:val="00BE396A"/>
    <w:rsid w:val="00BF0411"/>
    <w:rsid w:val="00BF3A51"/>
    <w:rsid w:val="00BF71EE"/>
    <w:rsid w:val="00C002D6"/>
    <w:rsid w:val="00C0393D"/>
    <w:rsid w:val="00C111F2"/>
    <w:rsid w:val="00C13D6D"/>
    <w:rsid w:val="00C159A6"/>
    <w:rsid w:val="00C221B0"/>
    <w:rsid w:val="00C30A62"/>
    <w:rsid w:val="00C36624"/>
    <w:rsid w:val="00C54D55"/>
    <w:rsid w:val="00C551C5"/>
    <w:rsid w:val="00C554D5"/>
    <w:rsid w:val="00C57F91"/>
    <w:rsid w:val="00C60445"/>
    <w:rsid w:val="00C60745"/>
    <w:rsid w:val="00C611C5"/>
    <w:rsid w:val="00C76708"/>
    <w:rsid w:val="00C85F1E"/>
    <w:rsid w:val="00C8769C"/>
    <w:rsid w:val="00C908BD"/>
    <w:rsid w:val="00C94F94"/>
    <w:rsid w:val="00C96E5F"/>
    <w:rsid w:val="00CA1A94"/>
    <w:rsid w:val="00CB537E"/>
    <w:rsid w:val="00CC6584"/>
    <w:rsid w:val="00CC7CE4"/>
    <w:rsid w:val="00CD1AAF"/>
    <w:rsid w:val="00CE2354"/>
    <w:rsid w:val="00CE306E"/>
    <w:rsid w:val="00CE7357"/>
    <w:rsid w:val="00CF0456"/>
    <w:rsid w:val="00CF56CA"/>
    <w:rsid w:val="00D01974"/>
    <w:rsid w:val="00D07062"/>
    <w:rsid w:val="00D11EC1"/>
    <w:rsid w:val="00D15C85"/>
    <w:rsid w:val="00D21BBC"/>
    <w:rsid w:val="00D23BF5"/>
    <w:rsid w:val="00D254F5"/>
    <w:rsid w:val="00D2689E"/>
    <w:rsid w:val="00D30871"/>
    <w:rsid w:val="00D3362A"/>
    <w:rsid w:val="00D34286"/>
    <w:rsid w:val="00D347B4"/>
    <w:rsid w:val="00D36319"/>
    <w:rsid w:val="00D4461E"/>
    <w:rsid w:val="00D478F6"/>
    <w:rsid w:val="00D50C3F"/>
    <w:rsid w:val="00D53700"/>
    <w:rsid w:val="00D5523C"/>
    <w:rsid w:val="00D559E8"/>
    <w:rsid w:val="00D56387"/>
    <w:rsid w:val="00D57F16"/>
    <w:rsid w:val="00D60607"/>
    <w:rsid w:val="00D633C5"/>
    <w:rsid w:val="00D64604"/>
    <w:rsid w:val="00D665EA"/>
    <w:rsid w:val="00D866F7"/>
    <w:rsid w:val="00DA2199"/>
    <w:rsid w:val="00DA3243"/>
    <w:rsid w:val="00DA6064"/>
    <w:rsid w:val="00DB2431"/>
    <w:rsid w:val="00DB26D0"/>
    <w:rsid w:val="00DB78F9"/>
    <w:rsid w:val="00DC5BDC"/>
    <w:rsid w:val="00DC7426"/>
    <w:rsid w:val="00DD4E43"/>
    <w:rsid w:val="00DD509A"/>
    <w:rsid w:val="00DE1591"/>
    <w:rsid w:val="00DE6E30"/>
    <w:rsid w:val="00DE7F38"/>
    <w:rsid w:val="00DF397E"/>
    <w:rsid w:val="00E01089"/>
    <w:rsid w:val="00E03BC1"/>
    <w:rsid w:val="00E06F2E"/>
    <w:rsid w:val="00E16E43"/>
    <w:rsid w:val="00E217C6"/>
    <w:rsid w:val="00E22C66"/>
    <w:rsid w:val="00E2653E"/>
    <w:rsid w:val="00E2674C"/>
    <w:rsid w:val="00E27535"/>
    <w:rsid w:val="00E31042"/>
    <w:rsid w:val="00E413E7"/>
    <w:rsid w:val="00E415E9"/>
    <w:rsid w:val="00E576A5"/>
    <w:rsid w:val="00E62A64"/>
    <w:rsid w:val="00E66D44"/>
    <w:rsid w:val="00E70B9F"/>
    <w:rsid w:val="00E70E4F"/>
    <w:rsid w:val="00E74856"/>
    <w:rsid w:val="00E75BFA"/>
    <w:rsid w:val="00E80009"/>
    <w:rsid w:val="00E80EB1"/>
    <w:rsid w:val="00E865A0"/>
    <w:rsid w:val="00E907C7"/>
    <w:rsid w:val="00E91D04"/>
    <w:rsid w:val="00E92D1B"/>
    <w:rsid w:val="00EA0890"/>
    <w:rsid w:val="00EA2BDF"/>
    <w:rsid w:val="00EA75FD"/>
    <w:rsid w:val="00EC014D"/>
    <w:rsid w:val="00EC3874"/>
    <w:rsid w:val="00EC78AC"/>
    <w:rsid w:val="00EE19A8"/>
    <w:rsid w:val="00EF2B06"/>
    <w:rsid w:val="00F00010"/>
    <w:rsid w:val="00F01552"/>
    <w:rsid w:val="00F02B2C"/>
    <w:rsid w:val="00F03705"/>
    <w:rsid w:val="00F03792"/>
    <w:rsid w:val="00F061AB"/>
    <w:rsid w:val="00F15B64"/>
    <w:rsid w:val="00F24D85"/>
    <w:rsid w:val="00F30609"/>
    <w:rsid w:val="00F370EE"/>
    <w:rsid w:val="00F42C4D"/>
    <w:rsid w:val="00F447BA"/>
    <w:rsid w:val="00F473D3"/>
    <w:rsid w:val="00F60F5B"/>
    <w:rsid w:val="00F65240"/>
    <w:rsid w:val="00F70632"/>
    <w:rsid w:val="00F72899"/>
    <w:rsid w:val="00F75B76"/>
    <w:rsid w:val="00F75FF3"/>
    <w:rsid w:val="00F82E47"/>
    <w:rsid w:val="00F838FD"/>
    <w:rsid w:val="00F83A2D"/>
    <w:rsid w:val="00F84DE8"/>
    <w:rsid w:val="00F8582D"/>
    <w:rsid w:val="00F85E1D"/>
    <w:rsid w:val="00F870D5"/>
    <w:rsid w:val="00F908ED"/>
    <w:rsid w:val="00F9182D"/>
    <w:rsid w:val="00F9420A"/>
    <w:rsid w:val="00F95AFA"/>
    <w:rsid w:val="00FA575B"/>
    <w:rsid w:val="00FA72F3"/>
    <w:rsid w:val="00FB2018"/>
    <w:rsid w:val="00FB4D25"/>
    <w:rsid w:val="00FB5C08"/>
    <w:rsid w:val="00FD1E7F"/>
    <w:rsid w:val="00FD3C60"/>
    <w:rsid w:val="00FE1A17"/>
    <w:rsid w:val="00FE426E"/>
    <w:rsid w:val="00FF53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B07DEC"/>
    <w:pPr>
      <w:keepNext/>
      <w:keepLines/>
      <w:spacing w:before="480"/>
      <w:jc w:val="left"/>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07DEC"/>
    <w:pPr>
      <w:keepNext/>
      <w:keepLines/>
      <w:spacing w:before="200"/>
      <w:jc w:val="left"/>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07DEC"/>
    <w:pPr>
      <w:keepNext/>
      <w:keepLines/>
      <w:spacing w:before="200"/>
      <w:jc w:val="left"/>
      <w:outlineLvl w:val="2"/>
    </w:pPr>
    <w:rPr>
      <w:rFonts w:ascii="Cambria" w:hAnsi="Cambria"/>
      <w:b/>
      <w:bCs/>
      <w:color w:val="4F81BD"/>
    </w:rPr>
  </w:style>
  <w:style w:type="paragraph" w:styleId="Heading4">
    <w:name w:val="heading 4"/>
    <w:basedOn w:val="Normal"/>
    <w:next w:val="Normal"/>
    <w:link w:val="Heading4Char"/>
    <w:uiPriority w:val="9"/>
    <w:unhideWhenUsed/>
    <w:qFormat/>
    <w:rsid w:val="00534001"/>
    <w:pPr>
      <w:keepNext/>
      <w:spacing w:before="240" w:after="60"/>
      <w:jc w:val="left"/>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B07DEC"/>
    <w:pPr>
      <w:tabs>
        <w:tab w:val="center" w:pos="4536"/>
        <w:tab w:val="right" w:pos="9072"/>
      </w:tabs>
      <w:jc w:val="left"/>
    </w:pPr>
  </w:style>
  <w:style w:type="character" w:customStyle="1" w:styleId="FooterChar">
    <w:name w:val="Footer Char"/>
    <w:link w:val="Footer"/>
    <w:uiPriority w:val="99"/>
    <w:locked/>
    <w:rsid w:val="00B07DEC"/>
    <w:rPr>
      <w:rFonts w:ascii="Times New Roman" w:hAnsi="Times New Roman" w:cs="Times New Roman"/>
      <w:sz w:val="24"/>
      <w:lang w:val="x-none" w:eastAsia="sk-SK"/>
    </w:rPr>
  </w:style>
  <w:style w:type="character" w:styleId="PageNumber">
    <w:name w:val="page number"/>
    <w:basedOn w:val="DefaultParagraphFont"/>
    <w:rsid w:val="00B07DEC"/>
    <w:rPr>
      <w:rFonts w:cs="Times New Roman"/>
      <w:rtl w:val="0"/>
      <w:cs w:val="0"/>
    </w:rPr>
  </w:style>
  <w:style w:type="paragraph" w:styleId="ListParagraph">
    <w:name w:val="List Paragraph"/>
    <w:basedOn w:val="Normal"/>
    <w:uiPriority w:val="99"/>
    <w:qFormat/>
    <w:rsid w:val="00B07DEC"/>
    <w:pPr>
      <w:spacing w:after="200" w:line="276" w:lineRule="auto"/>
      <w:ind w:left="720"/>
      <w:contextualSpacing/>
      <w:jc w:val="left"/>
    </w:pPr>
    <w:rPr>
      <w:rFonts w:ascii="Calibri" w:hAnsi="Calibri"/>
      <w:sz w:val="22"/>
      <w:szCs w:val="22"/>
      <w:lang w:eastAsia="en-US"/>
    </w:rPr>
  </w:style>
  <w:style w:type="character" w:customStyle="1" w:styleId="Heading1Char">
    <w:name w:val="Heading 1 Char"/>
    <w:link w:val="Heading1"/>
    <w:uiPriority w:val="9"/>
    <w:locked/>
    <w:rsid w:val="00B07DEC"/>
    <w:rPr>
      <w:rFonts w:ascii="Cambria" w:hAnsi="Cambria" w:cs="Cambria"/>
      <w:b/>
      <w:color w:val="365F91"/>
      <w:sz w:val="28"/>
      <w:lang w:val="x-none" w:eastAsia="sk-SK"/>
    </w:rPr>
  </w:style>
  <w:style w:type="character" w:customStyle="1" w:styleId="Heading2Char">
    <w:name w:val="Heading 2 Char"/>
    <w:link w:val="Heading2"/>
    <w:uiPriority w:val="9"/>
    <w:locked/>
    <w:rsid w:val="00B07DEC"/>
    <w:rPr>
      <w:rFonts w:ascii="Cambria" w:hAnsi="Cambria" w:cs="Cambria"/>
      <w:b/>
      <w:color w:val="4F81BD"/>
      <w:sz w:val="26"/>
      <w:lang w:val="x-none" w:eastAsia="sk-SK"/>
    </w:rPr>
  </w:style>
  <w:style w:type="character" w:customStyle="1" w:styleId="Heading3Char">
    <w:name w:val="Heading 3 Char"/>
    <w:link w:val="Heading3"/>
    <w:uiPriority w:val="9"/>
    <w:locked/>
    <w:rsid w:val="00B07DEC"/>
    <w:rPr>
      <w:rFonts w:ascii="Cambria" w:hAnsi="Cambria" w:cs="Cambria"/>
      <w:b/>
      <w:color w:val="4F81BD"/>
      <w:sz w:val="24"/>
      <w:lang w:val="x-none" w:eastAsia="sk-SK"/>
    </w:rPr>
  </w:style>
  <w:style w:type="paragraph" w:styleId="TOC1">
    <w:name w:val="toc 1"/>
    <w:basedOn w:val="Normal"/>
    <w:next w:val="Normal"/>
    <w:autoRedefine/>
    <w:uiPriority w:val="39"/>
    <w:unhideWhenUsed/>
    <w:rsid w:val="00336833"/>
    <w:pPr>
      <w:tabs>
        <w:tab w:val="right" w:leader="dot" w:pos="9498"/>
      </w:tabs>
      <w:spacing w:after="100"/>
      <w:jc w:val="left"/>
    </w:pPr>
  </w:style>
  <w:style w:type="paragraph" w:styleId="TOC2">
    <w:name w:val="toc 2"/>
    <w:basedOn w:val="Normal"/>
    <w:next w:val="Normal"/>
    <w:autoRedefine/>
    <w:uiPriority w:val="39"/>
    <w:unhideWhenUsed/>
    <w:rsid w:val="00B07DEC"/>
    <w:pPr>
      <w:spacing w:after="100"/>
      <w:ind w:left="240"/>
      <w:jc w:val="left"/>
    </w:pPr>
  </w:style>
  <w:style w:type="paragraph" w:styleId="TOC3">
    <w:name w:val="toc 3"/>
    <w:basedOn w:val="Normal"/>
    <w:next w:val="Normal"/>
    <w:autoRedefine/>
    <w:uiPriority w:val="39"/>
    <w:unhideWhenUsed/>
    <w:rsid w:val="00336833"/>
    <w:pPr>
      <w:spacing w:after="100"/>
      <w:ind w:left="480"/>
      <w:jc w:val="left"/>
    </w:pPr>
  </w:style>
  <w:style w:type="character" w:styleId="Hyperlink">
    <w:name w:val="Hyperlink"/>
    <w:uiPriority w:val="99"/>
    <w:unhideWhenUsed/>
    <w:rsid w:val="00B07DEC"/>
    <w:rPr>
      <w:color w:val="0000FF"/>
      <w:u w:val="single"/>
    </w:rPr>
  </w:style>
  <w:style w:type="paragraph" w:customStyle="1" w:styleId="Zakladnmtext">
    <w:name w:val="Z&lt;/a&gt;kladn&lt;/m&gt; text"/>
    <w:rsid w:val="00526A3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styleId="BodyText">
    <w:name w:val="Body Text"/>
    <w:basedOn w:val="Normal"/>
    <w:link w:val="BodyTextChar"/>
    <w:uiPriority w:val="99"/>
    <w:semiHidden/>
    <w:unhideWhenUsed/>
    <w:rsid w:val="00526A3B"/>
    <w:pPr>
      <w:spacing w:after="120"/>
      <w:jc w:val="left"/>
    </w:pPr>
  </w:style>
  <w:style w:type="character" w:customStyle="1" w:styleId="BodyTextChar">
    <w:name w:val="Body Text Char"/>
    <w:link w:val="BodyText"/>
    <w:uiPriority w:val="99"/>
    <w:semiHidden/>
    <w:locked/>
    <w:rsid w:val="00526A3B"/>
    <w:rPr>
      <w:rFonts w:ascii="Times New Roman" w:hAnsi="Times New Roman" w:cs="Times New Roman"/>
      <w:sz w:val="24"/>
      <w:lang w:val="x-none" w:eastAsia="x-none"/>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rsid w:val="00D559E8"/>
    <w:pPr>
      <w:jc w:val="left"/>
    </w:pPr>
    <w:rPr>
      <w:lang w:eastAsia="cs-CZ"/>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link w:val="FootnoteText"/>
    <w:uiPriority w:val="99"/>
    <w:semiHidden/>
    <w:locked/>
    <w:rsid w:val="00D559E8"/>
    <w:rPr>
      <w:rFonts w:ascii="Times New Roman" w:hAnsi="Times New Roman" w:cs="Times New Roman"/>
      <w:sz w:val="24"/>
      <w:lang w:val="x-none" w:eastAsia="cs-CZ"/>
    </w:rPr>
  </w:style>
  <w:style w:type="character" w:styleId="FootnoteReference">
    <w:name w:val="footnote reference"/>
    <w:uiPriority w:val="99"/>
    <w:semiHidden/>
    <w:rsid w:val="00D559E8"/>
    <w:rPr>
      <w:vertAlign w:val="superscript"/>
    </w:rPr>
  </w:style>
  <w:style w:type="table" w:styleId="TableGrid">
    <w:name w:val="Table Grid"/>
    <w:basedOn w:val="TableNormal"/>
    <w:uiPriority w:val="59"/>
    <w:rsid w:val="00D070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B79"/>
    <w:pPr>
      <w:tabs>
        <w:tab w:val="center" w:pos="4536"/>
        <w:tab w:val="right" w:pos="9072"/>
      </w:tabs>
      <w:jc w:val="left"/>
    </w:pPr>
  </w:style>
  <w:style w:type="character" w:customStyle="1" w:styleId="HeaderChar">
    <w:name w:val="Header Char"/>
    <w:link w:val="Header"/>
    <w:uiPriority w:val="99"/>
    <w:locked/>
    <w:rsid w:val="00291B79"/>
    <w:rPr>
      <w:rFonts w:ascii="Times New Roman" w:hAnsi="Times New Roman" w:cs="Times New Roman"/>
      <w:sz w:val="24"/>
      <w:lang w:val="x-none" w:eastAsia="sk-SK"/>
    </w:rPr>
  </w:style>
  <w:style w:type="paragraph" w:styleId="BalloonText">
    <w:name w:val="Balloon Text"/>
    <w:basedOn w:val="Normal"/>
    <w:link w:val="BalloonTextChar"/>
    <w:uiPriority w:val="99"/>
    <w:semiHidden/>
    <w:unhideWhenUsed/>
    <w:rsid w:val="00291B79"/>
    <w:pPr>
      <w:jc w:val="left"/>
    </w:pPr>
    <w:rPr>
      <w:rFonts w:ascii="Tahoma" w:hAnsi="Tahoma"/>
      <w:sz w:val="16"/>
      <w:szCs w:val="16"/>
    </w:rPr>
  </w:style>
  <w:style w:type="character" w:customStyle="1" w:styleId="BalloonTextChar">
    <w:name w:val="Balloon Text Char"/>
    <w:link w:val="BalloonText"/>
    <w:uiPriority w:val="99"/>
    <w:semiHidden/>
    <w:locked/>
    <w:rsid w:val="00291B79"/>
    <w:rPr>
      <w:rFonts w:ascii="Tahoma" w:hAnsi="Tahoma" w:cs="Tahoma"/>
      <w:sz w:val="16"/>
      <w:lang w:val="x-none" w:eastAsia="sk-SK"/>
    </w:rPr>
  </w:style>
  <w:style w:type="paragraph" w:styleId="BodyTextIndent">
    <w:name w:val="Body Text Indent"/>
    <w:basedOn w:val="Normal"/>
    <w:link w:val="BodyTextIndentChar"/>
    <w:rsid w:val="009205C9"/>
    <w:pPr>
      <w:spacing w:after="120"/>
      <w:ind w:left="283"/>
      <w:jc w:val="left"/>
    </w:pPr>
    <w:rPr>
      <w:szCs w:val="20"/>
    </w:rPr>
  </w:style>
  <w:style w:type="character" w:customStyle="1" w:styleId="BodyTextIndentChar">
    <w:name w:val="Body Text Indent Char"/>
    <w:link w:val="BodyTextIndent"/>
    <w:locked/>
    <w:rsid w:val="009205C9"/>
    <w:rPr>
      <w:rFonts w:ascii="Times New Roman" w:hAnsi="Times New Roman" w:cs="Times New Roman"/>
      <w:sz w:val="24"/>
    </w:rPr>
  </w:style>
  <w:style w:type="paragraph" w:customStyle="1" w:styleId="Zkladntext">
    <w:name w:val="Základní text"/>
    <w:rsid w:val="009205C9"/>
    <w:pPr>
      <w:framePr w:wrap="auto"/>
      <w:widowControl w:val="0"/>
      <w:autoSpaceDE/>
      <w:autoSpaceDN/>
      <w:adjustRightInd/>
      <w:ind w:left="0" w:right="0"/>
      <w:jc w:val="left"/>
      <w:textAlignment w:val="auto"/>
    </w:pPr>
    <w:rPr>
      <w:rFonts w:cs="Times New Roman"/>
      <w:color w:val="000000"/>
      <w:sz w:val="26"/>
      <w:szCs w:val="20"/>
      <w:rtl w:val="0"/>
      <w:cs w:val="0"/>
      <w:lang w:val="sk-SK" w:eastAsia="sk-SK" w:bidi="ar-SA"/>
    </w:rPr>
  </w:style>
  <w:style w:type="paragraph" w:styleId="BodyText2">
    <w:name w:val="Body Text 2"/>
    <w:basedOn w:val="Normal"/>
    <w:link w:val="BodyText2Char"/>
    <w:uiPriority w:val="99"/>
    <w:unhideWhenUsed/>
    <w:rsid w:val="009205C9"/>
    <w:pPr>
      <w:spacing w:after="120" w:line="480" w:lineRule="auto"/>
      <w:jc w:val="left"/>
    </w:pPr>
    <w:rPr>
      <w:szCs w:val="20"/>
    </w:rPr>
  </w:style>
  <w:style w:type="character" w:customStyle="1" w:styleId="BodyText2Char">
    <w:name w:val="Body Text 2 Char"/>
    <w:link w:val="BodyText2"/>
    <w:uiPriority w:val="99"/>
    <w:locked/>
    <w:rsid w:val="009205C9"/>
    <w:rPr>
      <w:rFonts w:ascii="Times New Roman" w:hAnsi="Times New Roman" w:cs="Times New Roman"/>
      <w:sz w:val="24"/>
    </w:rPr>
  </w:style>
  <w:style w:type="paragraph" w:styleId="NoSpacing">
    <w:name w:val="No Spacing"/>
    <w:uiPriority w:val="1"/>
    <w:qFormat/>
    <w:rsid w:val="0030033F"/>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character" w:customStyle="1" w:styleId="Heading4Char">
    <w:name w:val="Heading 4 Char"/>
    <w:link w:val="Heading4"/>
    <w:uiPriority w:val="9"/>
    <w:locked/>
    <w:rsid w:val="00534001"/>
    <w:rPr>
      <w:rFonts w:ascii="Calibri" w:hAnsi="Calibri" w:cs="Calibri"/>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vlada.gov.sk/data/files/1721_cerpanie-dotacii-z-rezervy-pvl-sr-v-roku-2011.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07CF-E9B4-448C-B88C-C2B2E0C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57</Pages>
  <Words>19201</Words>
  <Characters>109450</Characters>
  <Application>Microsoft Office Word</Application>
  <DocSecurity>0</DocSecurity>
  <Lines>0</Lines>
  <Paragraphs>0</Paragraphs>
  <ScaleCrop>false</ScaleCrop>
  <Company>Kancelaria NR SR</Company>
  <LinksUpToDate>false</LinksUpToDate>
  <CharactersWithSpaces>128395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Suttova Jana</dc:creator>
  <cp:lastModifiedBy>Gašparíková, Jarmila</cp:lastModifiedBy>
  <cp:revision>2</cp:revision>
  <cp:lastPrinted>2012-04-30T09:57:00Z</cp:lastPrinted>
  <dcterms:created xsi:type="dcterms:W3CDTF">2012-05-10T11:45:00Z</dcterms:created>
  <dcterms:modified xsi:type="dcterms:W3CDTF">2012-05-10T11:45:00Z</dcterms:modified>
</cp:coreProperties>
</file>