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6647E" w:rsidP="0056647E">
      <w:pPr>
        <w:pStyle w:val="NormalWeb"/>
        <w:bidi w:val="0"/>
        <w:ind w:right="-108"/>
        <w:jc w:val="center"/>
        <w:rPr>
          <w:rFonts w:ascii="Times New Roman" w:hAnsi="Times New Roman"/>
          <w:b/>
          <w:bCs/>
          <w:sz w:val="24"/>
          <w:szCs w:val="24"/>
          <w:lang w:val="sk-SK" w:eastAsia="sk-SK"/>
        </w:rPr>
      </w:pPr>
      <w:r>
        <w:rPr>
          <w:rFonts w:ascii="Times New Roman" w:hAnsi="Times New Roman"/>
          <w:b/>
          <w:bCs/>
          <w:sz w:val="24"/>
          <w:szCs w:val="24"/>
          <w:lang w:val="sk-SK" w:eastAsia="sk-SK"/>
        </w:rPr>
        <w:t>Doložka vplyvov</w:t>
      </w:r>
    </w:p>
    <w:p w:rsidR="0056647E" w:rsidP="0056647E">
      <w:pPr>
        <w:pStyle w:val="NormalWeb"/>
        <w:bidi w:val="0"/>
        <w:ind w:right="-108"/>
        <w:jc w:val="center"/>
        <w:rPr>
          <w:rFonts w:ascii="Times New Roman" w:hAnsi="Times New Roman"/>
          <w:sz w:val="24"/>
          <w:szCs w:val="24"/>
          <w:lang w:val="sk-SK" w:eastAsia="sk-SK"/>
        </w:rPr>
      </w:pPr>
    </w:p>
    <w:p w:rsidR="0056647E" w:rsidP="0056647E">
      <w:pPr>
        <w:pStyle w:val="NormalWeb"/>
        <w:bidi w:val="0"/>
        <w:rPr>
          <w:rFonts w:ascii="Times New Roman" w:hAnsi="Times New Roman"/>
          <w:sz w:val="24"/>
          <w:szCs w:val="24"/>
          <w:lang w:val="sk-SK" w:eastAsia="sk-SK"/>
        </w:rPr>
      </w:pPr>
      <w:r>
        <w:rPr>
          <w:rFonts w:ascii="Times New Roman" w:hAnsi="Times New Roman"/>
          <w:b/>
          <w:bCs/>
          <w:sz w:val="24"/>
          <w:szCs w:val="24"/>
          <w:lang w:val="sk-SK" w:eastAsia="sk-SK"/>
        </w:rPr>
        <w:t>  </w:t>
      </w:r>
    </w:p>
    <w:p w:rsidR="0056647E" w:rsidP="0056647E">
      <w:pPr>
        <w:pStyle w:val="NormalWeb"/>
        <w:bidi w:val="0"/>
        <w:rPr>
          <w:rFonts w:ascii="Times New Roman" w:hAnsi="Times New Roman"/>
          <w:b/>
          <w:bCs/>
          <w:sz w:val="24"/>
          <w:szCs w:val="24"/>
          <w:lang w:val="sk-SK" w:eastAsia="sk-SK"/>
        </w:rPr>
      </w:pPr>
      <w:r>
        <w:rPr>
          <w:rFonts w:ascii="Times New Roman" w:hAnsi="Times New Roman"/>
          <w:b/>
          <w:bCs/>
          <w:sz w:val="24"/>
          <w:szCs w:val="24"/>
          <w:lang w:val="sk-SK" w:eastAsia="sk-SK"/>
        </w:rPr>
        <w:t>A.1. Názov materiálu:</w:t>
      </w:r>
    </w:p>
    <w:p w:rsidR="0056647E" w:rsidP="0056647E">
      <w:pPr>
        <w:pStyle w:val="NormalWeb"/>
        <w:bidi w:val="0"/>
        <w:rPr>
          <w:rFonts w:ascii="Times New Roman" w:hAnsi="Times New Roman"/>
          <w:bCs/>
          <w:sz w:val="24"/>
          <w:szCs w:val="24"/>
          <w:lang w:val="sk-SK" w:eastAsia="sk-SK"/>
        </w:rPr>
      </w:pPr>
    </w:p>
    <w:p w:rsidR="0056647E" w:rsidP="0056647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Návrh zákona, ktorým sa mení a dopĺňa zákon č. 580/2004 Z. z. o zdravotnom poistení a o zmene a doplnení zákona č. 95/2002 Z. z. o poisťovníctve a o zmene a doplnení niektorých zákonov v znení neskorších predpisov a o zmene a doplnení zákona č. 581/2004 Z.z. o zdravotných poisťovniach, dohľade nad zdravotnou starostlivosťou a o zmene a doplnení niektorých zákonov v znení neskorších predpisov</w:t>
      </w:r>
    </w:p>
    <w:p w:rsidR="0056647E" w:rsidP="0056647E">
      <w:pPr>
        <w:pStyle w:val="NormalWeb"/>
        <w:bidi w:val="0"/>
        <w:rPr>
          <w:rFonts w:ascii="Times New Roman" w:hAnsi="Times New Roman"/>
          <w:sz w:val="24"/>
          <w:szCs w:val="24"/>
          <w:lang w:val="sk-SK" w:eastAsia="sk-SK"/>
        </w:rPr>
      </w:pPr>
    </w:p>
    <w:p w:rsidR="0056647E" w:rsidP="0056647E">
      <w:pPr>
        <w:pStyle w:val="NormalWeb"/>
        <w:bidi w:val="0"/>
        <w:rPr>
          <w:rFonts w:ascii="Times New Roman" w:hAnsi="Times New Roman"/>
          <w:sz w:val="24"/>
          <w:szCs w:val="24"/>
          <w:lang w:val="sk-SK" w:eastAsia="sk-SK"/>
        </w:rPr>
      </w:pPr>
      <w:r>
        <w:rPr>
          <w:rFonts w:ascii="Times New Roman" w:hAnsi="Times New Roman"/>
          <w:b/>
          <w:bCs/>
          <w:sz w:val="24"/>
          <w:szCs w:val="24"/>
          <w:lang w:val="sk-SK" w:eastAsia="sk-SK"/>
        </w:rPr>
        <w:t>        Termín začatia a ukončenia PPK:</w:t>
      </w:r>
      <w:r>
        <w:rPr>
          <w:rFonts w:ascii="Times New Roman" w:hAnsi="Times New Roman"/>
          <w:sz w:val="24"/>
          <w:szCs w:val="24"/>
          <w:lang w:val="sk-SK" w:eastAsia="sk-SK"/>
        </w:rPr>
        <w:t xml:space="preserve">  -</w:t>
      </w:r>
    </w:p>
    <w:p w:rsidR="0056647E" w:rsidP="0056647E">
      <w:pPr>
        <w:pStyle w:val="NormalWeb"/>
        <w:bidi w:val="0"/>
        <w:rPr>
          <w:rFonts w:ascii="Times New Roman" w:hAnsi="Times New Roman"/>
          <w:sz w:val="24"/>
          <w:szCs w:val="24"/>
          <w:lang w:val="sk-SK" w:eastAsia="sk-SK"/>
        </w:rPr>
      </w:pPr>
    </w:p>
    <w:p w:rsidR="0056647E" w:rsidP="0056647E">
      <w:pPr>
        <w:pStyle w:val="NormalWeb"/>
        <w:bidi w:val="0"/>
        <w:rPr>
          <w:rFonts w:ascii="Times New Roman" w:hAnsi="Times New Roman"/>
          <w:sz w:val="24"/>
          <w:szCs w:val="24"/>
          <w:lang w:val="sk-SK" w:eastAsia="sk-SK"/>
        </w:rPr>
      </w:pPr>
      <w:r>
        <w:rPr>
          <w:rFonts w:ascii="Times New Roman" w:hAnsi="Times New Roman"/>
          <w:b/>
          <w:bCs/>
          <w:sz w:val="24"/>
          <w:szCs w:val="24"/>
          <w:lang w:val="sk-SK" w:eastAsia="sk-SK"/>
        </w:rPr>
        <w:t>A.2. Vplyvy:</w:t>
      </w:r>
    </w:p>
    <w:tbl>
      <w:tblPr>
        <w:tblStyle w:val="TableNormal"/>
        <w:tblW w:w="9108" w:type="dxa"/>
        <w:tblCellMar>
          <w:left w:w="0" w:type="dxa"/>
          <w:right w:w="0" w:type="dxa"/>
        </w:tblCellMar>
        <w:tblLook w:val="04A0"/>
      </w:tblPr>
      <w:tblGrid>
        <w:gridCol w:w="4788"/>
        <w:gridCol w:w="1440"/>
        <w:gridCol w:w="1080"/>
        <w:gridCol w:w="1800"/>
      </w:tblGrid>
      <w:tr>
        <w:tblPrEx>
          <w:tblW w:w="9108" w:type="dxa"/>
          <w:tblCellMar>
            <w:left w:w="0" w:type="dxa"/>
            <w:right w:w="0" w:type="dxa"/>
          </w:tblCellMar>
          <w:tblLook w:val="04A0"/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56647E">
            <w:pPr>
              <w:pStyle w:val="NormalWeb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> 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  <w:hideMark/>
          </w:tcPr>
          <w:p w:rsidR="0056647E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>Pozitívne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sk-SK" w:eastAsia="sk-SK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  <w:hideMark/>
          </w:tcPr>
          <w:p w:rsidR="0056647E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>Žiadne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sk-SK" w:eastAsia="sk-SK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  <w:hideMark/>
          </w:tcPr>
          <w:p w:rsidR="0056647E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>Negatívne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sk-SK" w:eastAsia="sk-SK"/>
              </w:rPr>
              <w:t>*</w:t>
            </w:r>
          </w:p>
        </w:tc>
      </w:tr>
      <w:tr>
        <w:tblPrEx>
          <w:tblW w:w="9108" w:type="dxa"/>
          <w:tblCellMar>
            <w:left w:w="0" w:type="dxa"/>
            <w:right w:w="0" w:type="dxa"/>
          </w:tblCellMar>
          <w:tblLook w:val="04A0"/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56647E">
            <w:pPr>
              <w:pStyle w:val="NormalWeb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>1. Vplyvy na rozpočet verejnej správy</w:t>
            </w:r>
          </w:p>
          <w:p w:rsidR="0056647E">
            <w:pPr>
              <w:pStyle w:val="NormalWeb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6647E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56647E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>X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56647E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>
        <w:tblPrEx>
          <w:tblW w:w="9108" w:type="dxa"/>
          <w:tblCellMar>
            <w:left w:w="0" w:type="dxa"/>
            <w:right w:w="0" w:type="dxa"/>
          </w:tblCellMar>
          <w:tblLook w:val="04A0"/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56647E">
            <w:pPr>
              <w:pStyle w:val="NormalWeb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>2. Vplyvy na podnikateľské prostredie – dochádza k zvýšeniu regulačného zaťaženia?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56647E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56647E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>X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6647E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9108" w:type="dxa"/>
          <w:tblCellMar>
            <w:left w:w="0" w:type="dxa"/>
            <w:right w:w="0" w:type="dxa"/>
          </w:tblCellMar>
          <w:tblLook w:val="04A0"/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56647E">
            <w:pPr>
              <w:pStyle w:val="NormalWeb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3. Sociálne vplyvy </w:t>
            </w:r>
          </w:p>
          <w:p w:rsidR="0056647E">
            <w:pPr>
              <w:pStyle w:val="NormalWeb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>– vplyvy  na hospodárenie obyvateľstva,</w:t>
            </w:r>
          </w:p>
          <w:p w:rsidR="0056647E">
            <w:pPr>
              <w:pStyle w:val="NormalWeb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>-sociálnu exklúziu,</w:t>
            </w:r>
          </w:p>
          <w:p w:rsidR="0056647E">
            <w:pPr>
              <w:pStyle w:val="NormalWeb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>- rovnosť príležitostí a rodovú rovnosť a vplyvy na zamestnanosť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56647E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56647E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>X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56647E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>
        <w:tblPrEx>
          <w:tblW w:w="9108" w:type="dxa"/>
          <w:tblCellMar>
            <w:left w:w="0" w:type="dxa"/>
            <w:right w:w="0" w:type="dxa"/>
          </w:tblCellMar>
          <w:tblLook w:val="04A0"/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56647E">
            <w:pPr>
              <w:pStyle w:val="NormalWeb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>4. Vplyvy na životné prostredie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56647E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56647E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>X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56647E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>
        <w:tblPrEx>
          <w:tblW w:w="9108" w:type="dxa"/>
          <w:tblCellMar>
            <w:left w:w="0" w:type="dxa"/>
            <w:right w:w="0" w:type="dxa"/>
          </w:tblCellMar>
          <w:tblLook w:val="04A0"/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56647E">
            <w:pPr>
              <w:pStyle w:val="NormalWeb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>5. Vplyvy na informatizáciu spoločnosti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56647E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56647E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>X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56647E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</w:tbl>
    <w:p w:rsidR="0056647E" w:rsidP="0056647E">
      <w:pPr>
        <w:pStyle w:val="NormalWeb"/>
        <w:bidi w:val="0"/>
        <w:jc w:val="both"/>
        <w:rPr>
          <w:rFonts w:ascii="Times New Roman" w:hAnsi="Times New Roman"/>
          <w:sz w:val="24"/>
          <w:szCs w:val="24"/>
          <w:lang w:val="sk-SK" w:eastAsia="sk-SK"/>
        </w:rPr>
      </w:pPr>
      <w:r>
        <w:rPr>
          <w:rFonts w:ascii="Times New Roman" w:hAnsi="Times New Roman"/>
          <w:sz w:val="24"/>
          <w:szCs w:val="24"/>
          <w:lang w:val="sk-SK" w:eastAsia="sk-SK"/>
        </w:rPr>
        <w:t>  </w:t>
      </w:r>
    </w:p>
    <w:p w:rsidR="0056647E" w:rsidP="0056647E">
      <w:pPr>
        <w:pStyle w:val="NormalWeb"/>
        <w:bidi w:val="0"/>
        <w:jc w:val="both"/>
        <w:rPr>
          <w:rFonts w:ascii="Times New Roman" w:hAnsi="Times New Roman"/>
          <w:b/>
          <w:bCs/>
          <w:sz w:val="24"/>
          <w:szCs w:val="24"/>
          <w:lang w:val="sk-SK" w:eastAsia="sk-SK"/>
        </w:rPr>
      </w:pPr>
      <w:r>
        <w:rPr>
          <w:rFonts w:ascii="Times New Roman" w:hAnsi="Times New Roman"/>
          <w:b/>
          <w:bCs/>
          <w:sz w:val="24"/>
          <w:szCs w:val="24"/>
          <w:lang w:val="sk-SK" w:eastAsia="sk-SK"/>
        </w:rPr>
        <w:t>A.3. Poznámky</w:t>
      </w:r>
    </w:p>
    <w:p w:rsidR="0056647E" w:rsidP="0056647E">
      <w:pPr>
        <w:pStyle w:val="NormalWeb"/>
        <w:bidi w:val="0"/>
        <w:jc w:val="center"/>
        <w:rPr>
          <w:rFonts w:ascii="Times New Roman" w:hAnsi="Times New Roman"/>
          <w:sz w:val="24"/>
          <w:szCs w:val="24"/>
          <w:lang w:val="sk-SK" w:eastAsia="sk-SK"/>
        </w:rPr>
      </w:pPr>
      <w:r>
        <w:rPr>
          <w:b/>
          <w:bCs/>
          <w:lang w:eastAsia="sk-SK"/>
        </w:rPr>
        <w:br w:type="page"/>
      </w:r>
      <w:r>
        <w:rPr>
          <w:rFonts w:ascii="Times New Roman" w:hAnsi="Times New Roman"/>
          <w:b/>
          <w:bCs/>
          <w:sz w:val="24"/>
          <w:szCs w:val="24"/>
          <w:lang w:val="sk-SK" w:eastAsia="sk-SK"/>
        </w:rPr>
        <w:t>Vplyvy na rozpočet verejnej správy,</w:t>
      </w:r>
    </w:p>
    <w:p w:rsidR="0056647E" w:rsidP="0056647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na zamestnanosť vo verejnej správe a financovanie návrhu</w:t>
      </w:r>
    </w:p>
    <w:p w:rsidR="0056647E" w:rsidP="0056647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56647E" w:rsidP="0056647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56647E" w:rsidP="0056647E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2.1. Zhrnutie vplyvov na rozpočet verejnej správy v návrhu</w:t>
      </w:r>
    </w:p>
    <w:p w:rsidR="0056647E" w:rsidP="0056647E">
      <w:pPr>
        <w:bidi w:val="0"/>
        <w:rPr>
          <w:rFonts w:ascii="Times New Roman" w:hAnsi="Times New Roman"/>
          <w:b/>
          <w:bCs/>
        </w:rPr>
      </w:pPr>
    </w:p>
    <w:p w:rsidR="0056647E" w:rsidP="0056647E">
      <w:pPr>
        <w:bidi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Návrh nemá vplyv na rozpočet verejnej správy.</w:t>
      </w:r>
    </w:p>
    <w:p w:rsidR="0056647E" w:rsidP="0056647E">
      <w:pPr>
        <w:bidi w:val="0"/>
        <w:rPr>
          <w:rFonts w:ascii="Times New Roman" w:hAnsi="Times New Roman"/>
          <w:b/>
          <w:bCs/>
        </w:rPr>
      </w:pPr>
    </w:p>
    <w:p w:rsidR="0056647E" w:rsidP="0056647E">
      <w:pPr>
        <w:bidi w:val="0"/>
        <w:rPr>
          <w:rFonts w:ascii="Times New Roman" w:hAnsi="Times New Roman"/>
          <w:b/>
          <w:bCs/>
        </w:rPr>
      </w:pPr>
      <w:bookmarkStart w:id="0" w:name="OLE_LINK1"/>
      <w:bookmarkEnd w:id="0"/>
      <w:r>
        <w:rPr>
          <w:rFonts w:ascii="Times New Roman" w:hAnsi="Times New Roman"/>
          <w:b/>
          <w:bCs/>
        </w:rPr>
        <w:t>2.2. Financovanie návrhu</w:t>
      </w:r>
    </w:p>
    <w:p w:rsidR="0056647E" w:rsidP="0056647E">
      <w:pPr>
        <w:bidi w:val="0"/>
        <w:rPr>
          <w:rFonts w:ascii="Times New Roman" w:hAnsi="Times New Roman"/>
        </w:rPr>
      </w:pPr>
    </w:p>
    <w:p w:rsidR="0056647E" w:rsidP="0056647E">
      <w:pPr>
        <w:bidi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Návrh nezakladá požiadavky na rozpočet verejnej správy </w:t>
      </w:r>
    </w:p>
    <w:p w:rsidR="0056647E" w:rsidP="0056647E">
      <w:pPr>
        <w:bidi w:val="0"/>
        <w:rPr>
          <w:rFonts w:ascii="Times New Roman" w:hAnsi="Times New Roman"/>
          <w:b/>
          <w:bCs/>
        </w:rPr>
      </w:pPr>
    </w:p>
    <w:p w:rsidR="0056647E" w:rsidP="0056647E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Návrh na riešenie úbytku príjmov alebo zvýšených výdavkov podľa § 33 ods. 1 zákona č. 523/2004 Z. z. o rozpočtových pravidlách verejnej správy:</w:t>
      </w:r>
    </w:p>
    <w:p w:rsidR="0056647E" w:rsidP="0056647E">
      <w:pPr>
        <w:bidi w:val="0"/>
        <w:rPr>
          <w:rFonts w:ascii="Times New Roman" w:hAnsi="Times New Roman"/>
        </w:rPr>
      </w:pPr>
    </w:p>
    <w:p w:rsidR="0056647E" w:rsidP="005664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56647E" w:rsidP="005664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Návrh predpokladá zvýšenie niektorých výdavkov v rámci verejnej správy (Úrad pre dohľad nad zdravotnou starostlivosťou), ktoré by však mali byť kryté vlastnými zdrojmi dotknutých subjektov v rámci verejnej správy.</w:t>
      </w:r>
    </w:p>
    <w:p w:rsidR="0056647E" w:rsidP="0056647E">
      <w:pPr>
        <w:bidi w:val="0"/>
        <w:rPr>
          <w:rFonts w:ascii="Times New Roman" w:hAnsi="Times New Roman"/>
          <w:b/>
          <w:bCs/>
        </w:rPr>
      </w:pPr>
    </w:p>
    <w:p w:rsidR="0056647E" w:rsidP="0056647E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2.3. Popis a charakteristika návrhu</w:t>
      </w:r>
    </w:p>
    <w:p w:rsidR="0056647E" w:rsidP="0056647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56647E" w:rsidP="0056647E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2.3.1. Popis návrhu:</w:t>
      </w:r>
    </w:p>
    <w:p w:rsidR="0056647E" w:rsidP="0056647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precizuje </w:t>
      </w:r>
      <w:r>
        <w:rPr>
          <w:rFonts w:ascii="Times New Roman" w:hAnsi="Times New Roman"/>
          <w:bCs/>
        </w:rPr>
        <w:t>mechanizmus vyrovnávania rizikovej štruktúry</w:t>
      </w:r>
      <w:r>
        <w:rPr>
          <w:rFonts w:ascii="Times New Roman" w:hAnsi="Times New Roman"/>
        </w:rPr>
        <w:t xml:space="preserve"> a znamená, že po prerozdelení v rámci mesačného aj ročného prerozdelenia poistného na zdravotné poistenie každá z poisťovní </w:t>
      </w:r>
      <w:r>
        <w:rPr>
          <w:rFonts w:ascii="Times New Roman" w:hAnsi="Times New Roman"/>
          <w:bCs/>
        </w:rPr>
        <w:t xml:space="preserve">dostane rovnakú platbu na poistenca v rovnakej rizikovej skupine. </w:t>
      </w:r>
    </w:p>
    <w:p w:rsidR="0056647E" w:rsidP="0056647E">
      <w:pPr>
        <w:bidi w:val="0"/>
        <w:rPr>
          <w:rFonts w:ascii="Times New Roman" w:hAnsi="Times New Roman"/>
        </w:rPr>
      </w:pPr>
    </w:p>
    <w:p w:rsidR="0056647E" w:rsidP="0056647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Finančný dopad zavedenia nového parametra do prerozdeľovacieho mechanizmu bol počítaný na vzorke 30% poistencov z každej zdravotnej poisťovne z nákladov na zdravotnú starostlivosť  za rok 2010.</w:t>
      </w:r>
    </w:p>
    <w:p w:rsidR="0056647E" w:rsidP="0056647E">
      <w:pPr>
        <w:bidi w:val="0"/>
        <w:rPr>
          <w:rFonts w:ascii="Times New Roman" w:hAnsi="Times New Roman"/>
        </w:rPr>
      </w:pPr>
    </w:p>
    <w:p w:rsidR="0056647E" w:rsidP="0056647E">
      <w:pPr>
        <w:pStyle w:val="NormalWeb"/>
        <w:bidi w:val="0"/>
        <w:jc w:val="both"/>
        <w:rPr>
          <w:rFonts w:ascii="Times New Roman" w:hAnsi="Times New Roman" w:hint="default"/>
          <w:sz w:val="24"/>
          <w:szCs w:val="24"/>
          <w:lang w:val="sk-SK"/>
        </w:rPr>
      </w:pPr>
      <w:r>
        <w:rPr>
          <w:rFonts w:ascii="Times New Roman" w:hAnsi="Times New Roman" w:hint="default"/>
          <w:sz w:val="24"/>
          <w:szCs w:val="24"/>
          <w:lang w:val="sk-SK"/>
        </w:rPr>
        <w:t>Dopady roč</w:t>
      </w:r>
      <w:r>
        <w:rPr>
          <w:rFonts w:ascii="Times New Roman" w:hAnsi="Times New Roman" w:hint="default"/>
          <w:sz w:val="24"/>
          <w:szCs w:val="24"/>
          <w:lang w:val="sk-SK"/>
        </w:rPr>
        <w:t>né</w:t>
      </w:r>
      <w:r>
        <w:rPr>
          <w:rFonts w:ascii="Times New Roman" w:hAnsi="Times New Roman" w:hint="default"/>
          <w:sz w:val="24"/>
          <w:szCs w:val="24"/>
          <w:lang w:val="sk-SK"/>
        </w:rPr>
        <w:t>ho prerozdelenia boli hodnotené</w:t>
      </w:r>
      <w:r>
        <w:rPr>
          <w:rFonts w:ascii="Times New Roman" w:hAnsi="Times New Roman" w:hint="default"/>
          <w:sz w:val="24"/>
          <w:szCs w:val="24"/>
          <w:lang w:val="sk-SK"/>
        </w:rPr>
        <w:t xml:space="preserve"> porovnaní</w:t>
      </w:r>
      <w:r>
        <w:rPr>
          <w:rFonts w:ascii="Times New Roman" w:hAnsi="Times New Roman" w:hint="default"/>
          <w:sz w:val="24"/>
          <w:szCs w:val="24"/>
          <w:lang w:val="sk-SK"/>
        </w:rPr>
        <w:t>m predpisu roč</w:t>
      </w:r>
      <w:r>
        <w:rPr>
          <w:rFonts w:ascii="Times New Roman" w:hAnsi="Times New Roman" w:hint="default"/>
          <w:sz w:val="24"/>
          <w:szCs w:val="24"/>
          <w:lang w:val="sk-SK"/>
        </w:rPr>
        <w:t>né</w:t>
      </w:r>
      <w:r>
        <w:rPr>
          <w:rFonts w:ascii="Times New Roman" w:hAnsi="Times New Roman" w:hint="default"/>
          <w:sz w:val="24"/>
          <w:szCs w:val="24"/>
          <w:lang w:val="sk-SK"/>
        </w:rPr>
        <w:t>ho poistné</w:t>
      </w:r>
      <w:r>
        <w:rPr>
          <w:rFonts w:ascii="Times New Roman" w:hAnsi="Times New Roman" w:hint="default"/>
          <w:sz w:val="24"/>
          <w:szCs w:val="24"/>
          <w:lang w:val="sk-SK"/>
        </w:rPr>
        <w:t>ho (povinné</w:t>
      </w:r>
      <w:r>
        <w:rPr>
          <w:rFonts w:ascii="Times New Roman" w:hAnsi="Times New Roman" w:hint="default"/>
          <w:sz w:val="24"/>
          <w:szCs w:val="24"/>
          <w:lang w:val="sk-SK"/>
        </w:rPr>
        <w:t xml:space="preserve"> poistné</w:t>
      </w:r>
      <w:r>
        <w:rPr>
          <w:rFonts w:ascii="Times New Roman" w:hAnsi="Times New Roman" w:hint="default"/>
          <w:sz w:val="24"/>
          <w:szCs w:val="24"/>
          <w:lang w:val="sk-SK"/>
        </w:rPr>
        <w:t>) po prerozdelení</w:t>
      </w:r>
      <w:r>
        <w:rPr>
          <w:rFonts w:ascii="Times New Roman" w:hAnsi="Times New Roman" w:hint="default"/>
          <w:sz w:val="24"/>
          <w:szCs w:val="24"/>
          <w:lang w:val="sk-SK"/>
        </w:rPr>
        <w:t xml:space="preserve"> pri pô</w:t>
      </w:r>
      <w:r>
        <w:rPr>
          <w:rFonts w:ascii="Times New Roman" w:hAnsi="Times New Roman" w:hint="default"/>
          <w:sz w:val="24"/>
          <w:szCs w:val="24"/>
          <w:lang w:val="sk-SK"/>
        </w:rPr>
        <w:t>vodnom a </w:t>
      </w:r>
      <w:r>
        <w:rPr>
          <w:rFonts w:ascii="Times New Roman" w:hAnsi="Times New Roman" w:hint="default"/>
          <w:sz w:val="24"/>
          <w:szCs w:val="24"/>
          <w:lang w:val="sk-SK"/>
        </w:rPr>
        <w:t>pri novom modeli prerozdelenia. Predpokladaný</w:t>
      </w:r>
      <w:r>
        <w:rPr>
          <w:rFonts w:ascii="Times New Roman" w:hAnsi="Times New Roman" w:hint="default"/>
          <w:sz w:val="24"/>
          <w:szCs w:val="24"/>
          <w:lang w:val="sk-SK"/>
        </w:rPr>
        <w:t xml:space="preserve"> dopad zavedenia farmaceutic</w:t>
      </w:r>
      <w:r>
        <w:rPr>
          <w:rFonts w:ascii="Times New Roman" w:hAnsi="Times New Roman" w:hint="default"/>
          <w:sz w:val="24"/>
          <w:szCs w:val="24"/>
          <w:lang w:val="sk-SK"/>
        </w:rPr>
        <w:t>ko-ná</w:t>
      </w:r>
      <w:r>
        <w:rPr>
          <w:rFonts w:ascii="Times New Roman" w:hAnsi="Times New Roman" w:hint="default"/>
          <w:sz w:val="24"/>
          <w:szCs w:val="24"/>
          <w:lang w:val="sk-SK"/>
        </w:rPr>
        <w:t>kladový</w:t>
      </w:r>
      <w:r>
        <w:rPr>
          <w:rFonts w:ascii="Times New Roman" w:hAnsi="Times New Roman" w:hint="default"/>
          <w:sz w:val="24"/>
          <w:szCs w:val="24"/>
          <w:lang w:val="sk-SK"/>
        </w:rPr>
        <w:t>ch skupí</w:t>
      </w:r>
      <w:r>
        <w:rPr>
          <w:rFonts w:ascii="Times New Roman" w:hAnsi="Times New Roman" w:hint="default"/>
          <w:sz w:val="24"/>
          <w:szCs w:val="24"/>
          <w:lang w:val="sk-SK"/>
        </w:rPr>
        <w:t>n  do prerozdelenia je uvedený</w:t>
      </w:r>
      <w:r>
        <w:rPr>
          <w:rFonts w:ascii="Times New Roman" w:hAnsi="Times New Roman" w:hint="default"/>
          <w:sz w:val="24"/>
          <w:szCs w:val="24"/>
          <w:lang w:val="sk-SK"/>
        </w:rPr>
        <w:t xml:space="preserve"> v </w:t>
      </w:r>
      <w:r>
        <w:rPr>
          <w:rFonts w:ascii="Times New Roman" w:hAnsi="Times New Roman" w:hint="default"/>
          <w:sz w:val="24"/>
          <w:szCs w:val="24"/>
          <w:lang w:val="sk-SK"/>
        </w:rPr>
        <w:t>nasledujú</w:t>
      </w:r>
      <w:r>
        <w:rPr>
          <w:rFonts w:ascii="Times New Roman" w:hAnsi="Times New Roman" w:hint="default"/>
          <w:sz w:val="24"/>
          <w:szCs w:val="24"/>
          <w:lang w:val="sk-SK"/>
        </w:rPr>
        <w:t>cej tabuľ</w:t>
      </w:r>
      <w:r>
        <w:rPr>
          <w:rFonts w:ascii="Times New Roman" w:hAnsi="Times New Roman" w:hint="default"/>
          <w:sz w:val="24"/>
          <w:szCs w:val="24"/>
          <w:lang w:val="sk-SK"/>
        </w:rPr>
        <w:t xml:space="preserve">ke. </w:t>
      </w:r>
    </w:p>
    <w:p w:rsidR="0056647E" w:rsidP="0056647E">
      <w:pPr>
        <w:pStyle w:val="NormalWeb"/>
        <w:bidi w:val="0"/>
        <w:rPr>
          <w:rFonts w:ascii="Times New Roman" w:hAnsi="Times New Roman"/>
          <w:sz w:val="24"/>
          <w:szCs w:val="24"/>
        </w:rPr>
      </w:pPr>
    </w:p>
    <w:p w:rsidR="0056647E" w:rsidP="0056647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Dopad zavedenia nového prediktora do prerozdelenia:</w:t>
      </w:r>
    </w:p>
    <w:tbl>
      <w:tblPr>
        <w:tblStyle w:val="TableNormal"/>
        <w:tblW w:w="9270" w:type="dxa"/>
        <w:jc w:val="center"/>
        <w:tblBorders>
          <w:top w:val="single" w:sz="8" w:space="0" w:color="4F81BD"/>
          <w:bottom w:val="single" w:sz="8" w:space="0" w:color="4F81BD"/>
        </w:tblBorders>
        <w:tblLayout w:type="fixed"/>
        <w:tblLook w:val="06A0"/>
      </w:tblPr>
      <w:tblGrid>
        <w:gridCol w:w="3079"/>
        <w:gridCol w:w="1547"/>
        <w:gridCol w:w="1548"/>
        <w:gridCol w:w="1548"/>
        <w:gridCol w:w="1548"/>
      </w:tblGrid>
      <w:tr>
        <w:tblPrEx>
          <w:tblW w:w="9270" w:type="dxa"/>
          <w:jc w:val="center"/>
          <w:tblBorders>
            <w:top w:val="single" w:sz="8" w:space="0" w:color="4F81BD"/>
            <w:bottom w:val="single" w:sz="8" w:space="0" w:color="4F81BD"/>
          </w:tblBorders>
          <w:tblLayout w:type="fixed"/>
          <w:tblLook w:val="06A0"/>
        </w:tblPrEx>
        <w:trPr>
          <w:trHeight w:val="300"/>
          <w:tblHeader/>
          <w:jc w:val="center"/>
        </w:trPr>
        <w:tc>
          <w:tcPr>
            <w:tcW w:w="30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1F497D"/>
            <w:noWrap/>
            <w:textDirection w:val="lrTb"/>
            <w:vAlign w:val="center"/>
            <w:hideMark/>
          </w:tcPr>
          <w:p w:rsidR="0056647E">
            <w:pPr>
              <w:pStyle w:val="NormalWeb"/>
              <w:bidi w:val="0"/>
              <w:spacing w:after="0" w:line="240" w:lineRule="auto"/>
              <w:rPr>
                <w:rFonts w:ascii="Times New Roman" w:hAnsi="Times New Roman" w:hint="default"/>
                <w:b/>
                <w:bCs/>
                <w:color w:val="FFFFFF"/>
                <w:sz w:val="22"/>
                <w:szCs w:val="22"/>
                <w:lang w:val="sk-SK" w:eastAsia="sk-SK"/>
              </w:rPr>
            </w:pPr>
            <w:r>
              <w:rPr>
                <w:rFonts w:ascii="Times New Roman" w:hAnsi="Times New Roman" w:hint="default"/>
                <w:b/>
                <w:bCs/>
                <w:color w:val="FFFFFF"/>
                <w:sz w:val="22"/>
                <w:szCs w:val="22"/>
                <w:lang w:val="sk-SK" w:eastAsia="sk-SK"/>
              </w:rPr>
              <w:t>Poistné</w:t>
            </w:r>
            <w:r>
              <w:rPr>
                <w:rFonts w:ascii="Times New Roman" w:hAnsi="Times New Roman" w:hint="default"/>
                <w:b/>
                <w:bCs/>
                <w:color w:val="FFFFFF"/>
                <w:sz w:val="22"/>
                <w:szCs w:val="22"/>
                <w:lang w:val="sk-SK" w:eastAsia="sk-SK"/>
              </w:rPr>
              <w:t xml:space="preserve"> po prerozdelení</w:t>
            </w:r>
          </w:p>
        </w:tc>
        <w:tc>
          <w:tcPr>
            <w:tcW w:w="154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1F497D"/>
            <w:textDirection w:val="lrTb"/>
            <w:vAlign w:val="center"/>
            <w:hideMark/>
          </w:tcPr>
          <w:p w:rsidR="0056647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lang w:val="en-US"/>
              </w:rPr>
              <w:t>24 (Dôvera)</w:t>
            </w:r>
          </w:p>
        </w:tc>
        <w:tc>
          <w:tcPr>
            <w:tcW w:w="154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1F497D"/>
            <w:textDirection w:val="lrTb"/>
            <w:vAlign w:val="center"/>
            <w:hideMark/>
          </w:tcPr>
          <w:p w:rsidR="0056647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lang w:val="en-US"/>
              </w:rPr>
              <w:t>25 (VšZP)</w:t>
            </w:r>
          </w:p>
        </w:tc>
        <w:tc>
          <w:tcPr>
            <w:tcW w:w="154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1F497D"/>
            <w:textDirection w:val="lrTb"/>
            <w:vAlign w:val="center"/>
            <w:hideMark/>
          </w:tcPr>
          <w:p w:rsidR="0056647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lang w:val="en-US"/>
              </w:rPr>
              <w:t>27 (Union)</w:t>
            </w:r>
          </w:p>
        </w:tc>
        <w:tc>
          <w:tcPr>
            <w:tcW w:w="154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1F497D"/>
            <w:noWrap/>
            <w:textDirection w:val="lrTb"/>
            <w:vAlign w:val="center"/>
            <w:hideMark/>
          </w:tcPr>
          <w:p w:rsidR="0056647E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lang w:val="sk-SK" w:eastAsia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lang w:val="sk-SK" w:eastAsia="sk-SK"/>
              </w:rPr>
              <w:t>SPOLU</w:t>
            </w:r>
          </w:p>
        </w:tc>
      </w:tr>
      <w:tr>
        <w:tblPrEx>
          <w:tblW w:w="9270" w:type="dxa"/>
          <w:jc w:val="center"/>
          <w:tblLayout w:type="fixed"/>
          <w:tblLook w:val="06A0"/>
        </w:tblPrEx>
        <w:trPr>
          <w:trHeight w:val="315"/>
          <w:jc w:val="center"/>
        </w:trPr>
        <w:tc>
          <w:tcPr>
            <w:tcW w:w="3078" w:type="dxa"/>
            <w:tcBorders>
              <w:top w:val="single" w:sz="8" w:space="0" w:color="4F81BD"/>
              <w:left w:val="nil"/>
              <w:bottom w:val="single" w:sz="4" w:space="0" w:color="4F81BD"/>
              <w:right w:val="nil"/>
            </w:tcBorders>
            <w:noWrap/>
            <w:textDirection w:val="lrTb"/>
            <w:vAlign w:val="center"/>
            <w:hideMark/>
          </w:tcPr>
          <w:p w:rsidR="0056647E">
            <w:pPr>
              <w:pStyle w:val="NormalWeb"/>
              <w:bidi w:val="0"/>
              <w:spacing w:after="0" w:line="240" w:lineRule="auto"/>
              <w:rPr>
                <w:rFonts w:ascii="Times New Roman" w:hAnsi="Times New Roman" w:hint="default"/>
                <w:b/>
                <w:bCs/>
                <w:color w:val="365F91"/>
                <w:sz w:val="22"/>
                <w:szCs w:val="22"/>
                <w:lang w:val="sk-SK" w:eastAsia="sk-SK"/>
              </w:rPr>
            </w:pPr>
            <w:r>
              <w:rPr>
                <w:rFonts w:ascii="Times New Roman" w:hAnsi="Times New Roman" w:hint="default"/>
                <w:b/>
                <w:bCs/>
                <w:color w:val="365F91"/>
                <w:sz w:val="22"/>
                <w:szCs w:val="22"/>
                <w:lang w:val="sk-SK" w:eastAsia="sk-SK"/>
              </w:rPr>
              <w:t xml:space="preserve">        pri pô</w:t>
            </w:r>
            <w:r>
              <w:rPr>
                <w:rFonts w:ascii="Times New Roman" w:hAnsi="Times New Roman" w:hint="default"/>
                <w:b/>
                <w:bCs/>
                <w:color w:val="365F91"/>
                <w:sz w:val="22"/>
                <w:szCs w:val="22"/>
                <w:lang w:val="sk-SK" w:eastAsia="sk-SK"/>
              </w:rPr>
              <w:t>vodnom modeli</w:t>
            </w:r>
          </w:p>
        </w:tc>
        <w:tc>
          <w:tcPr>
            <w:tcW w:w="1546" w:type="dxa"/>
            <w:tcBorders>
              <w:top w:val="single" w:sz="8" w:space="0" w:color="4F81BD"/>
              <w:left w:val="nil"/>
              <w:bottom w:val="single" w:sz="4" w:space="0" w:color="4F81BD"/>
              <w:right w:val="nil"/>
            </w:tcBorders>
            <w:textDirection w:val="lrTb"/>
            <w:vAlign w:val="center"/>
            <w:hideMark/>
          </w:tcPr>
          <w:p w:rsidR="0056647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366092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366092"/>
                <w:sz w:val="22"/>
                <w:szCs w:val="22"/>
                <w:lang w:val="en-US"/>
              </w:rPr>
              <w:t>858 758 642</w:t>
            </w:r>
          </w:p>
        </w:tc>
        <w:tc>
          <w:tcPr>
            <w:tcW w:w="1547" w:type="dxa"/>
            <w:tcBorders>
              <w:top w:val="single" w:sz="8" w:space="0" w:color="4F81BD"/>
              <w:left w:val="nil"/>
              <w:bottom w:val="single" w:sz="4" w:space="0" w:color="4F81BD"/>
              <w:right w:val="nil"/>
            </w:tcBorders>
            <w:textDirection w:val="lrTb"/>
            <w:vAlign w:val="center"/>
            <w:hideMark/>
          </w:tcPr>
          <w:p w:rsidR="0056647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366092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366092"/>
                <w:sz w:val="22"/>
                <w:szCs w:val="22"/>
                <w:lang w:val="en-US"/>
              </w:rPr>
              <w:t>2 481 323 462</w:t>
            </w:r>
          </w:p>
        </w:tc>
        <w:tc>
          <w:tcPr>
            <w:tcW w:w="1547" w:type="dxa"/>
            <w:tcBorders>
              <w:top w:val="single" w:sz="8" w:space="0" w:color="4F81BD"/>
              <w:left w:val="nil"/>
              <w:bottom w:val="single" w:sz="4" w:space="0" w:color="4F81BD"/>
              <w:right w:val="nil"/>
            </w:tcBorders>
            <w:textDirection w:val="lrTb"/>
            <w:vAlign w:val="center"/>
            <w:hideMark/>
          </w:tcPr>
          <w:p w:rsidR="0056647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366092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366092"/>
                <w:sz w:val="22"/>
                <w:szCs w:val="22"/>
                <w:lang w:val="en-US"/>
              </w:rPr>
              <w:t>192 854 314</w:t>
            </w:r>
          </w:p>
        </w:tc>
        <w:tc>
          <w:tcPr>
            <w:tcW w:w="1547" w:type="dxa"/>
            <w:tcBorders>
              <w:top w:val="single" w:sz="8" w:space="0" w:color="4F81BD"/>
              <w:left w:val="nil"/>
              <w:bottom w:val="single" w:sz="4" w:space="0" w:color="4F81BD"/>
              <w:right w:val="nil"/>
            </w:tcBorders>
            <w:noWrap/>
            <w:textDirection w:val="lrTb"/>
            <w:vAlign w:val="center"/>
            <w:hideMark/>
          </w:tcPr>
          <w:p w:rsidR="0056647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3 532 936 418</w:t>
            </w:r>
          </w:p>
        </w:tc>
      </w:tr>
      <w:tr>
        <w:tblPrEx>
          <w:tblW w:w="9270" w:type="dxa"/>
          <w:jc w:val="center"/>
          <w:tblLayout w:type="fixed"/>
          <w:tblLook w:val="06A0"/>
        </w:tblPrEx>
        <w:trPr>
          <w:trHeight w:val="315"/>
          <w:jc w:val="center"/>
        </w:trPr>
        <w:tc>
          <w:tcPr>
            <w:tcW w:w="30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noWrap/>
            <w:textDirection w:val="lrTb"/>
            <w:vAlign w:val="center"/>
            <w:hideMark/>
          </w:tcPr>
          <w:p w:rsidR="0056647E">
            <w:pPr>
              <w:pStyle w:val="NormalWeb"/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2"/>
                <w:szCs w:val="22"/>
                <w:lang w:val="sk-SK" w:eastAsia="sk-SK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2"/>
                <w:szCs w:val="22"/>
                <w:lang w:val="sk-SK" w:eastAsia="sk-SK"/>
              </w:rPr>
              <w:t xml:space="preserve">        pri novom modeli</w:t>
            </w:r>
          </w:p>
        </w:tc>
        <w:tc>
          <w:tcPr>
            <w:tcW w:w="154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textDirection w:val="lrTb"/>
            <w:vAlign w:val="center"/>
            <w:hideMark/>
          </w:tcPr>
          <w:p w:rsidR="0056647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366092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366092"/>
                <w:sz w:val="22"/>
                <w:szCs w:val="22"/>
                <w:lang w:val="en-US"/>
              </w:rPr>
              <w:t>837 659 476</w:t>
            </w:r>
          </w:p>
        </w:tc>
        <w:tc>
          <w:tcPr>
            <w:tcW w:w="1547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textDirection w:val="lrTb"/>
            <w:vAlign w:val="center"/>
            <w:hideMark/>
          </w:tcPr>
          <w:p w:rsidR="0056647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366092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366092"/>
                <w:sz w:val="22"/>
                <w:szCs w:val="22"/>
                <w:lang w:val="en-US"/>
              </w:rPr>
              <w:t>2 511 146 392</w:t>
            </w:r>
          </w:p>
        </w:tc>
        <w:tc>
          <w:tcPr>
            <w:tcW w:w="1547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textDirection w:val="lrTb"/>
            <w:vAlign w:val="center"/>
            <w:hideMark/>
          </w:tcPr>
          <w:p w:rsidR="0056647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366092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366092"/>
                <w:sz w:val="22"/>
                <w:szCs w:val="22"/>
                <w:lang w:val="en-US"/>
              </w:rPr>
              <w:t>184 130 550</w:t>
            </w:r>
          </w:p>
        </w:tc>
        <w:tc>
          <w:tcPr>
            <w:tcW w:w="1547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noWrap/>
            <w:textDirection w:val="lrTb"/>
            <w:vAlign w:val="center"/>
            <w:hideMark/>
          </w:tcPr>
          <w:p w:rsidR="0056647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3 532 936 418</w:t>
            </w:r>
          </w:p>
        </w:tc>
      </w:tr>
      <w:tr>
        <w:tblPrEx>
          <w:tblW w:w="9270" w:type="dxa"/>
          <w:jc w:val="center"/>
          <w:tblLayout w:type="fixed"/>
          <w:tblLook w:val="06A0"/>
        </w:tblPrEx>
        <w:trPr>
          <w:trHeight w:val="315"/>
          <w:jc w:val="center"/>
        </w:trPr>
        <w:tc>
          <w:tcPr>
            <w:tcW w:w="30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noWrap/>
            <w:textDirection w:val="lrTb"/>
            <w:vAlign w:val="center"/>
            <w:hideMark/>
          </w:tcPr>
          <w:p w:rsidR="0056647E">
            <w:pPr>
              <w:pStyle w:val="NormalWeb"/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2"/>
                <w:szCs w:val="22"/>
                <w:lang w:val="sk-SK"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k-SK"/>
              </w:rPr>
              <w:t>Dopad zavedenia nového modelu</w:t>
            </w:r>
          </w:p>
        </w:tc>
        <w:tc>
          <w:tcPr>
            <w:tcW w:w="154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textDirection w:val="lrTb"/>
            <w:vAlign w:val="center"/>
            <w:hideMark/>
          </w:tcPr>
          <w:p w:rsidR="0056647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-21 099 166</w:t>
            </w:r>
          </w:p>
        </w:tc>
        <w:tc>
          <w:tcPr>
            <w:tcW w:w="1547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textDirection w:val="lrTb"/>
            <w:vAlign w:val="center"/>
            <w:hideMark/>
          </w:tcPr>
          <w:p w:rsidR="0056647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29 822 930</w:t>
            </w:r>
          </w:p>
        </w:tc>
        <w:tc>
          <w:tcPr>
            <w:tcW w:w="1547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textDirection w:val="lrTb"/>
            <w:vAlign w:val="center"/>
            <w:hideMark/>
          </w:tcPr>
          <w:p w:rsidR="0056647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-8 723 765</w:t>
            </w:r>
          </w:p>
        </w:tc>
        <w:tc>
          <w:tcPr>
            <w:tcW w:w="1547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noWrap/>
            <w:textDirection w:val="lrTb"/>
            <w:vAlign w:val="center"/>
            <w:hideMark/>
          </w:tcPr>
          <w:p w:rsidR="0056647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56647E" w:rsidP="0056647E">
      <w:pPr>
        <w:bidi w:val="0"/>
        <w:rPr>
          <w:rFonts w:ascii="Times New Roman" w:hAnsi="Times New Roman"/>
        </w:rPr>
      </w:pPr>
    </w:p>
    <w:p w:rsidR="0056647E" w:rsidP="0056647E">
      <w:pPr>
        <w:bidi w:val="0"/>
        <w:rPr>
          <w:rFonts w:ascii="Times New Roman" w:hAnsi="Times New Roman"/>
        </w:rPr>
      </w:pPr>
    </w:p>
    <w:p w:rsidR="0056647E" w:rsidP="0056647E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2.3.2. Charakteristika návrhu podľa bodu  2.3.2. Metodiky:</w:t>
      </w:r>
      <w:r>
        <w:rPr>
          <w:rFonts w:ascii="Times New Roman" w:hAnsi="Times New Roman"/>
        </w:rPr>
        <w:t> </w:t>
      </w:r>
    </w:p>
    <w:p w:rsidR="0056647E" w:rsidP="0056647E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bdr w:val="single" w:sz="4" w:space="0" w:color="000000" w:frame="1"/>
        </w:rPr>
        <w:t xml:space="preserve">    </w:t>
      </w:r>
      <w:r>
        <w:rPr>
          <w:rFonts w:ascii="Times New Roman" w:hAnsi="Times New Roman"/>
        </w:rPr>
        <w:t>zmena sadzby</w:t>
      </w:r>
    </w:p>
    <w:p w:rsidR="0056647E" w:rsidP="0056647E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dr w:val="single" w:sz="4" w:space="0" w:color="000000" w:frame="1"/>
        </w:rPr>
        <w:t xml:space="preserve">    </w:t>
      </w:r>
      <w:r>
        <w:rPr>
          <w:rFonts w:ascii="Times New Roman" w:hAnsi="Times New Roman"/>
        </w:rPr>
        <w:t>  zmena v nároku</w:t>
      </w:r>
    </w:p>
    <w:p w:rsidR="0056647E" w:rsidP="0056647E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dr w:val="single" w:sz="4" w:space="0" w:color="000000" w:frame="1"/>
        </w:rPr>
        <w:t xml:space="preserve">    </w:t>
      </w:r>
      <w:r>
        <w:rPr>
          <w:rFonts w:ascii="Times New Roman" w:hAnsi="Times New Roman"/>
        </w:rPr>
        <w:t>  nová služba alebo nariadenie (alebo ich zrušenie)</w:t>
      </w:r>
    </w:p>
    <w:p w:rsidR="0056647E" w:rsidP="0056647E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dr w:val="single" w:sz="4" w:space="0" w:color="000000" w:frame="1"/>
        </w:rPr>
        <w:t xml:space="preserve">    </w:t>
      </w:r>
      <w:r>
        <w:rPr>
          <w:rFonts w:ascii="Times New Roman" w:hAnsi="Times New Roman"/>
        </w:rPr>
        <w:t>  kombinovaný návrh</w:t>
      </w:r>
    </w:p>
    <w:p w:rsidR="0056647E" w:rsidP="0056647E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dr w:val="single" w:sz="4" w:space="0" w:color="000000" w:frame="1"/>
        </w:rPr>
        <w:t xml:space="preserve">    </w:t>
      </w:r>
      <w:r>
        <w:rPr>
          <w:rFonts w:ascii="Times New Roman" w:hAnsi="Times New Roman"/>
        </w:rPr>
        <w:t xml:space="preserve">  iné </w:t>
      </w:r>
    </w:p>
    <w:p w:rsidR="0056647E" w:rsidP="0056647E">
      <w:pPr>
        <w:pStyle w:val="NormalWeb"/>
        <w:bidi w:val="0"/>
        <w:jc w:val="right"/>
        <w:rPr>
          <w:rFonts w:ascii="Times New Roman" w:hAnsi="Times New Roman"/>
          <w:sz w:val="24"/>
          <w:szCs w:val="24"/>
          <w:lang w:val="sk-SK" w:eastAsia="sk-SK"/>
        </w:rPr>
      </w:pPr>
    </w:p>
    <w:tbl>
      <w:tblPr>
        <w:tblStyle w:val="TableNormal"/>
        <w:tblW w:w="91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55"/>
        <w:gridCol w:w="5040"/>
      </w:tblGrid>
      <w:tr>
        <w:tblPrEx>
          <w:tblW w:w="919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  <w:hideMark/>
          </w:tcPr>
          <w:p w:rsidR="0056647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bCs/>
                <w:color w:val="FFFFFF"/>
              </w:rPr>
              <w:t>Vplyvy na podnikateľské prostredie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664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3.1</w:t>
            </w:r>
            <w:r>
              <w:rPr>
                <w:rFonts w:ascii="Times New Roman" w:hAnsi="Times New Roman"/>
              </w:rPr>
              <w:t>. Ktoré podnikateľské subjekty budú predkladaným návrhom ovplyvnené a aký je ich počet?</w:t>
            </w:r>
          </w:p>
          <w:p w:rsidR="005664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5664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Zdravotné poisťovne (3)</w:t>
            </w:r>
          </w:p>
          <w:p w:rsidR="005664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664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3.2</w:t>
            </w:r>
            <w:r>
              <w:rPr>
                <w:rFonts w:ascii="Times New Roman" w:hAnsi="Times New Roman"/>
              </w:rPr>
              <w:t>. Aký je predpokladaný charakter a rozsah nákladov a prínosov?</w:t>
            </w:r>
          </w:p>
          <w:p w:rsidR="005664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5664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Spravodlivejšie prerozdelenie zdrojov vo verejnom zdravotnom poistení.</w:t>
            </w:r>
          </w:p>
          <w:p w:rsidR="005664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664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3.3</w:t>
            </w:r>
            <w:r>
              <w:rPr>
                <w:rFonts w:ascii="Times New Roman" w:hAnsi="Times New Roman"/>
              </w:rPr>
              <w:t>. Aká je predpokladaná výška administratívnych nákladov, ktoré podniky vynaložia v súvislosti s implementáciou návrhu?</w:t>
            </w:r>
          </w:p>
          <w:p w:rsidR="0056647E">
            <w:pPr>
              <w:bidi w:val="0"/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5664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Akékoľvek administratívne náklady zdravotné poisťovne vykryjú z vlastných zdrojov.</w:t>
            </w:r>
          </w:p>
          <w:p w:rsidR="005664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664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3.4</w:t>
            </w:r>
            <w:r>
              <w:rPr>
                <w:rFonts w:ascii="Times New Roman" w:hAnsi="Times New Roman"/>
              </w:rPr>
              <w:t>. Aké sú dôsledky pripravovaného návrhu pre fungovanie podnikateľských subjektov na slovenskom trhu (ako sa zmenia operácie na trhu?)</w:t>
            </w:r>
          </w:p>
          <w:p w:rsidR="0056647E">
            <w:pPr>
              <w:bidi w:val="0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664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 Zdravotné poisťovne budú v rámci spravodlivejšieho prerozdelenia môcť disponovať s finančnými zdrojmi aj v závislosti od chorobnosti poistného kmeňa, čo zabezpečí tok finančných prostriedkov smerom k nákladovejším (chorejším) poistencom. 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664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3.5</w:t>
            </w:r>
            <w:r>
              <w:rPr>
                <w:rFonts w:ascii="Times New Roman" w:hAnsi="Times New Roman"/>
              </w:rPr>
              <w:t>. Aké sú predpokladané spoločensko – ekonomické dôsledky pripravovaných regulácií?</w:t>
            </w:r>
          </w:p>
          <w:p w:rsidR="005664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664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Prostriedky získané prerozdelením zdravotná poisťovňa použije na úhradu poskytnutej zdravotnej starostlivosti. </w:t>
            </w:r>
          </w:p>
        </w:tc>
      </w:tr>
    </w:tbl>
    <w:p w:rsidR="0056647E" w:rsidP="0056647E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56647E" w:rsidP="0056647E">
      <w:pPr>
        <w:pStyle w:val="NormalWeb"/>
        <w:bidi w:val="0"/>
        <w:jc w:val="center"/>
        <w:rPr>
          <w:rFonts w:ascii="Times New Roman" w:hAnsi="Times New Roman"/>
          <w:b/>
          <w:sz w:val="24"/>
          <w:szCs w:val="24"/>
          <w:lang w:val="sk-SK" w:eastAsia="sk-SK"/>
        </w:rPr>
      </w:pPr>
      <w:r>
        <w:rPr>
          <w:b/>
          <w:lang w:eastAsia="sk-SK"/>
        </w:rPr>
        <w:br w:type="page"/>
      </w:r>
      <w:r>
        <w:rPr>
          <w:rFonts w:ascii="Times New Roman" w:hAnsi="Times New Roman"/>
          <w:b/>
          <w:sz w:val="24"/>
          <w:szCs w:val="24"/>
          <w:lang w:val="sk-SK" w:eastAsia="sk-SK"/>
        </w:rPr>
        <w:t>Vplyvy na informatizáciu spoločnosti</w:t>
      </w:r>
    </w:p>
    <w:p w:rsidR="0056647E" w:rsidP="0056647E">
      <w:pPr>
        <w:pStyle w:val="NormalWeb"/>
        <w:bidi w:val="0"/>
        <w:jc w:val="center"/>
        <w:rPr>
          <w:rFonts w:ascii="Times New Roman" w:hAnsi="Times New Roman"/>
          <w:b/>
          <w:sz w:val="24"/>
          <w:szCs w:val="24"/>
          <w:lang w:val="sk-SK" w:eastAsia="sk-SK"/>
        </w:rPr>
      </w:pPr>
    </w:p>
    <w:tbl>
      <w:tblPr>
        <w:tblStyle w:val="TableNormal"/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5235"/>
        <w:gridCol w:w="3780"/>
      </w:tblGrid>
      <w:tr>
        <w:tblPrEx>
          <w:tblW w:w="9015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  <w:hideMark/>
          </w:tcPr>
          <w:p w:rsidR="0056647E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Budovanie základných pilierov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56647E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  <w:hideMark/>
          </w:tcPr>
          <w:p w:rsidR="0056647E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Obsah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56647E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664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6.1.</w:t>
            </w:r>
            <w:r>
              <w:rPr>
                <w:rFonts w:ascii="Times New Roman" w:hAnsi="Times New Roman"/>
              </w:rPr>
              <w:t xml:space="preserve"> Rozširujú alebo inovujú  sa existujúce alebo vytvárajú sa či zavádzajú  sa nové elektronické služby?</w:t>
            </w:r>
          </w:p>
          <w:p w:rsidR="005664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(Popíšte ich funkciu a úroveň poskytovania.)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6647E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664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6.2.</w:t>
            </w:r>
            <w:r>
              <w:rPr>
                <w:rFonts w:ascii="Times New Roman" w:hAnsi="Times New Roman"/>
              </w:rPr>
              <w:t xml:space="preserve"> Vytvárajú sa podmienky pre sémantickú interoperabilitu?</w:t>
            </w:r>
          </w:p>
          <w:p w:rsidR="005664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(Popíšte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6647E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  <w:hideMark/>
          </w:tcPr>
          <w:p w:rsidR="0056647E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</w:rPr>
              <w:t>Ľudia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56647E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664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6.3.</w:t>
            </w:r>
            <w:r>
              <w:rPr>
                <w:rFonts w:ascii="Times New Roman" w:hAnsi="Times New Roman"/>
              </w:rPr>
              <w:t xml:space="preserve"> Zabezpečuje sa vzdelávanie v oblasti počítačovej gramotnosti a rozširovanie vedomostí o IKT?</w:t>
            </w:r>
          </w:p>
          <w:p w:rsidR="005664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(Uveďte spôsob, napr. projekty, školenia.)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6647E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664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6.4.</w:t>
            </w:r>
            <w:r>
              <w:rPr>
                <w:rFonts w:ascii="Times New Roman" w:hAnsi="Times New Roman"/>
              </w:rPr>
              <w:t xml:space="preserve"> Zabezpečuje sa rozvoj elektronického vzdelávania?</w:t>
            </w:r>
          </w:p>
          <w:p w:rsidR="0056647E">
            <w:pPr>
              <w:bidi w:val="0"/>
              <w:spacing w:after="0" w:line="240" w:lineRule="auto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i/>
                <w:iCs/>
              </w:rPr>
              <w:t>(Uveďte typ a spôsob zabezpečenia vzdelávacích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6647E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664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6.5.</w:t>
            </w:r>
            <w:r>
              <w:rPr>
                <w:rFonts w:ascii="Times New Roman" w:hAnsi="Times New Roman"/>
              </w:rPr>
              <w:t xml:space="preserve"> Zabezpečuje sa podporná a propagačná aktivita zameraná na zvyšovanie povedomia o informatizácii a IKT?</w:t>
            </w:r>
          </w:p>
          <w:p w:rsidR="0056647E">
            <w:pPr>
              <w:bidi w:val="0"/>
              <w:spacing w:after="0" w:line="240" w:lineRule="auto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i/>
                <w:iCs/>
              </w:rPr>
              <w:t>(Uveďte typ a spôsob zabezpečenia propagačných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6647E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664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6.6.</w:t>
            </w:r>
            <w:r>
              <w:rPr>
                <w:rFonts w:ascii="Times New Roman" w:hAnsi="Times New Roman"/>
              </w:rPr>
              <w:t xml:space="preserve"> Zabezpečuje/zohľadňuje/zlepšuje sa prístup znevýhodnených osôb k službám informačnej spoločnosti?</w:t>
            </w:r>
          </w:p>
          <w:p w:rsidR="005664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(Uveďte spôsob sprístupnenia digitálneho prostredia.)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6647E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  <w:hideMark/>
          </w:tcPr>
          <w:p w:rsidR="0056647E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Infraštruktúra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56647E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664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6.7.</w:t>
            </w:r>
            <w:r>
              <w:rPr>
                <w:rFonts w:ascii="Times New Roman" w:hAnsi="Times New Roman"/>
              </w:rPr>
              <w:t xml:space="preserve"> Rozširuje, inovuje, vytvára alebo zavádza sa nový informačný systém?</w:t>
            </w:r>
          </w:p>
          <w:p w:rsidR="005664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(Uveďte jeho funkciu.)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6647E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664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6.8.</w:t>
            </w:r>
            <w:r>
              <w:rPr>
                <w:rFonts w:ascii="Times New Roman" w:hAnsi="Times New Roman"/>
              </w:rPr>
              <w:t xml:space="preserve"> Rozširuje sa prístupnosť k internetu?</w:t>
            </w:r>
          </w:p>
          <w:p w:rsidR="005664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6647E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664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6.9.</w:t>
            </w:r>
            <w:r>
              <w:rPr>
                <w:rFonts w:ascii="Times New Roman" w:hAnsi="Times New Roman"/>
              </w:rPr>
              <w:t xml:space="preserve"> Rozširuje sa prístupnosť k elektronickým službám?</w:t>
            </w:r>
          </w:p>
          <w:p w:rsidR="005664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6647E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664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6.10.</w:t>
            </w:r>
            <w:r>
              <w:rPr>
                <w:rFonts w:ascii="Times New Roman" w:hAnsi="Times New Roman"/>
              </w:rPr>
              <w:t xml:space="preserve"> Zabezpečuje sa technická interoperabilita?</w:t>
            </w:r>
          </w:p>
          <w:p w:rsidR="005664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(Uveďte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6647E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664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6.11.</w:t>
            </w:r>
            <w:r>
              <w:rPr>
                <w:rFonts w:ascii="Times New Roman" w:hAnsi="Times New Roman"/>
              </w:rPr>
              <w:t xml:space="preserve"> Zvyšuje sa bezpečnosť IT?</w:t>
            </w:r>
          </w:p>
          <w:p w:rsidR="005664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  <w:iCs/>
              </w:rPr>
              <w:t>Uveďte spôsob zvýšenia bezpečnosti a ochrany IT.)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6647E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64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6.12.</w:t>
            </w:r>
            <w:r>
              <w:rPr>
                <w:rFonts w:ascii="Times New Roman" w:hAnsi="Times New Roman"/>
              </w:rPr>
              <w:t xml:space="preserve"> Rozširuje sa technická infraštruktúra?</w:t>
            </w:r>
          </w:p>
          <w:p w:rsidR="0056647E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  <w:iCs/>
              </w:rPr>
              <w:t>Uveďte stručný popis zavádzanej infraštruktúry.)</w:t>
            </w:r>
          </w:p>
          <w:p w:rsidR="005664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6647E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  <w:hideMark/>
          </w:tcPr>
          <w:p w:rsidR="0056647E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Riadenie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56647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664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6.13.</w:t>
            </w:r>
            <w:r>
              <w:rPr>
                <w:rFonts w:ascii="Times New Roman" w:hAnsi="Times New Roman"/>
              </w:rPr>
              <w:t xml:space="preserve"> Predpokladajú sa zmeny v riadení procesu informatizácie?</w:t>
            </w:r>
          </w:p>
          <w:p w:rsidR="005664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(Uveďte popis zmien.)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6647E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  <w:hideMark/>
          </w:tcPr>
          <w:p w:rsidR="0056647E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Financovanie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56647E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664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6.14.</w:t>
            </w:r>
            <w:r>
              <w:rPr>
                <w:rFonts w:ascii="Times New Roman" w:hAnsi="Times New Roman"/>
              </w:rPr>
              <w:t xml:space="preserve"> Vyžaduje si proces informatizácie  finančné investície?</w:t>
            </w:r>
          </w:p>
          <w:p w:rsidR="005664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(Popíšte príslušnú úroveň financovania.)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6647E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  <w:hideMark/>
          </w:tcPr>
          <w:p w:rsidR="0056647E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Legislatívne prostredie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56647E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664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6.15.</w:t>
            </w:r>
            <w:r>
              <w:rPr>
                <w:rFonts w:ascii="Times New Roman" w:hAnsi="Times New Roman"/>
              </w:rPr>
              <w:t xml:space="preserve"> Predpokladá nelegislatívny materiál potrebu úpravy legislatívneho prostredia  procesu informatizácie?</w:t>
            </w:r>
          </w:p>
          <w:p w:rsidR="005664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(Stručne popíšte navrhované legislatívne zmeny.)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6647E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Nie</w:t>
            </w:r>
          </w:p>
        </w:tc>
      </w:tr>
    </w:tbl>
    <w:p w:rsidR="0056647E" w:rsidP="0056647E">
      <w:pPr>
        <w:bidi w:val="0"/>
        <w:jc w:val="center"/>
        <w:rPr>
          <w:rFonts w:ascii="Times New Roman" w:hAnsi="Times New Roman"/>
          <w:b/>
          <w:bCs/>
        </w:rPr>
      </w:pPr>
    </w:p>
    <w:p w:rsidR="0056647E" w:rsidP="0056647E">
      <w:pPr>
        <w:bidi w:val="0"/>
        <w:rPr>
          <w:rFonts w:ascii="Times New Roman" w:hAnsi="Times New Roman"/>
          <w:b/>
          <w:bCs/>
        </w:rPr>
      </w:pPr>
    </w:p>
    <w:p w:rsidR="0056647E" w:rsidP="0056647E">
      <w:pPr>
        <w:bidi w:val="0"/>
        <w:rPr>
          <w:rFonts w:ascii="Times New Roman" w:hAnsi="Times New Roman"/>
        </w:rPr>
      </w:pPr>
    </w:p>
    <w:p w:rsidR="0056647E" w:rsidP="0056647E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9A334D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425"/>
  <w:characterSpacingControl w:val="doNotCompress"/>
  <w:compat/>
  <w:rsids>
    <w:rsidRoot w:val="00022A18"/>
    <w:rsid w:val="00022A18"/>
    <w:rsid w:val="0056647E"/>
    <w:rsid w:val="00606C58"/>
    <w:rsid w:val="009A334D"/>
    <w:rsid w:val="00CF35D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7E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webb"/>
    <w:basedOn w:val="Normal"/>
    <w:uiPriority w:val="99"/>
    <w:unhideWhenUsed/>
    <w:qFormat/>
    <w:rsid w:val="0056647E"/>
    <w:pPr>
      <w:jc w:val="left"/>
    </w:pPr>
    <w:rPr>
      <w:rFonts w:ascii="Calibri" w:eastAsia="SimSun" w:hAnsi="Calibri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896</Words>
  <Characters>5113</Characters>
  <Application>Microsoft Office Word</Application>
  <DocSecurity>0</DocSecurity>
  <Lines>0</Lines>
  <Paragraphs>0</Paragraphs>
  <ScaleCrop>false</ScaleCrop>
  <Company>MZ SR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Gašparíková, Jarmila</dc:creator>
  <cp:lastModifiedBy>Gašparíková, Jarmila</cp:lastModifiedBy>
  <cp:revision>2</cp:revision>
  <dcterms:created xsi:type="dcterms:W3CDTF">2012-04-17T14:41:00Z</dcterms:created>
  <dcterms:modified xsi:type="dcterms:W3CDTF">2012-04-17T14:41:00Z</dcterms:modified>
</cp:coreProperties>
</file>