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647E" w:rsidP="0056647E">
      <w:pPr>
        <w:pStyle w:val="NormalWeb"/>
        <w:bidi w:val="0"/>
        <w:ind w:right="-108"/>
        <w:jc w:val="center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Doložka vplyvov</w:t>
      </w:r>
    </w:p>
    <w:p w:rsidR="0056647E" w:rsidP="0056647E">
      <w:pPr>
        <w:pStyle w:val="NormalWeb"/>
        <w:bidi w:val="0"/>
        <w:ind w:right="-108"/>
        <w:jc w:val="center"/>
        <w:rPr>
          <w:rFonts w:ascii="Times New Roman" w:hAnsi="Times New Roman"/>
          <w:sz w:val="24"/>
          <w:szCs w:val="24"/>
          <w:lang w:val="sk-SK" w:eastAsia="sk-SK"/>
        </w:rPr>
      </w:pP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  </w:t>
      </w:r>
    </w:p>
    <w:p w:rsidR="0056647E" w:rsidP="0056647E">
      <w:pPr>
        <w:pStyle w:val="NormalWeb"/>
        <w:bidi w:val="0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A.1. Názov materiálu:</w:t>
      </w:r>
    </w:p>
    <w:p w:rsidR="0056647E" w:rsidP="0056647E">
      <w:pPr>
        <w:pStyle w:val="NormalWeb"/>
        <w:bidi w:val="0"/>
        <w:rPr>
          <w:rFonts w:ascii="Times New Roman" w:hAnsi="Times New Roman"/>
          <w:bCs/>
          <w:sz w:val="24"/>
          <w:szCs w:val="24"/>
          <w:lang w:val="sk-SK" w:eastAsia="sk-SK"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 dopĺňa zákon č. 580/2004 Z. z. o zdravotnom poistení a o zmene a doplnení zákona č. 95/2002 Z. z. o poisťovníctve a o zmene a doplnení niektorých zákonov v znení neskorších predpisov a o zmene a doplnení zákona č. 581/2004 Z.z. o zdravotných poisťovniach, dohľade nad zdravotnou starostlivosťou a o zmene a doplnení niektorých zákonov v znení neskorších predpisov</w:t>
      </w: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  <w:lang w:val="sk-SK" w:eastAsia="sk-SK"/>
        </w:rPr>
      </w:pP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        Termín začatia a ukončenia PPK:</w:t>
      </w:r>
      <w:r>
        <w:rPr>
          <w:rFonts w:ascii="Times New Roman" w:hAnsi="Times New Roman"/>
          <w:sz w:val="24"/>
          <w:szCs w:val="24"/>
          <w:lang w:val="sk-SK" w:eastAsia="sk-SK"/>
        </w:rPr>
        <w:t xml:space="preserve">  -</w:t>
      </w: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  <w:lang w:val="sk-SK" w:eastAsia="sk-SK"/>
        </w:rPr>
      </w:pP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A.2. Vplyvy:</w:t>
      </w:r>
    </w:p>
    <w:tbl>
      <w:tblPr>
        <w:tblStyle w:val="TableNormal"/>
        <w:tblW w:w="9108" w:type="dxa"/>
        <w:tblCellMar>
          <w:left w:w="0" w:type="dxa"/>
          <w:right w:w="0" w:type="dxa"/>
        </w:tblCellMar>
        <w:tblLook w:val="04A0"/>
      </w:tblPr>
      <w:tblGrid>
        <w:gridCol w:w="4788"/>
        <w:gridCol w:w="1440"/>
        <w:gridCol w:w="1080"/>
        <w:gridCol w:w="1800"/>
      </w:tblGrid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Pozitívne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k-SK" w:eastAsia="sk-SK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Žiadne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k-SK" w:eastAsia="sk-SK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Negatívne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k-SK" w:eastAsia="sk-SK"/>
              </w:rPr>
              <w:t>*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1. Vplyvy na rozpočet verejnej správy</w:t>
            </w:r>
          </w:p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2. 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X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3. Sociálne vplyvy </w:t>
            </w:r>
          </w:p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– vplyvy  na hospodárenie obyvateľstva,</w:t>
            </w:r>
          </w:p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-sociálnu exklúziu,</w:t>
            </w:r>
          </w:p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 </w:t>
            </w:r>
          </w:p>
        </w:tc>
      </w:tr>
    </w:tbl>
    <w:p w:rsidR="0056647E" w:rsidP="0056647E">
      <w:pPr>
        <w:pStyle w:val="NormalWeb"/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  <w:lang w:val="sk-SK" w:eastAsia="sk-SK"/>
        </w:rPr>
        <w:t>  </w:t>
      </w:r>
    </w:p>
    <w:p w:rsidR="0056647E" w:rsidP="0056647E">
      <w:pPr>
        <w:pStyle w:val="NormalWeb"/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A.3. Poznámky</w:t>
      </w:r>
    </w:p>
    <w:p w:rsidR="0056647E" w:rsidP="0056647E">
      <w:pPr>
        <w:pStyle w:val="NormalWeb"/>
        <w:bidi w:val="0"/>
        <w:jc w:val="center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b/>
          <w:bCs/>
          <w:lang w:eastAsia="sk-SK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val="sk-SK" w:eastAsia="sk-SK"/>
        </w:rPr>
        <w:t>Vplyvy na rozpočet verejnej správy,</w:t>
      </w:r>
    </w:p>
    <w:p w:rsidR="0056647E" w:rsidP="005664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 zamestnanosť vo verejnej správe a financovanie návrhu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2.1. Zhrnutie vplyvov na rozpočet verejnej správy v návrhu</w:t>
      </w:r>
    </w:p>
    <w:p w:rsidR="0056647E" w:rsidP="0056647E">
      <w:pPr>
        <w:bidi w:val="0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Návrh nemá vplyv na rozpočet verejnej správy.</w:t>
      </w:r>
    </w:p>
    <w:p w:rsidR="0056647E" w:rsidP="0056647E">
      <w:pPr>
        <w:bidi w:val="0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  <w:b/>
          <w:bCs/>
        </w:rPr>
      </w:pPr>
      <w:bookmarkStart w:id="0" w:name="OLE_LINK1"/>
      <w:bookmarkEnd w:id="0"/>
      <w:r>
        <w:rPr>
          <w:rFonts w:ascii="Times New Roman" w:hAnsi="Times New Roman"/>
          <w:b/>
          <w:bCs/>
        </w:rPr>
        <w:t>2.2. Financovanie návrhu</w:t>
      </w: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Návrh nezakladá požiadavky na rozpočet verejnej správy </w:t>
      </w:r>
    </w:p>
    <w:p w:rsidR="0056647E" w:rsidP="0056647E">
      <w:pPr>
        <w:bidi w:val="0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56647E" w:rsidP="005664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predpokladá zvýšenie niektorých výdavkov v rámci verejnej správy (Úrad pre dohľad nad zdravotnou starostlivosťou), ktoré by však mali byť kryté vlastnými zdrojmi dotknutých subjektov v rámci verejnej správy.</w:t>
      </w:r>
    </w:p>
    <w:p w:rsidR="0056647E" w:rsidP="0056647E">
      <w:pPr>
        <w:bidi w:val="0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 Popis a charakteristika návrhu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2.3.1. Popis návrhu: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precizuje </w:t>
      </w:r>
      <w:r>
        <w:rPr>
          <w:rFonts w:ascii="Times New Roman" w:hAnsi="Times New Roman"/>
          <w:bCs/>
        </w:rPr>
        <w:t>mechanizmus vyrovnávania rizikovej štruktúry</w:t>
      </w:r>
      <w:r>
        <w:rPr>
          <w:rFonts w:ascii="Times New Roman" w:hAnsi="Times New Roman"/>
        </w:rPr>
        <w:t xml:space="preserve"> a znamená, že po prerozdelení v rámci mesačného aj ročného prerozdelenia poistného na zdravotné poistenie každá z poisťovní </w:t>
      </w:r>
      <w:r>
        <w:rPr>
          <w:rFonts w:ascii="Times New Roman" w:hAnsi="Times New Roman"/>
          <w:bCs/>
        </w:rPr>
        <w:t xml:space="preserve">dostane rovnakú platbu na poistenca v rovnakej rizikovej skupine. </w:t>
      </w: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Finančný dopad zavedenia nového parametra do prerozdeľovacieho mechanizmu bol počítaný na vzorke 30% poistencov z každej zdravotnej poisťovne z nákladov na zdravotnú starostlivosť  za rok 2010.</w:t>
      </w: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pStyle w:val="NormalWeb"/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Dopady roč</w:t>
      </w:r>
      <w:r>
        <w:rPr>
          <w:rFonts w:ascii="Times New Roman" w:hAnsi="Times New Roman" w:hint="default"/>
          <w:sz w:val="24"/>
          <w:szCs w:val="24"/>
          <w:lang w:val="sk-SK"/>
        </w:rPr>
        <w:t>né</w:t>
      </w:r>
      <w:r>
        <w:rPr>
          <w:rFonts w:ascii="Times New Roman" w:hAnsi="Times New Roman" w:hint="default"/>
          <w:sz w:val="24"/>
          <w:szCs w:val="24"/>
          <w:lang w:val="sk-SK"/>
        </w:rPr>
        <w:t>ho prerozdelenia boli hodnotené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porovnaní</w:t>
      </w:r>
      <w:r>
        <w:rPr>
          <w:rFonts w:ascii="Times New Roman" w:hAnsi="Times New Roman" w:hint="default"/>
          <w:sz w:val="24"/>
          <w:szCs w:val="24"/>
          <w:lang w:val="sk-SK"/>
        </w:rPr>
        <w:t>m predpisu roč</w:t>
      </w:r>
      <w:r>
        <w:rPr>
          <w:rFonts w:ascii="Times New Roman" w:hAnsi="Times New Roman" w:hint="default"/>
          <w:sz w:val="24"/>
          <w:szCs w:val="24"/>
          <w:lang w:val="sk-SK"/>
        </w:rPr>
        <w:t>né</w:t>
      </w:r>
      <w:r>
        <w:rPr>
          <w:rFonts w:ascii="Times New Roman" w:hAnsi="Times New Roman" w:hint="default"/>
          <w:sz w:val="24"/>
          <w:szCs w:val="24"/>
          <w:lang w:val="sk-SK"/>
        </w:rPr>
        <w:t>ho poistné</w:t>
      </w:r>
      <w:r>
        <w:rPr>
          <w:rFonts w:ascii="Times New Roman" w:hAnsi="Times New Roman" w:hint="default"/>
          <w:sz w:val="24"/>
          <w:szCs w:val="24"/>
          <w:lang w:val="sk-SK"/>
        </w:rPr>
        <w:t>ho (povinné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poistné</w:t>
      </w:r>
      <w:r>
        <w:rPr>
          <w:rFonts w:ascii="Times New Roman" w:hAnsi="Times New Roman" w:hint="default"/>
          <w:sz w:val="24"/>
          <w:szCs w:val="24"/>
          <w:lang w:val="sk-SK"/>
        </w:rPr>
        <w:t>) po prerozdelení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pri pô</w:t>
      </w:r>
      <w:r>
        <w:rPr>
          <w:rFonts w:ascii="Times New Roman" w:hAnsi="Times New Roman" w:hint="default"/>
          <w:sz w:val="24"/>
          <w:szCs w:val="24"/>
          <w:lang w:val="sk-SK"/>
        </w:rPr>
        <w:t>vodnom a </w:t>
      </w:r>
      <w:r>
        <w:rPr>
          <w:rFonts w:ascii="Times New Roman" w:hAnsi="Times New Roman" w:hint="default"/>
          <w:sz w:val="24"/>
          <w:szCs w:val="24"/>
          <w:lang w:val="sk-SK"/>
        </w:rPr>
        <w:t>pri novom modeli prerozdelenia. Predpokladaný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dopad zavedenia farmaceutic</w:t>
      </w:r>
      <w:r>
        <w:rPr>
          <w:rFonts w:ascii="Times New Roman" w:hAnsi="Times New Roman" w:hint="default"/>
          <w:sz w:val="24"/>
          <w:szCs w:val="24"/>
          <w:lang w:val="sk-SK"/>
        </w:rPr>
        <w:t>ko-ná</w:t>
      </w:r>
      <w:r>
        <w:rPr>
          <w:rFonts w:ascii="Times New Roman" w:hAnsi="Times New Roman" w:hint="default"/>
          <w:sz w:val="24"/>
          <w:szCs w:val="24"/>
          <w:lang w:val="sk-SK"/>
        </w:rPr>
        <w:t>kladový</w:t>
      </w:r>
      <w:r>
        <w:rPr>
          <w:rFonts w:ascii="Times New Roman" w:hAnsi="Times New Roman" w:hint="default"/>
          <w:sz w:val="24"/>
          <w:szCs w:val="24"/>
          <w:lang w:val="sk-SK"/>
        </w:rPr>
        <w:t>ch skupí</w:t>
      </w:r>
      <w:r>
        <w:rPr>
          <w:rFonts w:ascii="Times New Roman" w:hAnsi="Times New Roman" w:hint="default"/>
          <w:sz w:val="24"/>
          <w:szCs w:val="24"/>
          <w:lang w:val="sk-SK"/>
        </w:rPr>
        <w:t>n  do prerozdelenia je uvedený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val="sk-SK"/>
        </w:rPr>
        <w:t>nasledujú</w:t>
      </w:r>
      <w:r>
        <w:rPr>
          <w:rFonts w:ascii="Times New Roman" w:hAnsi="Times New Roman" w:hint="default"/>
          <w:sz w:val="24"/>
          <w:szCs w:val="24"/>
          <w:lang w:val="sk-SK"/>
        </w:rPr>
        <w:t>cej tabuľ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ke. </w:t>
      </w:r>
    </w:p>
    <w:p w:rsidR="0056647E" w:rsidP="0056647E">
      <w:pPr>
        <w:pStyle w:val="NormalWeb"/>
        <w:bidi w:val="0"/>
        <w:rPr>
          <w:rFonts w:ascii="Times New Roman" w:hAnsi="Times New Roman"/>
          <w:sz w:val="24"/>
          <w:szCs w:val="24"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Dopad zavedenia nového prediktora do prerozdelenia:</w:t>
      </w:r>
    </w:p>
    <w:tbl>
      <w:tblPr>
        <w:tblStyle w:val="TableNormal"/>
        <w:tblW w:w="9270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6A0"/>
      </w:tblPr>
      <w:tblGrid>
        <w:gridCol w:w="3079"/>
        <w:gridCol w:w="1547"/>
        <w:gridCol w:w="1548"/>
        <w:gridCol w:w="1548"/>
        <w:gridCol w:w="1548"/>
      </w:tblGrid>
      <w:tr>
        <w:tblPrEx>
          <w:tblW w:w="9270" w:type="dxa"/>
          <w:jc w:val="center"/>
          <w:tblBorders>
            <w:top w:val="single" w:sz="8" w:space="0" w:color="4F81BD"/>
            <w:bottom w:val="single" w:sz="8" w:space="0" w:color="4F81BD"/>
          </w:tblBorders>
          <w:tblLayout w:type="fixed"/>
          <w:tblLook w:val="06A0"/>
        </w:tblPrEx>
        <w:trPr>
          <w:trHeight w:val="300"/>
          <w:tblHeader/>
          <w:jc w:val="center"/>
        </w:trPr>
        <w:tc>
          <w:tcPr>
            <w:tcW w:w="30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1F497D"/>
            <w:noWrap/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 w:hint="default"/>
                <w:b/>
                <w:bCs/>
                <w:color w:val="FFFFFF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hint="default"/>
                <w:b/>
                <w:bCs/>
                <w:color w:val="FFFFFF"/>
                <w:sz w:val="22"/>
                <w:szCs w:val="22"/>
                <w:lang w:val="sk-SK" w:eastAsia="sk-SK"/>
              </w:rPr>
              <w:t>Poistné</w:t>
            </w:r>
            <w:r>
              <w:rPr>
                <w:rFonts w:ascii="Times New Roman" w:hAnsi="Times New Roman" w:hint="default"/>
                <w:b/>
                <w:bCs/>
                <w:color w:val="FFFFFF"/>
                <w:sz w:val="22"/>
                <w:szCs w:val="22"/>
                <w:lang w:val="sk-SK" w:eastAsia="sk-SK"/>
              </w:rPr>
              <w:t xml:space="preserve"> po prerozdelení</w:t>
            </w:r>
          </w:p>
        </w:tc>
        <w:tc>
          <w:tcPr>
            <w:tcW w:w="154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1F497D"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  <w:t>24 (Dôvera)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1F497D"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  <w:t>25 (VšZP)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1F497D"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en-US"/>
              </w:rPr>
              <w:t>27 (Union)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1F497D"/>
            <w:noWrap/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sk-SK" w:eastAsia="sk-SK"/>
              </w:rPr>
              <w:t>SPOLU</w:t>
            </w:r>
          </w:p>
        </w:tc>
      </w:tr>
      <w:tr>
        <w:tblPrEx>
          <w:tblW w:w="9270" w:type="dxa"/>
          <w:jc w:val="center"/>
          <w:tblLayout w:type="fixed"/>
          <w:tblLook w:val="06A0"/>
        </w:tblPrEx>
        <w:trPr>
          <w:trHeight w:val="315"/>
          <w:jc w:val="center"/>
        </w:trPr>
        <w:tc>
          <w:tcPr>
            <w:tcW w:w="3078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 w:hint="default"/>
                <w:b/>
                <w:bCs/>
                <w:color w:val="365F91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hint="default"/>
                <w:b/>
                <w:bCs/>
                <w:color w:val="365F91"/>
                <w:sz w:val="22"/>
                <w:szCs w:val="22"/>
                <w:lang w:val="sk-SK" w:eastAsia="sk-SK"/>
              </w:rPr>
              <w:t xml:space="preserve">        pri pô</w:t>
            </w:r>
            <w:r>
              <w:rPr>
                <w:rFonts w:ascii="Times New Roman" w:hAnsi="Times New Roman" w:hint="default"/>
                <w:b/>
                <w:bCs/>
                <w:color w:val="365F91"/>
                <w:sz w:val="22"/>
                <w:szCs w:val="22"/>
                <w:lang w:val="sk-SK" w:eastAsia="sk-SK"/>
              </w:rPr>
              <w:t>vodnom modeli</w:t>
            </w:r>
          </w:p>
        </w:tc>
        <w:tc>
          <w:tcPr>
            <w:tcW w:w="1546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858 758 642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2 481 323 462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192 854 314</w:t>
            </w:r>
          </w:p>
        </w:tc>
        <w:tc>
          <w:tcPr>
            <w:tcW w:w="1547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3 532 936 418</w:t>
            </w:r>
          </w:p>
        </w:tc>
      </w:tr>
      <w:tr>
        <w:tblPrEx>
          <w:tblW w:w="9270" w:type="dxa"/>
          <w:jc w:val="center"/>
          <w:tblLayout w:type="fixed"/>
          <w:tblLook w:val="06A0"/>
        </w:tblPrEx>
        <w:trPr>
          <w:trHeight w:val="315"/>
          <w:jc w:val="center"/>
        </w:trPr>
        <w:tc>
          <w:tcPr>
            <w:tcW w:w="30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365F91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color w:val="365F91"/>
                <w:sz w:val="22"/>
                <w:szCs w:val="22"/>
                <w:lang w:val="sk-SK" w:eastAsia="sk-SK"/>
              </w:rPr>
              <w:t xml:space="preserve">        pri novom modeli</w:t>
            </w:r>
          </w:p>
        </w:tc>
        <w:tc>
          <w:tcPr>
            <w:tcW w:w="154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837 659 476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2 511 146 392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366092"/>
                <w:sz w:val="22"/>
                <w:szCs w:val="22"/>
                <w:lang w:val="en-US"/>
              </w:rPr>
              <w:t>184 130 550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3 532 936 418</w:t>
            </w:r>
          </w:p>
        </w:tc>
      </w:tr>
      <w:tr>
        <w:tblPrEx>
          <w:tblW w:w="9270" w:type="dxa"/>
          <w:jc w:val="center"/>
          <w:tblLayout w:type="fixed"/>
          <w:tblLook w:val="06A0"/>
        </w:tblPrEx>
        <w:trPr>
          <w:trHeight w:val="315"/>
          <w:jc w:val="center"/>
        </w:trPr>
        <w:tc>
          <w:tcPr>
            <w:tcW w:w="30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pStyle w:val="NormalWeb"/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365F91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k-SK"/>
              </w:rPr>
              <w:t>Dopad zavedenia nového modelu</w:t>
            </w:r>
          </w:p>
        </w:tc>
        <w:tc>
          <w:tcPr>
            <w:tcW w:w="154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-21 099 166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29 822 930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-8 723 765</w:t>
            </w:r>
          </w:p>
        </w:tc>
        <w:tc>
          <w:tcPr>
            <w:tcW w:w="15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2.3.2. Charakteristika návrhu podľa bodu  2.3.2. Metodiky:</w:t>
      </w:r>
      <w:r>
        <w:rPr>
          <w:rFonts w:ascii="Times New Roman" w:hAnsi="Times New Roman"/>
        </w:rPr>
        <w:t> 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single" w:sz="4" w:space="0" w:color="000000" w:frame="1"/>
        </w:rPr>
        <w:t xml:space="preserve">    </w:t>
      </w:r>
      <w:r>
        <w:rPr>
          <w:rFonts w:ascii="Times New Roman" w:hAnsi="Times New Roman"/>
        </w:rPr>
        <w:t>zmena sadzby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 </w:t>
      </w:r>
      <w:r>
        <w:rPr>
          <w:rFonts w:ascii="Times New Roman" w:hAnsi="Times New Roman"/>
        </w:rPr>
        <w:t>  zmena v nároku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   </w:t>
      </w:r>
      <w:r>
        <w:rPr>
          <w:rFonts w:ascii="Times New Roman" w:hAnsi="Times New Roman"/>
        </w:rPr>
        <w:t>  nová služba alebo nariadenie (alebo ich zrušenie)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    </w:t>
      </w:r>
      <w:r>
        <w:rPr>
          <w:rFonts w:ascii="Times New Roman" w:hAnsi="Times New Roman"/>
        </w:rPr>
        <w:t>  kombinovaný návrh</w:t>
      </w: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 </w:t>
      </w:r>
      <w:r>
        <w:rPr>
          <w:rFonts w:ascii="Times New Roman" w:hAnsi="Times New Roman"/>
        </w:rPr>
        <w:t xml:space="preserve">  iné </w:t>
      </w:r>
    </w:p>
    <w:p w:rsidR="0056647E" w:rsidP="0056647E">
      <w:pPr>
        <w:pStyle w:val="NormalWeb"/>
        <w:bidi w:val="0"/>
        <w:jc w:val="right"/>
        <w:rPr>
          <w:rFonts w:ascii="Times New Roman" w:hAnsi="Times New Roman"/>
          <w:sz w:val="24"/>
          <w:szCs w:val="24"/>
          <w:lang w:val="sk-SK" w:eastAsia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Zdravotné poisťovne (3)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Spravodlivejšie prerozdelenie zdrojov vo verejnom zdravotnom poistení.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56647E">
            <w:pPr>
              <w:bidi w:val="0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Akékoľvek administratívne náklady zdravotné poisťovne vykryjú z vlastných zdrojov.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56647E">
            <w:pPr>
              <w:bidi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Zdravotné poisťovne budú v rámci spravodlivejšieho prerozdelenia môcť disponovať s finančnými zdrojmi aj v závislosti od chorobnosti poistného kmeňa, čo zabezpečí tok finančných prostriedkov smerom k nákladovejším (chorejším) poistencom.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Prostriedky získané prerozdelením zdravotná poisťovňa použije na úhradu poskytnutej zdravotnej starostlivosti. </w:t>
            </w:r>
          </w:p>
        </w:tc>
      </w:tr>
    </w:tbl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56647E" w:rsidP="0056647E">
      <w:pPr>
        <w:pStyle w:val="NormalWeb"/>
        <w:bidi w:val="0"/>
        <w:jc w:val="center"/>
        <w:rPr>
          <w:rFonts w:ascii="Times New Roman" w:hAnsi="Times New Roman"/>
          <w:b/>
          <w:sz w:val="24"/>
          <w:szCs w:val="24"/>
          <w:lang w:val="sk-SK" w:eastAsia="sk-SK"/>
        </w:rPr>
      </w:pPr>
      <w:r>
        <w:rPr>
          <w:b/>
          <w:lang w:eastAsia="sk-SK"/>
        </w:rPr>
        <w:br w:type="page"/>
      </w:r>
      <w:r>
        <w:rPr>
          <w:rFonts w:ascii="Times New Roman" w:hAnsi="Times New Roman"/>
          <w:b/>
          <w:sz w:val="24"/>
          <w:szCs w:val="24"/>
          <w:lang w:val="sk-SK" w:eastAsia="sk-SK"/>
        </w:rPr>
        <w:t>Vplyvy na informatizáciu spoločnosti</w:t>
      </w:r>
    </w:p>
    <w:p w:rsidR="0056647E" w:rsidP="0056647E">
      <w:pPr>
        <w:pStyle w:val="NormalWeb"/>
        <w:bidi w:val="0"/>
        <w:jc w:val="center"/>
        <w:rPr>
          <w:rFonts w:ascii="Times New Roman" w:hAnsi="Times New Roman"/>
          <w:b/>
          <w:sz w:val="24"/>
          <w:szCs w:val="24"/>
          <w:lang w:val="sk-SK" w:eastAsia="sk-SK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6.1.</w:t>
            </w:r>
            <w:r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6.2.</w:t>
            </w:r>
            <w:r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6.3.</w:t>
            </w:r>
            <w:r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6.4.</w:t>
            </w:r>
            <w:r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6.5.</w:t>
            </w:r>
            <w:r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6.6.</w:t>
            </w:r>
            <w:r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6.7.</w:t>
            </w:r>
            <w:r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6.8.</w:t>
            </w:r>
            <w:r>
              <w:rPr>
                <w:rFonts w:ascii="Times New Roman" w:hAnsi="Times New Roman"/>
              </w:rPr>
              <w:t xml:space="preserve"> Rozširuje sa prístupnosť k internetu?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6.9.</w:t>
            </w:r>
            <w:r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6.10.</w:t>
            </w:r>
            <w:r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6.11.</w:t>
            </w:r>
            <w:r>
              <w:rPr>
                <w:rFonts w:ascii="Times New Roman" w:hAnsi="Times New Roman"/>
              </w:rPr>
              <w:t xml:space="preserve"> Zvyšuje sa bezpečnosť IT?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6.12.</w:t>
            </w:r>
            <w:r>
              <w:rPr>
                <w:rFonts w:ascii="Times New Roman" w:hAnsi="Times New Roman"/>
              </w:rPr>
              <w:t xml:space="preserve"> Rozširuje sa technická infraštruktúra?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6.13.</w:t>
            </w:r>
            <w:r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6.14.</w:t>
            </w:r>
            <w:r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6.15.</w:t>
            </w:r>
            <w:r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5664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6647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Nie</w:t>
            </w:r>
          </w:p>
        </w:tc>
      </w:tr>
    </w:tbl>
    <w:p w:rsidR="0056647E" w:rsidP="0056647E">
      <w:pPr>
        <w:bidi w:val="0"/>
        <w:jc w:val="center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  <w:b/>
          <w:bCs/>
        </w:rPr>
      </w:pPr>
    </w:p>
    <w:p w:rsidR="0056647E" w:rsidP="0056647E">
      <w:pPr>
        <w:bidi w:val="0"/>
        <w:rPr>
          <w:rFonts w:ascii="Times New Roman" w:hAnsi="Times New Roman"/>
        </w:rPr>
      </w:pPr>
    </w:p>
    <w:p w:rsidR="0056647E" w:rsidP="0056647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9A334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022A18"/>
    <w:rsid w:val="00022A18"/>
    <w:rsid w:val="0056647E"/>
    <w:rsid w:val="00606C58"/>
    <w:rsid w:val="009A334D"/>
    <w:rsid w:val="00CF35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7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unhideWhenUsed/>
    <w:qFormat/>
    <w:rsid w:val="0056647E"/>
    <w:pPr>
      <w:jc w:val="left"/>
    </w:pPr>
    <w:rPr>
      <w:rFonts w:ascii="Calibri" w:eastAsia="SimSun" w:hAnsi="Calibr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896</Words>
  <Characters>5113</Characters>
  <Application>Microsoft Office Word</Application>
  <DocSecurity>0</DocSecurity>
  <Lines>0</Lines>
  <Paragraphs>0</Paragraphs>
  <ScaleCrop>false</ScaleCrop>
  <Company>MZ SR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2012-04-17T14:41:00Z</dcterms:created>
  <dcterms:modified xsi:type="dcterms:W3CDTF">2012-04-17T14:41:00Z</dcterms:modified>
</cp:coreProperties>
</file>