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D5A05" w:rsidRPr="00736F48" w:rsidP="002D5A05">
      <w:pPr>
        <w:bidi w:val="0"/>
        <w:jc w:val="center"/>
        <w:rPr>
          <w:rFonts w:ascii="Times New Roman" w:hAnsi="Times New Roman" w:cs="Times New Roman"/>
          <w:b/>
          <w:color w:val="231F20"/>
        </w:rPr>
      </w:pPr>
      <w:r w:rsidRPr="00736F48">
        <w:rPr>
          <w:rFonts w:ascii="Times New Roman" w:hAnsi="Times New Roman" w:cs="Times New Roman"/>
          <w:b/>
          <w:color w:val="231F20"/>
        </w:rPr>
        <w:t>Osobitná časť</w:t>
      </w:r>
    </w:p>
    <w:p w:rsidR="002D5A05" w:rsidRPr="00736F48" w:rsidP="002D5A05">
      <w:pPr>
        <w:bidi w:val="0"/>
        <w:jc w:val="both"/>
        <w:rPr>
          <w:rFonts w:ascii="Times New Roman" w:hAnsi="Times New Roman" w:cs="Times New Roman"/>
          <w:b/>
          <w:color w:val="231F20"/>
        </w:rPr>
      </w:pPr>
    </w:p>
    <w:p w:rsidR="002D5A05" w:rsidRPr="00736F48" w:rsidP="002D5A05">
      <w:pPr>
        <w:bidi w:val="0"/>
        <w:ind w:left="1276" w:hanging="1275"/>
        <w:jc w:val="both"/>
        <w:rPr>
          <w:rFonts w:ascii="Times New Roman" w:hAnsi="Times New Roman" w:cs="Times New Roman"/>
          <w:b/>
          <w:color w:val="231F20"/>
          <w:u w:val="single"/>
        </w:rPr>
      </w:pPr>
      <w:r w:rsidRPr="00736F48">
        <w:rPr>
          <w:rFonts w:ascii="Times New Roman" w:hAnsi="Times New Roman" w:cs="Times New Roman"/>
          <w:b/>
          <w:color w:val="231F20"/>
          <w:u w:val="single"/>
        </w:rPr>
        <w:t>Čl. I</w:t>
      </w:r>
    </w:p>
    <w:p w:rsidR="002D5A05" w:rsidP="002D5A05">
      <w:pPr>
        <w:bidi w:val="0"/>
        <w:ind w:left="1276" w:hanging="1276"/>
        <w:jc w:val="both"/>
        <w:rPr>
          <w:rFonts w:ascii="Times New Roman" w:hAnsi="Times New Roman" w:cs="Times New Roman"/>
          <w:b/>
          <w:color w:val="231F20"/>
        </w:rPr>
      </w:pPr>
    </w:p>
    <w:p w:rsidR="002D5A05" w:rsidP="002D5A05">
      <w:pPr>
        <w:bidi w:val="0"/>
        <w:ind w:left="1276" w:hanging="1276"/>
        <w:jc w:val="both"/>
        <w:rPr>
          <w:rFonts w:ascii="Times New Roman" w:hAnsi="Times New Roman" w:cs="Times New Roman"/>
          <w:b/>
          <w:color w:val="231F20"/>
        </w:rPr>
      </w:pPr>
      <w:r w:rsidRPr="00736F48">
        <w:rPr>
          <w:rFonts w:ascii="Times New Roman" w:hAnsi="Times New Roman" w:cs="Times New Roman"/>
          <w:b/>
          <w:color w:val="231F20"/>
        </w:rPr>
        <w:t>K bodu 1</w:t>
      </w:r>
      <w:r>
        <w:rPr>
          <w:rFonts w:ascii="Times New Roman" w:hAnsi="Times New Roman" w:cs="Times New Roman"/>
          <w:b/>
          <w:color w:val="231F20"/>
        </w:rPr>
        <w:t xml:space="preserve"> a 2</w:t>
      </w:r>
      <w:r w:rsidRPr="00736F48">
        <w:rPr>
          <w:rFonts w:ascii="Times New Roman" w:hAnsi="Times New Roman" w:cs="Times New Roman"/>
          <w:b/>
          <w:color w:val="231F20"/>
        </w:rPr>
        <w:t xml:space="preserve"> </w:t>
      </w:r>
    </w:p>
    <w:p w:rsidR="002D5A05" w:rsidRPr="004969EF" w:rsidP="002D5A05">
      <w:pPr>
        <w:bidi w:val="0"/>
        <w:jc w:val="both"/>
        <w:rPr>
          <w:rFonts w:ascii="Times New Roman" w:hAnsi="Times New Roman"/>
        </w:rPr>
      </w:pPr>
      <w:r w:rsidRPr="004969EF">
        <w:rPr>
          <w:rFonts w:ascii="Times New Roman" w:hAnsi="Times New Roman" w:cs="Times New Roman"/>
          <w:color w:val="231F20"/>
        </w:rPr>
        <w:t xml:space="preserve">Ide o </w:t>
      </w:r>
      <w:r w:rsidRPr="004969EF">
        <w:rPr>
          <w:rFonts w:ascii="Times New Roman" w:hAnsi="Times New Roman"/>
        </w:rPr>
        <w:t xml:space="preserve"> zosúladenie  </w:t>
      </w:r>
      <w:r>
        <w:rPr>
          <w:rFonts w:ascii="Times New Roman" w:hAnsi="Times New Roman"/>
        </w:rPr>
        <w:t>oznamovacích povinností zdravotnej poisťovne v súvislosti s novou právnou úpravou.</w:t>
      </w:r>
    </w:p>
    <w:p w:rsidR="002D5A05" w:rsidP="002D5A05">
      <w:pPr>
        <w:bidi w:val="0"/>
        <w:ind w:left="1276" w:hanging="1276"/>
        <w:jc w:val="both"/>
        <w:rPr>
          <w:rFonts w:ascii="Times New Roman" w:hAnsi="Times New Roman"/>
        </w:rPr>
      </w:pPr>
    </w:p>
    <w:p w:rsidR="002D5A05" w:rsidP="002D5A05">
      <w:pPr>
        <w:bidi w:val="0"/>
        <w:ind w:left="1276" w:hanging="1276"/>
        <w:jc w:val="both"/>
        <w:rPr>
          <w:rFonts w:ascii="Times New Roman" w:hAnsi="Times New Roman" w:cs="Times New Roman"/>
          <w:b/>
          <w:color w:val="231F20"/>
        </w:rPr>
      </w:pPr>
      <w:r>
        <w:rPr>
          <w:rFonts w:ascii="Times New Roman" w:hAnsi="Times New Roman" w:cs="Times New Roman"/>
          <w:b/>
          <w:color w:val="231F20"/>
        </w:rPr>
        <w:t>K bodom 3 až 12</w:t>
      </w:r>
      <w:r w:rsidRPr="00736F48">
        <w:rPr>
          <w:rFonts w:ascii="Times New Roman" w:hAnsi="Times New Roman" w:cs="Times New Roman"/>
          <w:b/>
          <w:color w:val="231F20"/>
        </w:rPr>
        <w:t xml:space="preserve"> </w:t>
      </w:r>
    </w:p>
    <w:p w:rsidR="002D5A05" w:rsidP="002D5A05">
      <w:pPr>
        <w:bidi w:val="0"/>
        <w:jc w:val="both"/>
        <w:rPr>
          <w:rFonts w:ascii="Times New Roman" w:hAnsi="Times New Roman"/>
        </w:rPr>
      </w:pPr>
      <w:r w:rsidRPr="00485A7E">
        <w:rPr>
          <w:rFonts w:ascii="Times New Roman" w:hAnsi="Times New Roman" w:cs="Times New Roman"/>
          <w:color w:val="231F20"/>
        </w:rPr>
        <w:t xml:space="preserve">Mení a dopĺňa sa celá tretia časť zákona. </w:t>
      </w:r>
      <w:r>
        <w:rPr>
          <w:rFonts w:ascii="Times New Roman" w:hAnsi="Times New Roman"/>
        </w:rPr>
        <w:t>Do prerozdeľovacieho mechanizmu sa zavádza nový prediktor chorobnosti, a to farmaceuticko-nákladové skupiny. V súvislosti s tým sa upravujú nové povinnosti zdravotných poisťovní v súvislosti s mesačným a ročným prerozdeľovaním poistného a novým spôsobom výpočtu indexov rizika nákladov.</w:t>
      </w:r>
    </w:p>
    <w:p w:rsidR="002D5A05" w:rsidP="002D5A05">
      <w:pPr>
        <w:bidi w:val="0"/>
        <w:jc w:val="both"/>
        <w:rPr>
          <w:rFonts w:ascii="Times New Roman" w:hAnsi="Times New Roman" w:cs="Times New Roman"/>
          <w:color w:val="231F20"/>
        </w:rPr>
      </w:pPr>
    </w:p>
    <w:p w:rsidR="002D5A05" w:rsidP="002D5A05">
      <w:pPr>
        <w:bidi w:val="0"/>
        <w:jc w:val="both"/>
        <w:rPr>
          <w:rFonts w:ascii="Times New Roman" w:hAnsi="Times New Roman" w:cs="Times New Roman"/>
          <w:color w:val="231F20"/>
        </w:rPr>
      </w:pPr>
      <w:r>
        <w:rPr>
          <w:rFonts w:ascii="Times New Roman" w:hAnsi="Times New Roman" w:cs="Times New Roman"/>
          <w:color w:val="231F20"/>
        </w:rPr>
        <w:t xml:space="preserve">V § </w:t>
      </w:r>
      <w:r w:rsidRPr="00485A7E">
        <w:rPr>
          <w:rFonts w:ascii="Times New Roman" w:hAnsi="Times New Roman" w:cs="Times New Roman"/>
          <w:color w:val="231F20"/>
        </w:rPr>
        <w:t xml:space="preserve">27 </w:t>
      </w:r>
      <w:r>
        <w:rPr>
          <w:rFonts w:ascii="Times New Roman" w:hAnsi="Times New Roman" w:cs="Times New Roman"/>
          <w:color w:val="231F20"/>
        </w:rPr>
        <w:t>sa dopĺňa povinnosť zdravotnej poisťovne predkladať okrem doterajších údajov aj údaje o počte poistencov zaradených do farmaceuticko-nákladových skupín a zoznam týchto poistencov. Súčasne je informácia o ich počte uvedená v rozhodnutí o mesačnom prerozdeľovaní.</w:t>
      </w:r>
      <w:r w:rsidRPr="00485A7E">
        <w:rPr>
          <w:rFonts w:ascii="Times New Roman" w:hAnsi="Times New Roman" w:cs="Times New Roman"/>
          <w:color w:val="231F20"/>
        </w:rPr>
        <w:t xml:space="preserve"> </w:t>
      </w:r>
    </w:p>
    <w:p w:rsidR="002D5A05" w:rsidP="002D5A05">
      <w:pPr>
        <w:bidi w:val="0"/>
        <w:jc w:val="both"/>
        <w:rPr>
          <w:rFonts w:ascii="Times New Roman" w:hAnsi="Times New Roman" w:cs="Times New Roman"/>
          <w:color w:val="231F20"/>
        </w:rPr>
      </w:pPr>
    </w:p>
    <w:p w:rsidR="002D5A05" w:rsidP="002D5A05">
      <w:pPr>
        <w:bidi w:val="0"/>
        <w:jc w:val="both"/>
        <w:rPr>
          <w:rFonts w:ascii="Times New Roman" w:hAnsi="Times New Roman" w:cs="Times New Roman"/>
          <w:color w:val="231F20"/>
        </w:rPr>
      </w:pPr>
      <w:r>
        <w:rPr>
          <w:rFonts w:ascii="Times New Roman" w:hAnsi="Times New Roman" w:cs="Times New Roman"/>
          <w:color w:val="231F20"/>
        </w:rPr>
        <w:t>Podobne v § 27a upravujúcom ročné prerozdelenie sa dopĺňa povinnosť predložiť počty poistencov zaradených do farmaceuticko-nákladových skupín.</w:t>
      </w:r>
    </w:p>
    <w:p w:rsidR="002D5A05" w:rsidP="002D5A05">
      <w:pPr>
        <w:bidi w:val="0"/>
        <w:jc w:val="both"/>
        <w:rPr>
          <w:rFonts w:ascii="Times New Roman" w:hAnsi="Times New Roman" w:cs="Times New Roman"/>
          <w:color w:val="231F20"/>
        </w:rPr>
      </w:pPr>
    </w:p>
    <w:p w:rsidR="002D5A05" w:rsidRPr="00BA291B" w:rsidP="002D5A05">
      <w:pPr>
        <w:bidi w:val="0"/>
        <w:jc w:val="both"/>
        <w:rPr>
          <w:rFonts w:ascii="Times New Roman" w:hAnsi="Times New Roman" w:cs="Times New Roman"/>
          <w:b/>
          <w:color w:val="231F20"/>
        </w:rPr>
      </w:pPr>
      <w:r w:rsidRPr="00BA291B">
        <w:rPr>
          <w:rFonts w:ascii="Times New Roman" w:hAnsi="Times New Roman" w:cs="Times New Roman"/>
          <w:b/>
          <w:color w:val="231F20"/>
        </w:rPr>
        <w:t>K bodu 1</w:t>
      </w:r>
      <w:r>
        <w:rPr>
          <w:rFonts w:ascii="Times New Roman" w:hAnsi="Times New Roman" w:cs="Times New Roman"/>
          <w:b/>
          <w:color w:val="231F20"/>
        </w:rPr>
        <w:t>3</w:t>
      </w:r>
    </w:p>
    <w:p w:rsidR="002D5A05" w:rsidRPr="00485A7E" w:rsidP="002D5A05">
      <w:pPr>
        <w:bidi w:val="0"/>
        <w:jc w:val="both"/>
        <w:rPr>
          <w:rFonts w:ascii="Times New Roman" w:hAnsi="Times New Roman"/>
        </w:rPr>
      </w:pPr>
      <w:r>
        <w:rPr>
          <w:rFonts w:ascii="Times New Roman" w:hAnsi="Times New Roman" w:cs="Times New Roman"/>
          <w:color w:val="231F20"/>
        </w:rPr>
        <w:t>V § 27</w:t>
      </w:r>
      <w:r w:rsidRPr="00485A7E">
        <w:rPr>
          <w:rFonts w:ascii="Times New Roman" w:hAnsi="Times New Roman" w:cs="Times New Roman"/>
          <w:color w:val="231F20"/>
        </w:rPr>
        <w:t xml:space="preserve">b sa </w:t>
      </w:r>
      <w:r w:rsidRPr="00485A7E">
        <w:rPr>
          <w:rFonts w:ascii="Times New Roman" w:hAnsi="Times New Roman"/>
        </w:rPr>
        <w:t>definuj</w:t>
      </w:r>
      <w:r>
        <w:rPr>
          <w:rFonts w:ascii="Times New Roman" w:hAnsi="Times New Roman"/>
        </w:rPr>
        <w:t>e nový prediktor -</w:t>
      </w:r>
      <w:r w:rsidRPr="00485A7E">
        <w:rPr>
          <w:rFonts w:ascii="Times New Roman" w:hAnsi="Times New Roman"/>
        </w:rPr>
        <w:t xml:space="preserve"> farmaceuticko-nákladové skupiny ako kategória v rámci procesu prerozdelenia, ktorá slúži na objektivizáciu indexov rizika. </w:t>
      </w:r>
      <w:r>
        <w:rPr>
          <w:rFonts w:ascii="Times New Roman" w:hAnsi="Times New Roman"/>
        </w:rPr>
        <w:t>Stanovujú sa pravidlá pre zaradenie poistenca do konkrétnej farmaceuticko-nákladovej skupiny a určujú sa kritéria pre farmaceuticko-nákladovú skupinu, ktoré musí spĺňať, aby sa stala súčasťou prerozdeľovacieho mechanizmu. Úrad je povinný hocikedy počas roka preveriť splnenie uvedených kritérií pre každú ďalšiu farmaceuticko-nákladovú skupinu, ktorá zatiaľ nie je súčasťou prerozdeľovacieho mechanizmu. Úradu sa stanovujú zdroje údajov na tento prepočet a lehota, v ktorej musí byť prepočet vykonaný.</w:t>
      </w:r>
      <w:r w:rsidRPr="00485A7E">
        <w:rPr>
          <w:rFonts w:ascii="Times New Roman" w:hAnsi="Times New Roman"/>
        </w:rPr>
        <w:t xml:space="preserve"> </w:t>
      </w:r>
    </w:p>
    <w:p w:rsidR="002D5A05" w:rsidP="002D5A05">
      <w:pPr>
        <w:bidi w:val="0"/>
        <w:jc w:val="both"/>
        <w:rPr>
          <w:rFonts w:ascii="Times New Roman" w:hAnsi="Times New Roman" w:cs="Times New Roman"/>
          <w:color w:val="231F20"/>
        </w:rPr>
      </w:pPr>
    </w:p>
    <w:p w:rsidR="002D5A05" w:rsidRPr="00BA291B" w:rsidP="002D5A05">
      <w:pPr>
        <w:bidi w:val="0"/>
        <w:jc w:val="both"/>
        <w:rPr>
          <w:rFonts w:ascii="Times New Roman" w:hAnsi="Times New Roman" w:cs="Times New Roman"/>
          <w:b/>
          <w:color w:val="231F20"/>
        </w:rPr>
      </w:pPr>
      <w:r w:rsidRPr="00BA291B">
        <w:rPr>
          <w:rFonts w:ascii="Times New Roman" w:hAnsi="Times New Roman" w:cs="Times New Roman"/>
          <w:b/>
          <w:color w:val="231F20"/>
        </w:rPr>
        <w:t>K bodu 1</w:t>
      </w:r>
      <w:r>
        <w:rPr>
          <w:rFonts w:ascii="Times New Roman" w:hAnsi="Times New Roman" w:cs="Times New Roman"/>
          <w:b/>
          <w:color w:val="231F20"/>
        </w:rPr>
        <w:t>4</w:t>
      </w:r>
    </w:p>
    <w:p w:rsidR="002D5A05" w:rsidRPr="00736F48" w:rsidP="002D5A05">
      <w:pPr>
        <w:bidi w:val="0"/>
        <w:jc w:val="both"/>
        <w:rPr>
          <w:rFonts w:ascii="Times New Roman" w:hAnsi="Times New Roman"/>
        </w:rPr>
      </w:pPr>
      <w:r w:rsidRPr="00485A7E">
        <w:rPr>
          <w:rFonts w:ascii="Times New Roman" w:hAnsi="Times New Roman" w:cs="Times New Roman"/>
          <w:color w:val="231F20"/>
        </w:rPr>
        <w:t>V §28 z</w:t>
      </w:r>
      <w:r w:rsidRPr="00485A7E">
        <w:rPr>
          <w:rFonts w:ascii="Times New Roman" w:hAnsi="Times New Roman"/>
        </w:rPr>
        <w:t xml:space="preserve">ákon upravuje  </w:t>
      </w:r>
      <w:r>
        <w:rPr>
          <w:rFonts w:ascii="Times New Roman" w:hAnsi="Times New Roman"/>
        </w:rPr>
        <w:t>zdroje údajov potrebných na každoročný výpočet indexov rizika nákladov. Úrad na základe týchto údajov preverí, či všetky farmaceuticko-nákladové skupiny spĺňajú kritéria a o tomto informuje ministerstvo. Upravujú sa splnomocňovacie ustanovenia na vydanie všeobecne záväzných právnych predpisov.</w:t>
      </w:r>
    </w:p>
    <w:p w:rsidR="002D5A05" w:rsidP="002D5A05">
      <w:pPr>
        <w:bidi w:val="0"/>
        <w:jc w:val="both"/>
        <w:rPr>
          <w:rFonts w:ascii="Times New Roman" w:hAnsi="Times New Roman" w:cs="Times New Roman"/>
          <w:color w:val="231F20"/>
        </w:rPr>
      </w:pPr>
    </w:p>
    <w:p w:rsidR="002D5A05" w:rsidRPr="00866488" w:rsidP="002D5A05">
      <w:pPr>
        <w:bidi w:val="0"/>
        <w:jc w:val="both"/>
        <w:rPr>
          <w:rFonts w:ascii="Times New Roman" w:hAnsi="Times New Roman" w:cs="Times New Roman"/>
          <w:b/>
          <w:bCs/>
        </w:rPr>
      </w:pPr>
      <w:r w:rsidRPr="00866488">
        <w:rPr>
          <w:rFonts w:ascii="Times New Roman" w:hAnsi="Times New Roman" w:cs="Times New Roman"/>
          <w:b/>
          <w:bCs/>
        </w:rPr>
        <w:t xml:space="preserve">K bodu </w:t>
      </w:r>
      <w:r>
        <w:rPr>
          <w:rFonts w:ascii="Times New Roman" w:hAnsi="Times New Roman" w:cs="Times New Roman"/>
          <w:b/>
          <w:bCs/>
        </w:rPr>
        <w:t>15</w:t>
      </w:r>
    </w:p>
    <w:p w:rsidR="002D5A05" w:rsidP="002D5A05">
      <w:pPr>
        <w:widowControl/>
        <w:bidi w:val="0"/>
        <w:jc w:val="both"/>
        <w:rPr>
          <w:rFonts w:ascii="Times New Roman" w:hAnsi="Times New Roman" w:cs="Times New Roman"/>
          <w:color w:val="231F20"/>
          <w:lang w:eastAsia="en-US"/>
        </w:rPr>
      </w:pPr>
      <w:r>
        <w:rPr>
          <w:rFonts w:ascii="Times New Roman" w:hAnsi="Times New Roman" w:cs="Times New Roman"/>
          <w:color w:val="231F20"/>
          <w:lang w:eastAsia="en-US"/>
        </w:rPr>
        <w:t>Upravujú sa prechodné ustanovenia k úprave účinnej od 1. júna 2012.</w:t>
      </w:r>
    </w:p>
    <w:p w:rsidR="002D5A05" w:rsidRPr="00736F48" w:rsidP="002D5A05">
      <w:pPr>
        <w:widowControl/>
        <w:bidi w:val="0"/>
        <w:jc w:val="both"/>
        <w:rPr>
          <w:rFonts w:ascii="Times New Roman" w:hAnsi="Times New Roman" w:cs="Times New Roman"/>
          <w:color w:val="231F20"/>
          <w:lang w:eastAsia="en-US"/>
        </w:rPr>
      </w:pPr>
      <w:r>
        <w:rPr>
          <w:rFonts w:ascii="Times New Roman" w:hAnsi="Times New Roman" w:cs="Times New Roman"/>
          <w:color w:val="231F20"/>
          <w:lang w:eastAsia="en-US"/>
        </w:rPr>
        <w:t xml:space="preserve"> </w:t>
      </w:r>
    </w:p>
    <w:p w:rsidR="002D5A05" w:rsidP="002D5A05">
      <w:pPr>
        <w:bidi w:val="0"/>
        <w:jc w:val="both"/>
        <w:rPr>
          <w:rFonts w:ascii="Times New Roman" w:hAnsi="Times New Roman" w:cs="Times New Roman"/>
          <w:b/>
          <w:bCs/>
          <w:u w:val="single"/>
        </w:rPr>
      </w:pPr>
      <w:r w:rsidRPr="00736F48">
        <w:rPr>
          <w:rFonts w:ascii="Times New Roman" w:hAnsi="Times New Roman" w:cs="Times New Roman"/>
          <w:b/>
          <w:bCs/>
          <w:u w:val="single"/>
        </w:rPr>
        <w:t>Čl. II</w:t>
      </w:r>
    </w:p>
    <w:p w:rsidR="002D5A05" w:rsidRPr="00736F48" w:rsidP="002D5A05">
      <w:pPr>
        <w:bidi w:val="0"/>
        <w:jc w:val="both"/>
        <w:rPr>
          <w:rFonts w:ascii="Times New Roman" w:hAnsi="Times New Roman" w:cs="Times New Roman"/>
          <w:b/>
          <w:bCs/>
          <w:u w:val="single"/>
        </w:rPr>
      </w:pPr>
    </w:p>
    <w:p w:rsidR="002D5A05" w:rsidRPr="00C54D5E" w:rsidP="002D5A05">
      <w:pPr>
        <w:bidi w:val="0"/>
        <w:ind w:left="1276" w:hanging="1276"/>
        <w:jc w:val="both"/>
        <w:rPr>
          <w:rFonts w:ascii="Times New Roman" w:hAnsi="Times New Roman" w:cs="Times New Roman"/>
          <w:b/>
          <w:color w:val="000000"/>
        </w:rPr>
      </w:pPr>
      <w:r w:rsidRPr="00C54D5E">
        <w:rPr>
          <w:rFonts w:ascii="Times New Roman" w:hAnsi="Times New Roman" w:cs="Times New Roman"/>
          <w:b/>
          <w:color w:val="000000"/>
        </w:rPr>
        <w:t xml:space="preserve">K bodu 1 </w:t>
      </w:r>
    </w:p>
    <w:p w:rsidR="002D5A05" w:rsidRPr="00C54D5E" w:rsidP="002D5A05">
      <w:pPr>
        <w:bidi w:val="0"/>
        <w:ind w:left="1276" w:hanging="1276"/>
        <w:jc w:val="both"/>
        <w:rPr>
          <w:rFonts w:ascii="Times New Roman" w:hAnsi="Times New Roman" w:cs="Times New Roman"/>
          <w:color w:val="000000"/>
        </w:rPr>
      </w:pPr>
      <w:r w:rsidRPr="00C54D5E">
        <w:rPr>
          <w:rFonts w:ascii="Times New Roman" w:hAnsi="Times New Roman" w:cs="Times New Roman"/>
          <w:color w:val="000000"/>
        </w:rPr>
        <w:t>Odkaz na správne ustanovenie zákona</w:t>
      </w:r>
      <w:r>
        <w:rPr>
          <w:rFonts w:ascii="Times New Roman" w:hAnsi="Times New Roman" w:cs="Times New Roman"/>
          <w:color w:val="000000"/>
        </w:rPr>
        <w:t>.</w:t>
      </w:r>
    </w:p>
    <w:p w:rsidR="002D5A05" w:rsidP="002D5A05">
      <w:pPr>
        <w:bidi w:val="0"/>
        <w:jc w:val="both"/>
        <w:rPr>
          <w:rFonts w:ascii="Times New Roman" w:hAnsi="Times New Roman" w:cs="Times New Roman"/>
          <w:b/>
          <w:bCs/>
        </w:rPr>
      </w:pPr>
    </w:p>
    <w:p w:rsidR="002D5A05" w:rsidRPr="00C54D5E" w:rsidP="002D5A05">
      <w:pPr>
        <w:bidi w:val="0"/>
        <w:ind w:left="1276" w:hanging="1276"/>
        <w:jc w:val="both"/>
        <w:rPr>
          <w:rFonts w:ascii="Times New Roman" w:hAnsi="Times New Roman" w:cs="Times New Roman"/>
          <w:b/>
          <w:color w:val="000000"/>
        </w:rPr>
      </w:pPr>
      <w:r w:rsidRPr="00C54D5E">
        <w:rPr>
          <w:rFonts w:ascii="Times New Roman" w:hAnsi="Times New Roman" w:cs="Times New Roman"/>
          <w:b/>
          <w:color w:val="000000"/>
        </w:rPr>
        <w:t xml:space="preserve">K bodu </w:t>
      </w:r>
      <w:r>
        <w:rPr>
          <w:rFonts w:ascii="Times New Roman" w:hAnsi="Times New Roman" w:cs="Times New Roman"/>
          <w:b/>
          <w:color w:val="000000"/>
        </w:rPr>
        <w:t>2</w:t>
      </w:r>
    </w:p>
    <w:p w:rsidR="002D5A05" w:rsidRPr="00C54D5E" w:rsidP="002D5A05">
      <w:pPr>
        <w:bidi w:val="0"/>
        <w:jc w:val="both"/>
        <w:rPr>
          <w:rFonts w:ascii="Times New Roman" w:hAnsi="Times New Roman" w:cs="Times New Roman"/>
        </w:rPr>
      </w:pPr>
      <w:r w:rsidRPr="00C54D5E">
        <w:rPr>
          <w:rFonts w:ascii="Times New Roman" w:hAnsi="Times New Roman" w:cs="Times New Roman"/>
        </w:rPr>
        <w:t xml:space="preserve">V návrhu zákona sa z pôvodných 3 ukazovateľov platobnej schopnosti rušia dva, a to   ukazovateľ kapitálovej primeranosti a  ukazovateľ  pomeru krátkodobých pohľadávok a záväzkov (tzv. </w:t>
      </w:r>
      <w:r w:rsidRPr="00C54D5E">
        <w:rPr>
          <w:rFonts w:ascii="Times New Roman" w:hAnsi="Times New Roman" w:cs="Times New Roman"/>
          <w:iCs/>
        </w:rPr>
        <w:t>current ratio</w:t>
      </w:r>
      <w:r w:rsidRPr="00C54D5E">
        <w:rPr>
          <w:rFonts w:ascii="Times New Roman" w:hAnsi="Times New Roman" w:cs="Times New Roman"/>
        </w:rPr>
        <w:t xml:space="preserve">) . </w:t>
      </w:r>
    </w:p>
    <w:p w:rsidR="002D5A05" w:rsidRPr="00C54D5E" w:rsidP="002D5A05">
      <w:pPr>
        <w:bidi w:val="0"/>
        <w:jc w:val="both"/>
        <w:rPr>
          <w:rFonts w:ascii="Times New Roman" w:hAnsi="Times New Roman" w:cs="Times New Roman"/>
        </w:rPr>
      </w:pPr>
      <w:r w:rsidRPr="00C54D5E">
        <w:rPr>
          <w:rFonts w:ascii="Times New Roman" w:hAnsi="Times New Roman" w:cs="Times New Roman"/>
        </w:rPr>
        <w:t xml:space="preserve">Ukazovateľ kapitálovej primeranosti sa ruší z dôvodu, že nezohľadňuje špecifiká systému verejného zdravotného poistenia.  Mechanizmus preukazovania platobnej schopnosti cez ukazovateľ kapitálovej primeranosti je vlastný pre komerčné poisťovne a nie je vhodný pre zdravotné poisťovne v povinnom zdravotnom poistení. Zohľadňuje riziká poisťovní pri komerčnom poistení vyplývajúce z predmetu ich podnikania, investovania voľných zdrojov, manažmentu pomeru krátkodobých a dlhodobých záväzkov a pod., kde si poisťovne samé určujú výšku poistného podľa rizikovosti, čo však nie je prípad verejného zdravotného poistenia. Verejné zdravotné poistenie  nie je založené na podnikaní, výška poistného je presne určená zákonom bez možnosti jej zvýšenia alebo zníženia, poistné podlieha prerozdeľovaniu na základe princípu solidarity. Zdravotné poisťovne v zásade fungujú na priebežnom systéme, pričom sa viac ako komerčným poisťovniam  približujú fungovaniu  Sociálnej poisťovne, ktorá  tieto parametre plniť nemusí. Je nesystémové  používať rovnaké princípy, ktoré sa uplatňujú  pri  podnikateľských subjektoch (komerčné poistenie), na preukazovanie platobnej schopnosti  zdravotných poisťovní hospodáriacich s povinnými odvodmi na verejné zdravotné poistenie, pretože ich úlohou je zabezpečovanie sociálnej služby vo verejnom záujme, ktorá nie je ekonomickou aktivitou.   Tento druh služieb je vylúčený z pôsobnosti pravidiel Direktívy EU o službách  a považuje sa za neekonomickú aktivitu. </w:t>
      </w:r>
    </w:p>
    <w:p w:rsidR="002D5A05" w:rsidRPr="00C54D5E" w:rsidP="002D5A05">
      <w:pPr>
        <w:pStyle w:val="NormalWeb"/>
        <w:bidi w:val="0"/>
        <w:rPr>
          <w:rFonts w:ascii="Times New Roman" w:hAnsi="Times New Roman" w:hint="default"/>
          <w:color w:val="auto"/>
          <w:sz w:val="24"/>
          <w:szCs w:val="24"/>
        </w:rPr>
      </w:pPr>
      <w:r w:rsidRPr="00C54D5E">
        <w:rPr>
          <w:rFonts w:ascii="Times New Roman" w:hAnsi="Times New Roman" w:hint="default"/>
          <w:color w:val="auto"/>
          <w:sz w:val="24"/>
          <w:szCs w:val="24"/>
        </w:rPr>
        <w:t>Ná</w:t>
      </w:r>
      <w:r w:rsidRPr="00C54D5E">
        <w:rPr>
          <w:rFonts w:ascii="Times New Roman" w:hAnsi="Times New Roman" w:hint="default"/>
          <w:color w:val="auto"/>
          <w:sz w:val="24"/>
          <w:szCs w:val="24"/>
        </w:rPr>
        <w:t>vrh na zruš</w:t>
      </w:r>
      <w:r w:rsidRPr="00C54D5E">
        <w:rPr>
          <w:rFonts w:ascii="Times New Roman" w:hAnsi="Times New Roman" w:hint="default"/>
          <w:color w:val="auto"/>
          <w:sz w:val="24"/>
          <w:szCs w:val="24"/>
        </w:rPr>
        <w:t>enie druhé</w:t>
      </w:r>
      <w:r w:rsidRPr="00C54D5E">
        <w:rPr>
          <w:rFonts w:ascii="Times New Roman" w:hAnsi="Times New Roman" w:hint="default"/>
          <w:color w:val="auto"/>
          <w:sz w:val="24"/>
          <w:szCs w:val="24"/>
        </w:rPr>
        <w:t>ho ukazovateľ</w:t>
      </w:r>
      <w:r w:rsidRPr="00C54D5E">
        <w:rPr>
          <w:rFonts w:ascii="Times New Roman" w:hAnsi="Times New Roman" w:hint="default"/>
          <w:color w:val="auto"/>
          <w:sz w:val="24"/>
          <w:szCs w:val="24"/>
        </w:rPr>
        <w:t>a vychá</w:t>
      </w:r>
      <w:r w:rsidRPr="00C54D5E">
        <w:rPr>
          <w:rFonts w:ascii="Times New Roman" w:hAnsi="Times New Roman" w:hint="default"/>
          <w:color w:val="auto"/>
          <w:sz w:val="24"/>
          <w:szCs w:val="24"/>
        </w:rPr>
        <w:t>dza z </w:t>
      </w:r>
      <w:r w:rsidRPr="00C54D5E">
        <w:rPr>
          <w:rFonts w:ascii="Times New Roman" w:hAnsi="Times New Roman" w:hint="default"/>
          <w:color w:val="auto"/>
          <w:sz w:val="24"/>
          <w:szCs w:val="24"/>
        </w:rPr>
        <w:t>toho, ž</w:t>
      </w:r>
      <w:r w:rsidRPr="00C54D5E">
        <w:rPr>
          <w:rFonts w:ascii="Times New Roman" w:hAnsi="Times New Roman" w:hint="default"/>
          <w:color w:val="auto"/>
          <w:sz w:val="24"/>
          <w:szCs w:val="24"/>
        </w:rPr>
        <w:t>e sledovanie pomeru krá</w:t>
      </w:r>
      <w:r w:rsidRPr="00C54D5E">
        <w:rPr>
          <w:rFonts w:ascii="Times New Roman" w:hAnsi="Times New Roman" w:hint="default"/>
          <w:color w:val="auto"/>
          <w:sz w:val="24"/>
          <w:szCs w:val="24"/>
        </w:rPr>
        <w:t>tkodobý</w:t>
      </w:r>
      <w:r w:rsidRPr="00C54D5E">
        <w:rPr>
          <w:rFonts w:ascii="Times New Roman" w:hAnsi="Times New Roman" w:hint="default"/>
          <w:color w:val="auto"/>
          <w:sz w:val="24"/>
          <w:szCs w:val="24"/>
        </w:rPr>
        <w:t>ch aktí</w:t>
      </w:r>
      <w:r w:rsidRPr="00C54D5E">
        <w:rPr>
          <w:rFonts w:ascii="Times New Roman" w:hAnsi="Times New Roman" w:hint="default"/>
          <w:color w:val="auto"/>
          <w:sz w:val="24"/>
          <w:szCs w:val="24"/>
        </w:rPr>
        <w:t>v a </w:t>
      </w:r>
      <w:r w:rsidRPr="00C54D5E">
        <w:rPr>
          <w:rFonts w:ascii="Times New Roman" w:hAnsi="Times New Roman" w:hint="default"/>
          <w:color w:val="auto"/>
          <w:sz w:val="24"/>
          <w:szCs w:val="24"/>
        </w:rPr>
        <w:t>zá</w:t>
      </w:r>
      <w:r w:rsidRPr="00C54D5E">
        <w:rPr>
          <w:rFonts w:ascii="Times New Roman" w:hAnsi="Times New Roman" w:hint="default"/>
          <w:color w:val="auto"/>
          <w:sz w:val="24"/>
          <w:szCs w:val="24"/>
        </w:rPr>
        <w:t>vä</w:t>
      </w:r>
      <w:r w:rsidRPr="00C54D5E">
        <w:rPr>
          <w:rFonts w:ascii="Times New Roman" w:hAnsi="Times New Roman" w:hint="default"/>
          <w:color w:val="auto"/>
          <w:sz w:val="24"/>
          <w:szCs w:val="24"/>
        </w:rPr>
        <w:t>zkov sa</w:t>
      </w:r>
      <w:r w:rsidRPr="00C54D5E">
        <w:rPr>
          <w:rFonts w:ascii="Times New Roman" w:hAnsi="Times New Roman" w:hint="default"/>
          <w:color w:val="auto"/>
          <w:sz w:val="24"/>
          <w:szCs w:val="24"/>
        </w:rPr>
        <w:t>mo o sebe, bez nadvä</w:t>
      </w:r>
      <w:r w:rsidRPr="00C54D5E">
        <w:rPr>
          <w:rFonts w:ascii="Times New Roman" w:hAnsi="Times New Roman" w:hint="default"/>
          <w:color w:val="auto"/>
          <w:sz w:val="24"/>
          <w:szCs w:val="24"/>
        </w:rPr>
        <w:t>zujú</w:t>
      </w:r>
      <w:r w:rsidRPr="00C54D5E">
        <w:rPr>
          <w:rFonts w:ascii="Times New Roman" w:hAnsi="Times New Roman" w:hint="default"/>
          <w:color w:val="auto"/>
          <w:sz w:val="24"/>
          <w:szCs w:val="24"/>
        </w:rPr>
        <w:t>cich ď</w:t>
      </w:r>
      <w:r w:rsidRPr="00C54D5E">
        <w:rPr>
          <w:rFonts w:ascii="Times New Roman" w:hAnsi="Times New Roman" w:hint="default"/>
          <w:color w:val="auto"/>
          <w:sz w:val="24"/>
          <w:szCs w:val="24"/>
        </w:rPr>
        <w:t>alší</w:t>
      </w:r>
      <w:r w:rsidRPr="00C54D5E">
        <w:rPr>
          <w:rFonts w:ascii="Times New Roman" w:hAnsi="Times New Roman" w:hint="default"/>
          <w:color w:val="auto"/>
          <w:sz w:val="24"/>
          <w:szCs w:val="24"/>
        </w:rPr>
        <w:t>ch analý</w:t>
      </w:r>
      <w:r w:rsidRPr="00C54D5E">
        <w:rPr>
          <w:rFonts w:ascii="Times New Roman" w:hAnsi="Times New Roman" w:hint="default"/>
          <w:color w:val="auto"/>
          <w:sz w:val="24"/>
          <w:szCs w:val="24"/>
        </w:rPr>
        <w:t>z,  má</w:t>
      </w:r>
      <w:r w:rsidRPr="00C54D5E">
        <w:rPr>
          <w:rFonts w:ascii="Times New Roman" w:hAnsi="Times New Roman" w:hint="default"/>
          <w:color w:val="auto"/>
          <w:sz w:val="24"/>
          <w:szCs w:val="24"/>
        </w:rPr>
        <w:t xml:space="preserve"> pomerne malú</w:t>
      </w:r>
      <w:r w:rsidRPr="00C54D5E">
        <w:rPr>
          <w:rFonts w:ascii="Times New Roman" w:hAnsi="Times New Roman" w:hint="default"/>
          <w:color w:val="auto"/>
          <w:sz w:val="24"/>
          <w:szCs w:val="24"/>
        </w:rPr>
        <w:t xml:space="preserve"> vypovedaciu schopnosť</w:t>
      </w:r>
      <w:r w:rsidRPr="00C54D5E">
        <w:rPr>
          <w:rFonts w:ascii="Times New Roman" w:hAnsi="Times New Roman" w:hint="default"/>
          <w:color w:val="auto"/>
          <w:sz w:val="24"/>
          <w:szCs w:val="24"/>
        </w:rPr>
        <w:t>. V </w:t>
      </w:r>
      <w:r w:rsidRPr="00C54D5E">
        <w:rPr>
          <w:rFonts w:ascii="Times New Roman" w:hAnsi="Times New Roman" w:hint="default"/>
          <w:color w:val="auto"/>
          <w:sz w:val="24"/>
          <w:szCs w:val="24"/>
        </w:rPr>
        <w:t>zdravotnom poistení</w:t>
      </w:r>
      <w:r w:rsidRPr="00C54D5E">
        <w:rPr>
          <w:rFonts w:ascii="Times New Roman" w:hAnsi="Times New Roman" w:hint="default"/>
          <w:color w:val="auto"/>
          <w:sz w:val="24"/>
          <w:szCs w:val="24"/>
        </w:rPr>
        <w:t xml:space="preserve"> existujú</w:t>
      </w:r>
      <w:r w:rsidRPr="00C54D5E">
        <w:rPr>
          <w:rFonts w:ascii="Times New Roman" w:hAnsi="Times New Roman" w:hint="default"/>
          <w:color w:val="auto"/>
          <w:sz w:val="24"/>
          <w:szCs w:val="24"/>
        </w:rPr>
        <w:t xml:space="preserve"> rô</w:t>
      </w:r>
      <w:r w:rsidRPr="00C54D5E">
        <w:rPr>
          <w:rFonts w:ascii="Times New Roman" w:hAnsi="Times New Roman" w:hint="default"/>
          <w:color w:val="auto"/>
          <w:sz w:val="24"/>
          <w:szCs w:val="24"/>
        </w:rPr>
        <w:t>zne š</w:t>
      </w:r>
      <w:r w:rsidRPr="00C54D5E">
        <w:rPr>
          <w:rFonts w:ascii="Times New Roman" w:hAnsi="Times New Roman" w:hint="default"/>
          <w:color w:val="auto"/>
          <w:sz w:val="24"/>
          <w:szCs w:val="24"/>
        </w:rPr>
        <w:t>pecifiká</w:t>
      </w:r>
      <w:r w:rsidRPr="00C54D5E">
        <w:rPr>
          <w:rFonts w:ascii="Times New Roman" w:hAnsi="Times New Roman" w:hint="default"/>
          <w:color w:val="auto"/>
          <w:sz w:val="24"/>
          <w:szCs w:val="24"/>
        </w:rPr>
        <w:t>, ktorú</w:t>
      </w:r>
      <w:r w:rsidRPr="00C54D5E">
        <w:rPr>
          <w:rFonts w:ascii="Times New Roman" w:hAnsi="Times New Roman" w:hint="default"/>
          <w:color w:val="auto"/>
          <w:sz w:val="24"/>
          <w:szCs w:val="24"/>
        </w:rPr>
        <w:t xml:space="preserve"> môž</w:t>
      </w:r>
      <w:r w:rsidRPr="00C54D5E">
        <w:rPr>
          <w:rFonts w:ascii="Times New Roman" w:hAnsi="Times New Roman" w:hint="default"/>
          <w:color w:val="auto"/>
          <w:sz w:val="24"/>
          <w:szCs w:val="24"/>
        </w:rPr>
        <w:t>u  vš</w:t>
      </w:r>
      <w:r w:rsidRPr="00C54D5E">
        <w:rPr>
          <w:rFonts w:ascii="Times New Roman" w:hAnsi="Times New Roman" w:hint="default"/>
          <w:color w:val="auto"/>
          <w:sz w:val="24"/>
          <w:szCs w:val="24"/>
        </w:rPr>
        <w:t>eobecne platné</w:t>
      </w:r>
      <w:r w:rsidRPr="00C54D5E">
        <w:rPr>
          <w:rFonts w:ascii="Times New Roman" w:hAnsi="Times New Roman" w:hint="default"/>
          <w:color w:val="auto"/>
          <w:sz w:val="24"/>
          <w:szCs w:val="24"/>
        </w:rPr>
        <w:t xml:space="preserve">  zá</w:t>
      </w:r>
      <w:r w:rsidRPr="00C54D5E">
        <w:rPr>
          <w:rFonts w:ascii="Times New Roman" w:hAnsi="Times New Roman" w:hint="default"/>
          <w:color w:val="auto"/>
          <w:sz w:val="24"/>
          <w:szCs w:val="24"/>
        </w:rPr>
        <w:t>sady  naruš</w:t>
      </w:r>
      <w:r w:rsidRPr="00C54D5E">
        <w:rPr>
          <w:rFonts w:ascii="Times New Roman" w:hAnsi="Times New Roman" w:hint="default"/>
          <w:color w:val="auto"/>
          <w:sz w:val="24"/>
          <w:szCs w:val="24"/>
        </w:rPr>
        <w:t>ovať</w:t>
      </w:r>
      <w:r w:rsidRPr="00C54D5E">
        <w:rPr>
          <w:rFonts w:ascii="Times New Roman" w:hAnsi="Times New Roman" w:hint="default"/>
          <w:color w:val="auto"/>
          <w:sz w:val="24"/>
          <w:szCs w:val="24"/>
        </w:rPr>
        <w:t>,  a preto tento ukazovateľ</w:t>
      </w:r>
      <w:r w:rsidRPr="00C54D5E">
        <w:rPr>
          <w:rFonts w:ascii="Times New Roman" w:hAnsi="Times New Roman" w:hint="default"/>
          <w:color w:val="auto"/>
          <w:sz w:val="24"/>
          <w:szCs w:val="24"/>
        </w:rPr>
        <w:t xml:space="preserve"> nemož</w:t>
      </w:r>
      <w:r w:rsidRPr="00C54D5E">
        <w:rPr>
          <w:rFonts w:ascii="Times New Roman" w:hAnsi="Times New Roman" w:hint="default"/>
          <w:color w:val="auto"/>
          <w:sz w:val="24"/>
          <w:szCs w:val="24"/>
        </w:rPr>
        <w:t>no brať</w:t>
      </w:r>
      <w:r w:rsidRPr="00C54D5E">
        <w:rPr>
          <w:rFonts w:ascii="Times New Roman" w:hAnsi="Times New Roman" w:hint="default"/>
          <w:color w:val="auto"/>
          <w:sz w:val="24"/>
          <w:szCs w:val="24"/>
        </w:rPr>
        <w:t xml:space="preserve"> sá</w:t>
      </w:r>
      <w:r w:rsidRPr="00C54D5E">
        <w:rPr>
          <w:rFonts w:ascii="Times New Roman" w:hAnsi="Times New Roman" w:hint="default"/>
          <w:color w:val="auto"/>
          <w:sz w:val="24"/>
          <w:szCs w:val="24"/>
        </w:rPr>
        <w:t>m o sebe pre posudzovanie platob</w:t>
      </w:r>
      <w:r w:rsidRPr="00C54D5E">
        <w:rPr>
          <w:rFonts w:ascii="Times New Roman" w:hAnsi="Times New Roman" w:hint="default"/>
          <w:color w:val="auto"/>
          <w:sz w:val="24"/>
          <w:szCs w:val="24"/>
        </w:rPr>
        <w:t>n</w:t>
      </w:r>
      <w:r w:rsidRPr="00C54D5E">
        <w:rPr>
          <w:rFonts w:ascii="Times New Roman" w:hAnsi="Times New Roman" w:hint="default"/>
          <w:color w:val="auto"/>
          <w:sz w:val="24"/>
          <w:szCs w:val="24"/>
        </w:rPr>
        <w:t>ej schopnosti poisť</w:t>
      </w:r>
      <w:r w:rsidRPr="00C54D5E">
        <w:rPr>
          <w:rFonts w:ascii="Times New Roman" w:hAnsi="Times New Roman" w:hint="default"/>
          <w:color w:val="auto"/>
          <w:sz w:val="24"/>
          <w:szCs w:val="24"/>
        </w:rPr>
        <w:t>ovne.</w:t>
      </w:r>
    </w:p>
    <w:p w:rsidR="002D5A05" w:rsidRPr="00C54D5E" w:rsidP="002D5A05">
      <w:pPr>
        <w:bidi w:val="0"/>
        <w:jc w:val="both"/>
        <w:rPr>
          <w:rFonts w:ascii="Times New Roman" w:hAnsi="Times New Roman" w:cs="Times New Roman"/>
        </w:rPr>
      </w:pPr>
      <w:r w:rsidRPr="00C54D5E">
        <w:rPr>
          <w:rFonts w:ascii="Times New Roman" w:hAnsi="Times New Roman" w:cs="Times New Roman"/>
        </w:rPr>
        <w:t>Na účinnú reguláciu finančného zdravia zdravotných poisťovní  postačuje v plnej miere  preukazovať platobnú schopnosť  schopnosťou uhrádzať  záväzky voči poskytovateľom v lehote, ktorá nepresiahne 30 kalendárnych dní odo dňa zmluvne dohodnutej lehoty splatnosti záväzkov voči poskytovateľom.</w:t>
      </w:r>
      <w:r>
        <w:rPr>
          <w:rFonts w:ascii="Times New Roman" w:hAnsi="Times New Roman" w:cs="Times New Roman"/>
        </w:rPr>
        <w:t xml:space="preserve"> Zároveň sa sprísňujú pravidlá, nakoľko zdravotná poisťovňa môže evidovať  ku dňu, ku ktorému vykazuje platobnú schopnosť, záväzky voči poskytovateľom, ktoré sú viac ako 30 dní po lehote splatnosti, iba v objeme 0,2% objemu všetkých záväzkov, oproti pôvodným 0,5% objemu všetkých záväzkov počas troch po sebe nasledujúcich kalendárnych mesiacov.</w:t>
      </w:r>
    </w:p>
    <w:p w:rsidR="002D5A05" w:rsidP="002D5A05">
      <w:pPr>
        <w:bidi w:val="0"/>
        <w:jc w:val="both"/>
        <w:rPr>
          <w:rFonts w:ascii="Times New Roman" w:hAnsi="Times New Roman" w:cs="Times New Roman"/>
          <w:b/>
          <w:bCs/>
        </w:rPr>
      </w:pPr>
    </w:p>
    <w:p w:rsidR="002D5A05" w:rsidRPr="00866488" w:rsidP="002D5A05">
      <w:pPr>
        <w:bidi w:val="0"/>
        <w:jc w:val="both"/>
        <w:rPr>
          <w:rFonts w:ascii="Times New Roman" w:hAnsi="Times New Roman" w:cs="Times New Roman"/>
          <w:b/>
          <w:bCs/>
        </w:rPr>
      </w:pPr>
      <w:r w:rsidRPr="00866488">
        <w:rPr>
          <w:rFonts w:ascii="Times New Roman" w:hAnsi="Times New Roman" w:cs="Times New Roman"/>
          <w:b/>
          <w:bCs/>
        </w:rPr>
        <w:t xml:space="preserve">K bodu </w:t>
      </w:r>
      <w:r>
        <w:rPr>
          <w:rFonts w:ascii="Times New Roman" w:hAnsi="Times New Roman" w:cs="Times New Roman"/>
          <w:b/>
          <w:bCs/>
        </w:rPr>
        <w:t>3</w:t>
      </w:r>
    </w:p>
    <w:p w:rsidR="002D5A05" w:rsidP="002D5A05">
      <w:pPr>
        <w:bidi w:val="0"/>
        <w:jc w:val="both"/>
        <w:rPr>
          <w:rFonts w:ascii="Times New Roman" w:hAnsi="Times New Roman"/>
        </w:rPr>
      </w:pPr>
      <w:r w:rsidRPr="00736F48">
        <w:rPr>
          <w:rFonts w:ascii="Times New Roman" w:hAnsi="Times New Roman"/>
        </w:rPr>
        <w:t xml:space="preserve">V zákone sa definuje  povinnosť zdravotným poisťovniam odovzdávať </w:t>
      </w:r>
      <w:r>
        <w:rPr>
          <w:rFonts w:ascii="Times New Roman" w:hAnsi="Times New Roman"/>
        </w:rPr>
        <w:t>údaje potrebné na mesačné a ročné prerozdeľovanie a výpočet indexov rizika nákladov.</w:t>
      </w:r>
    </w:p>
    <w:p w:rsidR="002D5A05" w:rsidP="002D5A05">
      <w:pPr>
        <w:bidi w:val="0"/>
        <w:jc w:val="both"/>
        <w:rPr>
          <w:rFonts w:ascii="Times New Roman" w:hAnsi="Times New Roman" w:cs="Times New Roman"/>
          <w:b/>
          <w:bCs/>
        </w:rPr>
      </w:pPr>
    </w:p>
    <w:p w:rsidR="002D5A05" w:rsidRPr="00866488" w:rsidP="002D5A05">
      <w:pPr>
        <w:bidi w:val="0"/>
        <w:jc w:val="both"/>
        <w:rPr>
          <w:rFonts w:ascii="Times New Roman" w:hAnsi="Times New Roman" w:cs="Times New Roman"/>
          <w:b/>
          <w:bCs/>
        </w:rPr>
      </w:pPr>
      <w:r w:rsidRPr="00866488">
        <w:rPr>
          <w:rFonts w:ascii="Times New Roman" w:hAnsi="Times New Roman" w:cs="Times New Roman"/>
          <w:b/>
          <w:bCs/>
        </w:rPr>
        <w:t xml:space="preserve">K bodu </w:t>
      </w:r>
      <w:r>
        <w:rPr>
          <w:rFonts w:ascii="Times New Roman" w:hAnsi="Times New Roman" w:cs="Times New Roman"/>
          <w:b/>
          <w:bCs/>
        </w:rPr>
        <w:t>4</w:t>
      </w:r>
    </w:p>
    <w:p w:rsidR="002D5A05" w:rsidRPr="00497A50" w:rsidP="002D5A05">
      <w:pPr>
        <w:bidi w:val="0"/>
        <w:jc w:val="both"/>
        <w:rPr>
          <w:rFonts w:ascii="Times New Roman" w:hAnsi="Times New Roman" w:cs="Times New Roman"/>
          <w:bCs/>
        </w:rPr>
      </w:pPr>
      <w:r w:rsidRPr="00497A50">
        <w:rPr>
          <w:rFonts w:ascii="Times New Roman" w:hAnsi="Times New Roman" w:cs="Times New Roman"/>
          <w:bCs/>
        </w:rPr>
        <w:t>Index rizika nákladov na zdravotnú starostlivosť je počítaný aj z ďalších parametrov, nie iba z dvoch demografických údajov, z uvedeného dôvodu má pojem index rizika širší význam.</w:t>
      </w:r>
    </w:p>
    <w:p w:rsidR="002D5A05" w:rsidP="002D5A05">
      <w:pPr>
        <w:bidi w:val="0"/>
        <w:jc w:val="both"/>
        <w:rPr>
          <w:rFonts w:ascii="Times New Roman" w:hAnsi="Times New Roman" w:cs="Times New Roman"/>
          <w:b/>
          <w:bCs/>
          <w:u w:val="single"/>
        </w:rPr>
      </w:pPr>
    </w:p>
    <w:p w:rsidR="002D5A05" w:rsidRPr="00BA291B" w:rsidP="002D5A05">
      <w:pPr>
        <w:bidi w:val="0"/>
        <w:jc w:val="both"/>
        <w:rPr>
          <w:rFonts w:ascii="Times New Roman" w:hAnsi="Times New Roman" w:cs="Times New Roman"/>
          <w:b/>
          <w:bCs/>
        </w:rPr>
      </w:pPr>
      <w:r w:rsidRPr="00BA291B">
        <w:rPr>
          <w:rFonts w:ascii="Times New Roman" w:hAnsi="Times New Roman" w:cs="Times New Roman"/>
          <w:b/>
          <w:bCs/>
        </w:rPr>
        <w:t>K bodu 5</w:t>
      </w:r>
    </w:p>
    <w:p w:rsidR="002D5A05" w:rsidRPr="00EB5E16" w:rsidP="002D5A05">
      <w:pPr>
        <w:bidi w:val="0"/>
        <w:jc w:val="both"/>
        <w:rPr>
          <w:rFonts w:ascii="Times New Roman" w:hAnsi="Times New Roman" w:cs="Times New Roman"/>
          <w:bCs/>
        </w:rPr>
      </w:pPr>
      <w:r w:rsidRPr="00EB5E16">
        <w:rPr>
          <w:rFonts w:ascii="Times New Roman" w:hAnsi="Times New Roman" w:cs="Times New Roman"/>
          <w:bCs/>
        </w:rPr>
        <w:t>Legislatívno-technická úprava.</w:t>
      </w:r>
    </w:p>
    <w:p w:rsidR="002D5A05" w:rsidRPr="00736F48" w:rsidP="002D5A05">
      <w:pPr>
        <w:bidi w:val="0"/>
        <w:jc w:val="both"/>
        <w:rPr>
          <w:rFonts w:ascii="Times New Roman" w:hAnsi="Times New Roman" w:cs="Times New Roman"/>
          <w:b/>
          <w:bCs/>
          <w:u w:val="single"/>
        </w:rPr>
      </w:pPr>
    </w:p>
    <w:p w:rsidR="002D5A05" w:rsidRPr="00866488" w:rsidP="002D5A05">
      <w:pPr>
        <w:bidi w:val="0"/>
        <w:jc w:val="both"/>
        <w:rPr>
          <w:rFonts w:ascii="Times New Roman" w:hAnsi="Times New Roman" w:cs="Times New Roman"/>
          <w:b/>
          <w:bCs/>
        </w:rPr>
      </w:pPr>
      <w:r w:rsidRPr="00866488">
        <w:rPr>
          <w:rFonts w:ascii="Times New Roman" w:hAnsi="Times New Roman" w:cs="Times New Roman"/>
          <w:b/>
          <w:bCs/>
        </w:rPr>
        <w:t xml:space="preserve">K bodom </w:t>
      </w:r>
      <w:r>
        <w:rPr>
          <w:rFonts w:ascii="Times New Roman" w:hAnsi="Times New Roman" w:cs="Times New Roman"/>
          <w:b/>
          <w:bCs/>
        </w:rPr>
        <w:t>6 a 7</w:t>
      </w:r>
    </w:p>
    <w:p w:rsidR="002D5A05" w:rsidP="002D5A05">
      <w:pPr>
        <w:bidi w:val="0"/>
        <w:jc w:val="both"/>
        <w:rPr>
          <w:rFonts w:ascii="Times New Roman" w:hAnsi="Times New Roman"/>
        </w:rPr>
      </w:pPr>
      <w:r w:rsidRPr="00497A50">
        <w:rPr>
          <w:rFonts w:ascii="Times New Roman" w:hAnsi="Times New Roman" w:cs="Times New Roman"/>
          <w:bCs/>
        </w:rPr>
        <w:t>Dopĺňa a spresňuje sa pôsobnosť úradu v súvislosti s jeho činnosťou vo vzťahu k zefektívňovaniu prerozdeľovania poistného</w:t>
      </w:r>
      <w:r w:rsidRPr="00497A50">
        <w:rPr>
          <w:rFonts w:ascii="Times New Roman" w:hAnsi="Times New Roman"/>
        </w:rPr>
        <w:t>.</w:t>
      </w:r>
    </w:p>
    <w:p w:rsidR="002D5A05" w:rsidP="002D5A05">
      <w:pPr>
        <w:bidi w:val="0"/>
        <w:jc w:val="both"/>
        <w:rPr>
          <w:rFonts w:ascii="Times New Roman" w:hAnsi="Times New Roman"/>
        </w:rPr>
      </w:pPr>
    </w:p>
    <w:p w:rsidR="002D5A05" w:rsidP="002D5A05">
      <w:pPr>
        <w:bidi w:val="0"/>
        <w:jc w:val="both"/>
        <w:rPr>
          <w:rFonts w:ascii="Times New Roman" w:hAnsi="Times New Roman"/>
        </w:rPr>
      </w:pPr>
    </w:p>
    <w:p w:rsidR="002D5A05" w:rsidRPr="00BA291B" w:rsidP="002D5A05">
      <w:pPr>
        <w:bidi w:val="0"/>
        <w:jc w:val="both"/>
        <w:rPr>
          <w:rFonts w:ascii="Times New Roman" w:hAnsi="Times New Roman"/>
          <w:b/>
        </w:rPr>
      </w:pPr>
      <w:r w:rsidRPr="00BA291B">
        <w:rPr>
          <w:rFonts w:ascii="Times New Roman" w:hAnsi="Times New Roman"/>
          <w:b/>
        </w:rPr>
        <w:t>K bodu 8</w:t>
      </w:r>
    </w:p>
    <w:p w:rsidR="002D5A05" w:rsidRPr="00C5048D" w:rsidP="002D5A05">
      <w:pPr>
        <w:bidi w:val="0"/>
        <w:jc w:val="both"/>
        <w:rPr>
          <w:rFonts w:ascii="Times New Roman" w:hAnsi="Times New Roman"/>
        </w:rPr>
      </w:pPr>
      <w:r w:rsidRPr="00C5048D">
        <w:rPr>
          <w:rFonts w:ascii="Times New Roman" w:hAnsi="Times New Roman" w:cs="Times New Roman"/>
          <w:bCs/>
        </w:rPr>
        <w:t>Legislatívno-technická úprava (oprava vnútorného odkazu)</w:t>
      </w:r>
    </w:p>
    <w:p w:rsidR="002D5A05" w:rsidRPr="00497A50" w:rsidP="002D5A05">
      <w:pPr>
        <w:bidi w:val="0"/>
        <w:jc w:val="both"/>
        <w:rPr>
          <w:rFonts w:ascii="Times New Roman" w:hAnsi="Times New Roman"/>
        </w:rPr>
      </w:pPr>
    </w:p>
    <w:p w:rsidR="002D5A05" w:rsidRPr="00C54D5E" w:rsidP="002D5A05">
      <w:pPr>
        <w:bidi w:val="0"/>
        <w:ind w:left="1276" w:hanging="1276"/>
        <w:jc w:val="both"/>
        <w:rPr>
          <w:rFonts w:ascii="Times New Roman" w:hAnsi="Times New Roman" w:cs="Times New Roman"/>
          <w:b/>
          <w:color w:val="000000"/>
        </w:rPr>
      </w:pPr>
      <w:r w:rsidRPr="00C54D5E">
        <w:rPr>
          <w:rFonts w:ascii="Times New Roman" w:hAnsi="Times New Roman" w:cs="Times New Roman"/>
          <w:b/>
          <w:color w:val="000000"/>
        </w:rPr>
        <w:t xml:space="preserve">K bodu </w:t>
      </w:r>
      <w:r>
        <w:rPr>
          <w:rFonts w:ascii="Times New Roman" w:hAnsi="Times New Roman" w:cs="Times New Roman"/>
          <w:b/>
          <w:color w:val="000000"/>
        </w:rPr>
        <w:t>9</w:t>
      </w:r>
    </w:p>
    <w:p w:rsidR="002D5A05" w:rsidP="002D5A05">
      <w:pPr>
        <w:bidi w:val="0"/>
        <w:jc w:val="both"/>
        <w:rPr>
          <w:rFonts w:ascii="Times New Roman" w:hAnsi="Times New Roman" w:cs="Times New Roman"/>
          <w:color w:val="000000"/>
        </w:rPr>
      </w:pPr>
      <w:r w:rsidRPr="00C54D5E">
        <w:rPr>
          <w:rFonts w:ascii="Times New Roman" w:hAnsi="Times New Roman" w:cs="Times New Roman"/>
          <w:color w:val="000000"/>
        </w:rPr>
        <w:t>Úprava povinnosti zverejňovania vo Vestníku úradu z dôvodu úpravy preukazovania</w:t>
      </w:r>
      <w:r>
        <w:rPr>
          <w:rFonts w:ascii="Times New Roman" w:hAnsi="Times New Roman" w:cs="Times New Roman"/>
          <w:color w:val="000000"/>
        </w:rPr>
        <w:t xml:space="preserve"> </w:t>
      </w:r>
      <w:r w:rsidRPr="00C54D5E">
        <w:rPr>
          <w:rFonts w:ascii="Times New Roman" w:hAnsi="Times New Roman" w:cs="Times New Roman"/>
          <w:color w:val="000000"/>
        </w:rPr>
        <w:t>platobnej schopnosti.</w:t>
      </w:r>
    </w:p>
    <w:p w:rsidR="002D5A05" w:rsidRPr="00C54D5E" w:rsidP="002D5A05">
      <w:pPr>
        <w:bidi w:val="0"/>
        <w:ind w:left="1276" w:hanging="1276"/>
        <w:jc w:val="both"/>
        <w:rPr>
          <w:rFonts w:ascii="Times New Roman" w:hAnsi="Times New Roman" w:cs="Times New Roman"/>
          <w:color w:val="000000"/>
        </w:rPr>
      </w:pPr>
    </w:p>
    <w:p w:rsidR="002D5A05" w:rsidRPr="00525D23" w:rsidP="002D5A05">
      <w:pPr>
        <w:bidi w:val="0"/>
        <w:jc w:val="both"/>
        <w:rPr>
          <w:rFonts w:ascii="Times New Roman" w:hAnsi="Times New Roman" w:cs="Times New Roman"/>
          <w:b/>
          <w:bCs/>
        </w:rPr>
      </w:pPr>
      <w:r w:rsidRPr="00525D23">
        <w:rPr>
          <w:rFonts w:ascii="Times New Roman" w:hAnsi="Times New Roman" w:cs="Times New Roman"/>
          <w:b/>
          <w:bCs/>
        </w:rPr>
        <w:t xml:space="preserve">K bodom </w:t>
      </w:r>
      <w:r>
        <w:rPr>
          <w:rFonts w:ascii="Times New Roman" w:hAnsi="Times New Roman" w:cs="Times New Roman"/>
          <w:b/>
          <w:bCs/>
        </w:rPr>
        <w:t>10 a 11</w:t>
      </w:r>
    </w:p>
    <w:p w:rsidR="002D5A05" w:rsidRPr="00736F48" w:rsidP="002D5A05">
      <w:pPr>
        <w:bidi w:val="0"/>
        <w:jc w:val="both"/>
        <w:rPr>
          <w:rFonts w:ascii="Times New Roman" w:hAnsi="Times New Roman" w:cs="Times New Roman"/>
          <w:color w:val="000000"/>
        </w:rPr>
      </w:pPr>
      <w:r w:rsidRPr="00736F48">
        <w:rPr>
          <w:rFonts w:ascii="Times New Roman" w:hAnsi="Times New Roman" w:cs="Times New Roman"/>
          <w:color w:val="000000"/>
        </w:rPr>
        <w:t>Opätovné zavedeni</w:t>
      </w:r>
      <w:r>
        <w:rPr>
          <w:rFonts w:ascii="Times New Roman" w:hAnsi="Times New Roman" w:cs="Times New Roman"/>
          <w:color w:val="000000"/>
        </w:rPr>
        <w:t>e</w:t>
      </w:r>
      <w:r w:rsidRPr="00736F48">
        <w:rPr>
          <w:rFonts w:ascii="Times New Roman" w:hAnsi="Times New Roman" w:cs="Times New Roman"/>
          <w:color w:val="000000"/>
        </w:rPr>
        <w:t xml:space="preserve"> možnosti odvolania predsedu úradu a členov správnej rady vládou na</w:t>
      </w:r>
    </w:p>
    <w:p w:rsidR="002D5A05" w:rsidRPr="00736F48" w:rsidP="002D5A05">
      <w:pPr>
        <w:bidi w:val="0"/>
        <w:jc w:val="both"/>
        <w:rPr>
          <w:rFonts w:ascii="Times New Roman" w:hAnsi="Times New Roman" w:cs="Times New Roman"/>
          <w:color w:val="000000"/>
        </w:rPr>
      </w:pPr>
      <w:r>
        <w:rPr>
          <w:rFonts w:ascii="Times New Roman" w:hAnsi="Times New Roman" w:cs="Times New Roman"/>
          <w:color w:val="000000"/>
        </w:rPr>
        <w:t>návrh ministra zdravotníctva</w:t>
      </w:r>
      <w:r w:rsidRPr="00736F48">
        <w:rPr>
          <w:rFonts w:ascii="Times New Roman" w:hAnsi="Times New Roman" w:cs="Times New Roman"/>
          <w:color w:val="000000"/>
        </w:rPr>
        <w:t xml:space="preserve"> aj z iných dôvodov ako v zákone taxatívne vymenovaných, nakoľko tak nie je možné urobiť ani pri objektívnom zistení nedostatkov v práci a vedení úradu,  bez právoplatného odsúdenia za spáchanie trestného činu. Súčasne sú uvedeným ustanovením zosúladené možnosti odvolania s možnosťami odvolania členov </w:t>
      </w:r>
      <w:r w:rsidRPr="00BA291B">
        <w:rPr>
          <w:rFonts w:ascii="Times New Roman" w:hAnsi="Times New Roman" w:cs="Times New Roman"/>
          <w:color w:val="000000"/>
        </w:rPr>
        <w:t>dozornej</w:t>
      </w:r>
      <w:r w:rsidRPr="00736F48">
        <w:rPr>
          <w:rFonts w:ascii="Times New Roman" w:hAnsi="Times New Roman" w:cs="Times New Roman"/>
          <w:color w:val="000000"/>
        </w:rPr>
        <w:t xml:space="preserve"> rady úradu. </w:t>
      </w:r>
    </w:p>
    <w:p w:rsidR="002D5A05" w:rsidRPr="00C54D5E" w:rsidP="002D5A05">
      <w:pPr>
        <w:bidi w:val="0"/>
        <w:ind w:left="1276" w:hanging="1276"/>
        <w:jc w:val="both"/>
        <w:rPr>
          <w:rFonts w:ascii="Times New Roman" w:hAnsi="Times New Roman" w:cs="Times New Roman"/>
          <w:color w:val="000000"/>
        </w:rPr>
      </w:pPr>
    </w:p>
    <w:p w:rsidR="002D5A05" w:rsidRPr="00C54D5E" w:rsidP="002D5A05">
      <w:pPr>
        <w:bidi w:val="0"/>
        <w:ind w:left="1276" w:hanging="1276"/>
        <w:jc w:val="both"/>
        <w:rPr>
          <w:rFonts w:ascii="Times New Roman" w:hAnsi="Times New Roman" w:cs="Times New Roman"/>
          <w:b/>
          <w:color w:val="000000"/>
        </w:rPr>
      </w:pPr>
      <w:r w:rsidRPr="00C54D5E">
        <w:rPr>
          <w:rFonts w:ascii="Times New Roman" w:hAnsi="Times New Roman" w:cs="Times New Roman"/>
          <w:b/>
          <w:color w:val="000000"/>
        </w:rPr>
        <w:t>K bod</w:t>
      </w:r>
      <w:r>
        <w:rPr>
          <w:rFonts w:ascii="Times New Roman" w:hAnsi="Times New Roman" w:cs="Times New Roman"/>
          <w:b/>
          <w:color w:val="000000"/>
        </w:rPr>
        <w:t>om</w:t>
      </w:r>
      <w:r w:rsidRPr="00C54D5E">
        <w:rPr>
          <w:rFonts w:ascii="Times New Roman" w:hAnsi="Times New Roman" w:cs="Times New Roman"/>
          <w:b/>
          <w:color w:val="000000"/>
        </w:rPr>
        <w:t xml:space="preserve"> </w:t>
      </w:r>
      <w:r>
        <w:rPr>
          <w:rFonts w:ascii="Times New Roman" w:hAnsi="Times New Roman" w:cs="Times New Roman"/>
          <w:b/>
          <w:color w:val="000000"/>
        </w:rPr>
        <w:t>12</w:t>
      </w:r>
      <w:r w:rsidRPr="00C54D5E">
        <w:rPr>
          <w:rFonts w:ascii="Times New Roman" w:hAnsi="Times New Roman" w:cs="Times New Roman"/>
          <w:b/>
          <w:color w:val="000000"/>
        </w:rPr>
        <w:t xml:space="preserve"> a</w:t>
      </w:r>
      <w:r>
        <w:rPr>
          <w:rFonts w:ascii="Times New Roman" w:hAnsi="Times New Roman" w:cs="Times New Roman"/>
          <w:b/>
          <w:color w:val="000000"/>
        </w:rPr>
        <w:t>ž</w:t>
      </w:r>
      <w:r w:rsidRPr="00C54D5E">
        <w:rPr>
          <w:rFonts w:ascii="Times New Roman" w:hAnsi="Times New Roman" w:cs="Times New Roman"/>
          <w:b/>
          <w:color w:val="000000"/>
        </w:rPr>
        <w:t xml:space="preserve"> 1</w:t>
      </w:r>
      <w:r>
        <w:rPr>
          <w:rFonts w:ascii="Times New Roman" w:hAnsi="Times New Roman" w:cs="Times New Roman"/>
          <w:b/>
          <w:color w:val="000000"/>
        </w:rPr>
        <w:t>5</w:t>
      </w:r>
    </w:p>
    <w:p w:rsidR="002D5A05" w:rsidRPr="00C54D5E" w:rsidP="002D5A05">
      <w:pPr>
        <w:bidi w:val="0"/>
        <w:ind w:left="1276" w:hanging="1276"/>
        <w:jc w:val="both"/>
        <w:rPr>
          <w:rFonts w:ascii="Times New Roman" w:hAnsi="Times New Roman" w:cs="Times New Roman"/>
          <w:color w:val="000000"/>
        </w:rPr>
      </w:pPr>
      <w:r w:rsidRPr="00C54D5E">
        <w:rPr>
          <w:rFonts w:ascii="Times New Roman" w:hAnsi="Times New Roman" w:cs="Times New Roman"/>
          <w:color w:val="000000"/>
        </w:rPr>
        <w:t>Z dôvodu zmeny vykazovania platobnej schopnosti zdravotných poisťovní nemajú uvedené</w:t>
      </w:r>
    </w:p>
    <w:p w:rsidR="002D5A05" w:rsidRPr="00C54D5E" w:rsidP="002D5A05">
      <w:pPr>
        <w:bidi w:val="0"/>
        <w:ind w:left="1276" w:hanging="1276"/>
        <w:jc w:val="both"/>
        <w:rPr>
          <w:rFonts w:ascii="Times New Roman" w:hAnsi="Times New Roman" w:cs="Times New Roman"/>
          <w:color w:val="000000"/>
        </w:rPr>
      </w:pPr>
      <w:r w:rsidRPr="00C54D5E">
        <w:rPr>
          <w:rFonts w:ascii="Times New Roman" w:hAnsi="Times New Roman" w:cs="Times New Roman"/>
          <w:color w:val="000000"/>
        </w:rPr>
        <w:t>ustanovenia opodstatnenie.</w:t>
      </w:r>
    </w:p>
    <w:p w:rsidR="002D5A05" w:rsidRPr="00736F48" w:rsidP="002D5A05">
      <w:pPr>
        <w:bidi w:val="0"/>
        <w:jc w:val="both"/>
        <w:rPr>
          <w:rFonts w:ascii="Times New Roman" w:hAnsi="Times New Roman" w:cs="Times New Roman"/>
          <w:b/>
        </w:rPr>
      </w:pPr>
    </w:p>
    <w:p w:rsidR="002D5A05" w:rsidRPr="00736F48" w:rsidP="002D5A05">
      <w:pPr>
        <w:bidi w:val="0"/>
        <w:jc w:val="both"/>
        <w:rPr>
          <w:rFonts w:ascii="Times New Roman" w:hAnsi="Times New Roman" w:cs="Times New Roman"/>
          <w:b/>
          <w:bCs/>
          <w:u w:val="single"/>
        </w:rPr>
      </w:pPr>
      <w:r w:rsidRPr="00736F48">
        <w:rPr>
          <w:rFonts w:ascii="Times New Roman" w:hAnsi="Times New Roman" w:cs="Times New Roman"/>
          <w:b/>
          <w:bCs/>
          <w:u w:val="single"/>
        </w:rPr>
        <w:t>Čl. III</w:t>
      </w:r>
    </w:p>
    <w:p w:rsidR="002D5A05" w:rsidRPr="00736F48" w:rsidP="002D5A05">
      <w:pPr>
        <w:bidi w:val="0"/>
        <w:jc w:val="both"/>
        <w:rPr>
          <w:rFonts w:ascii="Times New Roman" w:hAnsi="Times New Roman" w:cs="Times New Roman"/>
        </w:rPr>
      </w:pPr>
    </w:p>
    <w:p w:rsidR="002D5A05" w:rsidRPr="00736F48" w:rsidP="002D5A05">
      <w:pPr>
        <w:bidi w:val="0"/>
        <w:jc w:val="both"/>
        <w:rPr>
          <w:rFonts w:ascii="Times New Roman" w:hAnsi="Times New Roman" w:cs="Times New Roman"/>
        </w:rPr>
      </w:pPr>
      <w:r w:rsidRPr="00736F48">
        <w:rPr>
          <w:rFonts w:ascii="Times New Roman" w:hAnsi="Times New Roman" w:cs="Times New Roman"/>
        </w:rPr>
        <w:t>Navrhuje sa účinnosť.</w:t>
      </w:r>
    </w:p>
    <w:p w:rsidR="002D5A05" w:rsidP="002D5A05">
      <w:pPr>
        <w:bidi w:val="0"/>
      </w:pPr>
    </w:p>
    <w:p w:rsidR="00C31979">
      <w:pPr>
        <w:bidi w:val="0"/>
      </w:pPr>
    </w:p>
    <w:sectPr w:rsidSect="00C6176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926EA"/>
    <w:rsid w:val="000E34A1"/>
    <w:rsid w:val="002D5A05"/>
    <w:rsid w:val="00485A7E"/>
    <w:rsid w:val="004969EF"/>
    <w:rsid w:val="00497A50"/>
    <w:rsid w:val="00525D23"/>
    <w:rsid w:val="00736F48"/>
    <w:rsid w:val="007926EA"/>
    <w:rsid w:val="00866488"/>
    <w:rsid w:val="00BA291B"/>
    <w:rsid w:val="00C31979"/>
    <w:rsid w:val="00C5048D"/>
    <w:rsid w:val="00C54D5E"/>
    <w:rsid w:val="00EB5E1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05"/>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rsid w:val="002D5A05"/>
    <w:pPr>
      <w:widowControl/>
      <w:autoSpaceDE/>
      <w:autoSpaceDN/>
      <w:adjustRightInd/>
      <w:spacing w:before="100" w:beforeAutospacing="1" w:after="100" w:afterAutospacing="1"/>
      <w:jc w:val="both"/>
    </w:pPr>
    <w:rPr>
      <w:rFonts w:ascii="Verdana" w:eastAsia="Calibri" w:hAnsi="Verdana" w:cs="Times New Roman"/>
      <w:color w:val="5C5C5C"/>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908</Words>
  <Characters>5181</Characters>
  <Application>Microsoft Office Word</Application>
  <DocSecurity>0</DocSecurity>
  <Lines>0</Lines>
  <Paragraphs>0</Paragraphs>
  <ScaleCrop>false</ScaleCrop>
  <Company>MZ SR</Company>
  <LinksUpToDate>false</LinksUpToDate>
  <CharactersWithSpaces>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Gašparíková, Jarmila</dc:creator>
  <cp:lastModifiedBy>Gašparíková, Jarmila</cp:lastModifiedBy>
  <cp:revision>2</cp:revision>
  <dcterms:created xsi:type="dcterms:W3CDTF">2012-04-17T14:40:00Z</dcterms:created>
  <dcterms:modified xsi:type="dcterms:W3CDTF">2012-04-17T14:40:00Z</dcterms:modified>
</cp:coreProperties>
</file>