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7A3C" w:rsidP="00107A3C">
      <w:pPr>
        <w:bidi w:val="0"/>
        <w:jc w:val="center"/>
        <w:rPr>
          <w:rFonts w:ascii="Times New Roman" w:hAnsi="Times New Roman" w:cs="Times New Roman"/>
          <w:b/>
        </w:rPr>
      </w:pPr>
      <w:r>
        <w:rPr>
          <w:rFonts w:ascii="Times New Roman" w:hAnsi="Times New Roman" w:cs="Times New Roman"/>
          <w:b/>
        </w:rPr>
        <w:t>Dôvodová správa</w:t>
      </w:r>
    </w:p>
    <w:p w:rsidR="00107A3C" w:rsidP="00107A3C">
      <w:pPr>
        <w:bidi w:val="0"/>
        <w:jc w:val="both"/>
        <w:rPr>
          <w:rFonts w:ascii="Times New Roman" w:hAnsi="Times New Roman" w:cs="Times New Roman"/>
        </w:rPr>
      </w:pPr>
    </w:p>
    <w:p w:rsidR="00475FA4" w:rsidP="00107A3C">
      <w:pPr>
        <w:bidi w:val="0"/>
        <w:ind w:firstLine="708"/>
        <w:jc w:val="both"/>
        <w:rPr>
          <w:rStyle w:val="Textzstupnhosymbolu1"/>
          <w:color w:val="000000"/>
        </w:rPr>
      </w:pPr>
      <w:r w:rsidR="00107A3C">
        <w:rPr>
          <w:rStyle w:val="Textzstupnhosymbolu1"/>
          <w:color w:val="000000"/>
        </w:rPr>
        <w:t xml:space="preserve">Poslanec Národnej rady Slovenskej republiky predkladá návrh zákona, </w:t>
      </w:r>
      <w:r w:rsidR="00107A3C">
        <w:rPr>
          <w:rFonts w:ascii="Times New Roman" w:hAnsi="Times New Roman" w:cs="Times New Roman"/>
          <w:bCs/>
        </w:rPr>
        <w:t>ktorým sa mení a dopĺňa záko</w:t>
      </w:r>
      <w:r w:rsidR="00107A3C">
        <w:rPr>
          <w:rFonts w:ascii="Times New Roman" w:hAnsi="Times New Roman" w:cs="Times New Roman"/>
        </w:rPr>
        <w:t xml:space="preserve">n č. </w:t>
      </w:r>
      <w:r w:rsidR="00107A3C">
        <w:rPr>
          <w:rFonts w:ascii="Times New Roman" w:hAnsi="Times New Roman" w:cs="Times New Roman"/>
          <w:bCs/>
        </w:rPr>
        <w:t xml:space="preserve">580/2004 Z. z. o </w:t>
      </w:r>
      <w:r w:rsidR="00107A3C">
        <w:rPr>
          <w:rFonts w:ascii="Times New Roman" w:hAnsi="Times New Roman" w:cs="Times New Roman"/>
        </w:rPr>
        <w:t xml:space="preserve">zdravotnom poistení a o zmene a doplnení zákona     č. 95/2002 Z. z. o poisťovníctve a o zmene a doplnení niektorých zákonov </w:t>
      </w:r>
      <w:r w:rsidR="00107A3C">
        <w:rPr>
          <w:rFonts w:ascii="Times New Roman" w:hAnsi="Times New Roman" w:cs="Times New Roman"/>
          <w:bCs/>
        </w:rPr>
        <w:t>v znení neskorších predpisov</w:t>
      </w:r>
      <w:r w:rsidR="00107A3C">
        <w:rPr>
          <w:rFonts w:ascii="Times New Roman" w:hAnsi="Times New Roman" w:cs="Times New Roman"/>
        </w:rPr>
        <w:t xml:space="preserve"> a o zmene a doplnení niektorých zákonov ako iniciatívny návrh </w:t>
      </w:r>
      <w:r w:rsidR="00107A3C">
        <w:rPr>
          <w:rStyle w:val="Textzstupnhosymbolu1"/>
          <w:color w:val="000000"/>
        </w:rPr>
        <w:t>za účelom zvýšenia spravodlivosti v mechanizme prerozdeľovania poistného na verejné zdravotné poistenie zavedením nového prediktora nákladov na zdravotnú starostlivosť.</w:t>
      </w:r>
    </w:p>
    <w:p w:rsidR="00475FA4" w:rsidP="00107A3C">
      <w:pPr>
        <w:bidi w:val="0"/>
        <w:ind w:firstLine="708"/>
        <w:jc w:val="both"/>
        <w:rPr>
          <w:rStyle w:val="Textzstupnhosymbolu1"/>
          <w:color w:val="000000"/>
        </w:rPr>
      </w:pPr>
    </w:p>
    <w:p w:rsidR="00107A3C" w:rsidP="00107A3C">
      <w:pPr>
        <w:bidi w:val="0"/>
        <w:ind w:firstLine="708"/>
        <w:jc w:val="both"/>
        <w:rPr>
          <w:bCs/>
        </w:rPr>
      </w:pPr>
      <w:r>
        <w:rPr>
          <w:rFonts w:ascii="Times New Roman" w:hAnsi="Times New Roman" w:cs="Times New Roman"/>
        </w:rPr>
        <w:t xml:space="preserve">V čl. I – novela zákona č. 580/2004 Z. z. sa predkladá z dôvodu potreby ďalšieho zlepšenia mechanizmu prerozdeľovania poistného, ktorý zabezpečuje, že po prerozdelení každá z poisťovní </w:t>
      </w:r>
      <w:r>
        <w:rPr>
          <w:rFonts w:ascii="Times New Roman" w:hAnsi="Times New Roman" w:cs="Times New Roman"/>
          <w:bCs/>
        </w:rPr>
        <w:t xml:space="preserve">dostane rovnakú platbu na poistenca v rovnakej rizikovej skupine. </w:t>
      </w:r>
    </w:p>
    <w:p w:rsidR="00107A3C" w:rsidP="00107A3C">
      <w:pPr>
        <w:bidi w:val="0"/>
        <w:ind w:firstLine="708"/>
        <w:jc w:val="both"/>
        <w:rPr>
          <w:rFonts w:ascii="Times New Roman" w:hAnsi="Times New Roman" w:cs="Times New Roman"/>
          <w:bCs/>
        </w:rPr>
      </w:pPr>
      <w:r>
        <w:rPr>
          <w:rFonts w:ascii="Times New Roman" w:hAnsi="Times New Roman" w:cs="Times New Roman"/>
          <w:bCs/>
        </w:rPr>
        <w:t xml:space="preserve">V súčasnosti sa poistné medzi zdravotnými poisťovňami prerozdeľuje na základe demografických charakteristík – veku a pohlavia poistenca a na základe ekonomickej aktivity poistenca – či je alebo nie je poistencom, za ktorého platí zdravotné poistenie štát. Takéto charakteristiky dokážu vysvetliť len veľmi malú časť variability nákladov. </w:t>
      </w:r>
    </w:p>
    <w:p w:rsidR="00107A3C" w:rsidP="00107A3C">
      <w:pPr>
        <w:bidi w:val="0"/>
        <w:ind w:firstLine="708"/>
        <w:jc w:val="both"/>
        <w:rPr>
          <w:rFonts w:ascii="Times New Roman" w:hAnsi="Times New Roman" w:cs="Times New Roman"/>
          <w:bCs/>
        </w:rPr>
      </w:pPr>
      <w:r>
        <w:rPr>
          <w:rFonts w:ascii="Times New Roman" w:hAnsi="Times New Roman" w:cs="Times New Roman"/>
          <w:bCs/>
        </w:rPr>
        <w:t xml:space="preserve">Mechanizmus kompenzácie rizikovej štruktúry poistných kmeňov zdravotných poisťovní doteraz nezahŕňal žiaden parameter chorobnosti. Aby boli zdroje adresnejšie nasmerované za chorým, a teda nákladnejším poistencom zavádza sa prediktor chorobnosti – dlhodobá spotreba liekov (tzv. farmaceuticko-nákladové skupiny). </w:t>
      </w:r>
    </w:p>
    <w:p w:rsidR="00107A3C" w:rsidP="00107A3C">
      <w:pPr>
        <w:bidi w:val="0"/>
        <w:ind w:firstLine="708"/>
        <w:jc w:val="both"/>
        <w:rPr>
          <w:rFonts w:ascii="Times New Roman" w:hAnsi="Times New Roman" w:cs="Times New Roman"/>
          <w:bCs/>
        </w:rPr>
      </w:pPr>
      <w:r>
        <w:rPr>
          <w:rFonts w:ascii="Times New Roman" w:hAnsi="Times New Roman" w:cs="Times New Roman"/>
          <w:bCs/>
        </w:rPr>
        <w:t xml:space="preserve">Farmaceuticko-nákladové skupiny sú medzinárodné uznávaným kritériom pri prerozdeľovaní zdrojov, ktorý využívajú mnohé krajiny (napr. </w:t>
      </w:r>
      <w:r>
        <w:rPr>
          <w:rFonts w:ascii="Times New Roman" w:hAnsi="Times New Roman" w:cs="Times New Roman"/>
        </w:rPr>
        <w:t>Nemecko, Švajčiarsko, Belgicko, Holandsko)</w:t>
      </w:r>
      <w:r>
        <w:rPr>
          <w:rFonts w:ascii="Times New Roman" w:hAnsi="Times New Roman" w:cs="Times New Roman"/>
          <w:bCs/>
        </w:rPr>
        <w:t>. Navrhovaný model vychádza z holandského modelu.</w:t>
      </w:r>
    </w:p>
    <w:p w:rsidR="00107A3C" w:rsidP="00107A3C">
      <w:pPr>
        <w:bidi w:val="0"/>
        <w:ind w:firstLine="708"/>
        <w:jc w:val="both"/>
        <w:rPr>
          <w:rFonts w:ascii="Times New Roman" w:hAnsi="Times New Roman" w:cs="Times New Roman"/>
          <w:bCs/>
        </w:rPr>
      </w:pPr>
      <w:r>
        <w:rPr>
          <w:rFonts w:ascii="Times New Roman" w:hAnsi="Times New Roman" w:cs="Times New Roman"/>
          <w:bCs/>
        </w:rPr>
        <w:t xml:space="preserve">Zavedením nového prediktora sa predikčná schopnosť prerozdeľovacieho mechanizmu zvýši z 3,19% na viac ako 20%. </w:t>
      </w:r>
    </w:p>
    <w:p w:rsidR="00107A3C" w:rsidP="00107A3C">
      <w:pPr>
        <w:bidi w:val="0"/>
        <w:ind w:firstLine="708"/>
        <w:jc w:val="both"/>
        <w:rPr>
          <w:rFonts w:ascii="Times New Roman" w:hAnsi="Times New Roman" w:cs="Times New Roman"/>
        </w:rPr>
      </w:pPr>
      <w:r>
        <w:rPr>
          <w:rFonts w:ascii="Times New Roman" w:hAnsi="Times New Roman" w:cs="Times New Roman"/>
        </w:rPr>
        <w:t xml:space="preserve">V zákone sa definuje 12-mesačné obdobie, z ktorého sa hodnotí spotreba liekov ako kritérium pre zaradenie poistenca do farmaceuticko-nákladovej skupiny. Toto obdobie sa vyberá tak, aby poskytovalo čo najaktuálnejšie údaje o liečbe poistenca. </w:t>
      </w:r>
    </w:p>
    <w:p w:rsidR="00107A3C" w:rsidP="00107A3C">
      <w:pPr>
        <w:bidi w:val="0"/>
        <w:jc w:val="both"/>
        <w:rPr>
          <w:rFonts w:ascii="Times New Roman" w:hAnsi="Times New Roman" w:cs="Times New Roman"/>
        </w:rPr>
      </w:pPr>
      <w:r>
        <w:rPr>
          <w:rFonts w:ascii="Times New Roman" w:hAnsi="Times New Roman" w:cs="Times New Roman"/>
        </w:rPr>
        <w:t>Zákon upravuje aj metodiku výpočtu indexov rizika s použitím modelu farmaceuticko- nákladových skupín.  Indexy sa určia pomocou regresnej analýzy.</w:t>
      </w:r>
    </w:p>
    <w:p w:rsidR="00107A3C" w:rsidP="00107A3C">
      <w:pPr>
        <w:bidi w:val="0"/>
        <w:jc w:val="both"/>
        <w:rPr>
          <w:rFonts w:ascii="Times New Roman" w:hAnsi="Times New Roman" w:cs="Times New Roman"/>
        </w:rPr>
      </w:pPr>
      <w:r>
        <w:rPr>
          <w:rFonts w:ascii="Times New Roman" w:hAnsi="Times New Roman" w:cs="Times New Roman"/>
        </w:rPr>
        <w:t>Výpočet indexov rizika sa vykoná na základe spracovania individuálnych  údajov o všetkých poistencoch t.j. všetky náklady na zdravotnú starostlivosť je potrebné priradiť konkrétnym poistencom.  Zákon rieši aj priradenie paušálnych nákladov konkrétnym poistencom.  Do zákona  sa dopĺňajú súvisiace povinnosti zdravotných poisťovní oznamovať potrebné údaje úradu.</w:t>
      </w:r>
    </w:p>
    <w:p w:rsidR="00107A3C" w:rsidP="00107A3C">
      <w:pPr>
        <w:bidi w:val="0"/>
        <w:ind w:firstLine="708"/>
        <w:jc w:val="both"/>
        <w:rPr>
          <w:rFonts w:ascii="Times New Roman" w:hAnsi="Times New Roman" w:cs="Times New Roman"/>
        </w:rPr>
      </w:pPr>
    </w:p>
    <w:p w:rsidR="00107A3C" w:rsidP="00107A3C">
      <w:pPr>
        <w:bidi w:val="0"/>
        <w:ind w:firstLine="708"/>
        <w:jc w:val="both"/>
        <w:rPr>
          <w:rFonts w:ascii="Times New Roman" w:hAnsi="Times New Roman" w:cs="Times New Roman"/>
        </w:rPr>
      </w:pPr>
      <w:r>
        <w:rPr>
          <w:rFonts w:ascii="Times New Roman" w:hAnsi="Times New Roman" w:cs="Times New Roman"/>
        </w:rPr>
        <w:t xml:space="preserve">V čl. II – novela zákona č. 581/2004 Z. z. sa predkladá z dôvodu uvedeného pri článku I, dopĺňajú sa do zákona súvisiace povinnosti zdravotných poisťovní a povinnosti a kompetencie úradu pri analyzovaní údajov oznámených zdravotnými poisťovňami, povinnosti súvisiace s aktualizáciou skupín liekov zaradených do farmaceuticko-nákladových skupín a výpočtom indexu rizika.  </w:t>
      </w:r>
    </w:p>
    <w:p w:rsidR="00107A3C" w:rsidP="00107A3C">
      <w:pPr>
        <w:bidi w:val="0"/>
        <w:ind w:firstLine="708"/>
        <w:jc w:val="both"/>
        <w:rPr>
          <w:rFonts w:ascii="Times New Roman" w:hAnsi="Times New Roman" w:cs="Times New Roman"/>
        </w:rPr>
      </w:pPr>
      <w:r>
        <w:rPr>
          <w:rFonts w:ascii="Times New Roman" w:hAnsi="Times New Roman" w:cs="Times New Roman"/>
        </w:rPr>
        <w:t xml:space="preserve">Novo sa definuje preukazovanie platobnej schopnosti napriek tomu, že všetky zdravotné poisťovne deklarujú jej plnenie aj pri zachovaní doteraz platných ukazovateľov. Ukazovateľ kapitálovej primeranosti sa ruší z dôvodu, že nezohľadňuje špecifiká systému verejného zdravotného poistenia.  Mechanizmus preukazovania platobnej schopnosti cez ukazovateľ kapitálovej primeranosti je vlastný pre komerčné poisťovne a nie je vhodný pre zdravotné poisťovne v povinnom zdravotnom poistení. Zdravotné poisťovne v zásade fungujú na priebežnom systéme. Návrh na zrušenie druhého ukazovateľa vychádza z toho, že sledovanie pomeru krátkodobých aktív a záväzkov samo o sebe, bez nadväzujúcich ďalších analýz  má pomerne malú vypovedaciu schopnosť. </w:t>
      </w:r>
    </w:p>
    <w:p w:rsidR="00107A3C" w:rsidP="00107A3C">
      <w:pPr>
        <w:bidi w:val="0"/>
        <w:jc w:val="both"/>
        <w:rPr>
          <w:rFonts w:ascii="Times New Roman" w:hAnsi="Times New Roman" w:cs="Times New Roman"/>
        </w:rPr>
      </w:pPr>
      <w:r>
        <w:rPr>
          <w:rFonts w:ascii="Times New Roman" w:hAnsi="Times New Roman" w:cs="Times New Roman"/>
        </w:rPr>
        <w:t>Na účinnú reguláciu finančného zdravia zdravotných poisťovní  postačuje v plnej miere  preukazovať platobnú schopnosť  schopnosťou uhrádzať  záväzky voči poskytovateľom v lehote, ktorá nepresiahne 30 kalendárnych dní odo dňa zmluvne dohodnutej lehoty splatnosti záväzkov voči poskytovateľom.</w:t>
      </w:r>
    </w:p>
    <w:p w:rsidR="00107A3C" w:rsidP="00107A3C">
      <w:pPr>
        <w:bidi w:val="0"/>
        <w:ind w:firstLine="708"/>
        <w:jc w:val="both"/>
        <w:rPr>
          <w:rFonts w:ascii="Times New Roman" w:hAnsi="Times New Roman" w:cs="Times New Roman"/>
          <w:color w:val="000000"/>
        </w:rPr>
      </w:pPr>
      <w:r>
        <w:rPr>
          <w:rFonts w:ascii="Times New Roman" w:hAnsi="Times New Roman" w:cs="Times New Roman"/>
          <w:color w:val="000000"/>
        </w:rPr>
        <w:t xml:space="preserve">V zákone je riešené aj opätovné zavedenie možnosti odvolania predsedu úradu a členov správnej rady úradu vládou na návrh ministerstva aj z iných dôvodov ako v zákone taxatívne vymenovaných. </w:t>
      </w:r>
    </w:p>
    <w:p w:rsidR="00107A3C" w:rsidP="00107A3C">
      <w:pPr>
        <w:bidi w:val="0"/>
        <w:jc w:val="both"/>
        <w:rPr>
          <w:rFonts w:ascii="Times New Roman" w:hAnsi="Times New Roman" w:cs="Times New Roman"/>
        </w:rPr>
      </w:pPr>
    </w:p>
    <w:p w:rsidR="00107A3C" w:rsidP="00107A3C">
      <w:pPr>
        <w:pStyle w:val="odsek"/>
        <w:bidi w:val="0"/>
        <w:spacing w:before="0" w:after="0"/>
        <w:rPr>
          <w:rStyle w:val="Textzstupnhosymbolu1"/>
          <w:color w:val="auto"/>
        </w:rPr>
      </w:pPr>
      <w:r>
        <w:rPr>
          <w:rFonts w:ascii="Times New Roman" w:hAnsi="Times New Roman"/>
        </w:rPr>
        <w:t xml:space="preserve">Vplyv na rozpočet verejnej správy a na podnikateľské prostredie </w:t>
      </w:r>
      <w:r>
        <w:rPr>
          <w:rStyle w:val="Textzstupnhosymbolu1"/>
          <w:color w:val="000000"/>
        </w:rPr>
        <w:t>je uvedený v doložke vybraných vplyvov</w:t>
      </w:r>
      <w:r>
        <w:rPr>
          <w:rFonts w:ascii="Times New Roman" w:hAnsi="Times New Roman"/>
        </w:rPr>
        <w:t>. Návrh zákona  nemá sociálne vplyvy, vplyvy na životné prostredie a ani vplyvy na informatizáciu spoločnosti.</w:t>
      </w:r>
    </w:p>
    <w:p w:rsidR="00107A3C" w:rsidP="00107A3C">
      <w:pPr>
        <w:bidi w:val="0"/>
        <w:ind w:firstLine="720"/>
        <w:jc w:val="both"/>
        <w:rPr>
          <w:rStyle w:val="Textzstupnhosymbolu1"/>
          <w:color w:val="000000"/>
        </w:rPr>
      </w:pPr>
    </w:p>
    <w:p w:rsidR="00107A3C" w:rsidP="00107A3C">
      <w:pPr>
        <w:bidi w:val="0"/>
        <w:ind w:firstLine="720"/>
        <w:jc w:val="both"/>
        <w:rPr>
          <w:rStyle w:val="Textzstupnhosymbolu1"/>
          <w:color w:val="000000"/>
        </w:rPr>
      </w:pPr>
      <w:r>
        <w:rPr>
          <w:rStyle w:val="Textzstupnhosymbolu1"/>
          <w:color w:val="000000"/>
        </w:rPr>
        <w:t>Návrh zákona je v súlade s Ústavou Slovenskej republiky, so zákonmi ako aj s medzinárodnými zmluvami, ktorými je Slovenská republika viazaná a právnymi predpismi Európskej únie.</w:t>
      </w:r>
    </w:p>
    <w:p w:rsidR="0058066E">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439EB"/>
    <w:rsid w:val="00107A3C"/>
    <w:rsid w:val="002439EB"/>
    <w:rsid w:val="00475FA4"/>
    <w:rsid w:val="0058066E"/>
    <w:rsid w:val="00FC4DC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3C"/>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odsek">
    <w:name w:val="odsek"/>
    <w:basedOn w:val="Normal"/>
    <w:uiPriority w:val="99"/>
    <w:rsid w:val="00107A3C"/>
    <w:pPr>
      <w:keepNext/>
      <w:widowControl/>
      <w:autoSpaceDE/>
      <w:autoSpaceDN/>
      <w:adjustRightInd/>
      <w:spacing w:before="120" w:after="120"/>
      <w:ind w:firstLine="709"/>
      <w:jc w:val="both"/>
    </w:pPr>
    <w:rPr>
      <w:rFonts w:ascii="Times New Roman" w:hAnsi="Times New Roman" w:cs="Times New Roman"/>
      <w:lang w:eastAsia="cs-CZ"/>
    </w:rPr>
  </w:style>
  <w:style w:type="character" w:customStyle="1" w:styleId="Textzstupnhosymbolu1">
    <w:name w:val="Text zástupného symbolu1"/>
    <w:uiPriority w:val="99"/>
    <w:semiHidden/>
    <w:rsid w:val="00107A3C"/>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671</Words>
  <Characters>3828</Characters>
  <Application>Microsoft Office Word</Application>
  <DocSecurity>0</DocSecurity>
  <Lines>0</Lines>
  <Paragraphs>0</Paragraphs>
  <ScaleCrop>false</ScaleCrop>
  <Company>MZ SR</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dcterms:created xsi:type="dcterms:W3CDTF">2012-04-17T14:41:00Z</dcterms:created>
  <dcterms:modified xsi:type="dcterms:W3CDTF">2012-04-17T14:41:00Z</dcterms:modified>
</cp:coreProperties>
</file>