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5E596A">
      <w:pPr>
        <w:pStyle w:val="Title"/>
        <w:pBdr>
          <w:bottom w:val="single" w:sz="12" w:space="1" w:color="auto"/>
        </w:pBdr>
        <w:rPr>
          <w:rFonts w:ascii="Arial" w:hAnsi="Arial"/>
        </w:rPr>
      </w:pPr>
      <w:r w:rsidRPr="005E596A">
        <w:rPr>
          <w:rFonts w:ascii="Arial" w:hAnsi="Arial"/>
        </w:rPr>
        <w:t>Národná rada Slovenskej republiky</w:t>
      </w:r>
    </w:p>
    <w:p w:rsidR="007473BF" w:rsidRPr="005E596A">
      <w:pPr>
        <w:jc w:val="center"/>
      </w:pPr>
    </w:p>
    <w:p w:rsidR="000C3652" w:rsidRPr="005E596A">
      <w:pPr>
        <w:pStyle w:val="Heading2"/>
        <w:keepNext/>
        <w:jc w:val="center"/>
        <w:rPr>
          <w:b/>
          <w:bCs/>
          <w:sz w:val="28"/>
          <w:szCs w:val="28"/>
        </w:rPr>
      </w:pPr>
      <w:r w:rsidRPr="005E596A" w:rsidR="006E1191">
        <w:rPr>
          <w:b/>
          <w:bCs/>
          <w:sz w:val="28"/>
          <w:szCs w:val="28"/>
        </w:rPr>
        <w:t>V</w:t>
      </w:r>
      <w:r w:rsidRPr="005E596A">
        <w:rPr>
          <w:b/>
          <w:bCs/>
          <w:sz w:val="28"/>
          <w:szCs w:val="28"/>
        </w:rPr>
        <w:t>. volebné  obdobie</w:t>
      </w:r>
    </w:p>
    <w:p w:rsidR="00B11A19" w:rsidRPr="005E596A">
      <w:r w:rsidRPr="005E596A" w:rsidR="000C3652">
        <w:t xml:space="preserve"> Číslo: </w:t>
      </w:r>
      <w:r w:rsidR="00541DAB">
        <w:t>CRD-</w:t>
      </w:r>
      <w:r w:rsidR="00A504BD">
        <w:t>211</w:t>
      </w:r>
      <w:r w:rsidRPr="005E596A" w:rsidR="000C3652">
        <w:t>/20</w:t>
      </w:r>
      <w:r w:rsidRPr="005E596A" w:rsidR="006D0AAA">
        <w:t>1</w:t>
      </w:r>
      <w:r w:rsidR="007A19A7">
        <w:t>2</w:t>
      </w:r>
    </w:p>
    <w:p w:rsidR="00B71A0B"/>
    <w:p w:rsidR="006F2297" w:rsidRPr="005E596A"/>
    <w:p w:rsidR="000C3652" w:rsidRPr="005E596A" w:rsidP="00B71A0B">
      <w:pPr>
        <w:jc w:val="center"/>
        <w:rPr>
          <w:b/>
          <w:bCs/>
          <w:sz w:val="32"/>
          <w:szCs w:val="32"/>
        </w:rPr>
      </w:pPr>
      <w:r w:rsidR="007A19A7">
        <w:rPr>
          <w:b/>
          <w:bCs/>
          <w:sz w:val="32"/>
          <w:szCs w:val="32"/>
        </w:rPr>
        <w:t>61</w:t>
      </w:r>
      <w:r w:rsidR="00BE0F19">
        <w:rPr>
          <w:b/>
          <w:bCs/>
          <w:sz w:val="32"/>
          <w:szCs w:val="32"/>
        </w:rPr>
        <w:t>9</w:t>
      </w:r>
      <w:r w:rsidRPr="005E596A">
        <w:rPr>
          <w:b/>
          <w:bCs/>
          <w:sz w:val="32"/>
          <w:szCs w:val="32"/>
        </w:rPr>
        <w:t>a</w:t>
      </w:r>
    </w:p>
    <w:p w:rsidR="00B71A0B" w:rsidRPr="005E596A" w:rsidP="00B71A0B">
      <w:pPr>
        <w:jc w:val="center"/>
        <w:rPr>
          <w:b/>
          <w:bCs/>
          <w:sz w:val="32"/>
          <w:szCs w:val="32"/>
        </w:rPr>
      </w:pPr>
    </w:p>
    <w:p w:rsidR="000C3652" w:rsidRPr="005E596A" w:rsidP="00B71A0B">
      <w:pPr>
        <w:pStyle w:val="Heading1"/>
        <w:keepNext/>
        <w:jc w:val="center"/>
        <w:rPr>
          <w:b/>
          <w:bCs/>
          <w:sz w:val="28"/>
          <w:szCs w:val="28"/>
        </w:rPr>
      </w:pPr>
      <w:r w:rsidRPr="005E596A">
        <w:rPr>
          <w:b/>
          <w:bCs/>
          <w:sz w:val="28"/>
          <w:szCs w:val="28"/>
        </w:rPr>
        <w:t>S p o l o č n á   s p r á v</w:t>
      </w:r>
      <w:r w:rsidRPr="005E596A" w:rsidR="00B71A0B">
        <w:rPr>
          <w:b/>
          <w:bCs/>
          <w:sz w:val="28"/>
          <w:szCs w:val="28"/>
        </w:rPr>
        <w:t> </w:t>
      </w:r>
      <w:r w:rsidRPr="005E596A">
        <w:rPr>
          <w:b/>
          <w:bCs/>
          <w:sz w:val="28"/>
          <w:szCs w:val="28"/>
        </w:rPr>
        <w:t>a</w:t>
      </w:r>
    </w:p>
    <w:p w:rsidR="00B71A0B" w:rsidRPr="005E596A" w:rsidP="00A6195F">
      <w:pPr>
        <w:jc w:val="center"/>
        <w:rPr>
          <w:u w:val="single"/>
        </w:rPr>
      </w:pPr>
    </w:p>
    <w:p w:rsidR="000C3652" w:rsidRPr="005E596A" w:rsidP="00A6195F">
      <w:pPr>
        <w:widowControl/>
        <w:autoSpaceDE/>
        <w:autoSpaceDN/>
        <w:adjustRightInd/>
        <w:jc w:val="center"/>
      </w:pPr>
      <w:r w:rsidRPr="005E596A">
        <w:t xml:space="preserve">výborov Národnej rady Slovenskej republiky o výsledku prerokovania </w:t>
      </w:r>
      <w:r w:rsidRPr="005E596A" w:rsidR="001A2A6E">
        <w:t xml:space="preserve">vládneho </w:t>
      </w:r>
      <w:r w:rsidRPr="005E596A" w:rsidR="001A2A6E">
        <w:rPr>
          <w:rStyle w:val="Strong"/>
          <w:b w:val="0"/>
        </w:rPr>
        <w:t>návrhu</w:t>
      </w:r>
      <w:r w:rsidRPr="005E596A" w:rsidR="001A2A6E">
        <w:rPr>
          <w:rStyle w:val="Strong"/>
        </w:rPr>
        <w:t xml:space="preserve"> </w:t>
      </w:r>
      <w:r w:rsidRPr="00AE6708" w:rsidR="00BE0F19">
        <w:rPr>
          <w:rStyle w:val="spanr"/>
          <w:bCs/>
        </w:rPr>
        <w:t>zá</w:t>
      </w:r>
      <w:r w:rsidRPr="00AB73E5" w:rsidR="00BE0F19">
        <w:rPr>
          <w:rStyle w:val="spanr"/>
          <w:bCs/>
        </w:rPr>
        <w:t>kon</w:t>
      </w:r>
      <w:r w:rsidR="00BE0F19">
        <w:rPr>
          <w:rStyle w:val="spanr"/>
          <w:bCs/>
        </w:rPr>
        <w:t>a</w:t>
      </w:r>
      <w:r w:rsidRPr="00AB73E5" w:rsidR="00BE0F19">
        <w:rPr>
          <w:rStyle w:val="spanr"/>
          <w:bCs/>
        </w:rPr>
        <w:t xml:space="preserve">,  ktorým sa mení a dopĺňa zákon č. 25/2006 Z. z. o verejnom obstarávaní a o zmene a doplnení niektorých zákonov v znení neskorších predpisov </w:t>
      </w:r>
      <w:r w:rsidR="00BE0F19">
        <w:t xml:space="preserve"> (tlač </w:t>
      </w:r>
      <w:r w:rsidR="00BE0F19">
        <w:rPr>
          <w:b/>
        </w:rPr>
        <w:t>619</w:t>
      </w:r>
      <w:r w:rsidR="00BE0F19">
        <w:t>)</w:t>
      </w:r>
      <w:r w:rsidRPr="005E596A" w:rsidR="008C7AFB">
        <w:t xml:space="preserve"> </w:t>
      </w:r>
      <w:r w:rsidRPr="005E596A">
        <w:t>v druhom čítaní</w:t>
      </w:r>
    </w:p>
    <w:p w:rsidR="000C3652" w:rsidRPr="005E596A">
      <w:pPr>
        <w:pBdr>
          <w:bottom w:val="single" w:sz="4" w:space="1" w:color="auto"/>
        </w:pBdr>
        <w:tabs>
          <w:tab w:val="left" w:pos="0"/>
        </w:tabs>
        <w:jc w:val="both"/>
        <w:rPr>
          <w:u w:val="single"/>
        </w:rPr>
      </w:pPr>
    </w:p>
    <w:p w:rsidR="00B71A0B" w:rsidRPr="005E596A">
      <w:pPr>
        <w:tabs>
          <w:tab w:val="left" w:pos="-1985"/>
          <w:tab w:val="left" w:pos="709"/>
          <w:tab w:val="left" w:pos="1077"/>
        </w:tabs>
        <w:jc w:val="both"/>
        <w:rPr>
          <w:u w:val="single"/>
        </w:rPr>
      </w:pPr>
    </w:p>
    <w:p w:rsidR="000C3652" w:rsidRPr="005E596A">
      <w:pPr>
        <w:tabs>
          <w:tab w:val="left" w:pos="-1985"/>
          <w:tab w:val="left" w:pos="709"/>
          <w:tab w:val="left" w:pos="1077"/>
        </w:tabs>
        <w:jc w:val="both"/>
      </w:pPr>
      <w:r w:rsidRPr="005E596A">
        <w:tab/>
        <w:t xml:space="preserve">Výbor Národnej rady Slovenskej republiky pre </w:t>
      </w:r>
      <w:r w:rsidR="005E596A">
        <w:t>hospodárstvo, výstavbu a dopravu</w:t>
      </w:r>
      <w:r w:rsidRPr="005E596A">
        <w:t xml:space="preserve"> ako gestorský výbor  k vládnemu návrhu </w:t>
      </w:r>
      <w:r w:rsidRPr="00AE6708" w:rsidR="00BE0F19">
        <w:rPr>
          <w:rStyle w:val="spanr"/>
          <w:bCs/>
        </w:rPr>
        <w:t>zá</w:t>
      </w:r>
      <w:r w:rsidRPr="00AB73E5" w:rsidR="00BE0F19">
        <w:rPr>
          <w:rStyle w:val="spanr"/>
          <w:bCs/>
        </w:rPr>
        <w:t>kon</w:t>
      </w:r>
      <w:r w:rsidR="00BE0F19">
        <w:rPr>
          <w:rStyle w:val="spanr"/>
          <w:bCs/>
        </w:rPr>
        <w:t>a</w:t>
      </w:r>
      <w:r w:rsidRPr="00AB73E5" w:rsidR="00BE0F19">
        <w:rPr>
          <w:rStyle w:val="spanr"/>
          <w:bCs/>
        </w:rPr>
        <w:t>,  ktorým sa</w:t>
      </w:r>
      <w:r w:rsidRPr="00AB73E5" w:rsidR="00BE0F19">
        <w:rPr>
          <w:rStyle w:val="spanr"/>
          <w:bCs/>
        </w:rPr>
        <w:t xml:space="preserve"> mení a dopĺňa zákon č. 25/2006 Z. z. o verejnom obstarávaní a o zmene a doplnení niektorých zákonov v znení neskorších predpisov </w:t>
      </w:r>
      <w:r w:rsidR="00BE0F19">
        <w:t xml:space="preserve"> (tlač </w:t>
      </w:r>
      <w:r w:rsidR="00BE0F19">
        <w:rPr>
          <w:b/>
        </w:rPr>
        <w:t>619</w:t>
      </w:r>
      <w:r w:rsidR="00BE0F19">
        <w:t>)</w:t>
      </w:r>
      <w:r w:rsidRPr="005E596A">
        <w:rPr>
          <w:b/>
          <w:bCs/>
        </w:rPr>
        <w:t xml:space="preserve"> </w:t>
      </w:r>
      <w:r w:rsidRPr="005E596A" w:rsidR="00A6195F">
        <w:t>(ďalej len „gestorský výbor“) podáva Národnej rade Slovenskej republiky podľa</w:t>
      </w:r>
      <w:r w:rsidRPr="005E596A">
        <w:t xml:space="preserve"> § 79 </w:t>
      </w:r>
      <w:r w:rsidRPr="005E596A" w:rsidR="00A6195F">
        <w:t xml:space="preserve">ods. 1 </w:t>
      </w:r>
      <w:r w:rsidRPr="005E596A">
        <w:t>zákona N</w:t>
      </w:r>
      <w:r w:rsidRPr="005E596A" w:rsidR="00A6195F">
        <w:t>árodnej rady Slo</w:t>
      </w:r>
      <w:r w:rsidRPr="005E596A" w:rsidR="00A6195F">
        <w:t>venskej republiky</w:t>
      </w:r>
      <w:r w:rsidRPr="005E596A">
        <w:t xml:space="preserve"> č. 350/1996 Z. z. o rokovacom poriadku Národnej rady Slovenskej republiky </w:t>
      </w:r>
      <w:r w:rsidRPr="005E596A" w:rsidR="00A6195F">
        <w:t xml:space="preserve">v znení neskorších predpisov </w:t>
      </w:r>
      <w:r w:rsidRPr="005E596A">
        <w:t>(ďalej len „rokovací poriadok“) spoločnú správu výborov Národnej rady Slovenskej republiky.</w:t>
      </w:r>
    </w:p>
    <w:p w:rsidR="000C3652" w:rsidRPr="005E596A">
      <w:pPr>
        <w:tabs>
          <w:tab w:val="left" w:pos="-1985"/>
          <w:tab w:val="left" w:pos="709"/>
          <w:tab w:val="left" w:pos="1077"/>
        </w:tabs>
        <w:jc w:val="both"/>
      </w:pPr>
    </w:p>
    <w:p w:rsidR="000C3652" w:rsidRPr="005E596A">
      <w:pPr>
        <w:jc w:val="center"/>
        <w:rPr>
          <w:b/>
          <w:bCs/>
        </w:rPr>
      </w:pPr>
      <w:r w:rsidRPr="005E596A">
        <w:rPr>
          <w:b/>
          <w:bCs/>
        </w:rPr>
        <w:t>I.</w:t>
      </w:r>
    </w:p>
    <w:p w:rsidR="00CA7C7E" w:rsidRPr="005E596A">
      <w:pPr>
        <w:jc w:val="center"/>
        <w:rPr>
          <w:b/>
          <w:bCs/>
        </w:rPr>
      </w:pPr>
    </w:p>
    <w:p w:rsidR="000C3652" w:rsidRPr="005E596A">
      <w:pPr>
        <w:tabs>
          <w:tab w:val="left" w:pos="0"/>
        </w:tabs>
        <w:ind w:firstLine="540"/>
        <w:jc w:val="both"/>
      </w:pPr>
      <w:r w:rsidRPr="005E596A">
        <w:t>Národná rada Slovenskej republiky uzne</w:t>
      </w:r>
      <w:r w:rsidRPr="005E596A">
        <w:t>sením</w:t>
      </w:r>
      <w:r w:rsidRPr="005E596A" w:rsidR="007F6A30">
        <w:t xml:space="preserve"> </w:t>
      </w:r>
      <w:r w:rsidRPr="005E596A" w:rsidR="00CD0504">
        <w:t>z</w:t>
      </w:r>
      <w:r w:rsidRPr="005E596A" w:rsidR="008971FC">
        <w:t xml:space="preserve"> </w:t>
      </w:r>
      <w:r w:rsidR="00A504BD">
        <w:t>29</w:t>
      </w:r>
      <w:r w:rsidRPr="005E596A" w:rsidR="00CD0504">
        <w:t xml:space="preserve">. </w:t>
      </w:r>
      <w:r w:rsidR="007A19A7">
        <w:t>februára</w:t>
      </w:r>
      <w:r w:rsidR="005E596A">
        <w:t xml:space="preserve"> 201</w:t>
      </w:r>
      <w:r w:rsidR="007A19A7">
        <w:t>2</w:t>
      </w:r>
      <w:r w:rsidRPr="005E596A">
        <w:t xml:space="preserve"> </w:t>
      </w:r>
      <w:r w:rsidRPr="005E596A" w:rsidR="003743E3">
        <w:t xml:space="preserve">č. </w:t>
      </w:r>
      <w:r w:rsidR="003A4D2C">
        <w:t>845</w:t>
      </w:r>
      <w:r w:rsidRPr="005E596A" w:rsidR="003743E3">
        <w:t xml:space="preserve"> </w:t>
      </w:r>
      <w:r w:rsidRPr="005E596A">
        <w:t>pridelila vládny  návrh</w:t>
      </w:r>
      <w:r w:rsidRPr="005E596A" w:rsidR="003B5A76">
        <w:rPr>
          <w:rStyle w:val="PlaceholderText"/>
          <w:rFonts w:ascii="Arial" w:hAnsi="Arial" w:cs="Arial"/>
          <w:color w:val="000000"/>
        </w:rPr>
        <w:t xml:space="preserve"> </w:t>
      </w:r>
      <w:r w:rsidRPr="00AE6708" w:rsidR="00BE0F19">
        <w:rPr>
          <w:rStyle w:val="spanr"/>
          <w:bCs/>
        </w:rPr>
        <w:t>zá</w:t>
      </w:r>
      <w:r w:rsidRPr="00AB73E5" w:rsidR="00BE0F19">
        <w:rPr>
          <w:rStyle w:val="spanr"/>
          <w:bCs/>
        </w:rPr>
        <w:t>kon</w:t>
      </w:r>
      <w:r w:rsidR="00BE0F19">
        <w:rPr>
          <w:rStyle w:val="spanr"/>
          <w:bCs/>
        </w:rPr>
        <w:t>a</w:t>
      </w:r>
      <w:r w:rsidRPr="00AB73E5" w:rsidR="00BE0F19">
        <w:rPr>
          <w:rStyle w:val="spanr"/>
          <w:bCs/>
        </w:rPr>
        <w:t xml:space="preserve">,  ktorým sa mení a dopĺňa zákon č. 25/2006 Z. z. o verejnom obstarávaní a o zmene a doplnení niektorých zákonov v znení neskorších predpisov </w:t>
      </w:r>
      <w:r w:rsidR="00BE0F19">
        <w:t xml:space="preserve"> (tlač </w:t>
      </w:r>
      <w:r w:rsidR="00BE0F19">
        <w:rPr>
          <w:b/>
        </w:rPr>
        <w:t>619</w:t>
      </w:r>
      <w:r w:rsidR="00BE0F19">
        <w:t>)</w:t>
      </w:r>
      <w:r w:rsidRPr="005E596A" w:rsidR="0069186E">
        <w:t xml:space="preserve"> </w:t>
      </w:r>
      <w:r w:rsidRPr="005E596A">
        <w:t xml:space="preserve">na prerokovanie </w:t>
      </w:r>
      <w:r w:rsidRPr="005E596A" w:rsidR="002D5F04">
        <w:t>týmto výborom</w:t>
      </w:r>
      <w:r w:rsidRPr="005E596A">
        <w:t>:</w:t>
      </w:r>
    </w:p>
    <w:p w:rsidR="000C3652" w:rsidRPr="005E596A">
      <w:pPr>
        <w:tabs>
          <w:tab w:val="left" w:pos="0"/>
        </w:tabs>
        <w:ind w:firstLine="540"/>
        <w:jc w:val="both"/>
      </w:pPr>
    </w:p>
    <w:p w:rsidR="000C3652" w:rsidRPr="00A504BD">
      <w:pPr>
        <w:ind w:firstLine="540"/>
      </w:pPr>
      <w:r w:rsidRPr="00A504BD">
        <w:t>Ústavno</w:t>
      </w:r>
      <w:r w:rsidRPr="00A504BD">
        <w:t xml:space="preserve">právnemu výboru </w:t>
      </w:r>
      <w:r w:rsidR="00A504BD">
        <w:t>NR SR</w:t>
      </w:r>
      <w:r w:rsidRPr="00A504BD" w:rsidR="00FD4551">
        <w:t xml:space="preserve"> </w:t>
      </w:r>
      <w:r w:rsidRPr="00A504BD" w:rsidR="00BB70A3">
        <w:t xml:space="preserve"> </w:t>
      </w:r>
    </w:p>
    <w:p w:rsidR="003A4D2C" w:rsidRPr="00A504BD" w:rsidP="003A4D2C">
      <w:pPr>
        <w:ind w:firstLine="540"/>
      </w:pPr>
      <w:r w:rsidRPr="00A504BD">
        <w:t xml:space="preserve">Výboru </w:t>
      </w:r>
      <w:r>
        <w:t>NR SR</w:t>
      </w:r>
      <w:r w:rsidRPr="00A504BD">
        <w:t xml:space="preserve"> pre </w:t>
      </w:r>
      <w:r>
        <w:t>financie a rozpočet</w:t>
      </w:r>
    </w:p>
    <w:p w:rsidR="009B1751" w:rsidRPr="00A504BD" w:rsidP="009B1751">
      <w:pPr>
        <w:ind w:firstLine="540"/>
      </w:pPr>
      <w:r w:rsidRPr="00A504BD">
        <w:t xml:space="preserve">Výboru </w:t>
      </w:r>
      <w:r w:rsidR="00A504BD">
        <w:t>NR SR</w:t>
      </w:r>
      <w:r w:rsidRPr="00A504BD">
        <w:t xml:space="preserve"> pre </w:t>
      </w:r>
      <w:r w:rsidRPr="00A504BD" w:rsidR="00541DAB">
        <w:t>hospodárstvo, výstavbu a</w:t>
      </w:r>
      <w:r w:rsidR="00A504BD">
        <w:t> </w:t>
      </w:r>
      <w:r w:rsidRPr="00A504BD" w:rsidR="00541DAB">
        <w:t>dopravu</w:t>
      </w:r>
      <w:r w:rsidR="00A504BD">
        <w:t xml:space="preserve"> a</w:t>
      </w:r>
    </w:p>
    <w:p w:rsidR="00A504BD" w:rsidRPr="00A504BD" w:rsidP="00A504BD">
      <w:pPr>
        <w:ind w:firstLine="540"/>
      </w:pPr>
      <w:r w:rsidRPr="00A504BD">
        <w:t xml:space="preserve">Výboru Národnej rady Slovenskej republiky pre </w:t>
      </w:r>
      <w:r>
        <w:t>obranu a bezpečnosť</w:t>
      </w:r>
      <w:r w:rsidRPr="00A504BD">
        <w:t>.</w:t>
      </w:r>
    </w:p>
    <w:p w:rsidR="0016707B" w:rsidRPr="005E596A" w:rsidP="0016707B">
      <w:pPr>
        <w:rPr>
          <w:b/>
          <w:bCs/>
        </w:rPr>
      </w:pPr>
    </w:p>
    <w:p w:rsidR="000C3652" w:rsidRPr="005E596A">
      <w:pPr>
        <w:jc w:val="center"/>
        <w:rPr>
          <w:b/>
          <w:bCs/>
        </w:rPr>
      </w:pPr>
      <w:r w:rsidRPr="005E596A">
        <w:rPr>
          <w:b/>
          <w:bCs/>
        </w:rPr>
        <w:t>II.</w:t>
      </w:r>
    </w:p>
    <w:p w:rsidR="00CA7C7E" w:rsidRPr="005E596A">
      <w:pPr>
        <w:jc w:val="center"/>
        <w:rPr>
          <w:b/>
          <w:bCs/>
        </w:rPr>
      </w:pPr>
    </w:p>
    <w:p w:rsidR="000C3652" w:rsidRPr="005E596A">
      <w:pPr>
        <w:ind w:firstLine="567"/>
        <w:jc w:val="both"/>
      </w:pPr>
      <w:r w:rsidRPr="005E596A">
        <w:t>Poslanci Národnej rady Slovenskej republiky, ktorí nie sú členmi výborov, ktorým bol návrh zákona pridelený, neoznámili v určenej lehote gestorskému výboru žiadne stanovisko k predmetnému návrhu zákona (§ 75 ods. 2 rokovacieho poriadku).</w:t>
      </w:r>
    </w:p>
    <w:p w:rsidR="00B11A19">
      <w:pPr>
        <w:jc w:val="center"/>
        <w:rPr>
          <w:b/>
          <w:bCs/>
        </w:rPr>
      </w:pPr>
    </w:p>
    <w:p w:rsidR="006F2297">
      <w:pPr>
        <w:jc w:val="center"/>
        <w:rPr>
          <w:b/>
          <w:bCs/>
        </w:rPr>
      </w:pPr>
    </w:p>
    <w:p w:rsidR="006F2297" w:rsidRPr="005E596A">
      <w:pPr>
        <w:jc w:val="center"/>
        <w:rPr>
          <w:b/>
          <w:bCs/>
        </w:rPr>
      </w:pPr>
    </w:p>
    <w:p w:rsidR="000C3652" w:rsidRPr="005E596A">
      <w:pPr>
        <w:jc w:val="center"/>
        <w:rPr>
          <w:b/>
          <w:bCs/>
        </w:rPr>
      </w:pPr>
      <w:r w:rsidRPr="005E596A">
        <w:rPr>
          <w:b/>
          <w:bCs/>
        </w:rPr>
        <w:t>III.</w:t>
      </w:r>
    </w:p>
    <w:p w:rsidR="00CA7C7E" w:rsidRPr="005E596A">
      <w:pPr>
        <w:jc w:val="center"/>
        <w:rPr>
          <w:b/>
          <w:bCs/>
        </w:rPr>
      </w:pPr>
    </w:p>
    <w:p w:rsidR="00B11A19" w:rsidRPr="003A4D2C" w:rsidP="00B71A0B">
      <w:pPr>
        <w:numPr>
          <w:ilvl w:val="0"/>
          <w:numId w:val="13"/>
        </w:numPr>
        <w:jc w:val="both"/>
        <w:rPr>
          <w:bCs/>
          <w:u w:val="single"/>
        </w:rPr>
      </w:pPr>
      <w:r w:rsidRPr="00A504BD" w:rsidR="00D14D36">
        <w:t>Ústavnoprávny výbor Národnej rady Slovenskej republiky</w:t>
      </w:r>
      <w:r w:rsidRPr="00A504BD" w:rsidR="00613D93">
        <w:t xml:space="preserve"> o návrhu rokoval</w:t>
      </w:r>
      <w:r w:rsidRPr="00A504BD" w:rsidR="00D14D36">
        <w:rPr>
          <w:bCs/>
        </w:rPr>
        <w:t xml:space="preserve"> </w:t>
      </w:r>
      <w:r w:rsidRPr="00A504BD" w:rsidR="008C7AFB">
        <w:rPr>
          <w:bCs/>
        </w:rPr>
        <w:t> </w:t>
      </w:r>
      <w:r w:rsidR="00A504BD">
        <w:rPr>
          <w:bCs/>
        </w:rPr>
        <w:t>29</w:t>
      </w:r>
      <w:r w:rsidRPr="00A504BD" w:rsidR="001A49D0">
        <w:rPr>
          <w:bCs/>
        </w:rPr>
        <w:t xml:space="preserve">. </w:t>
      </w:r>
      <w:r w:rsidRPr="00A504BD" w:rsidR="007A19A7">
        <w:rPr>
          <w:bCs/>
        </w:rPr>
        <w:t>fe</w:t>
      </w:r>
      <w:r w:rsidRPr="00A504BD" w:rsidR="007A19A7">
        <w:rPr>
          <w:bCs/>
        </w:rPr>
        <w:t>bruára</w:t>
      </w:r>
      <w:r w:rsidRPr="00A504BD" w:rsidR="00D14D36">
        <w:rPr>
          <w:bCs/>
        </w:rPr>
        <w:t xml:space="preserve"> 20</w:t>
      </w:r>
      <w:r w:rsidRPr="00A504BD" w:rsidR="008971FC">
        <w:rPr>
          <w:bCs/>
        </w:rPr>
        <w:t>1</w:t>
      </w:r>
      <w:r w:rsidRPr="00A504BD" w:rsidR="007A19A7">
        <w:rPr>
          <w:bCs/>
        </w:rPr>
        <w:t>2</w:t>
      </w:r>
      <w:r w:rsidRPr="00A504BD" w:rsidR="00613D93">
        <w:rPr>
          <w:bCs/>
        </w:rPr>
        <w:t xml:space="preserve"> a</w:t>
      </w:r>
      <w:r w:rsidR="003A4D2C">
        <w:rPr>
          <w:bCs/>
        </w:rPr>
        <w:t xml:space="preserve"> neprijal platné uznesenie, nakoľko návrh uznesenia nezískal súhlas nadpolovičnej väčšiny prítomných poslancov. </w:t>
      </w:r>
    </w:p>
    <w:p w:rsidR="003A4D2C" w:rsidRPr="00A504BD" w:rsidP="003A4D2C">
      <w:pPr>
        <w:numPr>
          <w:ilvl w:val="0"/>
          <w:numId w:val="13"/>
        </w:numPr>
        <w:jc w:val="both"/>
        <w:rPr>
          <w:b/>
          <w:bCs/>
        </w:rPr>
      </w:pPr>
      <w:r w:rsidRPr="00A504BD">
        <w:t xml:space="preserve">Výbor Národnej rady Slovenskej republiky </w:t>
      </w:r>
      <w:r>
        <w:t>pre financie a rozpočet</w:t>
      </w:r>
      <w:r w:rsidRPr="00A504BD">
        <w:t xml:space="preserve"> o návrhu rokoval </w:t>
      </w:r>
      <w:r w:rsidRPr="00A504BD">
        <w:rPr>
          <w:bCs/>
        </w:rPr>
        <w:t>29. februára 2012 a uznesením č. </w:t>
      </w:r>
      <w:r>
        <w:rPr>
          <w:bCs/>
        </w:rPr>
        <w:t>332</w:t>
      </w:r>
      <w:r w:rsidRPr="00A504BD">
        <w:rPr>
          <w:bCs/>
        </w:rPr>
        <w:t xml:space="preserve"> odporučil Národnej rade Slovenskej republiky tento schváliť.</w:t>
      </w:r>
    </w:p>
    <w:p w:rsidR="00712ABF" w:rsidRPr="00A504BD" w:rsidP="00712ABF">
      <w:pPr>
        <w:numPr>
          <w:ilvl w:val="0"/>
          <w:numId w:val="18"/>
        </w:numPr>
        <w:jc w:val="both"/>
        <w:rPr>
          <w:b/>
          <w:bCs/>
        </w:rPr>
      </w:pPr>
      <w:r w:rsidRPr="00A504BD">
        <w:t xml:space="preserve">Výbor Národnej rady Slovenskej republiky pre </w:t>
      </w:r>
      <w:r w:rsidRPr="00A504BD" w:rsidR="00541DAB">
        <w:t>hospodárstvo, výstavbu a dopravu</w:t>
      </w:r>
      <w:r w:rsidRPr="00A504BD" w:rsidR="00613D93">
        <w:t xml:space="preserve"> o návrhu rokoval</w:t>
      </w:r>
      <w:r w:rsidRPr="00A504BD">
        <w:t xml:space="preserve"> </w:t>
      </w:r>
      <w:r w:rsidRPr="00A504BD" w:rsidR="00A504BD">
        <w:rPr>
          <w:bCs/>
        </w:rPr>
        <w:t>29</w:t>
      </w:r>
      <w:r w:rsidRPr="00A504BD">
        <w:rPr>
          <w:bCs/>
        </w:rPr>
        <w:t xml:space="preserve">. </w:t>
      </w:r>
      <w:r w:rsidRPr="00A504BD" w:rsidR="007A19A7">
        <w:rPr>
          <w:bCs/>
        </w:rPr>
        <w:t>februára</w:t>
      </w:r>
      <w:r w:rsidRPr="00A504BD">
        <w:rPr>
          <w:bCs/>
        </w:rPr>
        <w:t xml:space="preserve"> 20</w:t>
      </w:r>
      <w:r w:rsidRPr="00A504BD" w:rsidR="008971FC">
        <w:rPr>
          <w:bCs/>
        </w:rPr>
        <w:t>1</w:t>
      </w:r>
      <w:r w:rsidRPr="00A504BD" w:rsidR="007A19A7">
        <w:rPr>
          <w:bCs/>
        </w:rPr>
        <w:t>2</w:t>
      </w:r>
      <w:r w:rsidRPr="00A504BD">
        <w:rPr>
          <w:bCs/>
        </w:rPr>
        <w:t xml:space="preserve"> </w:t>
      </w:r>
      <w:r w:rsidRPr="00A504BD" w:rsidR="00613D93">
        <w:rPr>
          <w:bCs/>
        </w:rPr>
        <w:t xml:space="preserve">a uznesením </w:t>
      </w:r>
      <w:r w:rsidRPr="00A504BD">
        <w:rPr>
          <w:bCs/>
        </w:rPr>
        <w:t>č. </w:t>
      </w:r>
      <w:r w:rsidRPr="00A504BD" w:rsidR="00A504BD">
        <w:rPr>
          <w:bCs/>
        </w:rPr>
        <w:t>244</w:t>
      </w:r>
      <w:r w:rsidRPr="00A504BD" w:rsidR="00613D93">
        <w:rPr>
          <w:bCs/>
        </w:rPr>
        <w:t xml:space="preserve"> odporučil Národnej rade Slovenskej republiky</w:t>
      </w:r>
      <w:r w:rsidRPr="00A504BD" w:rsidR="001E7A63">
        <w:rPr>
          <w:bCs/>
        </w:rPr>
        <w:t xml:space="preserve"> tento</w:t>
      </w:r>
      <w:r w:rsidRPr="00A504BD" w:rsidR="00EA3740">
        <w:rPr>
          <w:bCs/>
        </w:rPr>
        <w:t xml:space="preserve"> schváliť</w:t>
      </w:r>
      <w:r w:rsidRPr="00A504BD">
        <w:rPr>
          <w:bCs/>
        </w:rPr>
        <w:t>.</w:t>
      </w:r>
    </w:p>
    <w:p w:rsidR="003A4D2C" w:rsidRPr="00A504BD" w:rsidP="003A4D2C">
      <w:pPr>
        <w:numPr>
          <w:ilvl w:val="0"/>
          <w:numId w:val="18"/>
        </w:numPr>
        <w:jc w:val="both"/>
        <w:rPr>
          <w:b/>
          <w:bCs/>
        </w:rPr>
      </w:pPr>
      <w:r w:rsidRPr="00A504BD">
        <w:t>Výbor Národne</w:t>
      </w:r>
      <w:r w:rsidRPr="00A504BD">
        <w:t xml:space="preserve">j rady Slovenskej republiky pre </w:t>
      </w:r>
      <w:r>
        <w:t>obranu a bezpečnosť</w:t>
      </w:r>
      <w:r w:rsidRPr="00A504BD">
        <w:t xml:space="preserve"> o návrhu rokoval </w:t>
      </w:r>
      <w:r w:rsidRPr="00A504BD">
        <w:rPr>
          <w:bCs/>
        </w:rPr>
        <w:t>29. februára 2012 a</w:t>
      </w:r>
      <w:r>
        <w:rPr>
          <w:bCs/>
        </w:rPr>
        <w:t> neprijal platné uznesenie, nakoľko návrh uznesenia nezískal súhlas nadpolovičnej väčšiny prítomných poslancov</w:t>
      </w:r>
      <w:r w:rsidRPr="00A504BD">
        <w:rPr>
          <w:bCs/>
        </w:rPr>
        <w:t>.</w:t>
      </w:r>
    </w:p>
    <w:p w:rsidR="008971FC" w:rsidRPr="005E596A" w:rsidP="003A4D2C">
      <w:pPr>
        <w:rPr>
          <w:b/>
          <w:bCs/>
        </w:rPr>
      </w:pPr>
    </w:p>
    <w:p w:rsidR="000C3652" w:rsidRPr="005E596A">
      <w:pPr>
        <w:jc w:val="center"/>
        <w:rPr>
          <w:b/>
          <w:bCs/>
        </w:rPr>
      </w:pPr>
      <w:r w:rsidRPr="005E596A">
        <w:rPr>
          <w:b/>
          <w:bCs/>
        </w:rPr>
        <w:t>IV.</w:t>
      </w:r>
    </w:p>
    <w:p w:rsidR="00CA7C7E" w:rsidRPr="009B5D9D">
      <w:pPr>
        <w:jc w:val="center"/>
        <w:rPr>
          <w:b/>
          <w:bCs/>
          <w:u w:val="single"/>
        </w:rPr>
      </w:pPr>
    </w:p>
    <w:p w:rsidR="00A504BD" w:rsidP="00A504BD">
      <w:pPr>
        <w:ind w:firstLine="567"/>
        <w:jc w:val="both"/>
      </w:pPr>
      <w:r w:rsidRPr="009F0EF1">
        <w:t>Z uznesen</w:t>
      </w:r>
      <w:r w:rsidR="00AC56AB">
        <w:t>í</w:t>
      </w:r>
      <w:r w:rsidR="00102BD9">
        <w:t xml:space="preserve"> </w:t>
      </w:r>
      <w:r w:rsidR="00AC56AB">
        <w:t>v</w:t>
      </w:r>
      <w:r w:rsidRPr="009F0EF1">
        <w:t>ýbor</w:t>
      </w:r>
      <w:r w:rsidR="00AC56AB">
        <w:t>ov</w:t>
      </w:r>
      <w:r w:rsidRPr="009F0EF1">
        <w:t xml:space="preserve"> Národnej rady Slovenskej republ</w:t>
      </w:r>
      <w:r w:rsidRPr="009F0EF1">
        <w:t>iky pod bodom III tejto správy vyplývajú</w:t>
      </w:r>
      <w:r w:rsidR="00345164">
        <w:t xml:space="preserve"> tieto</w:t>
      </w:r>
      <w:r w:rsidRPr="009F0EF1">
        <w:t xml:space="preserve"> pozmeňujúce a doplňujúce návrhy</w:t>
      </w:r>
      <w:r w:rsidR="00345164">
        <w:t>:</w:t>
      </w:r>
    </w:p>
    <w:p w:rsidR="00345164" w:rsidP="00A504BD">
      <w:pPr>
        <w:ind w:firstLine="567"/>
        <w:jc w:val="both"/>
      </w:pPr>
    </w:p>
    <w:p w:rsidR="003A4D2C" w:rsidP="003A4D2C">
      <w:pPr>
        <w:widowControl/>
        <w:numPr>
          <w:ilvl w:val="0"/>
          <w:numId w:val="37"/>
        </w:numPr>
        <w:tabs>
          <w:tab w:val="num" w:pos="644"/>
        </w:tabs>
        <w:autoSpaceDE/>
        <w:autoSpaceDN/>
        <w:adjustRightInd/>
        <w:ind w:left="644"/>
        <w:jc w:val="both"/>
      </w:pPr>
      <w:r>
        <w:rPr>
          <w:bCs/>
        </w:rPr>
        <w:t>Za čl. I sa vkladá nový článok II, ktorý znie:  </w:t>
      </w:r>
    </w:p>
    <w:p w:rsidR="003A4D2C" w:rsidP="003A4D2C">
      <w:pPr>
        <w:pStyle w:val="Odsekzoznamu"/>
        <w:ind w:left="709"/>
        <w:jc w:val="center"/>
      </w:pPr>
    </w:p>
    <w:p w:rsidR="003A4D2C" w:rsidP="003A4D2C">
      <w:pPr>
        <w:pStyle w:val="Odsekzoznamu"/>
        <w:ind w:left="709"/>
        <w:jc w:val="center"/>
      </w:pPr>
      <w:r>
        <w:t>„Čl. II</w:t>
      </w:r>
    </w:p>
    <w:p w:rsidR="003A4D2C" w:rsidP="003A4D2C">
      <w:pPr>
        <w:pStyle w:val="Odsekzoznamu"/>
        <w:ind w:left="709"/>
        <w:jc w:val="center"/>
      </w:pPr>
    </w:p>
    <w:p w:rsidR="003A4D2C" w:rsidP="003A4D2C">
      <w:pPr>
        <w:ind w:firstLine="708"/>
        <w:jc w:val="both"/>
        <w:rPr>
          <w:color w:val="231F20"/>
          <w:lang w:eastAsia="en-US"/>
        </w:rPr>
      </w:pPr>
      <w:r>
        <w:rPr>
          <w:color w:val="231F20"/>
          <w:lang w:eastAsia="en-US"/>
        </w:rPr>
        <w:t>Zákon č. 92/1991 Zb. o podmienkach prevodu majetku štátu na iné osoby v znení zákona č. 92/1992 Zb., zákona č. 264/1992 Zb., ústavného zákona č. 541/1992 Zb., zákona č. 544/1992 Zb., zákona Národnej rady Slovenskej republiky č. 17/1993 Z. z., zákona Národnej rady Slovenskej republiky č. 172/1993 Z. z., zákona Národnej rady Slovenskej republiky č. 278/1993 Z. z., zákona Národnej rady Slovenskej republiky č. 60/1994 Z. z., zákona Národnej rady Slovenskej republiky č. 172/1994 Z. z., zákona Národnej rady Slovenskej republiky č. 244/1994 Z. z., zákona Národnej rady Slovenskej republiky č. 369/1994 Z. z., zákona Národnej rady Slovenskej republiky č. 374/1994 Z. z., zákona Národnej rady Slovenskej republiky č. 190/1995 Z. z., zákona Národnej rady Slovenskej republiky č. 304/1995 Z. z., nálezu Ústavného súdu Slovenskej republiky č. 4/1996 Z. z., zákona Národnej rady Slovenskej republiky č. 56/1996 Z. z., zákona Národnej rady Slovenskej republiky č. 322/1996 Z. z., nálezu Ústavného súdu Slovenskej republiky č. 352/1996 Z. z., zákona č. 210/1997 Z. z., zákona č. 211/1997 Z. z., nálezu Ústavného súdu Slovenskej republiky č. 221/1998 Z. z., zákona č. 253/1999 Z. z., zákona č. 122/2000 Z. z., zákona č. 441/2000 Z. z., zákona č. 13/2002 Z. z., zákona č. 291/2002 Z. z., zákona č. 292/2002 Z. z., zákona č. 465/2002 Z. z., zákona č. 564/2003 Z. z., zákona č. 359/2004 Z. z., zákona č. 523/2004 Z. z., zákona č. 717/2004 Z. z., zákona č. 595/2006 Z. z., zákona č. 160/2009 Z. z., zákona č. 563/2009 Z. z.,  zákona č. 38/2010 Z. z., zákona č. 153/2011 Z. z. a zákona č. 520/2011 Z. z.  sa mení takto:</w:t>
      </w:r>
    </w:p>
    <w:p w:rsidR="003A4D2C" w:rsidP="003A4D2C">
      <w:pPr>
        <w:jc w:val="both"/>
        <w:rPr>
          <w:color w:val="231F20"/>
          <w:lang w:eastAsia="en-US"/>
        </w:rPr>
      </w:pPr>
      <w:r>
        <w:rPr>
          <w:color w:val="231F20"/>
          <w:lang w:eastAsia="en-US"/>
        </w:rPr>
        <w:t>V § 47h sa číslo „2012“ nahrádza číslom „2013“.“.</w:t>
      </w:r>
    </w:p>
    <w:p w:rsidR="003A4D2C" w:rsidP="003A4D2C">
      <w:pPr>
        <w:ind w:left="2832"/>
        <w:jc w:val="both"/>
        <w:rPr>
          <w:bCs/>
          <w:iCs/>
          <w:lang w:eastAsia="en-US"/>
        </w:rPr>
      </w:pPr>
    </w:p>
    <w:p w:rsidR="006F2297" w:rsidP="003A4D2C">
      <w:pPr>
        <w:ind w:left="2832"/>
        <w:jc w:val="both"/>
        <w:rPr>
          <w:bCs/>
          <w:iCs/>
          <w:lang w:eastAsia="en-US"/>
        </w:rPr>
      </w:pPr>
    </w:p>
    <w:p w:rsidR="003A4D2C" w:rsidP="003A4D2C">
      <w:pPr>
        <w:ind w:left="2832"/>
        <w:jc w:val="both"/>
        <w:rPr>
          <w:bCs/>
          <w:iCs/>
          <w:lang w:eastAsia="en-US"/>
        </w:rPr>
      </w:pPr>
      <w:r>
        <w:rPr>
          <w:bCs/>
          <w:iCs/>
          <w:lang w:eastAsia="en-US"/>
        </w:rPr>
        <w:t>Pôvodne ustanovená lehota (do konca roku 2012) na ukončenie možnosti pre fyzické osoby ponúknuť Fondu národného majetku SR bezodplatne cenné papiere bez reálnej hodnoty sa navrhuje predĺžiť o jeden rok. Navrhované predĺženie lehoty vyplýva zo skutočnosti, že v praxi sa ukázalo administratívno-technické zabezpečenie týchto prevodov za nedostatočné (v súčasnosti dostávajú fyzické osoby časenky na vybavenie prevodu nimi vlastnených cenných papierov až na mesiac november t.r.). Predĺženie uvedenej lehoty má byť jedným zo súboru zamýšľaných opatrení, ktoré by mala navrhnúť pracovná skupina zriadená zo zástupcov Fondu národného majetku SR, Centrálneho depozitára SR, a.s., Ministerstva spravodlivosti SR, Ministerstva financií SR a Národnej banky Slovenska. Od uvedenej pracovnej skupiny sa očakávajú návrhy na odstránenie nedostatkov, ktoré sa vyskytli pri praktickej realizácii predmetných prevodov cenných papierov, a to najmä</w:t>
      </w:r>
      <w:r w:rsidR="00AC56AB">
        <w:rPr>
          <w:bCs/>
          <w:iCs/>
          <w:lang w:eastAsia="en-US"/>
        </w:rPr>
        <w:t xml:space="preserve"> </w:t>
      </w:r>
      <w:r>
        <w:rPr>
          <w:bCs/>
          <w:iCs/>
          <w:lang w:eastAsia="en-US"/>
        </w:rPr>
        <w:t>problémy spomínaného nedostatočného administratívno-technického zabezpečenia celého procesu (najmä nedostatok kontaktných miest), časová náročnosť vybavovania a problematika dedičských konaní, kedy cenné papiere neboli zahrnuté do právoplatného rozhodnutia o dedičstve a v mnohých prípadoch ide o novo objavený majetok.</w:t>
      </w:r>
    </w:p>
    <w:p w:rsidR="00102BD9" w:rsidRPr="00ED2309" w:rsidP="00102BD9">
      <w:pPr>
        <w:jc w:val="both"/>
        <w:rPr>
          <w:b/>
          <w:bCs/>
        </w:rPr>
      </w:pPr>
    </w:p>
    <w:p w:rsidR="00102BD9" w:rsidRPr="00AA3B99" w:rsidP="00102BD9">
      <w:pPr>
        <w:ind w:left="2835"/>
        <w:rPr>
          <w:b/>
        </w:rPr>
      </w:pPr>
      <w:r w:rsidRPr="00AA3B99">
        <w:rPr>
          <w:b/>
        </w:rPr>
        <w:t xml:space="preserve">Výboru NR SR pre </w:t>
      </w:r>
      <w:r>
        <w:rPr>
          <w:b/>
        </w:rPr>
        <w:t>financie a rozpočet</w:t>
      </w:r>
    </w:p>
    <w:p w:rsidR="00102BD9" w:rsidRPr="00EB25A2" w:rsidP="00102BD9">
      <w:pPr>
        <w:ind w:left="2835"/>
        <w:rPr>
          <w:b/>
          <w:bCs/>
          <w:u w:val="single"/>
        </w:rPr>
      </w:pPr>
    </w:p>
    <w:p w:rsidR="00102BD9" w:rsidRPr="00AC56AB" w:rsidP="00102BD9">
      <w:pPr>
        <w:ind w:left="2835"/>
        <w:rPr>
          <w:b/>
          <w:i/>
          <w:iCs/>
        </w:rPr>
      </w:pPr>
      <w:r w:rsidRPr="00AC56AB">
        <w:rPr>
          <w:b/>
          <w:i/>
          <w:iCs/>
        </w:rPr>
        <w:t>Gestorský výbor odporúča schváliť</w:t>
      </w:r>
    </w:p>
    <w:p w:rsidR="003A4D2C" w:rsidP="003A4D2C">
      <w:pPr>
        <w:tabs>
          <w:tab w:val="left" w:pos="2977"/>
        </w:tabs>
        <w:jc w:val="both"/>
      </w:pPr>
    </w:p>
    <w:p w:rsidR="003A4D2C" w:rsidP="003A4D2C">
      <w:pPr>
        <w:widowControl/>
        <w:numPr>
          <w:ilvl w:val="0"/>
          <w:numId w:val="37"/>
        </w:numPr>
        <w:tabs>
          <w:tab w:val="num" w:pos="644"/>
        </w:tabs>
        <w:autoSpaceDE/>
        <w:autoSpaceDN/>
        <w:adjustRightInd/>
        <w:ind w:left="644"/>
        <w:jc w:val="both"/>
      </w:pPr>
      <w:r>
        <w:rPr>
          <w:bCs/>
        </w:rPr>
        <w:t>V nadväznosti na navrhované doplnenie nového článku je potrebné primerane upraviť názov zákona a doterajší článok II označiť ako článok III.</w:t>
      </w:r>
    </w:p>
    <w:p w:rsidR="00345164" w:rsidRPr="00ED2309" w:rsidP="00345164">
      <w:pPr>
        <w:jc w:val="both"/>
        <w:rPr>
          <w:b/>
          <w:bCs/>
        </w:rPr>
      </w:pPr>
    </w:p>
    <w:p w:rsidR="003A4D2C" w:rsidRPr="00AA3B99" w:rsidP="003A4D2C">
      <w:pPr>
        <w:ind w:left="2835"/>
        <w:rPr>
          <w:b/>
        </w:rPr>
      </w:pPr>
      <w:r w:rsidRPr="00AA3B99">
        <w:rPr>
          <w:b/>
        </w:rPr>
        <w:t xml:space="preserve">Výboru NR SR pre </w:t>
      </w:r>
      <w:r>
        <w:rPr>
          <w:b/>
        </w:rPr>
        <w:t>financie a rozpočet</w:t>
      </w:r>
    </w:p>
    <w:p w:rsidR="00345164" w:rsidRPr="00EB25A2" w:rsidP="00345164">
      <w:pPr>
        <w:ind w:left="2835"/>
        <w:rPr>
          <w:b/>
          <w:bCs/>
          <w:u w:val="single"/>
        </w:rPr>
      </w:pPr>
    </w:p>
    <w:p w:rsidR="00345164" w:rsidRPr="00AC56AB" w:rsidP="00345164">
      <w:pPr>
        <w:ind w:left="2835"/>
        <w:rPr>
          <w:b/>
          <w:i/>
          <w:iCs/>
        </w:rPr>
      </w:pPr>
      <w:r w:rsidRPr="00AC56AB">
        <w:rPr>
          <w:b/>
          <w:i/>
          <w:iCs/>
        </w:rPr>
        <w:t>Gestorský výbor odporúča schváliť</w:t>
      </w:r>
    </w:p>
    <w:p w:rsidR="001D7D84" w:rsidP="001D7D84">
      <w:pPr>
        <w:pStyle w:val="ListParagraph"/>
        <w:spacing w:line="240" w:lineRule="auto"/>
        <w:ind w:left="0"/>
        <w:jc w:val="both"/>
        <w:rPr>
          <w:rFonts w:ascii="Arial" w:hAnsi="Arial" w:cs="Arial"/>
          <w:sz w:val="24"/>
          <w:szCs w:val="24"/>
          <w:lang w:eastAsia="sk-SK"/>
        </w:rPr>
      </w:pPr>
    </w:p>
    <w:p w:rsidR="00AC56AB" w:rsidP="001D7D84">
      <w:pPr>
        <w:pStyle w:val="ListParagraph"/>
        <w:numPr>
          <w:ilvl w:val="0"/>
          <w:numId w:val="37"/>
        </w:numPr>
        <w:tabs>
          <w:tab w:val="clear" w:pos="360"/>
        </w:tabs>
        <w:spacing w:line="240" w:lineRule="auto"/>
        <w:ind w:left="709"/>
        <w:jc w:val="both"/>
        <w:rPr>
          <w:rFonts w:ascii="Arial" w:hAnsi="Arial" w:cs="Arial"/>
          <w:sz w:val="24"/>
          <w:szCs w:val="24"/>
        </w:rPr>
      </w:pPr>
      <w:r w:rsidRPr="00AC56AB">
        <w:rPr>
          <w:rFonts w:ascii="Arial" w:hAnsi="Arial" w:cs="Arial"/>
          <w:sz w:val="24"/>
          <w:szCs w:val="24"/>
        </w:rPr>
        <w:t>V čl. I bode 80. sa slová „1. marca“ nahrádzajú slovami „31. marca“, slová „29. februára“ sa nahrádzajú slovami „30. marca“ a slová „29. februári“ sa nahrádzajú slovami „30. marci“</w:t>
      </w:r>
    </w:p>
    <w:p w:rsidR="00AC56AB" w:rsidRPr="00AC56AB" w:rsidP="00AC56AB">
      <w:pPr>
        <w:ind w:left="2835"/>
        <w:jc w:val="both"/>
      </w:pPr>
      <w:r w:rsidRPr="00AC56AB">
        <w:t>Posunutím účinnosti sa sleduje zabezpečenie dostatočného časového priestoru na podpísanie návrhu zákona predsedom Národnej rady Slovenskej republiky, predsedníčkou vlády Slovenskej republiky a prezidentom Slovenskej republiky, na uverejnenie v Zbierke zákonov Slovenskej republiky ako aj zabezpečenie dostatočnej legisvakancie.</w:t>
      </w:r>
    </w:p>
    <w:p w:rsidR="00AC56AB" w:rsidP="00AC56AB">
      <w:pPr>
        <w:ind w:left="2835"/>
        <w:rPr>
          <w:b/>
        </w:rPr>
      </w:pPr>
    </w:p>
    <w:p w:rsidR="00AC56AB" w:rsidRPr="00AA3B99" w:rsidP="00AC56AB">
      <w:pPr>
        <w:ind w:left="2835"/>
        <w:rPr>
          <w:b/>
        </w:rPr>
      </w:pPr>
      <w:r w:rsidRPr="00AA3B99">
        <w:rPr>
          <w:b/>
        </w:rPr>
        <w:t xml:space="preserve">Výboru NR SR pre </w:t>
      </w:r>
      <w:r>
        <w:rPr>
          <w:b/>
        </w:rPr>
        <w:t>hospodárstvo, výstavbu a rozpočet</w:t>
      </w:r>
    </w:p>
    <w:p w:rsidR="00AC56AB" w:rsidRPr="00EB25A2" w:rsidP="00AC56AB">
      <w:pPr>
        <w:ind w:left="2835"/>
        <w:rPr>
          <w:b/>
          <w:bCs/>
          <w:u w:val="single"/>
        </w:rPr>
      </w:pPr>
    </w:p>
    <w:p w:rsidR="00AC56AB" w:rsidRPr="00AC56AB" w:rsidP="00AC56AB">
      <w:pPr>
        <w:ind w:left="2835"/>
        <w:rPr>
          <w:b/>
          <w:i/>
          <w:iCs/>
        </w:rPr>
      </w:pPr>
      <w:r w:rsidRPr="00AC56AB">
        <w:rPr>
          <w:b/>
          <w:i/>
          <w:iCs/>
        </w:rPr>
        <w:t>Gestorský výbor odporúča schváliť</w:t>
      </w:r>
    </w:p>
    <w:p w:rsidR="00AC56AB" w:rsidP="00AC56AB">
      <w:pPr>
        <w:pStyle w:val="ListParagraph"/>
        <w:spacing w:line="240" w:lineRule="auto"/>
        <w:ind w:left="0"/>
        <w:jc w:val="both"/>
        <w:rPr>
          <w:rFonts w:ascii="Arial" w:hAnsi="Arial" w:cs="Arial"/>
          <w:sz w:val="24"/>
          <w:szCs w:val="24"/>
        </w:rPr>
      </w:pPr>
    </w:p>
    <w:p w:rsidR="00AC56AB" w:rsidRPr="00AC56AB" w:rsidP="001D7D84">
      <w:pPr>
        <w:pStyle w:val="ListParagraph"/>
        <w:numPr>
          <w:ilvl w:val="0"/>
          <w:numId w:val="37"/>
        </w:numPr>
        <w:tabs>
          <w:tab w:val="num" w:pos="-284"/>
          <w:tab w:val="clear" w:pos="360"/>
        </w:tabs>
        <w:spacing w:line="240" w:lineRule="auto"/>
        <w:ind w:left="709"/>
        <w:jc w:val="both"/>
        <w:rPr>
          <w:rFonts w:ascii="Arial" w:hAnsi="Arial" w:cs="Arial"/>
          <w:sz w:val="24"/>
          <w:szCs w:val="24"/>
        </w:rPr>
      </w:pPr>
      <w:r w:rsidRPr="00AC56AB">
        <w:rPr>
          <w:rFonts w:ascii="Arial" w:hAnsi="Arial" w:cs="Arial"/>
          <w:sz w:val="24"/>
          <w:szCs w:val="24"/>
        </w:rPr>
        <w:t>V čl. II sa slová „1. marca“ nahrádzajú slovami „31. marca“.</w:t>
      </w:r>
    </w:p>
    <w:p w:rsidR="00AC56AB" w:rsidRPr="00AC56AB" w:rsidP="00AC56AB"/>
    <w:p w:rsidR="00AC56AB" w:rsidRPr="00AC56AB" w:rsidP="00AC56AB">
      <w:pPr>
        <w:ind w:left="2835"/>
        <w:jc w:val="both"/>
      </w:pPr>
      <w:r w:rsidRPr="00AC56AB">
        <w:t>Posunutím účinnosti sa sleduje zabezpečenie dostatočného časového priestoru na podpísanie návrhu zákona predsedom Národnej rady Slovenskej republiky, predsedníčkou vlády Slovenskej republiky a prezidentom Slovenskej republiky, na uverejnenie v Zbierke zákonov Slovenskej republiky ako aj zabezpečenie dostatočnej legisvakancie.</w:t>
      </w:r>
    </w:p>
    <w:p w:rsidR="00AC56AB" w:rsidRPr="00ED2309" w:rsidP="00AC56AB">
      <w:pPr>
        <w:jc w:val="both"/>
        <w:rPr>
          <w:b/>
          <w:bCs/>
        </w:rPr>
      </w:pPr>
    </w:p>
    <w:p w:rsidR="00AC56AB" w:rsidRPr="00AA3B99" w:rsidP="00AC56AB">
      <w:pPr>
        <w:ind w:left="2835"/>
        <w:rPr>
          <w:b/>
        </w:rPr>
      </w:pPr>
      <w:r w:rsidRPr="00AA3B99">
        <w:rPr>
          <w:b/>
        </w:rPr>
        <w:t xml:space="preserve">Výboru NR SR pre </w:t>
      </w:r>
      <w:r>
        <w:rPr>
          <w:b/>
        </w:rPr>
        <w:t>hospodárstvo, výstavbu a rozpočet</w:t>
      </w:r>
    </w:p>
    <w:p w:rsidR="00AC56AB" w:rsidRPr="00EB25A2" w:rsidP="00AC56AB">
      <w:pPr>
        <w:ind w:left="2835"/>
        <w:rPr>
          <w:b/>
          <w:bCs/>
          <w:u w:val="single"/>
        </w:rPr>
      </w:pPr>
    </w:p>
    <w:p w:rsidR="00AC56AB" w:rsidRPr="00AC56AB" w:rsidP="00AC56AB">
      <w:pPr>
        <w:ind w:left="2835"/>
        <w:rPr>
          <w:b/>
          <w:i/>
          <w:iCs/>
        </w:rPr>
      </w:pPr>
      <w:r w:rsidRPr="00AC56AB">
        <w:rPr>
          <w:b/>
          <w:i/>
          <w:iCs/>
        </w:rPr>
        <w:t>Gestorský výbor odporúča schváliť</w:t>
      </w:r>
    </w:p>
    <w:p w:rsidR="00AC56AB" w:rsidP="00A504BD">
      <w:pPr>
        <w:ind w:firstLine="567"/>
        <w:jc w:val="both"/>
      </w:pPr>
    </w:p>
    <w:p w:rsidR="00AC56AB" w:rsidRPr="009F0EF1" w:rsidP="00A504BD">
      <w:pPr>
        <w:ind w:firstLine="567"/>
        <w:jc w:val="both"/>
      </w:pPr>
    </w:p>
    <w:p w:rsidR="000A23D6" w:rsidRPr="00501DAE" w:rsidP="000A23D6">
      <w:pPr>
        <w:ind w:firstLine="567"/>
        <w:jc w:val="both"/>
      </w:pPr>
      <w:r w:rsidRPr="00501DAE">
        <w:t>Gestorský výbor odporúča hlasovať o pozmeňujúcich a doplňujúcich návrhoch nasledovne:</w:t>
      </w:r>
    </w:p>
    <w:p w:rsidR="000A23D6" w:rsidRPr="00501DAE" w:rsidP="000A23D6">
      <w:pPr>
        <w:tabs>
          <w:tab w:val="left" w:pos="7200"/>
        </w:tabs>
        <w:jc w:val="both"/>
        <w:rPr>
          <w:b/>
          <w:bCs/>
        </w:rPr>
      </w:pPr>
      <w:r w:rsidRPr="00501DAE">
        <w:rPr>
          <w:b/>
          <w:bCs/>
        </w:rPr>
        <w:t xml:space="preserve"> </w:t>
      </w:r>
    </w:p>
    <w:p w:rsidR="000A23D6" w:rsidRPr="00102BD9" w:rsidP="000A23D6">
      <w:pPr>
        <w:tabs>
          <w:tab w:val="left" w:pos="7200"/>
        </w:tabs>
        <w:jc w:val="both"/>
        <w:rPr>
          <w:b/>
          <w:bCs/>
        </w:rPr>
      </w:pPr>
      <w:r w:rsidR="00AC56AB">
        <w:rPr>
          <w:b/>
          <w:bCs/>
        </w:rPr>
        <w:t xml:space="preserve">o bodoch 1, </w:t>
      </w:r>
      <w:r w:rsidRPr="00102BD9" w:rsidR="00102BD9">
        <w:rPr>
          <w:b/>
          <w:bCs/>
        </w:rPr>
        <w:t>2</w:t>
      </w:r>
      <w:r w:rsidR="00AC56AB">
        <w:rPr>
          <w:b/>
          <w:bCs/>
        </w:rPr>
        <w:t xml:space="preserve">, </w:t>
      </w:r>
      <w:smartTag w:uri="urn:schemas-microsoft-com:office:smarttags" w:element="metricconverter">
        <w:smartTagPr>
          <w:attr w:name="ProductID" w:val="3 a"/>
        </w:smartTagPr>
        <w:r w:rsidR="00AC56AB">
          <w:rPr>
            <w:b/>
            <w:bCs/>
          </w:rPr>
          <w:t>3 a</w:t>
        </w:r>
      </w:smartTag>
      <w:r w:rsidR="00AC56AB">
        <w:rPr>
          <w:b/>
          <w:bCs/>
        </w:rPr>
        <w:t xml:space="preserve"> 4</w:t>
      </w:r>
      <w:r w:rsidRPr="00102BD9">
        <w:rPr>
          <w:b/>
          <w:bCs/>
        </w:rPr>
        <w:t xml:space="preserve"> spoločne s odporúčaním  s ch v á l i ť.</w:t>
      </w:r>
    </w:p>
    <w:p w:rsidR="0069186E" w:rsidRPr="009B5D9D" w:rsidP="0069186E">
      <w:pPr>
        <w:jc w:val="both"/>
        <w:rPr>
          <w:u w:val="single"/>
        </w:rPr>
      </w:pPr>
    </w:p>
    <w:p w:rsidR="000C3652" w:rsidRPr="005E596A">
      <w:pPr>
        <w:jc w:val="center"/>
        <w:rPr>
          <w:b/>
          <w:bCs/>
        </w:rPr>
      </w:pPr>
      <w:r w:rsidRPr="005E596A">
        <w:rPr>
          <w:b/>
          <w:bCs/>
        </w:rPr>
        <w:t>V.</w:t>
      </w:r>
    </w:p>
    <w:p w:rsidR="00CA7C7E" w:rsidRPr="005E596A">
      <w:pPr>
        <w:jc w:val="center"/>
        <w:rPr>
          <w:b/>
          <w:bCs/>
        </w:rPr>
      </w:pPr>
    </w:p>
    <w:p w:rsidR="00D91485" w:rsidRPr="005E596A" w:rsidP="00D91485">
      <w:pPr>
        <w:ind w:firstLine="540"/>
        <w:jc w:val="both"/>
      </w:pPr>
      <w:r w:rsidRPr="005E596A" w:rsidR="000C3652">
        <w:t xml:space="preserve">Gestorský výbor na základe stanovísk výborov </w:t>
      </w:r>
      <w:r w:rsidRPr="005E596A">
        <w:t>vyjadrených v ich uzneseniach uvedených pod bodom III tejto správy a stanovísk poslancov gestorského výboru vyjadrených v rozprave k tomuto návrhu zákona</w:t>
      </w:r>
    </w:p>
    <w:p w:rsidR="000C3652" w:rsidRPr="005E596A" w:rsidP="00D91485">
      <w:pPr>
        <w:ind w:firstLine="540"/>
        <w:jc w:val="both"/>
      </w:pPr>
    </w:p>
    <w:p w:rsidR="000C3652" w:rsidRPr="005E596A">
      <w:pPr>
        <w:ind w:firstLine="540"/>
        <w:jc w:val="both"/>
        <w:rPr>
          <w:b/>
          <w:bCs/>
        </w:rPr>
      </w:pPr>
      <w:r w:rsidRPr="005E596A">
        <w:rPr>
          <w:b/>
          <w:bCs/>
        </w:rPr>
        <w:t>odporúča Národnej rade Slovenskej republiky</w:t>
      </w:r>
    </w:p>
    <w:p w:rsidR="000C3652" w:rsidRPr="005E596A">
      <w:pPr>
        <w:ind w:firstLine="540"/>
        <w:jc w:val="both"/>
        <w:rPr>
          <w:b/>
          <w:bCs/>
          <w:u w:val="single"/>
        </w:rPr>
      </w:pPr>
    </w:p>
    <w:p w:rsidR="00CD0504" w:rsidRPr="005E596A">
      <w:pPr>
        <w:ind w:firstLine="540"/>
        <w:jc w:val="both"/>
      </w:pPr>
      <w:r w:rsidRPr="005E596A" w:rsidR="000C3652">
        <w:t xml:space="preserve">vládny návrh </w:t>
      </w:r>
      <w:r w:rsidRPr="00AE6708" w:rsidR="00BE0F19">
        <w:rPr>
          <w:rStyle w:val="spanr"/>
          <w:bCs/>
        </w:rPr>
        <w:t>zá</w:t>
      </w:r>
      <w:r w:rsidRPr="00AB73E5" w:rsidR="00BE0F19">
        <w:rPr>
          <w:rStyle w:val="spanr"/>
          <w:bCs/>
        </w:rPr>
        <w:t>kon</w:t>
      </w:r>
      <w:r w:rsidR="00BE0F19">
        <w:rPr>
          <w:rStyle w:val="spanr"/>
          <w:bCs/>
        </w:rPr>
        <w:t>a</w:t>
      </w:r>
      <w:r w:rsidRPr="00AB73E5" w:rsidR="00BE0F19">
        <w:rPr>
          <w:rStyle w:val="spanr"/>
          <w:bCs/>
        </w:rPr>
        <w:t xml:space="preserve">,  ktorým sa mení a dopĺňa zákon č. 25/2006 Z. z. o verejnom obstarávaní a o zmene a doplnení niektorých zákonov v znení neskorších predpisov </w:t>
      </w:r>
    </w:p>
    <w:p w:rsidR="006D0AAA" w:rsidRPr="005E596A">
      <w:pPr>
        <w:ind w:firstLine="540"/>
        <w:jc w:val="both"/>
        <w:rPr>
          <w:u w:val="single"/>
        </w:rPr>
      </w:pPr>
    </w:p>
    <w:p w:rsidR="00F7638F" w:rsidRPr="006052BA" w:rsidP="00F7638F">
      <w:pPr>
        <w:ind w:firstLine="540"/>
        <w:jc w:val="both"/>
        <w:rPr>
          <w:b/>
          <w:bCs/>
          <w:u w:val="single"/>
        </w:rPr>
      </w:pPr>
      <w:r w:rsidRPr="004D2F85" w:rsidR="000C3652">
        <w:rPr>
          <w:b/>
          <w:bCs/>
        </w:rPr>
        <w:t>s c h v á l i</w:t>
      </w:r>
      <w:r w:rsidR="00A504BD">
        <w:rPr>
          <w:b/>
          <w:bCs/>
        </w:rPr>
        <w:t> </w:t>
      </w:r>
      <w:r w:rsidRPr="004432F9" w:rsidR="000C3652">
        <w:rPr>
          <w:b/>
          <w:bCs/>
        </w:rPr>
        <w:t>ť</w:t>
      </w:r>
      <w:r w:rsidR="00A504BD">
        <w:rPr>
          <w:b/>
          <w:bCs/>
        </w:rPr>
        <w:t>.</w:t>
      </w:r>
      <w:r w:rsidRPr="004432F9">
        <w:rPr>
          <w:b/>
          <w:bCs/>
        </w:rPr>
        <w:t xml:space="preserve">  </w:t>
      </w:r>
    </w:p>
    <w:p w:rsidR="00735075" w:rsidRPr="005E596A">
      <w:pPr>
        <w:jc w:val="both"/>
        <w:rPr>
          <w:b/>
          <w:bCs/>
          <w:u w:val="single"/>
        </w:rPr>
      </w:pPr>
    </w:p>
    <w:p w:rsidR="000C3652" w:rsidRPr="005E596A">
      <w:pPr>
        <w:jc w:val="both"/>
      </w:pPr>
      <w:r w:rsidRPr="004D2F85">
        <w:t xml:space="preserve">        Spoločná správa výborov Národnej rady Slovenskej republiky o výsledku </w:t>
      </w:r>
      <w:r w:rsidR="005E596A">
        <w:t xml:space="preserve">prerokovania   </w:t>
      </w:r>
      <w:r w:rsidRPr="005E596A">
        <w:t xml:space="preserve">vládneho návrhu </w:t>
      </w:r>
      <w:r w:rsidRPr="00AE6708" w:rsidR="009B5D9D">
        <w:rPr>
          <w:rStyle w:val="spanr"/>
          <w:bCs/>
        </w:rPr>
        <w:t>zá</w:t>
      </w:r>
      <w:r w:rsidRPr="00AB73E5" w:rsidR="009B5D9D">
        <w:rPr>
          <w:rStyle w:val="spanr"/>
          <w:bCs/>
        </w:rPr>
        <w:t>kon</w:t>
      </w:r>
      <w:r w:rsidR="009B5D9D">
        <w:rPr>
          <w:rStyle w:val="spanr"/>
          <w:bCs/>
        </w:rPr>
        <w:t>a</w:t>
      </w:r>
      <w:r w:rsidRPr="00AB73E5" w:rsidR="009B5D9D">
        <w:rPr>
          <w:rStyle w:val="spanr"/>
          <w:bCs/>
        </w:rPr>
        <w:t xml:space="preserve">,  ktorým sa mení a dopĺňa zákon č. 25/2006 Z. z. o verejnom obstarávaní a o zmene a doplnení niektorých zákonov v znení neskorších predpisov </w:t>
      </w:r>
      <w:r w:rsidR="009B5D9D">
        <w:t xml:space="preserve"> (tlač </w:t>
      </w:r>
      <w:r w:rsidR="009B5D9D">
        <w:rPr>
          <w:b/>
        </w:rPr>
        <w:t>619a</w:t>
      </w:r>
      <w:r w:rsidR="009B5D9D">
        <w:t>)</w:t>
      </w:r>
      <w:r w:rsidRPr="005E596A" w:rsidR="006D0AAA">
        <w:rPr>
          <w:b/>
          <w:bCs/>
        </w:rPr>
        <w:t xml:space="preserve"> </w:t>
      </w:r>
      <w:r w:rsidRPr="005E596A">
        <w:t xml:space="preserve">v druhom čítaní bola schválená </w:t>
      </w:r>
      <w:r w:rsidRPr="00541DAB">
        <w:t xml:space="preserve">uznesením  </w:t>
      </w:r>
      <w:r w:rsidRPr="00541DAB" w:rsidR="007E78AE">
        <w:t>z</w:t>
      </w:r>
      <w:r w:rsidRPr="00541DAB" w:rsidR="005717C1">
        <w:t> </w:t>
      </w:r>
      <w:r w:rsidR="00A504BD">
        <w:t>29</w:t>
      </w:r>
      <w:r w:rsidRPr="00541DAB" w:rsidR="005717C1">
        <w:t xml:space="preserve">. </w:t>
      </w:r>
      <w:r w:rsidR="007A19A7">
        <w:t>februára</w:t>
      </w:r>
      <w:r w:rsidRPr="00541DAB" w:rsidR="00BB70A3">
        <w:t xml:space="preserve"> 20</w:t>
      </w:r>
      <w:r w:rsidRPr="00541DAB" w:rsidR="008971FC">
        <w:t>1</w:t>
      </w:r>
      <w:r w:rsidR="007A19A7">
        <w:t>2</w:t>
      </w:r>
      <w:r w:rsidRPr="00541DAB" w:rsidR="00F1221E">
        <w:t xml:space="preserve"> č</w:t>
      </w:r>
      <w:r w:rsidR="004D2F85">
        <w:t xml:space="preserve">. </w:t>
      </w:r>
      <w:r w:rsidR="00A504BD">
        <w:t>246</w:t>
      </w:r>
      <w:r w:rsidRPr="005E596A" w:rsidR="007E78AE">
        <w:t>.</w:t>
      </w:r>
      <w:r w:rsidRPr="005E596A">
        <w:t xml:space="preserve"> </w:t>
      </w:r>
    </w:p>
    <w:p w:rsidR="006416ED">
      <w:pPr>
        <w:ind w:firstLine="540"/>
        <w:jc w:val="both"/>
      </w:pPr>
    </w:p>
    <w:p w:rsidR="006F2297">
      <w:pPr>
        <w:ind w:firstLine="540"/>
        <w:jc w:val="both"/>
      </w:pPr>
    </w:p>
    <w:p w:rsidR="006F2297">
      <w:pPr>
        <w:ind w:firstLine="540"/>
        <w:jc w:val="both"/>
      </w:pPr>
    </w:p>
    <w:p w:rsidR="006F2297" w:rsidRPr="005E596A">
      <w:pPr>
        <w:ind w:firstLine="540"/>
        <w:jc w:val="both"/>
      </w:pPr>
    </w:p>
    <w:p w:rsidR="008B6658" w:rsidRPr="005E596A" w:rsidP="008B6658">
      <w:pPr>
        <w:ind w:firstLine="567"/>
        <w:jc w:val="both"/>
        <w:rPr>
          <w:bCs/>
        </w:rPr>
      </w:pPr>
      <w:r w:rsidRPr="005E596A">
        <w:rPr>
          <w:bCs/>
        </w:rPr>
        <w:t>Týmto uznesením výbor zároveň poveril spravodajcu</w:t>
      </w:r>
      <w:r w:rsidRPr="005E596A" w:rsidR="007873BF">
        <w:rPr>
          <w:bCs/>
        </w:rPr>
        <w:t xml:space="preserve">, aby na schôdzi Národnej rady </w:t>
      </w:r>
      <w:r w:rsidRPr="005E596A">
        <w:rPr>
          <w:bCs/>
        </w:rPr>
        <w:t>Slovenskej republiky</w:t>
      </w:r>
      <w:r w:rsidRPr="005E596A" w:rsidR="007873BF">
        <w:rPr>
          <w:bCs/>
        </w:rPr>
        <w:t xml:space="preserve"> predniesol spoločnú správu o výsledku prerokovania návrhu vo výboroch Národnej rady Slovenskej republiky</w:t>
      </w:r>
      <w:r w:rsidRPr="005E596A">
        <w:rPr>
          <w:bCs/>
        </w:rPr>
        <w:t>.</w:t>
      </w:r>
    </w:p>
    <w:p w:rsidR="00C158F5" w:rsidRPr="005E596A" w:rsidP="00F1221E">
      <w:pPr>
        <w:ind w:firstLine="567"/>
        <w:jc w:val="both"/>
        <w:rPr>
          <w:bCs/>
        </w:rPr>
      </w:pPr>
    </w:p>
    <w:p w:rsidR="000C3652" w:rsidRPr="00541DAB">
      <w:pPr>
        <w:jc w:val="both"/>
      </w:pPr>
      <w:r w:rsidRPr="00541DAB">
        <w:t xml:space="preserve">Bratislava </w:t>
      </w:r>
      <w:r w:rsidR="00A504BD">
        <w:t>29</w:t>
      </w:r>
      <w:r w:rsidRPr="00541DAB" w:rsidR="008971FC">
        <w:t xml:space="preserve">. </w:t>
      </w:r>
      <w:r w:rsidR="007A19A7">
        <w:t>februára</w:t>
      </w:r>
      <w:r w:rsidRPr="00541DAB" w:rsidR="00BB70A3">
        <w:t xml:space="preserve"> 20</w:t>
      </w:r>
      <w:r w:rsidRPr="00541DAB" w:rsidR="008971FC">
        <w:t>1</w:t>
      </w:r>
      <w:r w:rsidR="007A19A7">
        <w:t>2</w:t>
      </w:r>
    </w:p>
    <w:p w:rsidR="00F7638F" w:rsidRPr="005E596A">
      <w:pPr>
        <w:jc w:val="both"/>
      </w:pPr>
    </w:p>
    <w:p w:rsidR="00B71A0B" w:rsidRPr="005E596A">
      <w:pPr>
        <w:jc w:val="both"/>
        <w:rPr>
          <w:u w:val="single"/>
        </w:rPr>
      </w:pPr>
    </w:p>
    <w:p w:rsidR="000C3652" w:rsidRPr="005E596A">
      <w:pPr>
        <w:jc w:val="center"/>
        <w:rPr>
          <w:bCs/>
          <w:snapToGrid w:val="0"/>
          <w:lang w:eastAsia="cs-CZ"/>
        </w:rPr>
      </w:pPr>
      <w:r w:rsidR="005E596A">
        <w:rPr>
          <w:snapToGrid w:val="0"/>
          <w:lang w:eastAsia="cs-CZ"/>
        </w:rPr>
        <w:t>Stanislav</w:t>
      </w:r>
      <w:r w:rsidRPr="005E596A">
        <w:rPr>
          <w:snapToGrid w:val="0"/>
          <w:lang w:eastAsia="cs-CZ"/>
        </w:rPr>
        <w:t xml:space="preserve"> </w:t>
      </w:r>
      <w:r w:rsidR="005E596A">
        <w:rPr>
          <w:snapToGrid w:val="0"/>
          <w:lang w:eastAsia="cs-CZ"/>
        </w:rPr>
        <w:t xml:space="preserve"> </w:t>
      </w:r>
      <w:r w:rsidR="005E596A">
        <w:rPr>
          <w:b/>
          <w:bCs/>
          <w:snapToGrid w:val="0"/>
          <w:lang w:eastAsia="cs-CZ"/>
        </w:rPr>
        <w:t>J a n i</w:t>
      </w:r>
      <w:r w:rsidR="002C45BB">
        <w:rPr>
          <w:b/>
          <w:bCs/>
          <w:snapToGrid w:val="0"/>
          <w:lang w:eastAsia="cs-CZ"/>
        </w:rPr>
        <w:t> </w:t>
      </w:r>
      <w:r w:rsidR="005E596A">
        <w:rPr>
          <w:b/>
          <w:bCs/>
          <w:snapToGrid w:val="0"/>
          <w:lang w:eastAsia="cs-CZ"/>
        </w:rPr>
        <w:t>š</w:t>
      </w:r>
      <w:r w:rsidR="002C45BB">
        <w:rPr>
          <w:b/>
          <w:bCs/>
          <w:snapToGrid w:val="0"/>
          <w:lang w:eastAsia="cs-CZ"/>
        </w:rPr>
        <w:t>, v.r.</w:t>
      </w:r>
      <w:r w:rsidRPr="005E596A">
        <w:rPr>
          <w:b/>
          <w:snapToGrid w:val="0"/>
          <w:lang w:eastAsia="cs-CZ"/>
        </w:rPr>
        <w:t xml:space="preserve"> </w:t>
      </w:r>
    </w:p>
    <w:p w:rsidR="000C3652" w:rsidRPr="005E596A">
      <w:pPr>
        <w:jc w:val="center"/>
        <w:rPr>
          <w:snapToGrid w:val="0"/>
          <w:lang w:eastAsia="cs-CZ"/>
        </w:rPr>
      </w:pPr>
      <w:r w:rsidRPr="005E596A">
        <w:rPr>
          <w:snapToGrid w:val="0"/>
          <w:lang w:eastAsia="cs-CZ"/>
        </w:rPr>
        <w:t>predseda Výboru NR SR pre</w:t>
      </w:r>
    </w:p>
    <w:p w:rsidR="000C3652" w:rsidRPr="005E596A">
      <w:pPr>
        <w:jc w:val="center"/>
      </w:pPr>
      <w:r w:rsidR="005E596A">
        <w:rPr>
          <w:snapToGrid w:val="0"/>
          <w:lang w:eastAsia="cs-CZ"/>
        </w:rPr>
        <w:t>hospodárstvo, výstavbu a dopravu</w:t>
      </w:r>
      <w:r w:rsidRPr="005E596A" w:rsidR="00221366">
        <w:rPr>
          <w:snapToGrid w:val="0"/>
          <w:lang w:eastAsia="cs-CZ"/>
        </w:rPr>
        <w:t xml:space="preserve"> </w:t>
      </w:r>
    </w:p>
    <w:sectPr>
      <w:footerReference w:type="even" r:id="rId4"/>
      <w:footerReference w:type="default" r:id="rId5"/>
      <w:pgSz w:w="12240" w:h="15840"/>
      <w:pgMar w:top="1417" w:right="1417" w:bottom="1417" w:left="1417" w:header="708" w:footer="708" w:gutter="0"/>
      <w:cols w:space="708"/>
      <w:noEndnote/>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T*Toronto">
    <w:altName w:val="Times New Roman"/>
    <w:panose1 w:val="00000000000000000000"/>
    <w:charset w:val="00"/>
    <w:family w:val="auto"/>
    <w:pitch w:val="variable"/>
    <w:sig w:usb0="00000007" w:usb1="00000000" w:usb2="00000000" w:usb3="00000000" w:csb0="00000013" w:csb1="00000000"/>
  </w:font>
  <w:font w:name="Tahoma">
    <w:panose1 w:val="020B0604030504040204"/>
    <w:charset w:val="EE"/>
    <w:family w:val="swiss"/>
    <w:pitch w:val="variable"/>
    <w:sig w:usb0="E1003EFF" w:usb1="C000605B" w:usb2="00000029" w:usb3="00000000" w:csb0="000101FF" w:csb1="00000000"/>
  </w:font>
  <w:font w:name="Courier New">
    <w:panose1 w:val="02070309020205020404"/>
    <w:charset w:val="EE"/>
    <w:family w:val="modern"/>
    <w:pitch w:val="fixed"/>
    <w:sig w:usb0="E0003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2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F229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2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6F2297">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16BB"/>
    <w:multiLevelType w:val="hybridMultilevel"/>
    <w:tmpl w:val="5E2C4C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5563B"/>
    <w:multiLevelType w:val="hybridMultilevel"/>
    <w:tmpl w:val="929AB29C"/>
    <w:lvl w:ilvl="0">
      <w:start w:val="1"/>
      <w:numFmt w:val="decimal"/>
      <w:lvlText w:val="(%1)"/>
      <w:lvlJc w:val="left"/>
      <w:pPr>
        <w:ind w:left="45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7F37F55"/>
    <w:multiLevelType w:val="hybridMultilevel"/>
    <w:tmpl w:val="4D0C30EA"/>
    <w:lvl w:ilvl="0">
      <w:start w:val="1"/>
      <w:numFmt w:val="decimal"/>
      <w:lvlText w:val="%1."/>
      <w:lvlJc w:val="left"/>
      <w:pPr>
        <w:tabs>
          <w:tab w:val="num" w:pos="928"/>
        </w:tabs>
        <w:ind w:left="928" w:hanging="360"/>
      </w:pPr>
    </w:lvl>
    <w:lvl w:ilvl="1" w:tentative="1">
      <w:start w:val="1"/>
      <w:numFmt w:val="lowerLetter"/>
      <w:lvlText w:val="%2."/>
      <w:lvlJc w:val="left"/>
      <w:pPr>
        <w:tabs>
          <w:tab w:val="num" w:pos="1288"/>
        </w:tabs>
        <w:ind w:left="1288" w:hanging="360"/>
      </w:pPr>
    </w:lvl>
    <w:lvl w:ilvl="2" w:tentative="1">
      <w:start w:val="1"/>
      <w:numFmt w:val="lowerRoman"/>
      <w:lvlText w:val="%3."/>
      <w:lvlJc w:val="right"/>
      <w:pPr>
        <w:tabs>
          <w:tab w:val="num" w:pos="2008"/>
        </w:tabs>
        <w:ind w:left="2008" w:hanging="180"/>
      </w:pPr>
    </w:lvl>
    <w:lvl w:ilvl="3" w:tentative="1">
      <w:start w:val="1"/>
      <w:numFmt w:val="decimal"/>
      <w:lvlText w:val="%4."/>
      <w:lvlJc w:val="left"/>
      <w:pPr>
        <w:tabs>
          <w:tab w:val="num" w:pos="2728"/>
        </w:tabs>
        <w:ind w:left="2728" w:hanging="360"/>
      </w:pPr>
    </w:lvl>
    <w:lvl w:ilvl="4" w:tentative="1">
      <w:start w:val="1"/>
      <w:numFmt w:val="lowerLetter"/>
      <w:lvlText w:val="%5."/>
      <w:lvlJc w:val="left"/>
      <w:pPr>
        <w:tabs>
          <w:tab w:val="num" w:pos="3448"/>
        </w:tabs>
        <w:ind w:left="3448" w:hanging="360"/>
      </w:pPr>
    </w:lvl>
    <w:lvl w:ilvl="5" w:tentative="1">
      <w:start w:val="1"/>
      <w:numFmt w:val="lowerRoman"/>
      <w:lvlText w:val="%6."/>
      <w:lvlJc w:val="right"/>
      <w:pPr>
        <w:tabs>
          <w:tab w:val="num" w:pos="4168"/>
        </w:tabs>
        <w:ind w:left="4168" w:hanging="180"/>
      </w:pPr>
    </w:lvl>
    <w:lvl w:ilvl="6" w:tentative="1">
      <w:start w:val="1"/>
      <w:numFmt w:val="decimal"/>
      <w:lvlText w:val="%7."/>
      <w:lvlJc w:val="left"/>
      <w:pPr>
        <w:tabs>
          <w:tab w:val="num" w:pos="4888"/>
        </w:tabs>
        <w:ind w:left="4888" w:hanging="360"/>
      </w:pPr>
    </w:lvl>
    <w:lvl w:ilvl="7" w:tentative="1">
      <w:start w:val="1"/>
      <w:numFmt w:val="lowerLetter"/>
      <w:lvlText w:val="%8."/>
      <w:lvlJc w:val="left"/>
      <w:pPr>
        <w:tabs>
          <w:tab w:val="num" w:pos="5608"/>
        </w:tabs>
        <w:ind w:left="5608" w:hanging="360"/>
      </w:pPr>
    </w:lvl>
    <w:lvl w:ilvl="8" w:tentative="1">
      <w:start w:val="1"/>
      <w:numFmt w:val="lowerRoman"/>
      <w:lvlText w:val="%9."/>
      <w:lvlJc w:val="right"/>
      <w:pPr>
        <w:tabs>
          <w:tab w:val="num" w:pos="6328"/>
        </w:tabs>
        <w:ind w:left="6328" w:hanging="180"/>
      </w:pPr>
    </w:lvl>
  </w:abstractNum>
  <w:abstractNum w:abstractNumId="3">
    <w:nsid w:val="19FB61CC"/>
    <w:multiLevelType w:val="hybridMultilevel"/>
    <w:tmpl w:val="4996759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5DB7E74"/>
    <w:multiLevelType w:val="singleLevel"/>
    <w:tmpl w:val="39F038C2"/>
    <w:lvl w:ilvl="0">
      <w:start w:val="1"/>
      <w:numFmt w:val="upperLetter"/>
      <w:lvlText w:val="%1."/>
      <w:lvlJc w:val="left"/>
      <w:pPr>
        <w:tabs>
          <w:tab w:val="num" w:pos="420"/>
        </w:tabs>
        <w:ind w:left="420" w:hanging="420"/>
      </w:pPr>
      <w:rPr>
        <w:rFonts w:hint="default"/>
      </w:rPr>
    </w:lvl>
  </w:abstractNum>
  <w:abstractNum w:abstractNumId="5">
    <w:nsid w:val="2D2E6F81"/>
    <w:multiLevelType w:val="hybridMultilevel"/>
    <w:tmpl w:val="710C63B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D7E7D39"/>
    <w:multiLevelType w:val="hybridMultilevel"/>
    <w:tmpl w:val="6ADC184A"/>
    <w:lvl w:ilvl="0">
      <w:start w:val="1"/>
      <w:numFmt w:val="decimal"/>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7">
    <w:nsid w:val="2FE777C6"/>
    <w:multiLevelType w:val="hybridMultilevel"/>
    <w:tmpl w:val="B706FA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3980ADC"/>
    <w:multiLevelType w:val="hybridMultilevel"/>
    <w:tmpl w:val="A8E62E60"/>
    <w:lvl w:ilvl="0">
      <w:start w:val="1"/>
      <w:numFmt w:val="decimal"/>
      <w:lvlText w:val="%1."/>
      <w:lvlJc w:val="left"/>
      <w:pPr>
        <w:tabs>
          <w:tab w:val="num" w:pos="1080"/>
        </w:tabs>
        <w:ind w:left="1080" w:hanging="360"/>
      </w:pPr>
      <w:rPr>
        <w:b w:val="0"/>
        <w:i w:val="0"/>
      </w:rPr>
    </w:lvl>
    <w:lvl w:ilvl="1">
      <w:start w:val="1"/>
      <w:numFmt w:val="decimal"/>
      <w:lvlText w:val="%2."/>
      <w:lvlJc w:val="left"/>
      <w:pPr>
        <w:tabs>
          <w:tab w:val="num" w:pos="1800"/>
        </w:tabs>
        <w:ind w:left="1800" w:hanging="360"/>
      </w:pPr>
      <w:rPr>
        <w:b w:val="0"/>
        <w:i w:val="0"/>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376E3AE6"/>
    <w:multiLevelType w:val="hybridMultilevel"/>
    <w:tmpl w:val="8B4A22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3A61622A"/>
    <w:multiLevelType w:val="hybridMultilevel"/>
    <w:tmpl w:val="E306153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BB84A3E"/>
    <w:multiLevelType w:val="hybridMultilevel"/>
    <w:tmpl w:val="66BEE84E"/>
    <w:lvl w:ilvl="0">
      <w:start w:val="1"/>
      <w:numFmt w:val="decimal"/>
      <w:lvlText w:val="%1."/>
      <w:lvlJc w:val="left"/>
      <w:pPr>
        <w:tabs>
          <w:tab w:val="num" w:pos="720"/>
        </w:tabs>
        <w:ind w:left="720" w:hanging="360"/>
      </w:pPr>
      <w:rPr>
        <w:rFonts w:hint="default"/>
        <w:b/>
      </w:rPr>
    </w:lvl>
    <w:lvl w:ilvl="1">
      <w:start w:val="3"/>
      <w:numFmt w:val="decimal"/>
      <w:lvlText w:val="(%2)"/>
      <w:lvlJc w:val="left"/>
      <w:pPr>
        <w:tabs>
          <w:tab w:val="num" w:pos="1470"/>
        </w:tabs>
        <w:ind w:left="1470" w:hanging="3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E5867F7"/>
    <w:multiLevelType w:val="hybridMultilevel"/>
    <w:tmpl w:val="63BEFC46"/>
    <w:lvl w:ilvl="0">
      <w:start w:val="1"/>
      <w:numFmt w:val="decimal"/>
      <w:lvlText w:val="%1."/>
      <w:lvlJc w:val="left"/>
      <w:pPr>
        <w:tabs>
          <w:tab w:val="num" w:pos="540"/>
        </w:tabs>
        <w:ind w:left="540" w:hanging="360"/>
      </w:pPr>
    </w:lvl>
    <w:lvl w:ilvl="1">
      <w:start w:val="5"/>
      <w:numFmt w:val="decimal"/>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3">
    <w:nsid w:val="434036DB"/>
    <w:multiLevelType w:val="hybridMultilevel"/>
    <w:tmpl w:val="7D54A1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5562A94"/>
    <w:multiLevelType w:val="hybridMultilevel"/>
    <w:tmpl w:val="78143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58C5588"/>
    <w:multiLevelType w:val="hybridMultilevel"/>
    <w:tmpl w:val="B4604044"/>
    <w:lvl w:ilvl="0">
      <w:start w:val="1"/>
      <w:numFmt w:val="lowerLetter"/>
      <w:pStyle w:val="adda"/>
      <w:lvlText w:val="%1)"/>
      <w:lvlJc w:val="left"/>
      <w:pPr>
        <w:tabs>
          <w:tab w:val="num" w:pos="357"/>
        </w:tabs>
        <w:ind w:left="357" w:hanging="357"/>
      </w:pPr>
      <w:rPr>
        <w:rFonts w:hint="default"/>
        <w:u w:val="none"/>
      </w:rPr>
    </w:lvl>
    <w:lvl w:ilvl="1">
      <w:start w:val="1"/>
      <w:numFmt w:val="lowerLetter"/>
      <w:lvlText w:val="%2)"/>
      <w:lvlJc w:val="left"/>
      <w:pPr>
        <w:tabs>
          <w:tab w:val="num" w:pos="1440"/>
        </w:tabs>
        <w:ind w:left="1440" w:hanging="360"/>
      </w:pPr>
      <w:rPr>
        <w:rFonts w:ascii="Times New Roman" w:hAnsi="Times New Roman" w:hint="default"/>
        <w:b w:val="0"/>
        <w:i w:val="0"/>
        <w:sz w:val="24"/>
        <w:szCs w:val="24"/>
        <w:u w:val="no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66B2A9B"/>
    <w:multiLevelType w:val="hybridMultilevel"/>
    <w:tmpl w:val="9014B15E"/>
    <w:lvl w:ilvl="0">
      <w:start w:val="1"/>
      <w:numFmt w:val="decimal"/>
      <w:lvlText w:val="%1."/>
      <w:lvlJc w:val="left"/>
      <w:pPr>
        <w:ind w:left="727" w:hanging="360"/>
      </w:pPr>
    </w:lvl>
    <w:lvl w:ilvl="1" w:tentative="1">
      <w:start w:val="1"/>
      <w:numFmt w:val="lowerLetter"/>
      <w:lvlText w:val="%2."/>
      <w:lvlJc w:val="left"/>
      <w:pPr>
        <w:ind w:left="1447" w:hanging="360"/>
      </w:pPr>
    </w:lvl>
    <w:lvl w:ilvl="2" w:tentative="1">
      <w:start w:val="1"/>
      <w:numFmt w:val="lowerRoman"/>
      <w:lvlText w:val="%3."/>
      <w:lvlJc w:val="right"/>
      <w:pPr>
        <w:ind w:left="2167" w:hanging="180"/>
      </w:pPr>
    </w:lvl>
    <w:lvl w:ilvl="3" w:tentative="1">
      <w:start w:val="1"/>
      <w:numFmt w:val="decimal"/>
      <w:lvlText w:val="%4."/>
      <w:lvlJc w:val="left"/>
      <w:pPr>
        <w:ind w:left="2887" w:hanging="360"/>
      </w:pPr>
    </w:lvl>
    <w:lvl w:ilvl="4" w:tentative="1">
      <w:start w:val="1"/>
      <w:numFmt w:val="lowerLetter"/>
      <w:lvlText w:val="%5."/>
      <w:lvlJc w:val="left"/>
      <w:pPr>
        <w:ind w:left="3607" w:hanging="360"/>
      </w:pPr>
    </w:lvl>
    <w:lvl w:ilvl="5" w:tentative="1">
      <w:start w:val="1"/>
      <w:numFmt w:val="lowerRoman"/>
      <w:lvlText w:val="%6."/>
      <w:lvlJc w:val="right"/>
      <w:pPr>
        <w:ind w:left="4327" w:hanging="180"/>
      </w:pPr>
    </w:lvl>
    <w:lvl w:ilvl="6" w:tentative="1">
      <w:start w:val="1"/>
      <w:numFmt w:val="decimal"/>
      <w:lvlText w:val="%7."/>
      <w:lvlJc w:val="left"/>
      <w:pPr>
        <w:ind w:left="5047" w:hanging="360"/>
      </w:pPr>
    </w:lvl>
    <w:lvl w:ilvl="7" w:tentative="1">
      <w:start w:val="1"/>
      <w:numFmt w:val="lowerLetter"/>
      <w:lvlText w:val="%8."/>
      <w:lvlJc w:val="left"/>
      <w:pPr>
        <w:ind w:left="5767" w:hanging="360"/>
      </w:pPr>
    </w:lvl>
    <w:lvl w:ilvl="8" w:tentative="1">
      <w:start w:val="1"/>
      <w:numFmt w:val="lowerRoman"/>
      <w:lvlText w:val="%9."/>
      <w:lvlJc w:val="right"/>
      <w:pPr>
        <w:ind w:left="6487" w:hanging="180"/>
      </w:pPr>
    </w:lvl>
  </w:abstractNum>
  <w:abstractNum w:abstractNumId="17">
    <w:nsid w:val="47C35219"/>
    <w:multiLevelType w:val="hybridMultilevel"/>
    <w:tmpl w:val="820225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A913FD"/>
    <w:multiLevelType w:val="hybridMultilevel"/>
    <w:tmpl w:val="EF4AAB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B8B68D1"/>
    <w:multiLevelType w:val="hybridMultilevel"/>
    <w:tmpl w:val="F20C3D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BC92096"/>
    <w:multiLevelType w:val="hybridMultilevel"/>
    <w:tmpl w:val="9FBC9ED4"/>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CC30A0E"/>
    <w:multiLevelType w:val="hybridMultilevel"/>
    <w:tmpl w:val="CDDE7B3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DC82980"/>
    <w:multiLevelType w:val="hybridMultilevel"/>
    <w:tmpl w:val="B8982B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0C11A6"/>
    <w:multiLevelType w:val="hybridMultilevel"/>
    <w:tmpl w:val="9DEA928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1D52E09"/>
    <w:multiLevelType w:val="hybridMultilevel"/>
    <w:tmpl w:val="934E8B98"/>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5">
    <w:nsid w:val="51DE7975"/>
    <w:multiLevelType w:val="hybridMultilevel"/>
    <w:tmpl w:val="DF06ABDA"/>
    <w:lvl w:ilvl="0">
      <w:start w:val="1"/>
      <w:numFmt w:val="decimal"/>
      <w:lvlText w:val="%1."/>
      <w:lvlJc w:val="left"/>
      <w:pPr>
        <w:tabs>
          <w:tab w:val="num" w:pos="360"/>
        </w:tabs>
        <w:ind w:left="360" w:hanging="360"/>
      </w:pPr>
      <w:rPr>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52A721D9"/>
    <w:multiLevelType w:val="hybridMultilevel"/>
    <w:tmpl w:val="982070EE"/>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2AF592A"/>
    <w:multiLevelType w:val="hybridMultilevel"/>
    <w:tmpl w:val="CF4E5DD8"/>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5D91CB1"/>
    <w:multiLevelType w:val="hybridMultilevel"/>
    <w:tmpl w:val="B210B37E"/>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DB24DD1"/>
    <w:multiLevelType w:val="hybridMultilevel"/>
    <w:tmpl w:val="8AC4E3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DE86ABF"/>
    <w:multiLevelType w:val="hybridMultilevel"/>
    <w:tmpl w:val="D0C6DC8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ECE4BD5"/>
    <w:multiLevelType w:val="hybridMultilevel"/>
    <w:tmpl w:val="D5DC0670"/>
    <w:lvl w:ilvl="0">
      <w:start w:val="1"/>
      <w:numFmt w:val="decimal"/>
      <w:lvlText w:val="%1."/>
      <w:lvlJc w:val="left"/>
      <w:pPr>
        <w:tabs>
          <w:tab w:val="num" w:pos="360"/>
        </w:tabs>
        <w:ind w:left="360" w:hanging="360"/>
      </w:pPr>
      <w:rPr>
        <w:rFonts w:hint="default"/>
      </w:rPr>
    </w:lvl>
    <w:lvl w:ilvl="1">
      <w:start w:val="1"/>
      <w:numFmt w:val="lowerLetter"/>
      <w:pStyle w:val="adda"/>
      <w:lvlText w:val="%2)"/>
      <w:lvlJc w:val="left"/>
      <w:pPr>
        <w:tabs>
          <w:tab w:val="num" w:pos="1077"/>
        </w:tabs>
        <w:ind w:left="1077" w:hanging="357"/>
      </w:pPr>
      <w:rPr>
        <w:rFonts w:hint="default"/>
        <w:u w:val="none"/>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66D84C1A"/>
    <w:multiLevelType w:val="hybridMultilevel"/>
    <w:tmpl w:val="B2C00584"/>
    <w:lvl w:ilvl="0">
      <w:start w:val="3"/>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6278CF"/>
    <w:multiLevelType w:val="hybridMultilevel"/>
    <w:tmpl w:val="D86E80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B38082B"/>
    <w:multiLevelType w:val="hybridMultilevel"/>
    <w:tmpl w:val="35E29636"/>
    <w:lvl w:ilvl="0">
      <w:start w:val="1"/>
      <w:numFmt w:val="decimal"/>
      <w:lvlText w:val="%1."/>
      <w:lvlJc w:val="left"/>
      <w:pPr>
        <w:ind w:left="360" w:hanging="360"/>
      </w:pPr>
      <w:rPr>
        <w:rFonts w:cs="Times New Roman"/>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5">
    <w:nsid w:val="6CBD6448"/>
    <w:multiLevelType w:val="hybridMultilevel"/>
    <w:tmpl w:val="73C6E928"/>
    <w:lvl w:ilvl="0">
      <w:start w:val="18"/>
      <w:numFmt w:val="decimal"/>
      <w:lvlText w:val="(%1)"/>
      <w:lvlJc w:val="left"/>
      <w:pPr>
        <w:ind w:left="727"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7500A3"/>
    <w:multiLevelType w:val="hybridMultilevel"/>
    <w:tmpl w:val="CA5A6A8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2713B53"/>
    <w:multiLevelType w:val="hybridMultilevel"/>
    <w:tmpl w:val="4056B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32A544E"/>
    <w:multiLevelType w:val="hybridMultilevel"/>
    <w:tmpl w:val="F7A2AB3E"/>
    <w:lvl w:ilvl="0">
      <w:start w:val="1"/>
      <w:numFmt w:val="decimal"/>
      <w:lvlText w:val="(%1)"/>
      <w:lvlJc w:val="left"/>
      <w:pPr>
        <w:tabs>
          <w:tab w:val="num" w:pos="357"/>
        </w:tabs>
        <w:ind w:left="720" w:hanging="363"/>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0"/>
  </w:num>
  <w:num w:numId="2">
    <w:abstractNumId w:val="4"/>
  </w:num>
  <w:num w:numId="3">
    <w:abstractNumId w:val="11"/>
  </w:num>
  <w:num w:numId="4">
    <w:abstractNumId w:val="10"/>
  </w:num>
  <w:num w:numId="5">
    <w:abstractNumId w:val="0"/>
  </w:num>
  <w:num w:numId="6">
    <w:abstractNumId w:val="25"/>
  </w:num>
  <w:num w:numId="7">
    <w:abstractNumId w:val="13"/>
  </w:num>
  <w:num w:numId="8">
    <w:abstractNumId w:val="28"/>
  </w:num>
  <w:num w:numId="9">
    <w:abstractNumId w:val="15"/>
  </w:num>
  <w:num w:numId="10">
    <w:abstractNumId w:val="31"/>
  </w:num>
  <w:num w:numId="11">
    <w:abstractNumId w:val="2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5"/>
  </w:num>
  <w:num w:numId="15">
    <w:abstractNumId w:val="18"/>
  </w:num>
  <w:num w:numId="16">
    <w:abstractNumId w:val="3"/>
  </w:num>
  <w:num w:numId="17">
    <w:abstractNumId w:val="32"/>
  </w:num>
  <w:num w:numId="18">
    <w:abstractNumId w:val="29"/>
  </w:num>
  <w:num w:numId="19">
    <w:abstractNumId w:val="2"/>
  </w:num>
  <w:num w:numId="20">
    <w:abstractNumId w:val="8"/>
  </w:num>
  <w:num w:numId="21">
    <w:abstractNumId w:val="9"/>
  </w:num>
  <w:num w:numId="22">
    <w:abstractNumId w:val="33"/>
  </w:num>
  <w:num w:numId="23">
    <w:abstractNumId w:val="2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2"/>
  </w:num>
  <w:num w:numId="29">
    <w:abstractNumId w:val="37"/>
  </w:num>
  <w:num w:numId="30">
    <w:abstractNumId w:val="20"/>
  </w:num>
  <w:num w:numId="31">
    <w:abstractNumId w:val="16"/>
  </w:num>
  <w:num w:numId="32">
    <w:abstractNumId w:val="35"/>
  </w:num>
  <w:num w:numId="33">
    <w:abstractNumId w:val="24"/>
  </w:num>
  <w:num w:numId="34">
    <w:abstractNumId w:val="6"/>
  </w:num>
  <w:num w:numId="35">
    <w:abstractNumId w:val="17"/>
  </w:num>
  <w:num w:numId="36">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rawingGridHorizontalOrigin w:val="1701"/>
  <w:drawingGridVerticalOrigin w:val="1984"/>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1191"/>
    <w:rsid w:val="000039EE"/>
    <w:rsid w:val="00007C8D"/>
    <w:rsid w:val="00012DDE"/>
    <w:rsid w:val="00013E07"/>
    <w:rsid w:val="0001617D"/>
    <w:rsid w:val="000277D8"/>
    <w:rsid w:val="00030D70"/>
    <w:rsid w:val="000352DE"/>
    <w:rsid w:val="0004411A"/>
    <w:rsid w:val="000509B5"/>
    <w:rsid w:val="00067262"/>
    <w:rsid w:val="000727B7"/>
    <w:rsid w:val="000877EC"/>
    <w:rsid w:val="00095296"/>
    <w:rsid w:val="000A23D6"/>
    <w:rsid w:val="000B2258"/>
    <w:rsid w:val="000C2403"/>
    <w:rsid w:val="000C3652"/>
    <w:rsid w:val="000F2A81"/>
    <w:rsid w:val="000F2B4F"/>
    <w:rsid w:val="00102BD9"/>
    <w:rsid w:val="00110DE2"/>
    <w:rsid w:val="001166FF"/>
    <w:rsid w:val="00124511"/>
    <w:rsid w:val="001575F1"/>
    <w:rsid w:val="0016707B"/>
    <w:rsid w:val="0017200C"/>
    <w:rsid w:val="001935FB"/>
    <w:rsid w:val="001A0526"/>
    <w:rsid w:val="001A2A6E"/>
    <w:rsid w:val="001A49D0"/>
    <w:rsid w:val="001A60D9"/>
    <w:rsid w:val="001B6D42"/>
    <w:rsid w:val="001D104B"/>
    <w:rsid w:val="001D76E5"/>
    <w:rsid w:val="001D7D84"/>
    <w:rsid w:val="001E337E"/>
    <w:rsid w:val="001E7A63"/>
    <w:rsid w:val="00202F34"/>
    <w:rsid w:val="00203497"/>
    <w:rsid w:val="00217F45"/>
    <w:rsid w:val="00221366"/>
    <w:rsid w:val="00221BA6"/>
    <w:rsid w:val="00223C06"/>
    <w:rsid w:val="0022441A"/>
    <w:rsid w:val="0023115D"/>
    <w:rsid w:val="00241254"/>
    <w:rsid w:val="0024492D"/>
    <w:rsid w:val="00245B95"/>
    <w:rsid w:val="00246B4A"/>
    <w:rsid w:val="00251524"/>
    <w:rsid w:val="00264B9D"/>
    <w:rsid w:val="00272E1C"/>
    <w:rsid w:val="0027638D"/>
    <w:rsid w:val="0028771D"/>
    <w:rsid w:val="00293A9A"/>
    <w:rsid w:val="002946BC"/>
    <w:rsid w:val="00295037"/>
    <w:rsid w:val="002A1C3C"/>
    <w:rsid w:val="002A296A"/>
    <w:rsid w:val="002B52FC"/>
    <w:rsid w:val="002C42D7"/>
    <w:rsid w:val="002C45BB"/>
    <w:rsid w:val="002D5F04"/>
    <w:rsid w:val="00300764"/>
    <w:rsid w:val="0030693B"/>
    <w:rsid w:val="00325227"/>
    <w:rsid w:val="003272CF"/>
    <w:rsid w:val="00340340"/>
    <w:rsid w:val="00345164"/>
    <w:rsid w:val="00346F8A"/>
    <w:rsid w:val="003539A4"/>
    <w:rsid w:val="0036401C"/>
    <w:rsid w:val="003743E3"/>
    <w:rsid w:val="00385178"/>
    <w:rsid w:val="00396046"/>
    <w:rsid w:val="00397531"/>
    <w:rsid w:val="003A0ABA"/>
    <w:rsid w:val="003A4D2C"/>
    <w:rsid w:val="003B5A76"/>
    <w:rsid w:val="003C5D15"/>
    <w:rsid w:val="003C5E11"/>
    <w:rsid w:val="003C7CD1"/>
    <w:rsid w:val="003E51D0"/>
    <w:rsid w:val="003E625E"/>
    <w:rsid w:val="003F4DA6"/>
    <w:rsid w:val="00417D14"/>
    <w:rsid w:val="00422075"/>
    <w:rsid w:val="0042307D"/>
    <w:rsid w:val="0042338A"/>
    <w:rsid w:val="0042486F"/>
    <w:rsid w:val="00441902"/>
    <w:rsid w:val="004432F9"/>
    <w:rsid w:val="00453415"/>
    <w:rsid w:val="00470F5E"/>
    <w:rsid w:val="00473B36"/>
    <w:rsid w:val="00475AC9"/>
    <w:rsid w:val="00493275"/>
    <w:rsid w:val="004A20E1"/>
    <w:rsid w:val="004B2DC0"/>
    <w:rsid w:val="004C3DC5"/>
    <w:rsid w:val="004D2F85"/>
    <w:rsid w:val="004D350D"/>
    <w:rsid w:val="004E1918"/>
    <w:rsid w:val="004E465F"/>
    <w:rsid w:val="004F41BA"/>
    <w:rsid w:val="00501DAE"/>
    <w:rsid w:val="00507F78"/>
    <w:rsid w:val="005125FA"/>
    <w:rsid w:val="00513D93"/>
    <w:rsid w:val="00522E95"/>
    <w:rsid w:val="0052453E"/>
    <w:rsid w:val="005301DA"/>
    <w:rsid w:val="005402E5"/>
    <w:rsid w:val="00541DAB"/>
    <w:rsid w:val="00554B2E"/>
    <w:rsid w:val="00556C6F"/>
    <w:rsid w:val="00561C53"/>
    <w:rsid w:val="005717C1"/>
    <w:rsid w:val="005878AD"/>
    <w:rsid w:val="0059127F"/>
    <w:rsid w:val="00596E52"/>
    <w:rsid w:val="005A2519"/>
    <w:rsid w:val="005C00C0"/>
    <w:rsid w:val="005E596A"/>
    <w:rsid w:val="00602DA2"/>
    <w:rsid w:val="0060400B"/>
    <w:rsid w:val="006052BA"/>
    <w:rsid w:val="00611EDC"/>
    <w:rsid w:val="006125FA"/>
    <w:rsid w:val="00613D93"/>
    <w:rsid w:val="0061424A"/>
    <w:rsid w:val="00615D64"/>
    <w:rsid w:val="006165BB"/>
    <w:rsid w:val="0063188B"/>
    <w:rsid w:val="00636335"/>
    <w:rsid w:val="006416ED"/>
    <w:rsid w:val="0064797A"/>
    <w:rsid w:val="006553C0"/>
    <w:rsid w:val="00670BB4"/>
    <w:rsid w:val="00683433"/>
    <w:rsid w:val="0069186E"/>
    <w:rsid w:val="006D0AAA"/>
    <w:rsid w:val="006D1756"/>
    <w:rsid w:val="006D3933"/>
    <w:rsid w:val="006D4BC2"/>
    <w:rsid w:val="006D7860"/>
    <w:rsid w:val="006E1191"/>
    <w:rsid w:val="006E40B3"/>
    <w:rsid w:val="006F1629"/>
    <w:rsid w:val="006F2297"/>
    <w:rsid w:val="006F7B37"/>
    <w:rsid w:val="00702E99"/>
    <w:rsid w:val="00703680"/>
    <w:rsid w:val="00712ABF"/>
    <w:rsid w:val="00716EA9"/>
    <w:rsid w:val="00717210"/>
    <w:rsid w:val="0073130B"/>
    <w:rsid w:val="00735075"/>
    <w:rsid w:val="00736FF2"/>
    <w:rsid w:val="007473BF"/>
    <w:rsid w:val="00747B1C"/>
    <w:rsid w:val="007647FF"/>
    <w:rsid w:val="00770186"/>
    <w:rsid w:val="00772D22"/>
    <w:rsid w:val="00780171"/>
    <w:rsid w:val="007816EE"/>
    <w:rsid w:val="007863AF"/>
    <w:rsid w:val="007873BF"/>
    <w:rsid w:val="00787E09"/>
    <w:rsid w:val="00791874"/>
    <w:rsid w:val="0079315C"/>
    <w:rsid w:val="00794B58"/>
    <w:rsid w:val="007A1624"/>
    <w:rsid w:val="007A1927"/>
    <w:rsid w:val="007A19A7"/>
    <w:rsid w:val="007A668F"/>
    <w:rsid w:val="007B0080"/>
    <w:rsid w:val="007C3983"/>
    <w:rsid w:val="007E0B7A"/>
    <w:rsid w:val="007E507F"/>
    <w:rsid w:val="007E7742"/>
    <w:rsid w:val="007E78AE"/>
    <w:rsid w:val="007F2438"/>
    <w:rsid w:val="007F6A30"/>
    <w:rsid w:val="00803D40"/>
    <w:rsid w:val="0080518E"/>
    <w:rsid w:val="00810916"/>
    <w:rsid w:val="008322C2"/>
    <w:rsid w:val="0083669C"/>
    <w:rsid w:val="00836E3B"/>
    <w:rsid w:val="0084768B"/>
    <w:rsid w:val="00854867"/>
    <w:rsid w:val="00864E97"/>
    <w:rsid w:val="008827B0"/>
    <w:rsid w:val="008831F6"/>
    <w:rsid w:val="008907D6"/>
    <w:rsid w:val="008971FC"/>
    <w:rsid w:val="008A2130"/>
    <w:rsid w:val="008A72D7"/>
    <w:rsid w:val="008A7836"/>
    <w:rsid w:val="008B6658"/>
    <w:rsid w:val="008C7AFB"/>
    <w:rsid w:val="008F5A12"/>
    <w:rsid w:val="00906C9F"/>
    <w:rsid w:val="0091055A"/>
    <w:rsid w:val="00936940"/>
    <w:rsid w:val="00937623"/>
    <w:rsid w:val="0094086A"/>
    <w:rsid w:val="00943A83"/>
    <w:rsid w:val="00945418"/>
    <w:rsid w:val="00954510"/>
    <w:rsid w:val="00973E39"/>
    <w:rsid w:val="00977173"/>
    <w:rsid w:val="00985204"/>
    <w:rsid w:val="00986729"/>
    <w:rsid w:val="009B09EB"/>
    <w:rsid w:val="009B1751"/>
    <w:rsid w:val="009B5D9D"/>
    <w:rsid w:val="009C3467"/>
    <w:rsid w:val="009D20C8"/>
    <w:rsid w:val="009F0EF1"/>
    <w:rsid w:val="00A01446"/>
    <w:rsid w:val="00A16686"/>
    <w:rsid w:val="00A17C65"/>
    <w:rsid w:val="00A504BD"/>
    <w:rsid w:val="00A6195F"/>
    <w:rsid w:val="00A73678"/>
    <w:rsid w:val="00A87B37"/>
    <w:rsid w:val="00AA0654"/>
    <w:rsid w:val="00AA3B99"/>
    <w:rsid w:val="00AB73E5"/>
    <w:rsid w:val="00AC1341"/>
    <w:rsid w:val="00AC56AB"/>
    <w:rsid w:val="00AD6CB6"/>
    <w:rsid w:val="00AE3FCC"/>
    <w:rsid w:val="00AE6708"/>
    <w:rsid w:val="00AF2229"/>
    <w:rsid w:val="00AF5BE9"/>
    <w:rsid w:val="00B11A19"/>
    <w:rsid w:val="00B1749A"/>
    <w:rsid w:val="00B71A0B"/>
    <w:rsid w:val="00B71ACC"/>
    <w:rsid w:val="00B76449"/>
    <w:rsid w:val="00B865AE"/>
    <w:rsid w:val="00BB70A3"/>
    <w:rsid w:val="00BC5952"/>
    <w:rsid w:val="00BD5472"/>
    <w:rsid w:val="00BD65A0"/>
    <w:rsid w:val="00BE0F19"/>
    <w:rsid w:val="00BE29C6"/>
    <w:rsid w:val="00BF1F97"/>
    <w:rsid w:val="00C000DB"/>
    <w:rsid w:val="00C158F5"/>
    <w:rsid w:val="00C41B2E"/>
    <w:rsid w:val="00C55548"/>
    <w:rsid w:val="00C76D0C"/>
    <w:rsid w:val="00C82D35"/>
    <w:rsid w:val="00C83D45"/>
    <w:rsid w:val="00CA353E"/>
    <w:rsid w:val="00CA7C7E"/>
    <w:rsid w:val="00CB39BB"/>
    <w:rsid w:val="00CC28BB"/>
    <w:rsid w:val="00CC2B66"/>
    <w:rsid w:val="00CD0504"/>
    <w:rsid w:val="00CD0801"/>
    <w:rsid w:val="00CD7F54"/>
    <w:rsid w:val="00CE378A"/>
    <w:rsid w:val="00CE6484"/>
    <w:rsid w:val="00CF17A9"/>
    <w:rsid w:val="00CF2B3B"/>
    <w:rsid w:val="00CF6C49"/>
    <w:rsid w:val="00CF75FF"/>
    <w:rsid w:val="00D14D36"/>
    <w:rsid w:val="00D17526"/>
    <w:rsid w:val="00D347D8"/>
    <w:rsid w:val="00D352F1"/>
    <w:rsid w:val="00D37614"/>
    <w:rsid w:val="00D43BBD"/>
    <w:rsid w:val="00D51CCE"/>
    <w:rsid w:val="00D65FA6"/>
    <w:rsid w:val="00D675DF"/>
    <w:rsid w:val="00D85FDA"/>
    <w:rsid w:val="00D91485"/>
    <w:rsid w:val="00DA0846"/>
    <w:rsid w:val="00DA168C"/>
    <w:rsid w:val="00DA22EB"/>
    <w:rsid w:val="00DD0545"/>
    <w:rsid w:val="00DD643D"/>
    <w:rsid w:val="00DE219E"/>
    <w:rsid w:val="00DE252F"/>
    <w:rsid w:val="00E16001"/>
    <w:rsid w:val="00E16C58"/>
    <w:rsid w:val="00E35E12"/>
    <w:rsid w:val="00E526BA"/>
    <w:rsid w:val="00E53564"/>
    <w:rsid w:val="00E569F0"/>
    <w:rsid w:val="00E6611E"/>
    <w:rsid w:val="00E67DDF"/>
    <w:rsid w:val="00E85046"/>
    <w:rsid w:val="00EA0822"/>
    <w:rsid w:val="00EA3740"/>
    <w:rsid w:val="00EA4DD7"/>
    <w:rsid w:val="00EB25A2"/>
    <w:rsid w:val="00ED2309"/>
    <w:rsid w:val="00ED7AAA"/>
    <w:rsid w:val="00EE20C6"/>
    <w:rsid w:val="00EE422F"/>
    <w:rsid w:val="00EE6CA4"/>
    <w:rsid w:val="00F1221E"/>
    <w:rsid w:val="00F12F7C"/>
    <w:rsid w:val="00F35177"/>
    <w:rsid w:val="00F56DCD"/>
    <w:rsid w:val="00F611A9"/>
    <w:rsid w:val="00F66C57"/>
    <w:rsid w:val="00F7638F"/>
    <w:rsid w:val="00F93318"/>
    <w:rsid w:val="00F94E44"/>
    <w:rsid w:val="00FB546A"/>
    <w:rsid w:val="00FC464E"/>
    <w:rsid w:val="00FD4551"/>
    <w:rsid w:val="00FD5759"/>
    <w:rsid w:val="00FE7571"/>
    <w:rsid w:val="00FF01A8"/>
    <w:rsid w:val="00FF44C4"/>
    <w:rsid w:val="00FF655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sz w:val="24"/>
      <w:szCs w:val="24"/>
      <w:lang w:val="sk-SK" w:eastAsia="sk-SK" w:bidi="ar-SA"/>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keepNext/>
      <w:ind w:left="3960"/>
      <w:jc w:val="both"/>
      <w:outlineLvl w:val="2"/>
    </w:pPr>
    <w:rPr>
      <w:rFonts w:ascii="Times New Roman" w:hAnsi="Times New Roman" w:cs="Times New Roman"/>
      <w:i/>
      <w:iCs/>
    </w:rPr>
  </w:style>
  <w:style w:type="paragraph" w:styleId="Heading4">
    <w:name w:val="heading 4"/>
    <w:basedOn w:val="Normal"/>
    <w:next w:val="Normal"/>
    <w:qFormat/>
    <w:pPr>
      <w:keepNext/>
      <w:ind w:left="3969"/>
      <w:outlineLvl w:val="3"/>
    </w:pPr>
    <w:rPr>
      <w:rFonts w:ascii="AT*Toronto" w:hAnsi="AT*Toronto"/>
      <w:b/>
      <w:bCs/>
      <w:i/>
      <w:iCs/>
    </w:rPr>
  </w:style>
  <w:style w:type="paragraph" w:styleId="Heading5">
    <w:name w:val="heading 5"/>
    <w:basedOn w:val="Normal"/>
    <w:next w:val="Normal"/>
    <w:qFormat/>
    <w:pPr>
      <w:keepNext/>
      <w:ind w:left="3969"/>
      <w:jc w:val="both"/>
      <w:outlineLvl w:val="4"/>
    </w:pPr>
    <w:rPr>
      <w:rFonts w:ascii="Times New Roman" w:hAnsi="Times New Roman"/>
      <w:b/>
      <w:bCs/>
    </w:rPr>
  </w:style>
  <w:style w:type="paragraph" w:styleId="Heading6">
    <w:name w:val="heading 6"/>
    <w:basedOn w:val="Normal"/>
    <w:next w:val="Normal"/>
    <w:qFormat/>
    <w:pPr>
      <w:keepNext/>
      <w:ind w:left="3960"/>
      <w:jc w:val="both"/>
      <w:outlineLvl w:val="5"/>
    </w:pPr>
    <w:rPr>
      <w:rFonts w:ascii="Times New Roman" w:hAnsi="Times New Roman" w:cs="Times New Roman"/>
      <w:b/>
      <w:bCs/>
      <w:i/>
      <w:iCs/>
    </w:rPr>
  </w:style>
  <w:style w:type="paragraph" w:styleId="Heading7">
    <w:name w:val="heading 7"/>
    <w:basedOn w:val="Normal"/>
    <w:next w:val="Normal"/>
    <w:qFormat/>
    <w:pPr>
      <w:keepNext/>
      <w:ind w:left="2835"/>
      <w:jc w:val="both"/>
      <w:outlineLvl w:val="6"/>
    </w:pPr>
    <w:rPr>
      <w:rFonts w:ascii="Times New Roman" w:hAnsi="Times New Roman" w:cs="Times New Roman"/>
      <w:b/>
      <w:bCs/>
    </w:rPr>
  </w:style>
  <w:style w:type="paragraph" w:styleId="Heading8">
    <w:name w:val="heading 8"/>
    <w:basedOn w:val="Normal"/>
    <w:next w:val="Normal"/>
    <w:qFormat/>
    <w:pPr>
      <w:keepNext/>
      <w:ind w:left="2835"/>
      <w:outlineLvl w:val="7"/>
    </w:pPr>
    <w:rPr>
      <w:rFonts w:ascii="Times New Roman" w:hAnsi="Times New Roman" w:cs="Times New Roman"/>
      <w:b/>
      <w:bCs/>
    </w:rPr>
  </w:style>
  <w:style w:type="paragraph" w:styleId="Heading9">
    <w:name w:val="heading 9"/>
    <w:basedOn w:val="Normal"/>
    <w:next w:val="Normal"/>
    <w:qFormat/>
    <w:pPr>
      <w:keepNext/>
      <w:ind w:left="2127"/>
      <w:jc w:val="both"/>
      <w:outlineLvl w:val="8"/>
    </w:pPr>
    <w:rPr>
      <w:rFonts w:ascii="Times New Roman" w:hAnsi="Times New Roman" w:cs="Times New Roman"/>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960"/>
    </w:pPr>
    <w:rPr>
      <w:rFonts w:ascii="Times New Roman" w:hAnsi="Times New Roman" w:cs="Times New Roman"/>
    </w:rPr>
  </w:style>
  <w:style w:type="paragraph" w:styleId="BodyTextIndent2">
    <w:name w:val="Body Text Indent 2"/>
    <w:basedOn w:val="Normal"/>
    <w:pPr>
      <w:ind w:left="2880"/>
      <w:jc w:val="both"/>
    </w:pPr>
    <w:rPr>
      <w:rFonts w:ascii="Times New Roman" w:hAnsi="Times New Roman" w:cs="Times New Roman"/>
    </w:rPr>
  </w:style>
  <w:style w:type="paragraph" w:styleId="BodyText">
    <w:name w:val="Body Text"/>
    <w:basedOn w:val="Normal"/>
    <w:pPr>
      <w:jc w:val="both"/>
    </w:pPr>
    <w:rPr>
      <w:rFonts w:ascii="Times New Roman" w:hAnsi="Times New Roman" w:cs="Times New Roman"/>
    </w:rPr>
  </w:style>
  <w:style w:type="paragraph" w:styleId="BodyTextIndent3">
    <w:name w:val="Body Text Indent 3"/>
    <w:basedOn w:val="Normal"/>
    <w:pPr>
      <w:ind w:left="2835"/>
    </w:pPr>
    <w:rPr>
      <w:rFonts w:ascii="Times New Roman" w:hAnsi="Times New Roman" w:cs="Times New Roman"/>
    </w:rPr>
  </w:style>
  <w:style w:type="paragraph" w:styleId="BodyText2">
    <w:name w:val="Body Text 2"/>
    <w:basedOn w:val="Normal"/>
    <w:pPr>
      <w:widowControl/>
      <w:autoSpaceDE/>
      <w:autoSpaceDN/>
      <w:adjustRightInd/>
      <w:spacing w:after="120" w:line="480" w:lineRule="auto"/>
    </w:pPr>
    <w:rPr>
      <w:rFonts w:ascii="Times New Roman" w:hAnsi="Times New Roman" w:cs="Times New Roman"/>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qFormat/>
    <w:rPr>
      <w:b/>
      <w:bCs/>
    </w:r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Tahoma"/>
      <w:sz w:val="16"/>
      <w:szCs w:val="16"/>
    </w:rPr>
  </w:style>
  <w:style w:type="paragraph" w:styleId="Footer">
    <w:name w:val="footer"/>
    <w:basedOn w:val="Normal"/>
    <w:pPr>
      <w:widowControl/>
      <w:tabs>
        <w:tab w:val="center" w:pos="4536"/>
        <w:tab w:val="right" w:pos="9072"/>
      </w:tabs>
      <w:autoSpaceDE/>
      <w:autoSpaceDN/>
      <w:adjustRightInd/>
    </w:pPr>
    <w:rPr>
      <w:rFonts w:ascii="Times New Roman" w:hAnsi="Times New Roman" w:cs="Times New Roman"/>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snapToGrid w:val="0"/>
      <w:color w:val="000000"/>
    </w:rPr>
  </w:style>
  <w:style w:type="paragraph" w:customStyle="1" w:styleId="adda">
    <w:name w:val="adda"/>
    <w:basedOn w:val="Normal"/>
    <w:pPr>
      <w:keepNext/>
      <w:widowControl/>
      <w:numPr>
        <w:ilvl w:val="1"/>
        <w:numId w:val="10"/>
      </w:numPr>
      <w:autoSpaceDE/>
      <w:autoSpaceDN/>
      <w:adjustRightInd/>
      <w:spacing w:before="60" w:after="60"/>
      <w:jc w:val="both"/>
    </w:pPr>
    <w:rPr>
      <w:rFonts w:ascii="Times New Roman" w:hAnsi="Times New Roman" w:cs="Times New Roman"/>
    </w:rPr>
  </w:style>
  <w:style w:type="paragraph" w:styleId="Title">
    <w:name w:val="Title"/>
    <w:basedOn w:val="Normal"/>
    <w:link w:val="CharChar1"/>
    <w:qFormat/>
    <w:pPr>
      <w:tabs>
        <w:tab w:val="left" w:pos="1800"/>
        <w:tab w:val="center" w:pos="4536"/>
      </w:tabs>
      <w:jc w:val="center"/>
    </w:pPr>
    <w:rPr>
      <w:rFonts w:ascii="AT*Toronto" w:hAnsi="AT*Toronto"/>
      <w:b/>
      <w:bCs/>
      <w:sz w:val="32"/>
      <w:szCs w:val="32"/>
    </w:rPr>
  </w:style>
  <w:style w:type="character" w:styleId="PageNumber">
    <w:name w:val="page number"/>
    <w:basedOn w:val="DefaultParagraphFont"/>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rsid w:val="0084768B"/>
    <w:pPr>
      <w:widowControl/>
      <w:autoSpaceDE/>
      <w:autoSpaceDN/>
      <w:adjustRightInd/>
      <w:spacing w:before="100" w:beforeAutospacing="1" w:after="100" w:afterAutospacing="1"/>
    </w:pPr>
    <w:rPr>
      <w:rFonts w:ascii="Times New Roman" w:hAnsi="Times New Roman" w:cs="Times New Roman"/>
    </w:rPr>
  </w:style>
  <w:style w:type="paragraph" w:customStyle="1" w:styleId="Odsekzoznamu">
    <w:name w:val="Odsek zoznamu"/>
    <w:basedOn w:val="Normal"/>
    <w:uiPriority w:val="34"/>
    <w:qFormat/>
    <w:rsid w:val="00E569F0"/>
    <w:pPr>
      <w:widowControl/>
      <w:autoSpaceDE/>
      <w:autoSpaceDN/>
      <w:adjustRightInd/>
      <w:ind w:left="720"/>
      <w:contextualSpacing/>
    </w:pPr>
    <w:rPr>
      <w:rFonts w:ascii="Times New Roman" w:hAnsi="Times New Roman" w:cs="Times New Roman"/>
    </w:rPr>
  </w:style>
  <w:style w:type="paragraph" w:customStyle="1" w:styleId="CharCharCharCharChar">
    <w:name w:val=" Char Char Char Char Char"/>
    <w:basedOn w:val="Normal"/>
    <w:rsid w:val="00272E1C"/>
    <w:pPr>
      <w:widowControl/>
      <w:autoSpaceDE/>
      <w:autoSpaceDN/>
      <w:adjustRightInd/>
      <w:spacing w:after="160" w:line="240" w:lineRule="exact"/>
    </w:pPr>
    <w:rPr>
      <w:rFonts w:ascii="Tahoma" w:hAnsi="Tahoma" w:cs="Tahoma"/>
      <w:sz w:val="20"/>
      <w:szCs w:val="20"/>
      <w:lang w:val="en-US" w:eastAsia="en-US"/>
    </w:rPr>
  </w:style>
  <w:style w:type="character" w:customStyle="1" w:styleId="PlaceholderText">
    <w:name w:val="Placeholder Text"/>
    <w:semiHidden/>
    <w:rsid w:val="00CD0504"/>
    <w:rPr>
      <w:rFonts w:ascii="Times New Roman" w:hAnsi="Times New Roman" w:cs="Times New Roman" w:hint="default"/>
      <w:color w:val="808080"/>
    </w:rPr>
  </w:style>
  <w:style w:type="character" w:styleId="FootnoteReference">
    <w:name w:val="footnote reference"/>
    <w:unhideWhenUsed/>
    <w:rsid w:val="006F1629"/>
    <w:rPr>
      <w:vertAlign w:val="superscript"/>
    </w:rPr>
  </w:style>
  <w:style w:type="paragraph" w:styleId="PlainText">
    <w:name w:val="Plain Text"/>
    <w:basedOn w:val="Normal"/>
    <w:link w:val="CharChar"/>
    <w:uiPriority w:val="99"/>
    <w:rsid w:val="0069186E"/>
    <w:pPr>
      <w:widowControl/>
      <w:autoSpaceDE/>
      <w:autoSpaceDN/>
      <w:adjustRightInd/>
    </w:pPr>
    <w:rPr>
      <w:rFonts w:ascii="Courier New" w:hAnsi="Courier New" w:cs="Courier New"/>
      <w:sz w:val="20"/>
      <w:szCs w:val="20"/>
    </w:rPr>
  </w:style>
  <w:style w:type="character" w:customStyle="1" w:styleId="CharChar">
    <w:name w:val=" Char Char"/>
    <w:link w:val="PlainText"/>
    <w:uiPriority w:val="99"/>
    <w:rsid w:val="0069186E"/>
    <w:rPr>
      <w:rFonts w:ascii="Courier New" w:hAnsi="Courier New" w:cs="Courier New"/>
    </w:rPr>
  </w:style>
  <w:style w:type="paragraph" w:customStyle="1" w:styleId="tl1">
    <w:name w:val="Štýl1"/>
    <w:basedOn w:val="Normal"/>
    <w:rsid w:val="0069186E"/>
    <w:pPr>
      <w:widowControl/>
      <w:autoSpaceDE/>
      <w:autoSpaceDN/>
      <w:adjustRightInd/>
      <w:jc w:val="both"/>
    </w:pPr>
    <w:rPr>
      <w:rFonts w:ascii="Times New Roman" w:hAnsi="Times New Roman" w:cs="Times New Roman"/>
    </w:rPr>
  </w:style>
  <w:style w:type="paragraph" w:customStyle="1" w:styleId="Zkladntext">
    <w:name w:val="Základní text"/>
    <w:uiPriority w:val="99"/>
    <w:rsid w:val="0069186E"/>
    <w:pPr>
      <w:widowControl w:val="0"/>
    </w:pPr>
    <w:rPr>
      <w:color w:val="000000"/>
      <w:sz w:val="24"/>
      <w:szCs w:val="24"/>
      <w:lang w:val="sk-SK" w:eastAsia="sk-SK" w:bidi="ar-SA"/>
    </w:rPr>
  </w:style>
  <w:style w:type="character" w:customStyle="1" w:styleId="CharChar1">
    <w:name w:val=" Char Char1"/>
    <w:link w:val="Title"/>
    <w:rsid w:val="0069186E"/>
    <w:rPr>
      <w:rFonts w:ascii="AT*Toronto" w:hAnsi="AT*Toronto" w:cs="Arial"/>
      <w:b/>
      <w:bCs/>
      <w:sz w:val="32"/>
      <w:szCs w:val="32"/>
    </w:rPr>
  </w:style>
  <w:style w:type="character" w:customStyle="1" w:styleId="spanr">
    <w:name w:val="span_r"/>
    <w:basedOn w:val="DefaultParagraphFont"/>
    <w:rsid w:val="005E596A"/>
  </w:style>
  <w:style w:type="paragraph" w:customStyle="1" w:styleId="ListParagraph">
    <w:name w:val="List Paragraph"/>
    <w:basedOn w:val="Normal"/>
    <w:rsid w:val="00AC56AB"/>
    <w:pPr>
      <w:widowControl/>
      <w:autoSpaceDE/>
      <w:autoSpaceDN/>
      <w:adjustRightInd/>
      <w:spacing w:after="200" w:line="276" w:lineRule="auto"/>
      <w:ind w:left="720"/>
      <w:contextualSpacing/>
    </w:pPr>
    <w:rPr>
      <w:rFonts w:ascii="Calibri"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30</TotalTime>
  <Pages>1</Pages>
  <Words>1228</Words>
  <Characters>7000</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Kancelária NR SR</Company>
  <LinksUpToDate>false</LinksUpToDate>
  <CharactersWithSpaces>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Knapp Ján</cp:lastModifiedBy>
  <cp:revision>12</cp:revision>
  <cp:lastPrinted>2011-03-31T11:48:00Z</cp:lastPrinted>
  <dcterms:created xsi:type="dcterms:W3CDTF">2012-02-01T15:17:00Z</dcterms:created>
  <dcterms:modified xsi:type="dcterms:W3CDTF">2012-02-29T12:22:00Z</dcterms:modified>
</cp:coreProperties>
</file>