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1A1" w:rsidRPr="007254EE" w:rsidP="000861E3">
      <w:pPr>
        <w:bidi w:val="0"/>
        <w:jc w:val="center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  <w:sz w:val="28"/>
          <w:szCs w:val="28"/>
        </w:rPr>
        <w:t>Vplyvy na rozpočet verejnej správy,</w:t>
      </w:r>
    </w:p>
    <w:p w:rsidR="004161A1" w:rsidRPr="007254EE" w:rsidP="000861E3">
      <w:pPr>
        <w:bidi w:val="0"/>
        <w:jc w:val="center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  <w:sz w:val="28"/>
          <w:szCs w:val="28"/>
        </w:rPr>
        <w:t>na zamestnanosť vo verejnej správe a financovanie návrhu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2.1. Zhrnutie vplyvov na rozpočet verejnej správy v</w:t>
      </w:r>
      <w:r w:rsidRPr="007254EE" w:rsidR="001132C5">
        <w:rPr>
          <w:rFonts w:ascii="Arial" w:hAnsi="Arial" w:cs="Arial"/>
          <w:b/>
          <w:bCs/>
        </w:rPr>
        <w:t> </w:t>
      </w:r>
      <w:r w:rsidRPr="007254EE">
        <w:rPr>
          <w:rFonts w:ascii="Arial" w:hAnsi="Arial" w:cs="Arial"/>
          <w:b/>
          <w:bCs/>
        </w:rPr>
        <w:t>návrhu</w:t>
      </w:r>
      <w:r w:rsidRPr="007254EE" w:rsidR="001132C5">
        <w:rPr>
          <w:rFonts w:ascii="Arial" w:hAnsi="Arial" w:cs="Arial"/>
          <w:b/>
          <w:bCs/>
        </w:rPr>
        <w:t xml:space="preserve"> v €</w:t>
      </w:r>
    </w:p>
    <w:p w:rsidR="004161A1" w:rsidRPr="007254EE" w:rsidP="004161A1">
      <w:pPr>
        <w:bidi w:val="0"/>
        <w:jc w:val="right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 xml:space="preserve">Tabuľka č. 1 </w:t>
      </w:r>
    </w:p>
    <w:tbl>
      <w:tblPr>
        <w:tblStyle w:val="TableNormal"/>
        <w:tblW w:w="9993" w:type="dxa"/>
        <w:tblCellMar>
          <w:left w:w="0" w:type="dxa"/>
          <w:right w:w="0" w:type="dxa"/>
        </w:tblCellMar>
      </w:tblPr>
      <w:tblGrid>
        <w:gridCol w:w="4661"/>
        <w:gridCol w:w="1079"/>
        <w:gridCol w:w="1455"/>
        <w:gridCol w:w="1267"/>
        <w:gridCol w:w="113"/>
        <w:gridCol w:w="1418"/>
      </w:tblGrid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94" w:lineRule="atLeast"/>
              <w:jc w:val="center"/>
              <w:rPr>
                <w:rFonts w:ascii="Arial" w:hAnsi="Arial" w:cs="Arial"/>
              </w:rPr>
            </w:pPr>
            <w:bookmarkStart w:id="0" w:name="OLE_LINK1"/>
            <w:bookmarkEnd w:id="0"/>
            <w:r w:rsidRPr="007254EE">
              <w:rPr>
                <w:rFonts w:ascii="Arial" w:hAnsi="Arial" w:cs="Arial"/>
                <w:b/>
                <w:bCs/>
                <w:color w:val="FFFFFF"/>
              </w:rPr>
              <w:t xml:space="preserve">Vplyvy na </w:t>
            </w:r>
            <w:r w:rsidRPr="007254EE">
              <w:rPr>
                <w:rFonts w:ascii="Arial" w:hAnsi="Arial" w:cs="Arial"/>
                <w:b/>
                <w:bCs/>
              </w:rPr>
              <w:t>rozpočet verejnej správy</w:t>
            </w:r>
          </w:p>
        </w:tc>
        <w:tc>
          <w:tcPr>
            <w:tcW w:w="5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94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 xml:space="preserve">Vplyv na rozpočet verejnej správy </w:t>
            </w:r>
            <w:r w:rsidRPr="007254EE">
              <w:rPr>
                <w:rFonts w:ascii="Arial" w:hAnsi="Arial" w:cs="Arial"/>
                <w:b/>
                <w:bCs/>
              </w:rPr>
              <w:t>(v eurách)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 w:rsidR="001132C5">
              <w:rPr>
                <w:rFonts w:ascii="Arial" w:hAnsi="Arial" w:cs="Arial"/>
                <w:b/>
                <w:bCs/>
                <w:color w:val="FFFFFF"/>
              </w:rPr>
              <w:t>R 2011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1132C5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 xml:space="preserve">r </w:t>
            </w:r>
            <w:r w:rsidRPr="007254EE" w:rsidR="001132C5">
              <w:rPr>
                <w:rFonts w:ascii="Arial" w:hAnsi="Arial" w:cs="Arial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1132C5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2</w:t>
            </w:r>
            <w:r w:rsidRPr="007254EE" w:rsidR="001132C5">
              <w:rPr>
                <w:rFonts w:ascii="Arial" w:hAnsi="Arial" w:cs="Arial"/>
                <w:b/>
                <w:bCs/>
                <w:color w:val="FFFFFF"/>
              </w:rPr>
              <w:t>013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1132C5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 xml:space="preserve">r </w:t>
            </w:r>
            <w:r w:rsidRPr="007254EE" w:rsidR="001132C5">
              <w:rPr>
                <w:rFonts w:ascii="Arial" w:hAnsi="Arial" w:cs="Arial"/>
                <w:b/>
                <w:bCs/>
                <w:color w:val="FFFFFF"/>
              </w:rPr>
              <w:t>2014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Príjmy verejnej správy celkom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2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v tom: za každý subjekt verejnej správy zvlášť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2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2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2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2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- vplyv na ŠR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Výdavky verejnej správy celkom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 w:rsidR="001132C5">
              <w:rPr>
                <w:rFonts w:ascii="Arial" w:hAnsi="Arial" w:cs="Arial"/>
                <w:b/>
                <w:bCs/>
              </w:rPr>
              <w:t xml:space="preserve"> </w:t>
            </w: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3A21BA">
            <w:pPr>
              <w:bidi w:val="0"/>
              <w:spacing w:after="0" w:line="125" w:lineRule="atLeast"/>
              <w:jc w:val="right"/>
              <w:rPr>
                <w:rFonts w:ascii="Arial" w:hAnsi="Arial" w:cs="Arial"/>
                <w:b/>
              </w:rPr>
            </w:pPr>
            <w:r w:rsidRPr="007254EE" w:rsidR="00367C9B">
              <w:rPr>
                <w:rFonts w:ascii="Arial" w:hAnsi="Arial" w:cs="Arial"/>
                <w:b/>
              </w:rPr>
              <w:t>31</w:t>
            </w:r>
            <w:r w:rsidRPr="007254EE" w:rsidR="004C22E7">
              <w:rPr>
                <w:rFonts w:ascii="Arial" w:hAnsi="Arial" w:cs="Arial"/>
                <w:b/>
              </w:rPr>
              <w:t> </w:t>
            </w:r>
            <w:r w:rsidRPr="007254EE" w:rsidR="003A21BA">
              <w:rPr>
                <w:rFonts w:ascii="Arial" w:hAnsi="Arial" w:cs="Arial"/>
                <w:b/>
              </w:rPr>
              <w:t>206</w:t>
            </w:r>
            <w:r w:rsidRPr="007254EE" w:rsidR="004C22E7">
              <w:rPr>
                <w:rFonts w:ascii="Arial" w:hAnsi="Arial" w:cs="Arial"/>
                <w:b/>
              </w:rPr>
              <w:t xml:space="preserve"> </w:t>
            </w:r>
            <w:r w:rsidRPr="007254EE" w:rsidR="003A21BA">
              <w:rPr>
                <w:rFonts w:ascii="Arial" w:hAnsi="Arial" w:cs="Arial"/>
                <w:b/>
              </w:rPr>
              <w:t>561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F7649" w:rsidRPr="007254EE" w:rsidP="00367C9B">
            <w:pPr>
              <w:bidi w:val="0"/>
              <w:spacing w:after="0" w:line="125" w:lineRule="atLeast"/>
              <w:jc w:val="right"/>
              <w:rPr>
                <w:rFonts w:ascii="Arial" w:hAnsi="Arial" w:cs="Arial"/>
                <w:b/>
              </w:rPr>
            </w:pPr>
            <w:r w:rsidRPr="007254EE" w:rsidR="00592FA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367C9B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 w:rsidR="006C121A">
              <w:rPr>
                <w:rFonts w:ascii="Arial" w:hAnsi="Arial" w:cs="Arial"/>
                <w:b/>
                <w:bCs/>
              </w:rPr>
              <w:t xml:space="preserve"> </w:t>
            </w:r>
            <w:r w:rsidRPr="007254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F96627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 xml:space="preserve">v tom: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- vplyv na ŠR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77228E" w:rsidRPr="007254EE" w:rsidP="004161A1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/>
                <w:iCs/>
              </w:rPr>
            </w:pPr>
            <w:r w:rsidRPr="007254EE" w:rsidR="004161A1">
              <w:rPr>
                <w:rFonts w:ascii="Arial" w:hAnsi="Arial" w:cs="Arial"/>
                <w:b/>
                <w:bCs/>
                <w:i/>
                <w:iCs/>
              </w:rPr>
              <w:t>- vplyv na územnú samosprávu</w:t>
            </w:r>
          </w:p>
          <w:p w:rsidR="00111973" w:rsidRPr="007254EE" w:rsidP="004161A1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11973" w:rsidRPr="007254EE" w:rsidP="00F96627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/>
                <w:iCs/>
              </w:rPr>
            </w:pPr>
            <w:r w:rsidRPr="007254EE" w:rsidR="0077228E">
              <w:rPr>
                <w:rFonts w:ascii="Arial" w:hAnsi="Arial" w:cs="Arial"/>
                <w:b/>
                <w:bCs/>
                <w:i/>
                <w:iCs/>
              </w:rPr>
              <w:t>- vplyv na</w:t>
            </w:r>
            <w:r w:rsidRPr="007254EE" w:rsidR="00F96627">
              <w:rPr>
                <w:rFonts w:ascii="Arial" w:hAnsi="Arial" w:cs="Arial"/>
                <w:b/>
                <w:bCs/>
                <w:i/>
                <w:iCs/>
              </w:rPr>
              <w:t xml:space="preserve"> rozpočet M</w:t>
            </w:r>
            <w:r w:rsidRPr="007254EE" w:rsidR="00515DA8">
              <w:rPr>
                <w:rFonts w:ascii="Arial" w:hAnsi="Arial" w:cs="Arial"/>
                <w:b/>
                <w:bCs/>
                <w:i/>
                <w:iCs/>
              </w:rPr>
              <w:t>Z SR</w:t>
            </w:r>
          </w:p>
          <w:p w:rsidR="00111973" w:rsidRPr="007254EE" w:rsidP="00F96627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/>
                <w:iCs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 xml:space="preserve">- vplyv na rozpočet zdravotníckych zariadení </w:t>
            </w:r>
            <w:r w:rsidRPr="007254EE" w:rsidR="004C22E7">
              <w:rPr>
                <w:rFonts w:ascii="Arial" w:hAnsi="Arial" w:cs="Arial"/>
                <w:b/>
                <w:bCs/>
                <w:i/>
                <w:iCs/>
              </w:rPr>
              <w:t xml:space="preserve">v zriaďovateľskej a zakladateľskej pôsobnosti MZ SR, VÚC, miest a obcí </w:t>
            </w:r>
            <w:r w:rsidRPr="007254EE">
              <w:rPr>
                <w:rFonts w:ascii="Arial" w:hAnsi="Arial" w:cs="Arial"/>
                <w:b/>
                <w:bCs/>
                <w:i/>
                <w:iCs/>
              </w:rPr>
              <w:t>financovaných zo zdrojov zdravotného poistenia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  <w:b/>
                <w:bCs/>
                <w:iCs/>
              </w:rPr>
            </w:pPr>
          </w:p>
          <w:p w:rsidR="004161A1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7254EE">
              <w:rPr>
                <w:rFonts w:ascii="Arial" w:hAnsi="Arial" w:cs="Arial"/>
                <w:b/>
                <w:bCs/>
                <w:iCs/>
              </w:rPr>
              <w:t>0</w:t>
            </w:r>
          </w:p>
          <w:p w:rsidR="00111973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</w:p>
          <w:p w:rsidR="00111973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0491" w:rsidRPr="007254EE" w:rsidP="00DA049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</w:p>
          <w:p w:rsidR="00111973" w:rsidRPr="007254EE" w:rsidP="004161A1">
            <w:pPr>
              <w:bidi w:val="0"/>
              <w:spacing w:after="0" w:line="125" w:lineRule="atLeast"/>
              <w:jc w:val="right"/>
              <w:rPr>
                <w:rFonts w:ascii="Arial" w:hAnsi="Arial" w:cs="Arial"/>
              </w:rPr>
            </w:pPr>
          </w:p>
          <w:p w:rsidR="00111973" w:rsidRPr="007254EE" w:rsidP="00DA0491">
            <w:pPr>
              <w:bidi w:val="0"/>
              <w:spacing w:after="0" w:line="125" w:lineRule="atLeast"/>
              <w:jc w:val="center"/>
              <w:rPr>
                <w:rFonts w:ascii="Arial" w:hAnsi="Arial" w:cs="Arial"/>
              </w:rPr>
            </w:pPr>
            <w:r w:rsidRPr="007254EE" w:rsidR="003A21BA">
              <w:rPr>
                <w:rFonts w:ascii="Arial" w:hAnsi="Arial" w:cs="Arial"/>
              </w:rPr>
              <w:t>31 206 561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0491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  <w:r w:rsidRPr="007254EE" w:rsidR="00592FA5">
              <w:rPr>
                <w:rFonts w:ascii="Arial" w:hAnsi="Arial" w:cs="Arial"/>
              </w:rPr>
              <w:t>0</w:t>
            </w: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0491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  <w:p w:rsidR="00111973" w:rsidRPr="007254EE" w:rsidP="00111973">
            <w:pPr>
              <w:bidi w:val="0"/>
              <w:spacing w:after="0" w:line="125" w:lineRule="atLeast"/>
              <w:rPr>
                <w:rFonts w:ascii="Arial" w:hAnsi="Arial" w:cs="Arial"/>
              </w:rPr>
            </w:pP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 xml:space="preserve">Celková zamestnanosť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i/>
                <w:iCs/>
              </w:rPr>
              <w:t>- z toho vplyv na ŠR</w:t>
            </w:r>
            <w:r w:rsidRPr="007254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Financovanie zabezpečené v rozpočte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v tom: za každý subjekt verejnej správy / program zvlášť</w:t>
            </w:r>
          </w:p>
          <w:p w:rsidR="00111973" w:rsidRPr="007254EE" w:rsidP="00111973">
            <w:pPr>
              <w:bidi w:val="0"/>
              <w:spacing w:after="0" w:line="70" w:lineRule="atLeast"/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D43CD" w:rsidRPr="007254EE" w:rsidP="002E5074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>Prepočet medziročného rastu vychádza z</w:t>
      </w:r>
      <w:r w:rsidRPr="007254EE" w:rsidR="00CC319E">
        <w:rPr>
          <w:rFonts w:ascii="Arial" w:hAnsi="Arial" w:cs="Arial"/>
        </w:rPr>
        <w:t> priemernej mesačnej mzdy v hospodárstve SR za rok 2010</w:t>
      </w:r>
      <w:r w:rsidRPr="007254EE" w:rsidR="00376B34">
        <w:rPr>
          <w:rFonts w:ascii="Arial" w:hAnsi="Arial" w:cs="Arial"/>
        </w:rPr>
        <w:t>.</w:t>
      </w:r>
      <w:r w:rsidRPr="007254EE" w:rsidR="002E5074">
        <w:rPr>
          <w:rFonts w:ascii="Arial" w:hAnsi="Arial" w:cs="Arial"/>
        </w:rPr>
        <w:t xml:space="preserve"> </w:t>
      </w:r>
    </w:p>
    <w:p w:rsidR="004D43CD" w:rsidRPr="007254EE" w:rsidP="004161A1">
      <w:pPr>
        <w:bidi w:val="0"/>
        <w:rPr>
          <w:rFonts w:ascii="Arial" w:hAnsi="Arial" w:cs="Arial"/>
        </w:rPr>
      </w:pPr>
    </w:p>
    <w:p w:rsidR="004D43CD" w:rsidRPr="007254EE" w:rsidP="004161A1">
      <w:pPr>
        <w:bidi w:val="0"/>
        <w:rPr>
          <w:rFonts w:ascii="Arial" w:hAnsi="Arial" w:cs="Arial"/>
        </w:rPr>
      </w:pP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2.2. Financovanie návrhu</w:t>
      </w:r>
    </w:p>
    <w:p w:rsidR="004161A1" w:rsidRPr="007254EE" w:rsidP="004161A1">
      <w:pPr>
        <w:bidi w:val="0"/>
        <w:jc w:val="right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>Tabuľka č. 2</w:t>
      </w:r>
    </w:p>
    <w:tbl>
      <w:tblPr>
        <w:tblStyle w:val="TableNormal"/>
        <w:tblW w:w="9851" w:type="dxa"/>
        <w:tblCellMar>
          <w:left w:w="0" w:type="dxa"/>
          <w:right w:w="0" w:type="dxa"/>
        </w:tblCellMar>
      </w:tblPr>
      <w:tblGrid>
        <w:gridCol w:w="4304"/>
        <w:gridCol w:w="1264"/>
        <w:gridCol w:w="1448"/>
        <w:gridCol w:w="1418"/>
        <w:gridCol w:w="1417"/>
      </w:tblGrid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Financovanie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 xml:space="preserve">Vplyv na rozpočet verejnej správy </w:t>
            </w:r>
            <w:r w:rsidRPr="007254EE">
              <w:rPr>
                <w:rFonts w:ascii="Arial" w:hAnsi="Arial" w:cs="Arial"/>
                <w:b/>
                <w:bCs/>
              </w:rPr>
              <w:t>(v eurách)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77228E" w:rsidRPr="007254EE" w:rsidP="004161A1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7254EE" w:rsidP="0077228E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R 2011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7254EE" w:rsidP="0077228E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r 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7254EE" w:rsidP="0077228E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r 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77228E" w:rsidRPr="007254EE" w:rsidP="0077228E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r 2014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2E5074">
            <w:pPr>
              <w:bidi w:val="0"/>
              <w:spacing w:after="0" w:line="70" w:lineRule="atLeast"/>
              <w:rPr>
                <w:rFonts w:ascii="Arial" w:hAnsi="Arial" w:cs="Arial"/>
                <w:sz w:val="20"/>
                <w:szCs w:val="20"/>
              </w:rPr>
            </w:pPr>
            <w:r w:rsidRPr="007254EE" w:rsidR="0077228E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254EE" w:rsidR="003A21BA">
              <w:rPr>
                <w:rFonts w:ascii="Arial" w:hAnsi="Arial" w:cs="Arial"/>
                <w:sz w:val="20"/>
                <w:szCs w:val="20"/>
              </w:rPr>
              <w:t>31 206 561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4EE" w:rsidR="00592F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2E5074">
            <w:pPr>
              <w:bidi w:val="0"/>
              <w:spacing w:after="0" w:line="7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4EE" w:rsidR="0077228E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254EE" w:rsidR="00980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51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51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51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51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51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5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 ostatné zdroje financovania</w:t>
            </w:r>
            <w:r w:rsidRPr="007254EE" w:rsidR="00BA5DE4">
              <w:rPr>
                <w:rFonts w:ascii="Arial" w:hAnsi="Arial" w:cs="Arial"/>
              </w:rPr>
              <w:t xml:space="preserve"> – verejné zdravotné poistenie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5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5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4EE" w:rsidR="00BA5DE4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254EE" w:rsidR="003A21BA">
              <w:rPr>
                <w:rFonts w:ascii="Arial" w:hAnsi="Arial" w:cs="Arial"/>
                <w:sz w:val="20"/>
                <w:szCs w:val="20"/>
              </w:rPr>
              <w:t>31 206 561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135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4EE" w:rsidR="00592FA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2E5074">
            <w:pPr>
              <w:bidi w:val="0"/>
              <w:spacing w:after="0" w:line="135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4EE" w:rsidR="00BA5DE4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254EE" w:rsidR="00980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BA5DE4">
            <w:pPr>
              <w:bidi w:val="0"/>
              <w:spacing w:after="0" w:line="70" w:lineRule="atLeast"/>
              <w:rPr>
                <w:rFonts w:ascii="Arial" w:hAnsi="Arial" w:cs="Arial"/>
                <w:sz w:val="18"/>
                <w:szCs w:val="18"/>
              </w:rPr>
            </w:pPr>
            <w:r w:rsidRPr="007254EE" w:rsidR="004C22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Pr="007254EE" w:rsidR="003A21BA">
              <w:rPr>
                <w:rFonts w:ascii="Arial" w:hAnsi="Arial" w:cs="Arial"/>
                <w:b/>
                <w:bCs/>
                <w:sz w:val="18"/>
                <w:szCs w:val="18"/>
              </w:rPr>
              <w:t>31 206 561</w:t>
            </w:r>
            <w:r w:rsidRPr="007254EE" w:rsidR="00BA5DE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7254E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54EE" w:rsidR="00592F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161A1" w:rsidRPr="007254EE" w:rsidP="002E5074">
            <w:pPr>
              <w:bidi w:val="0"/>
              <w:spacing w:after="0" w:line="70" w:lineRule="atLeast"/>
              <w:rPr>
                <w:rFonts w:ascii="Arial" w:hAnsi="Arial" w:cs="Arial"/>
                <w:sz w:val="18"/>
                <w:szCs w:val="18"/>
              </w:rPr>
            </w:pPr>
            <w:r w:rsidRPr="007254EE" w:rsidR="00BA5D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Pr="007254EE" w:rsidR="00980C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254EE" w:rsidR="00207248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7254E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7D4916" w:rsidRPr="007254EE" w:rsidP="004161A1">
      <w:pPr>
        <w:bidi w:val="0"/>
        <w:rPr>
          <w:rFonts w:ascii="Arial" w:hAnsi="Arial" w:cs="Arial"/>
          <w:b/>
          <w:bCs/>
        </w:rPr>
      </w:pP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 </w:t>
      </w:r>
    </w:p>
    <w:p w:rsidR="008E56C9" w:rsidRPr="007254EE" w:rsidP="008E56C9">
      <w:pPr>
        <w:bidi w:val="0"/>
        <w:adjustRightInd w:val="0"/>
        <w:spacing w:line="276" w:lineRule="auto"/>
        <w:ind w:left="360"/>
        <w:jc w:val="both"/>
        <w:rPr>
          <w:rFonts w:ascii="Arial" w:hAnsi="Arial" w:cs="Arial"/>
          <w:i/>
          <w:iCs/>
          <w:color w:val="000000"/>
        </w:rPr>
      </w:pPr>
    </w:p>
    <w:p w:rsidR="008E56C9" w:rsidRPr="007254EE" w:rsidP="008E56C9">
      <w:pPr>
        <w:bidi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7254EE">
        <w:rPr>
          <w:rFonts w:ascii="Arial" w:hAnsi="Arial" w:cs="Arial"/>
          <w:i/>
          <w:iCs/>
          <w:color w:val="000000"/>
        </w:rPr>
        <w:t>Zdravotnícke zariadenia</w:t>
      </w:r>
      <w:r w:rsidRPr="007254EE" w:rsidR="0071246D">
        <w:rPr>
          <w:rFonts w:ascii="Arial" w:hAnsi="Arial" w:cs="Arial"/>
          <w:i/>
          <w:iCs/>
          <w:color w:val="000000"/>
        </w:rPr>
        <w:t xml:space="preserve"> ústavnej zdravotnej starostlivosti </w:t>
      </w:r>
      <w:r w:rsidRPr="007254EE">
        <w:rPr>
          <w:rFonts w:ascii="Arial" w:hAnsi="Arial" w:cs="Arial"/>
          <w:i/>
          <w:iCs/>
          <w:color w:val="000000"/>
        </w:rPr>
        <w:t xml:space="preserve">financované zo zdrojov zdravotného poistenia - </w:t>
      </w:r>
      <w:r w:rsidRPr="007254EE">
        <w:rPr>
          <w:rFonts w:ascii="Arial" w:hAnsi="Arial" w:cs="Arial"/>
          <w:color w:val="000000"/>
        </w:rPr>
        <w:t xml:space="preserve">finančné prostriedky súvisiace so zmenami premietnutými do návrhu zákona </w:t>
      </w:r>
      <w:r w:rsidRPr="007254EE">
        <w:rPr>
          <w:rFonts w:ascii="Arial" w:hAnsi="Arial" w:cs="Arial"/>
          <w:b/>
          <w:color w:val="000000"/>
        </w:rPr>
        <w:t>nie sú kryté v rámci schváleného rozpočtu kapitoly Ministerstva zdravotníctva SR na roky 2012 – 2014</w:t>
      </w:r>
      <w:r w:rsidRPr="007254EE">
        <w:rPr>
          <w:rFonts w:ascii="Arial" w:hAnsi="Arial" w:cs="Arial"/>
          <w:color w:val="000000"/>
        </w:rPr>
        <w:t xml:space="preserve">. Výdavky predstavujú dopad na výdavkovú časť rozpočtu verejnej správy. </w:t>
      </w:r>
    </w:p>
    <w:p w:rsidR="007110B6" w:rsidRPr="007254EE" w:rsidP="007110B6">
      <w:pPr>
        <w:bidi w:val="0"/>
        <w:adjustRightInd w:val="0"/>
        <w:spacing w:line="276" w:lineRule="auto"/>
        <w:ind w:left="360"/>
        <w:jc w:val="both"/>
        <w:rPr>
          <w:rFonts w:ascii="Arial" w:hAnsi="Arial" w:cs="Arial"/>
          <w:iCs/>
          <w:color w:val="000000"/>
        </w:rPr>
      </w:pPr>
    </w:p>
    <w:p w:rsidR="007110B6" w:rsidRPr="007254EE" w:rsidP="008E56C9">
      <w:pPr>
        <w:bidi w:val="0"/>
        <w:adjustRightInd w:val="0"/>
        <w:spacing w:line="276" w:lineRule="auto"/>
        <w:ind w:left="360"/>
        <w:jc w:val="both"/>
        <w:rPr>
          <w:rFonts w:ascii="Arial" w:hAnsi="Arial" w:cs="Arial"/>
          <w:iCs/>
          <w:color w:val="000000"/>
        </w:rPr>
      </w:pPr>
    </w:p>
    <w:p w:rsidR="007110B6" w:rsidRPr="007254EE" w:rsidP="008E56C9">
      <w:pPr>
        <w:bidi w:val="0"/>
        <w:adjustRightInd w:val="0"/>
        <w:spacing w:line="276" w:lineRule="auto"/>
        <w:ind w:left="360"/>
        <w:jc w:val="both"/>
        <w:rPr>
          <w:rFonts w:ascii="Arial" w:hAnsi="Arial" w:cs="Arial"/>
          <w:iCs/>
          <w:color w:val="000000"/>
        </w:rPr>
      </w:pP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 </w:t>
      </w: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 </w:t>
      </w: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 </w:t>
      </w:r>
    </w:p>
    <w:p w:rsidR="004161A1" w:rsidRPr="007254EE" w:rsidP="004161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Arial" w:hAnsi="Arial" w:cs="Arial"/>
        </w:rPr>
      </w:pPr>
    </w:p>
    <w:p w:rsidR="00762EA7" w:rsidRPr="007254EE" w:rsidP="004161A1">
      <w:pPr>
        <w:bidi w:val="0"/>
        <w:rPr>
          <w:rFonts w:ascii="Arial" w:hAnsi="Arial" w:cs="Arial"/>
          <w:b/>
          <w:bCs/>
        </w:rPr>
      </w:pPr>
    </w:p>
    <w:p w:rsidR="00762EA7" w:rsidRPr="007254EE" w:rsidP="004161A1">
      <w:pPr>
        <w:bidi w:val="0"/>
        <w:rPr>
          <w:rFonts w:ascii="Arial" w:hAnsi="Arial" w:cs="Arial"/>
          <w:b/>
          <w:bCs/>
        </w:rPr>
      </w:pP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2.3. Popis a charakteristika návrhu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861E3">
      <w:pPr>
        <w:bidi w:val="0"/>
        <w:jc w:val="both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2.3.1. Popis návrhu:</w:t>
      </w:r>
    </w:p>
    <w:p w:rsidR="004161A1" w:rsidRPr="007254EE" w:rsidP="004161A1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 </w:t>
      </w:r>
    </w:p>
    <w:p w:rsidR="004161A1" w:rsidRPr="007254EE" w:rsidP="004161A1">
      <w:pPr>
        <w:bidi w:val="0"/>
        <w:rPr>
          <w:rFonts w:ascii="Arial" w:hAnsi="Arial" w:cs="Arial"/>
        </w:rPr>
      </w:pPr>
    </w:p>
    <w:p w:rsidR="004A7645" w:rsidRPr="007254EE" w:rsidP="00BA5DE4">
      <w:pPr>
        <w:bidi w:val="0"/>
        <w:jc w:val="both"/>
        <w:rPr>
          <w:rFonts w:ascii="Arial" w:hAnsi="Arial" w:cs="Arial"/>
        </w:rPr>
      </w:pPr>
      <w:r w:rsidRPr="007254EE" w:rsidR="00BA5DE4">
        <w:rPr>
          <w:rFonts w:ascii="Arial" w:hAnsi="Arial" w:cs="Arial"/>
        </w:rPr>
        <w:t>Návrh zákona upravuje minimáln</w:t>
      </w:r>
      <w:r w:rsidRPr="007254EE" w:rsidR="00E33798">
        <w:rPr>
          <w:rFonts w:ascii="Arial" w:hAnsi="Arial" w:cs="Arial"/>
        </w:rPr>
        <w:t>u výšku základnej zložky mzdy (podľa § 119 ods. 3 Zákonníka práce)</w:t>
      </w:r>
      <w:r w:rsidRPr="007254EE" w:rsidR="00BA5DE4">
        <w:rPr>
          <w:rFonts w:ascii="Arial" w:hAnsi="Arial" w:cs="Arial"/>
        </w:rPr>
        <w:t xml:space="preserve"> </w:t>
      </w:r>
      <w:r w:rsidRPr="007254EE" w:rsidR="004C5186">
        <w:rPr>
          <w:rFonts w:ascii="Arial" w:hAnsi="Arial" w:cs="Arial"/>
        </w:rPr>
        <w:t>lekárov</w:t>
      </w:r>
      <w:r w:rsidRPr="007254EE" w:rsidR="00E33798">
        <w:rPr>
          <w:rFonts w:ascii="Arial" w:hAnsi="Arial" w:cs="Arial"/>
        </w:rPr>
        <w:t xml:space="preserve"> v zariadení ústavnej zdravotnej starostlivosti</w:t>
      </w:r>
      <w:r w:rsidRPr="007254EE" w:rsidR="004C5186">
        <w:rPr>
          <w:rFonts w:ascii="Arial" w:hAnsi="Arial" w:cs="Arial"/>
        </w:rPr>
        <w:t xml:space="preserve"> odmeňovaných mzdou v pracovnom pomere</w:t>
      </w:r>
      <w:r w:rsidRPr="007254EE" w:rsidR="007729E8">
        <w:rPr>
          <w:rFonts w:ascii="Arial" w:hAnsi="Arial" w:cs="Arial"/>
        </w:rPr>
        <w:t>.</w:t>
      </w:r>
      <w:r w:rsidRPr="007254EE" w:rsidR="00485544">
        <w:rPr>
          <w:rFonts w:ascii="Arial" w:hAnsi="Arial" w:cs="Arial"/>
        </w:rPr>
        <w:t xml:space="preserve"> </w:t>
      </w:r>
      <w:r w:rsidRPr="007254EE">
        <w:rPr>
          <w:rFonts w:ascii="Arial" w:hAnsi="Arial" w:cs="Arial"/>
        </w:rPr>
        <w:t>Rieši problematiku</w:t>
      </w:r>
      <w:r w:rsidRPr="007254EE" w:rsidR="00485544">
        <w:rPr>
          <w:rFonts w:ascii="Arial" w:hAnsi="Arial" w:cs="Arial"/>
        </w:rPr>
        <w:t xml:space="preserve"> </w:t>
      </w:r>
      <w:r w:rsidRPr="007254EE" w:rsidR="009B07C2">
        <w:rPr>
          <w:rFonts w:ascii="Arial" w:hAnsi="Arial" w:cs="Arial"/>
        </w:rPr>
        <w:t>zvýšenia</w:t>
      </w:r>
      <w:r w:rsidRPr="007254EE" w:rsidR="00485544">
        <w:rPr>
          <w:rFonts w:ascii="Arial" w:hAnsi="Arial" w:cs="Arial"/>
        </w:rPr>
        <w:t xml:space="preserve"> mzdového ohodnotenia </w:t>
      </w:r>
      <w:r w:rsidRPr="007254EE" w:rsidR="009B07C2">
        <w:rPr>
          <w:rFonts w:ascii="Arial" w:hAnsi="Arial" w:cs="Arial"/>
        </w:rPr>
        <w:t>lekárov</w:t>
      </w:r>
      <w:r w:rsidRPr="007254EE" w:rsidR="007729E8">
        <w:rPr>
          <w:rFonts w:ascii="Arial" w:hAnsi="Arial" w:cs="Arial"/>
        </w:rPr>
        <w:t xml:space="preserve"> a ich stabilizácie</w:t>
      </w:r>
      <w:r w:rsidRPr="007254EE" w:rsidR="00485544">
        <w:rPr>
          <w:rFonts w:ascii="Arial" w:hAnsi="Arial" w:cs="Arial"/>
        </w:rPr>
        <w:t>.</w:t>
      </w:r>
      <w:r w:rsidRPr="007254EE">
        <w:rPr>
          <w:rFonts w:ascii="Arial" w:hAnsi="Arial" w:cs="Arial"/>
        </w:rPr>
        <w:t xml:space="preserve"> </w:t>
      </w:r>
    </w:p>
    <w:p w:rsidR="004A7645" w:rsidRPr="007254EE" w:rsidP="00BA5DE4">
      <w:pPr>
        <w:bidi w:val="0"/>
        <w:jc w:val="both"/>
        <w:rPr>
          <w:rFonts w:ascii="Arial" w:hAnsi="Arial" w:cs="Arial"/>
        </w:rPr>
      </w:pPr>
    </w:p>
    <w:p w:rsidR="004A7645" w:rsidRPr="007254EE" w:rsidP="00BA5DE4">
      <w:pPr>
        <w:bidi w:val="0"/>
        <w:jc w:val="both"/>
        <w:rPr>
          <w:rFonts w:ascii="Arial" w:hAnsi="Arial" w:cs="Arial"/>
        </w:rPr>
      </w:pPr>
      <w:r w:rsidRPr="007254EE" w:rsidR="00BA5DE4">
        <w:rPr>
          <w:rFonts w:ascii="Arial" w:hAnsi="Arial" w:cs="Arial"/>
        </w:rPr>
        <w:t xml:space="preserve">Návrh budú implementovať </w:t>
      </w:r>
      <w:r w:rsidRPr="007254EE" w:rsidR="006232DE">
        <w:rPr>
          <w:rFonts w:ascii="Arial" w:hAnsi="Arial" w:cs="Arial"/>
        </w:rPr>
        <w:t xml:space="preserve">zamestnávatelia a </w:t>
      </w:r>
      <w:r w:rsidRPr="007254EE" w:rsidR="00BA5DE4">
        <w:rPr>
          <w:rFonts w:ascii="Arial" w:hAnsi="Arial" w:cs="Arial"/>
        </w:rPr>
        <w:t xml:space="preserve">poskytovatelia </w:t>
      </w:r>
      <w:r w:rsidRPr="007254EE" w:rsidR="00E33798">
        <w:rPr>
          <w:rFonts w:ascii="Arial" w:hAnsi="Arial" w:cs="Arial"/>
        </w:rPr>
        <w:t xml:space="preserve">ústavnej </w:t>
      </w:r>
      <w:r w:rsidRPr="007254EE" w:rsidR="00BA5DE4">
        <w:rPr>
          <w:rFonts w:ascii="Arial" w:hAnsi="Arial" w:cs="Arial"/>
        </w:rPr>
        <w:t xml:space="preserve">zdravotnej starostlivosti, u ktorých </w:t>
      </w:r>
      <w:r w:rsidRPr="007254EE" w:rsidR="00BD2DCC">
        <w:rPr>
          <w:rFonts w:ascii="Arial" w:hAnsi="Arial" w:cs="Arial"/>
        </w:rPr>
        <w:t xml:space="preserve">lekári </w:t>
      </w:r>
      <w:r w:rsidRPr="007254EE" w:rsidR="00BA5DE4">
        <w:rPr>
          <w:rFonts w:ascii="Arial" w:hAnsi="Arial" w:cs="Arial"/>
        </w:rPr>
        <w:t xml:space="preserve">vykonávajú svoje povolanie v pracovnom pomere. </w:t>
      </w:r>
    </w:p>
    <w:p w:rsidR="004A7645" w:rsidRPr="007254EE" w:rsidP="00BA5DE4">
      <w:pPr>
        <w:bidi w:val="0"/>
        <w:jc w:val="both"/>
        <w:rPr>
          <w:rFonts w:ascii="Arial" w:hAnsi="Arial" w:cs="Arial"/>
          <w:highlight w:val="yellow"/>
        </w:rPr>
      </w:pPr>
    </w:p>
    <w:p w:rsidR="004161A1" w:rsidRPr="007254EE" w:rsidP="004161A1">
      <w:pPr>
        <w:bidi w:val="0"/>
        <w:rPr>
          <w:rFonts w:ascii="Arial" w:hAnsi="Arial" w:cs="Arial"/>
        </w:rPr>
      </w:pP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2.3.2. Charakteristika návrhu podľa bodu  2.3.2. Metodiky :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  <w:bdr w:val="single" w:sz="4" w:space="0" w:color="000000" w:frame="1"/>
        </w:rPr>
        <w:t xml:space="preserve">     </w:t>
      </w:r>
      <w:r w:rsidRPr="007254EE">
        <w:rPr>
          <w:rFonts w:ascii="Arial" w:hAnsi="Arial" w:cs="Arial"/>
          <w:b/>
          <w:bCs/>
        </w:rPr>
        <w:t xml:space="preserve">  </w:t>
      </w:r>
      <w:r w:rsidRPr="007254EE">
        <w:rPr>
          <w:rFonts w:ascii="Arial" w:hAnsi="Arial" w:cs="Arial"/>
        </w:rPr>
        <w:t>zmena sadzby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dr w:val="single" w:sz="4" w:space="0" w:color="000000" w:frame="1"/>
        </w:rPr>
        <w:t>    </w:t>
      </w:r>
      <w:r w:rsidRPr="007254EE" w:rsidR="00501DEA">
        <w:rPr>
          <w:rFonts w:ascii="Arial" w:hAnsi="Arial" w:cs="Arial"/>
          <w:bdr w:val="single" w:sz="4" w:space="0" w:color="000000" w:frame="1"/>
        </w:rPr>
        <w:t>x</w:t>
      </w:r>
      <w:r w:rsidRPr="007254EE">
        <w:rPr>
          <w:rFonts w:ascii="Arial" w:hAnsi="Arial" w:cs="Arial"/>
          <w:bdr w:val="single" w:sz="4" w:space="0" w:color="000000" w:frame="1"/>
        </w:rPr>
        <w:t xml:space="preserve"> </w:t>
      </w:r>
      <w:r w:rsidRPr="007254EE">
        <w:rPr>
          <w:rFonts w:ascii="Arial" w:hAnsi="Arial" w:cs="Arial"/>
        </w:rPr>
        <w:t>  zmena v nároku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dr w:val="single" w:sz="4" w:space="0" w:color="000000" w:frame="1"/>
        </w:rPr>
        <w:t xml:space="preserve">     </w:t>
      </w:r>
      <w:r w:rsidRPr="007254EE">
        <w:rPr>
          <w:rFonts w:ascii="Arial" w:hAnsi="Arial" w:cs="Arial"/>
        </w:rPr>
        <w:t>  nová služba alebo nariadenie (alebo ich zrušenie)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dr w:val="single" w:sz="4" w:space="0" w:color="000000" w:frame="1"/>
        </w:rPr>
        <w:t xml:space="preserve">     </w:t>
      </w:r>
      <w:r w:rsidRPr="007254EE">
        <w:rPr>
          <w:rFonts w:ascii="Arial" w:hAnsi="Arial" w:cs="Arial"/>
        </w:rPr>
        <w:t>  kombinovaný návrh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  <w:bdr w:val="single" w:sz="4" w:space="0" w:color="000000" w:frame="1"/>
        </w:rPr>
        <w:t xml:space="preserve">     </w:t>
      </w:r>
      <w:r w:rsidRPr="007254EE">
        <w:rPr>
          <w:rFonts w:ascii="Arial" w:hAnsi="Arial" w:cs="Arial"/>
        </w:rPr>
        <w:t xml:space="preserve">  iné 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0A5C86" w:rsidRPr="007254EE" w:rsidP="004161A1">
      <w:pPr>
        <w:bidi w:val="0"/>
        <w:rPr>
          <w:rFonts w:ascii="Arial" w:hAnsi="Arial" w:cs="Arial"/>
        </w:rPr>
      </w:pPr>
    </w:p>
    <w:p w:rsidR="000A5C86" w:rsidRPr="007254EE" w:rsidP="004161A1">
      <w:pPr>
        <w:bidi w:val="0"/>
        <w:rPr>
          <w:rFonts w:ascii="Arial" w:hAnsi="Arial" w:cs="Arial"/>
        </w:rPr>
      </w:pPr>
    </w:p>
    <w:p w:rsidR="000A5C86" w:rsidRPr="007254EE" w:rsidP="004161A1">
      <w:pPr>
        <w:bidi w:val="0"/>
        <w:rPr>
          <w:rFonts w:ascii="Arial" w:hAnsi="Arial" w:cs="Arial"/>
        </w:rPr>
      </w:pPr>
    </w:p>
    <w:p w:rsidR="000A5C86" w:rsidRPr="007254EE" w:rsidP="004161A1">
      <w:pPr>
        <w:bidi w:val="0"/>
        <w:rPr>
          <w:rFonts w:ascii="Arial" w:hAnsi="Arial" w:cs="Arial"/>
        </w:rPr>
      </w:pPr>
    </w:p>
    <w:p w:rsidR="000A5C86" w:rsidRPr="007254EE" w:rsidP="004161A1">
      <w:pPr>
        <w:bidi w:val="0"/>
        <w:rPr>
          <w:rFonts w:ascii="Arial" w:hAnsi="Arial" w:cs="Arial"/>
        </w:rPr>
      </w:pPr>
    </w:p>
    <w:p w:rsidR="000A5C86" w:rsidRPr="007254EE" w:rsidP="004161A1">
      <w:pPr>
        <w:bidi w:val="0"/>
        <w:rPr>
          <w:rFonts w:ascii="Arial" w:hAnsi="Arial" w:cs="Arial"/>
        </w:rPr>
      </w:pP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2.3.3. Predpoklady vývoja objemu aktivít:</w:t>
      </w: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861E3">
      <w:pPr>
        <w:bidi w:val="0"/>
        <w:jc w:val="right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4161A1" w:rsidRPr="007254EE" w:rsidP="004161A1">
            <w:pPr>
              <w:bidi w:val="0"/>
              <w:spacing w:after="0" w:line="70" w:lineRule="atLeast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4161A1" w:rsidRPr="007254EE" w:rsidP="004161A1">
            <w:pPr>
              <w:bidi w:val="0"/>
              <w:spacing w:after="0" w:line="70" w:lineRule="atLeast"/>
              <w:jc w:val="right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161A1" w:rsidRPr="007254EE" w:rsidP="004161A1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7D4916" w:rsidRPr="007254EE" w:rsidP="004161A1">
      <w:pPr>
        <w:bidi w:val="0"/>
        <w:rPr>
          <w:rFonts w:ascii="Arial" w:hAnsi="Arial" w:cs="Arial"/>
        </w:rPr>
      </w:pPr>
    </w:p>
    <w:p w:rsidR="007D4916" w:rsidRPr="007254EE" w:rsidP="004161A1">
      <w:pPr>
        <w:bidi w:val="0"/>
        <w:rPr>
          <w:rFonts w:ascii="Arial" w:hAnsi="Arial" w:cs="Arial"/>
        </w:rPr>
      </w:pPr>
    </w:p>
    <w:p w:rsidR="004161A1" w:rsidRPr="007254EE" w:rsidP="004161A1">
      <w:pPr>
        <w:bidi w:val="0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861E3">
      <w:pPr>
        <w:bidi w:val="0"/>
        <w:outlineLvl w:val="0"/>
        <w:rPr>
          <w:rFonts w:ascii="Arial" w:hAnsi="Arial" w:cs="Arial"/>
        </w:rPr>
      </w:pPr>
      <w:r w:rsidRPr="007254EE">
        <w:rPr>
          <w:rFonts w:ascii="Arial" w:hAnsi="Arial" w:cs="Arial"/>
          <w:b/>
          <w:bCs/>
        </w:rPr>
        <w:t>2.3.4. Výpočty vplyvov na verejné financie</w:t>
      </w:r>
    </w:p>
    <w:p w:rsidR="00501DEA" w:rsidRPr="007254EE" w:rsidP="004161A1">
      <w:pPr>
        <w:bidi w:val="0"/>
        <w:rPr>
          <w:rFonts w:ascii="Arial" w:hAnsi="Arial" w:cs="Arial"/>
        </w:rPr>
      </w:pPr>
      <w:r w:rsidRPr="007254EE" w:rsidR="004161A1">
        <w:rPr>
          <w:rFonts w:ascii="Arial" w:hAnsi="Arial" w:cs="Arial"/>
        </w:rPr>
        <w:t> </w:t>
      </w:r>
    </w:p>
    <w:p w:rsidR="005B6430" w:rsidRPr="007254EE" w:rsidP="000861E3">
      <w:pPr>
        <w:bidi w:val="0"/>
        <w:jc w:val="both"/>
        <w:outlineLvl w:val="0"/>
        <w:rPr>
          <w:rFonts w:ascii="Arial" w:hAnsi="Arial" w:cs="Arial"/>
          <w:b/>
        </w:rPr>
      </w:pPr>
      <w:r w:rsidRPr="007254EE">
        <w:rPr>
          <w:rFonts w:ascii="Arial" w:hAnsi="Arial" w:cs="Arial"/>
          <w:b/>
        </w:rPr>
        <w:t>Rezort zdravotníctva:</w:t>
      </w:r>
    </w:p>
    <w:p w:rsidR="004161A1" w:rsidRPr="007254EE" w:rsidP="004161A1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C90EC7" w:rsidRPr="007254EE" w:rsidP="005B6430">
      <w:pPr>
        <w:bidi w:val="0"/>
        <w:ind w:firstLine="708"/>
        <w:jc w:val="both"/>
        <w:rPr>
          <w:rFonts w:ascii="Arial" w:hAnsi="Arial" w:cs="Arial"/>
        </w:rPr>
      </w:pPr>
      <w:r w:rsidRPr="007254EE" w:rsidR="002173ED">
        <w:rPr>
          <w:rFonts w:ascii="Arial" w:hAnsi="Arial" w:cs="Arial"/>
        </w:rPr>
        <w:t xml:space="preserve">Pre výpočet </w:t>
      </w:r>
      <w:r w:rsidRPr="007254EE" w:rsidR="00C02775">
        <w:rPr>
          <w:rFonts w:ascii="Arial" w:hAnsi="Arial" w:cs="Arial"/>
        </w:rPr>
        <w:t xml:space="preserve">vplyvov na verejné financie </w:t>
      </w:r>
      <w:r w:rsidRPr="007254EE" w:rsidR="002173ED">
        <w:rPr>
          <w:rFonts w:ascii="Arial" w:hAnsi="Arial" w:cs="Arial"/>
        </w:rPr>
        <w:t>bol</w:t>
      </w:r>
      <w:r w:rsidRPr="007254EE" w:rsidR="00C02775">
        <w:rPr>
          <w:rFonts w:ascii="Arial" w:hAnsi="Arial" w:cs="Arial"/>
        </w:rPr>
        <w:t>i</w:t>
      </w:r>
      <w:r w:rsidRPr="007254EE" w:rsidR="002173ED">
        <w:rPr>
          <w:rFonts w:ascii="Arial" w:hAnsi="Arial" w:cs="Arial"/>
        </w:rPr>
        <w:t xml:space="preserve"> použit</w:t>
      </w:r>
      <w:r w:rsidRPr="007254EE" w:rsidR="00E61378">
        <w:rPr>
          <w:rFonts w:ascii="Arial" w:hAnsi="Arial" w:cs="Arial"/>
        </w:rPr>
        <w:t>é údaje zo štatistického výkazu M(MZ SR)1-01 výkaz o počte a štruktúre pracovníkov v</w:t>
      </w:r>
      <w:r w:rsidRPr="007254EE" w:rsidR="001F635D">
        <w:rPr>
          <w:rFonts w:ascii="Arial" w:hAnsi="Arial" w:cs="Arial"/>
        </w:rPr>
        <w:t> </w:t>
      </w:r>
      <w:r w:rsidRPr="007254EE" w:rsidR="00E61378">
        <w:rPr>
          <w:rFonts w:ascii="Arial" w:hAnsi="Arial" w:cs="Arial"/>
        </w:rPr>
        <w:t xml:space="preserve">zdravotníctve, ktorý spracováva </w:t>
      </w:r>
      <w:r w:rsidRPr="007254EE" w:rsidR="002173ED">
        <w:rPr>
          <w:rFonts w:ascii="Arial" w:hAnsi="Arial" w:cs="Arial"/>
        </w:rPr>
        <w:t>Národn</w:t>
      </w:r>
      <w:r w:rsidRPr="007254EE" w:rsidR="00E61378">
        <w:rPr>
          <w:rFonts w:ascii="Arial" w:hAnsi="Arial" w:cs="Arial"/>
        </w:rPr>
        <w:t>é</w:t>
      </w:r>
      <w:r w:rsidRPr="007254EE" w:rsidR="002173ED">
        <w:rPr>
          <w:rFonts w:ascii="Arial" w:hAnsi="Arial" w:cs="Arial"/>
        </w:rPr>
        <w:t xml:space="preserve"> centr</w:t>
      </w:r>
      <w:r w:rsidRPr="007254EE" w:rsidR="00E61378">
        <w:rPr>
          <w:rFonts w:ascii="Arial" w:hAnsi="Arial" w:cs="Arial"/>
        </w:rPr>
        <w:t>u</w:t>
      </w:r>
      <w:r w:rsidRPr="007254EE" w:rsidR="002173ED">
        <w:rPr>
          <w:rFonts w:ascii="Arial" w:hAnsi="Arial" w:cs="Arial"/>
        </w:rPr>
        <w:t>m zdravotníckych informácií</w:t>
      </w:r>
      <w:r w:rsidRPr="007254EE">
        <w:rPr>
          <w:rFonts w:ascii="Arial" w:hAnsi="Arial" w:cs="Arial"/>
        </w:rPr>
        <w:t xml:space="preserve">. </w:t>
      </w:r>
    </w:p>
    <w:p w:rsidR="00543B35" w:rsidRPr="007254EE" w:rsidP="00543B35">
      <w:pPr>
        <w:bidi w:val="0"/>
        <w:rPr>
          <w:rFonts w:ascii="Arial" w:hAnsi="Arial" w:cs="Arial"/>
          <w:bCs/>
          <w:szCs w:val="20"/>
        </w:rPr>
      </w:pPr>
    </w:p>
    <w:p w:rsidR="00544DE7" w:rsidRPr="007254EE" w:rsidP="00544DE7">
      <w:pPr>
        <w:bidi w:val="0"/>
        <w:rPr>
          <w:rFonts w:ascii="Arial" w:hAnsi="Arial" w:cs="Arial"/>
          <w:bCs/>
          <w:szCs w:val="20"/>
        </w:rPr>
      </w:pPr>
      <w:r w:rsidRPr="007254EE">
        <w:rPr>
          <w:rFonts w:ascii="Arial" w:hAnsi="Arial" w:cs="Arial"/>
          <w:bCs/>
          <w:szCs w:val="20"/>
        </w:rPr>
        <w:t>Počet ústavných zdravotníckych zariadení podľa zriaďovateľskej pôsobnosti (vrátane kúpeľov):</w:t>
      </w:r>
    </w:p>
    <w:p w:rsidR="00544DE7" w:rsidRPr="007254EE" w:rsidP="00544DE7">
      <w:pPr>
        <w:bidi w:val="0"/>
        <w:rPr>
          <w:rFonts w:ascii="Arial" w:hAnsi="Arial" w:cs="Arial"/>
          <w:bCs/>
          <w:szCs w:val="20"/>
        </w:rPr>
      </w:pPr>
      <w:r w:rsidRPr="007254EE">
        <w:rPr>
          <w:rFonts w:ascii="Arial" w:hAnsi="Arial" w:cs="Arial"/>
          <w:bCs/>
          <w:szCs w:val="20"/>
        </w:rPr>
        <w:t>Zdroj NCZI:</w:t>
      </w:r>
    </w:p>
    <w:p w:rsidR="00544DE7" w:rsidRPr="007254EE" w:rsidP="00544DE7">
      <w:pPr>
        <w:bidi w:val="0"/>
        <w:rPr>
          <w:rFonts w:ascii="Arial" w:hAnsi="Arial" w:cs="Arial"/>
          <w:bCs/>
          <w:szCs w:val="20"/>
        </w:rPr>
      </w:pPr>
    </w:p>
    <w:p w:rsidR="00543B35" w:rsidRPr="007254EE" w:rsidP="00543B35">
      <w:pPr>
        <w:bidi w:val="0"/>
        <w:rPr>
          <w:rFonts w:ascii="Arial" w:hAnsi="Arial" w:cs="Arial"/>
          <w:bCs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1842"/>
        <w:gridCol w:w="1842"/>
        <w:gridCol w:w="1842"/>
        <w:gridCol w:w="1842"/>
      </w:tblGrid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>
              <w:rPr>
                <w:rFonts w:ascii="Arial" w:hAnsi="Arial" w:cs="Arial"/>
                <w:bCs/>
                <w:sz w:val="22"/>
                <w:szCs w:val="20"/>
              </w:rPr>
              <w:t>V pôsobnosti MZ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544DE7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>
              <w:rPr>
                <w:rFonts w:ascii="Arial" w:hAnsi="Arial" w:cs="Arial"/>
                <w:bCs/>
                <w:sz w:val="22"/>
                <w:szCs w:val="20"/>
              </w:rPr>
              <w:t xml:space="preserve">V pôsobnosti iných rezortov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>
              <w:rPr>
                <w:rFonts w:ascii="Arial" w:hAnsi="Arial" w:cs="Arial"/>
                <w:bCs/>
                <w:sz w:val="22"/>
                <w:szCs w:val="20"/>
              </w:rPr>
              <w:t>V pôsobnosti VÚC, miest a obcí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V pôsobnosti iných zriaďovateľov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>
              <w:rPr>
                <w:rFonts w:ascii="Arial" w:hAnsi="Arial" w:cs="Arial"/>
                <w:bCs/>
                <w:sz w:val="22"/>
                <w:szCs w:val="20"/>
              </w:rPr>
              <w:t>Spolu</w:t>
            </w:r>
          </w:p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544DE7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544DE7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  <w:r w:rsidRPr="007254EE" w:rsidR="00544DE7">
              <w:rPr>
                <w:rFonts w:ascii="Arial" w:hAnsi="Arial" w:cs="Arial"/>
                <w:bCs/>
                <w:sz w:val="22"/>
                <w:szCs w:val="20"/>
              </w:rPr>
              <w:t>173</w:t>
            </w:r>
          </w:p>
          <w:p w:rsidR="00543B35" w:rsidRPr="007254EE" w:rsidP="00AB39DC">
            <w:pPr>
              <w:bidi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543B35" w:rsidRPr="007254EE" w:rsidP="00543B35">
      <w:pPr>
        <w:bidi w:val="0"/>
        <w:rPr>
          <w:rFonts w:ascii="Arial" w:hAnsi="Arial" w:cs="Arial"/>
          <w:bCs/>
          <w:szCs w:val="20"/>
        </w:rPr>
        <w:sectPr>
          <w:headerReference w:type="default" r:id="rId5"/>
          <w:footerReference w:type="even" r:id="rId6"/>
          <w:foot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</w:sectPr>
      </w:pPr>
    </w:p>
    <w:p w:rsidR="001B327D" w:rsidRPr="007254EE" w:rsidP="001B327D">
      <w:pPr>
        <w:bidi w:val="0"/>
        <w:ind w:firstLine="708"/>
        <w:rPr>
          <w:rFonts w:ascii="Arial" w:hAnsi="Arial" w:cs="Arial"/>
        </w:rPr>
      </w:pPr>
      <w:r w:rsidRPr="007254EE" w:rsidR="00C90EC7">
        <w:rPr>
          <w:rFonts w:ascii="Arial" w:hAnsi="Arial" w:cs="Arial"/>
        </w:rPr>
        <w:t>V</w:t>
      </w:r>
      <w:r w:rsidRPr="007254EE">
        <w:rPr>
          <w:rFonts w:ascii="Arial" w:hAnsi="Arial" w:cs="Arial"/>
        </w:rPr>
        <w:t> 1. pol</w:t>
      </w:r>
      <w:r w:rsidRPr="007254EE" w:rsidR="00E61378">
        <w:rPr>
          <w:rFonts w:ascii="Arial" w:hAnsi="Arial" w:cs="Arial"/>
        </w:rPr>
        <w:t>roku 20</w:t>
      </w:r>
      <w:r w:rsidRPr="007254EE">
        <w:rPr>
          <w:rFonts w:ascii="Arial" w:hAnsi="Arial" w:cs="Arial"/>
        </w:rPr>
        <w:t>11</w:t>
      </w:r>
      <w:r w:rsidRPr="007254EE" w:rsidR="00E61378">
        <w:rPr>
          <w:rFonts w:ascii="Arial" w:hAnsi="Arial" w:cs="Arial"/>
        </w:rPr>
        <w:t xml:space="preserve"> v</w:t>
      </w:r>
      <w:r w:rsidRPr="007254EE">
        <w:rPr>
          <w:rFonts w:ascii="Arial" w:hAnsi="Arial" w:cs="Arial"/>
        </w:rPr>
        <w:t> </w:t>
      </w:r>
      <w:r w:rsidRPr="007254EE" w:rsidR="00E61378">
        <w:rPr>
          <w:rFonts w:ascii="Arial" w:hAnsi="Arial" w:cs="Arial"/>
        </w:rPr>
        <w:t>zariadeniach</w:t>
      </w:r>
      <w:r w:rsidRPr="007254EE">
        <w:rPr>
          <w:rFonts w:ascii="Arial" w:hAnsi="Arial" w:cs="Arial"/>
        </w:rPr>
        <w:t xml:space="preserve"> ústavnej zdravotnej starostlivosti</w:t>
      </w:r>
      <w:r w:rsidRPr="007254EE" w:rsidR="00207E0B">
        <w:rPr>
          <w:rFonts w:ascii="Arial" w:hAnsi="Arial" w:cs="Arial"/>
        </w:rPr>
        <w:t xml:space="preserve"> v SR pracovalo </w:t>
      </w:r>
      <w:r w:rsidRPr="007254EE">
        <w:rPr>
          <w:rFonts w:ascii="Arial" w:hAnsi="Arial" w:cs="Arial"/>
        </w:rPr>
        <w:t>7428 lekárov, z toho cca 3</w:t>
      </w:r>
      <w:r w:rsidRPr="007254EE" w:rsidR="005D669D">
        <w:rPr>
          <w:rFonts w:ascii="Arial" w:hAnsi="Arial" w:cs="Arial"/>
        </w:rPr>
        <w:t>1</w:t>
      </w:r>
      <w:r w:rsidRPr="007254EE">
        <w:rPr>
          <w:rFonts w:ascii="Arial" w:hAnsi="Arial" w:cs="Arial"/>
        </w:rPr>
        <w:t xml:space="preserve"> % bez špecializácie a cca </w:t>
      </w:r>
      <w:r w:rsidRPr="007254EE" w:rsidR="005D669D">
        <w:rPr>
          <w:rFonts w:ascii="Arial" w:hAnsi="Arial" w:cs="Arial"/>
        </w:rPr>
        <w:t>69</w:t>
      </w:r>
      <w:r w:rsidRPr="007254EE">
        <w:rPr>
          <w:rFonts w:ascii="Arial" w:hAnsi="Arial" w:cs="Arial"/>
        </w:rPr>
        <w:t xml:space="preserve"> % so špecializáciou.</w:t>
      </w:r>
    </w:p>
    <w:p w:rsidR="00F11B68" w:rsidRPr="007254EE" w:rsidP="00927177">
      <w:pPr>
        <w:bidi w:val="0"/>
        <w:rPr>
          <w:rFonts w:ascii="Arial" w:hAnsi="Arial" w:cs="Arial"/>
        </w:rPr>
      </w:pPr>
    </w:p>
    <w:p w:rsidR="00943766" w:rsidRPr="007254EE" w:rsidP="0084149B">
      <w:pPr>
        <w:bidi w:val="0"/>
        <w:ind w:firstLine="708"/>
        <w:jc w:val="both"/>
        <w:rPr>
          <w:rFonts w:ascii="Arial" w:hAnsi="Arial" w:cs="Arial"/>
        </w:rPr>
      </w:pPr>
      <w:r w:rsidRPr="007254EE" w:rsidR="00C90EC7">
        <w:rPr>
          <w:rFonts w:ascii="Arial" w:hAnsi="Arial" w:cs="Arial"/>
        </w:rPr>
        <w:t xml:space="preserve">Podkladom </w:t>
      </w:r>
      <w:r w:rsidRPr="007254EE">
        <w:rPr>
          <w:rFonts w:ascii="Arial" w:hAnsi="Arial" w:cs="Arial"/>
        </w:rPr>
        <w:t xml:space="preserve">pre výpočet dopadov na očakávaný nárast mzdových výdavkov </w:t>
      </w:r>
      <w:r w:rsidRPr="007254EE" w:rsidR="0084149B">
        <w:rPr>
          <w:rFonts w:ascii="Arial" w:hAnsi="Arial" w:cs="Arial"/>
        </w:rPr>
        <w:t>b</w:t>
      </w:r>
      <w:r w:rsidRPr="007254EE" w:rsidR="00C90EC7">
        <w:rPr>
          <w:rFonts w:ascii="Arial" w:hAnsi="Arial" w:cs="Arial"/>
        </w:rPr>
        <w:t>ol</w:t>
      </w:r>
      <w:r w:rsidRPr="007254EE">
        <w:rPr>
          <w:rFonts w:ascii="Arial" w:hAnsi="Arial" w:cs="Arial"/>
        </w:rPr>
        <w:t xml:space="preserve">i údaje </w:t>
      </w:r>
      <w:r w:rsidRPr="007254EE" w:rsidR="00F420A0">
        <w:rPr>
          <w:rFonts w:ascii="Arial" w:hAnsi="Arial" w:cs="Arial"/>
        </w:rPr>
        <w:t xml:space="preserve">              </w:t>
      </w:r>
      <w:r w:rsidRPr="007254EE">
        <w:rPr>
          <w:rFonts w:ascii="Arial" w:hAnsi="Arial" w:cs="Arial"/>
        </w:rPr>
        <w:t>o výške</w:t>
      </w:r>
      <w:r w:rsidRPr="007254EE" w:rsidR="008F4FC9">
        <w:rPr>
          <w:rFonts w:ascii="Arial" w:hAnsi="Arial" w:cs="Arial"/>
        </w:rPr>
        <w:t xml:space="preserve"> </w:t>
      </w:r>
      <w:r w:rsidRPr="007254EE" w:rsidR="0084149B">
        <w:rPr>
          <w:rFonts w:ascii="Arial" w:hAnsi="Arial" w:cs="Arial"/>
        </w:rPr>
        <w:t xml:space="preserve">a zložení </w:t>
      </w:r>
      <w:r w:rsidRPr="007254EE" w:rsidR="00D23C2F">
        <w:rPr>
          <w:rFonts w:ascii="Arial" w:hAnsi="Arial" w:cs="Arial"/>
        </w:rPr>
        <w:t>Ø</w:t>
      </w:r>
      <w:r w:rsidRPr="007254EE" w:rsidR="002173ED">
        <w:rPr>
          <w:rFonts w:ascii="Arial" w:hAnsi="Arial" w:cs="Arial"/>
        </w:rPr>
        <w:t xml:space="preserve"> mesačn</w:t>
      </w:r>
      <w:r w:rsidRPr="007254EE">
        <w:rPr>
          <w:rFonts w:ascii="Arial" w:hAnsi="Arial" w:cs="Arial"/>
        </w:rPr>
        <w:t>ej</w:t>
      </w:r>
      <w:r w:rsidRPr="007254EE" w:rsidR="002173ED">
        <w:rPr>
          <w:rFonts w:ascii="Arial" w:hAnsi="Arial" w:cs="Arial"/>
        </w:rPr>
        <w:t xml:space="preserve"> mzd</w:t>
      </w:r>
      <w:r w:rsidRPr="007254EE">
        <w:rPr>
          <w:rFonts w:ascii="Arial" w:hAnsi="Arial" w:cs="Arial"/>
        </w:rPr>
        <w:t>y</w:t>
      </w:r>
      <w:r w:rsidRPr="007254EE" w:rsidR="00927177">
        <w:rPr>
          <w:rFonts w:ascii="Arial" w:hAnsi="Arial" w:cs="Arial"/>
        </w:rPr>
        <w:t xml:space="preserve"> lekárov</w:t>
      </w:r>
      <w:r w:rsidRPr="007254EE" w:rsidR="002173ED">
        <w:rPr>
          <w:rFonts w:ascii="Arial" w:hAnsi="Arial" w:cs="Arial"/>
        </w:rPr>
        <w:t xml:space="preserve"> za 1. </w:t>
      </w:r>
      <w:r w:rsidRPr="007254EE" w:rsidR="00C90EC7">
        <w:rPr>
          <w:rFonts w:ascii="Arial" w:hAnsi="Arial" w:cs="Arial"/>
        </w:rPr>
        <w:t>po</w:t>
      </w:r>
      <w:r w:rsidRPr="007254EE" w:rsidR="002173ED">
        <w:rPr>
          <w:rFonts w:ascii="Arial" w:hAnsi="Arial" w:cs="Arial"/>
        </w:rPr>
        <w:t xml:space="preserve">lrok </w:t>
      </w:r>
      <w:r w:rsidRPr="007254EE" w:rsidR="008F4FC9">
        <w:rPr>
          <w:rFonts w:ascii="Arial" w:hAnsi="Arial" w:cs="Arial"/>
        </w:rPr>
        <w:t xml:space="preserve">2011 </w:t>
      </w:r>
      <w:r w:rsidRPr="007254EE">
        <w:rPr>
          <w:rFonts w:ascii="Arial" w:hAnsi="Arial" w:cs="Arial"/>
        </w:rPr>
        <w:t>zo štatistického výkazu M(MZ SR) 2-04 o zamestnancoch a o zložení mzdových prostriedkov v zdravotníctve, ktorý štvrťročne spracováva Národné centrum zdravotníckych informácií.</w:t>
      </w:r>
      <w:r w:rsidRPr="007254EE" w:rsidR="0084149B">
        <w:rPr>
          <w:rFonts w:ascii="Arial" w:hAnsi="Arial" w:cs="Arial"/>
        </w:rPr>
        <w:t xml:space="preserve"> V porovnaní so štatistickým zisťovaním M (MZ SR) 1-01 je okruh spravodajských jednotiek  užší a neobsahuje údaje o</w:t>
      </w:r>
      <w:r w:rsidRPr="007254EE" w:rsidR="00364AD5">
        <w:rPr>
          <w:rFonts w:ascii="Arial" w:hAnsi="Arial" w:cs="Arial"/>
        </w:rPr>
        <w:t xml:space="preserve"> odmeňovaní zamestnancov iných rezortov a neštátnych zdravotníckych zariadení. Z uvedeného dôvodu predstavuje výška vyčíslených dopadov na verejné financie len </w:t>
      </w:r>
      <w:r w:rsidRPr="007254EE" w:rsidR="00667F78">
        <w:rPr>
          <w:rFonts w:ascii="Arial" w:hAnsi="Arial" w:cs="Arial"/>
        </w:rPr>
        <w:t xml:space="preserve">úroveň </w:t>
      </w:r>
      <w:r w:rsidRPr="007254EE" w:rsidR="00364AD5">
        <w:rPr>
          <w:rFonts w:ascii="Arial" w:hAnsi="Arial" w:cs="Arial"/>
        </w:rPr>
        <w:t>minimáln</w:t>
      </w:r>
      <w:r w:rsidRPr="007254EE" w:rsidR="00667F78">
        <w:rPr>
          <w:rFonts w:ascii="Arial" w:hAnsi="Arial" w:cs="Arial"/>
        </w:rPr>
        <w:t>eho</w:t>
      </w:r>
      <w:r w:rsidRPr="007254EE" w:rsidR="00364AD5">
        <w:rPr>
          <w:rFonts w:ascii="Arial" w:hAnsi="Arial" w:cs="Arial"/>
        </w:rPr>
        <w:t xml:space="preserve"> odhad</w:t>
      </w:r>
      <w:r w:rsidRPr="007254EE" w:rsidR="00667F78">
        <w:rPr>
          <w:rFonts w:ascii="Arial" w:hAnsi="Arial" w:cs="Arial"/>
        </w:rPr>
        <w:t>u</w:t>
      </w:r>
      <w:r w:rsidRPr="007254EE" w:rsidR="00364AD5">
        <w:rPr>
          <w:rFonts w:ascii="Arial" w:hAnsi="Arial" w:cs="Arial"/>
        </w:rPr>
        <w:t xml:space="preserve">. </w:t>
      </w:r>
    </w:p>
    <w:p w:rsidR="00943766" w:rsidRPr="007254EE" w:rsidP="00257668">
      <w:pPr>
        <w:bidi w:val="0"/>
        <w:jc w:val="both"/>
        <w:rPr>
          <w:rFonts w:ascii="Arial" w:hAnsi="Arial" w:cs="Arial"/>
        </w:rPr>
      </w:pPr>
    </w:p>
    <w:p w:rsidR="00806E41" w:rsidRPr="007254EE" w:rsidP="00EB6B91">
      <w:pPr>
        <w:bidi w:val="0"/>
        <w:ind w:firstLine="708"/>
        <w:jc w:val="both"/>
        <w:rPr>
          <w:rFonts w:ascii="Arial" w:hAnsi="Arial" w:cs="Arial"/>
        </w:rPr>
      </w:pPr>
      <w:r w:rsidRPr="007254EE" w:rsidR="00943766">
        <w:rPr>
          <w:rFonts w:ascii="Arial" w:hAnsi="Arial" w:cs="Arial"/>
        </w:rPr>
        <w:t>Za 1. polrok 2011</w:t>
      </w:r>
      <w:r w:rsidRPr="007254EE" w:rsidR="00EB6B91">
        <w:rPr>
          <w:rFonts w:ascii="Arial" w:hAnsi="Arial" w:cs="Arial"/>
        </w:rPr>
        <w:t xml:space="preserve"> v</w:t>
      </w:r>
      <w:r w:rsidRPr="007254EE" w:rsidR="00E5592F">
        <w:rPr>
          <w:rFonts w:ascii="Arial" w:hAnsi="Arial" w:cs="Arial"/>
        </w:rPr>
        <w:t xml:space="preserve"> ústavných </w:t>
      </w:r>
      <w:r w:rsidRPr="007254EE" w:rsidR="00EB6B91">
        <w:rPr>
          <w:rFonts w:ascii="Arial" w:hAnsi="Arial" w:cs="Arial"/>
        </w:rPr>
        <w:t xml:space="preserve">zdravotníckych zariadeniach </w:t>
      </w:r>
      <w:r w:rsidRPr="007254EE" w:rsidR="00943766">
        <w:rPr>
          <w:rFonts w:ascii="Arial" w:hAnsi="Arial" w:cs="Arial"/>
        </w:rPr>
        <w:t xml:space="preserve"> </w:t>
      </w:r>
      <w:r w:rsidRPr="007254EE" w:rsidR="00EB6B91">
        <w:rPr>
          <w:rFonts w:ascii="Arial" w:hAnsi="Arial" w:cs="Arial"/>
        </w:rPr>
        <w:t>financovaných zo zdrojov zdravotných poisťovní, pracovalo 74</w:t>
      </w:r>
      <w:r w:rsidRPr="007254EE">
        <w:rPr>
          <w:rFonts w:ascii="Arial" w:hAnsi="Arial" w:cs="Arial"/>
        </w:rPr>
        <w:t>28</w:t>
      </w:r>
      <w:r w:rsidRPr="007254EE" w:rsidR="00EB6B91">
        <w:rPr>
          <w:rFonts w:ascii="Arial" w:hAnsi="Arial" w:cs="Arial"/>
        </w:rPr>
        <w:t xml:space="preserve"> lekárov (evidenčný počet</w:t>
      </w:r>
      <w:r w:rsidRPr="007254EE" w:rsidR="008F516F">
        <w:rPr>
          <w:rFonts w:ascii="Arial" w:hAnsi="Arial" w:cs="Arial"/>
        </w:rPr>
        <w:t xml:space="preserve"> úväzkov</w:t>
      </w:r>
      <w:r w:rsidRPr="007254EE" w:rsidR="00EB6B91">
        <w:rPr>
          <w:rFonts w:ascii="Arial" w:hAnsi="Arial" w:cs="Arial"/>
        </w:rPr>
        <w:t xml:space="preserve"> </w:t>
      </w:r>
      <w:r w:rsidRPr="007254EE">
        <w:rPr>
          <w:rFonts w:ascii="Arial" w:hAnsi="Arial" w:cs="Arial"/>
        </w:rPr>
        <w:t>lekárov</w:t>
      </w:r>
      <w:r w:rsidRPr="007254EE" w:rsidR="00EB6B91">
        <w:rPr>
          <w:rFonts w:ascii="Arial" w:hAnsi="Arial" w:cs="Arial"/>
        </w:rPr>
        <w:t xml:space="preserve"> prepočítaný</w:t>
      </w:r>
      <w:r w:rsidRPr="007254EE">
        <w:rPr>
          <w:rFonts w:ascii="Arial" w:hAnsi="Arial" w:cs="Arial"/>
        </w:rPr>
        <w:t xml:space="preserve"> </w:t>
      </w:r>
      <w:r w:rsidRPr="007254EE" w:rsidR="00D51303">
        <w:rPr>
          <w:rFonts w:ascii="Arial" w:hAnsi="Arial" w:cs="Arial"/>
        </w:rPr>
        <w:t>k</w:t>
      </w:r>
      <w:r w:rsidRPr="007254EE">
        <w:rPr>
          <w:rFonts w:ascii="Arial" w:hAnsi="Arial" w:cs="Arial"/>
        </w:rPr>
        <w:t xml:space="preserve"> poslednému dňu sledovaného obdobia</w:t>
      </w:r>
      <w:r w:rsidRPr="007254EE" w:rsidR="00EB6B91">
        <w:rPr>
          <w:rFonts w:ascii="Arial" w:hAnsi="Arial" w:cs="Arial"/>
        </w:rPr>
        <w:t>). P</w:t>
      </w:r>
      <w:r w:rsidRPr="007254EE" w:rsidR="00943766">
        <w:rPr>
          <w:rFonts w:ascii="Arial" w:hAnsi="Arial" w:cs="Arial"/>
        </w:rPr>
        <w:t xml:space="preserve">riemerná </w:t>
      </w:r>
      <w:r w:rsidRPr="007254EE">
        <w:rPr>
          <w:rFonts w:ascii="Arial" w:hAnsi="Arial" w:cs="Arial"/>
        </w:rPr>
        <w:t>základná</w:t>
      </w:r>
      <w:r w:rsidRPr="007254EE" w:rsidR="00943766">
        <w:rPr>
          <w:rFonts w:ascii="Arial" w:hAnsi="Arial" w:cs="Arial"/>
        </w:rPr>
        <w:t xml:space="preserve"> mzda </w:t>
      </w:r>
      <w:r w:rsidRPr="007254EE" w:rsidR="00EB6B91">
        <w:rPr>
          <w:rFonts w:ascii="Arial" w:hAnsi="Arial" w:cs="Arial"/>
        </w:rPr>
        <w:t xml:space="preserve">uvedených </w:t>
      </w:r>
      <w:r w:rsidRPr="007254EE" w:rsidR="002F48B1">
        <w:rPr>
          <w:rFonts w:ascii="Arial" w:hAnsi="Arial" w:cs="Arial"/>
        </w:rPr>
        <w:t>lekárov</w:t>
      </w:r>
      <w:r w:rsidRPr="007254EE" w:rsidR="000A4590">
        <w:rPr>
          <w:rFonts w:ascii="Arial" w:hAnsi="Arial" w:cs="Arial"/>
        </w:rPr>
        <w:t>,</w:t>
      </w:r>
      <w:r w:rsidRPr="007254EE" w:rsidR="00943766">
        <w:rPr>
          <w:rFonts w:ascii="Arial" w:hAnsi="Arial" w:cs="Arial"/>
        </w:rPr>
        <w:t xml:space="preserve"> predstavovala </w:t>
      </w:r>
      <w:r w:rsidRPr="007254EE" w:rsidR="00BA0C6D">
        <w:rPr>
          <w:rFonts w:ascii="Arial" w:hAnsi="Arial" w:cs="Arial"/>
        </w:rPr>
        <w:t xml:space="preserve">cca </w:t>
      </w:r>
      <w:r w:rsidRPr="007254EE" w:rsidR="00DE1677">
        <w:rPr>
          <w:rFonts w:ascii="Arial" w:hAnsi="Arial" w:cs="Arial"/>
        </w:rPr>
        <w:t>1001</w:t>
      </w:r>
      <w:r w:rsidRPr="007254EE" w:rsidR="008F4FC9">
        <w:rPr>
          <w:rFonts w:ascii="Arial" w:hAnsi="Arial" w:cs="Arial"/>
        </w:rPr>
        <w:t xml:space="preserve"> </w:t>
      </w:r>
      <w:r w:rsidRPr="007254EE" w:rsidR="002F48B1">
        <w:rPr>
          <w:rFonts w:ascii="Arial" w:hAnsi="Arial" w:cs="Arial"/>
        </w:rPr>
        <w:t>eur</w:t>
      </w:r>
      <w:r w:rsidRPr="007254EE">
        <w:rPr>
          <w:rFonts w:ascii="Arial" w:hAnsi="Arial" w:cs="Arial"/>
        </w:rPr>
        <w:t>.</w:t>
      </w:r>
    </w:p>
    <w:p w:rsidR="000A4590" w:rsidRPr="007254EE" w:rsidP="00257668">
      <w:pPr>
        <w:bidi w:val="0"/>
        <w:jc w:val="both"/>
        <w:rPr>
          <w:rFonts w:ascii="Arial" w:hAnsi="Arial" w:cs="Arial"/>
        </w:rPr>
      </w:pPr>
    </w:p>
    <w:p w:rsidR="00BA0C6D" w:rsidRPr="007254EE" w:rsidP="00B2354B">
      <w:pPr>
        <w:bidi w:val="0"/>
        <w:ind w:firstLine="360"/>
        <w:jc w:val="both"/>
        <w:rPr>
          <w:rFonts w:ascii="Arial" w:hAnsi="Arial" w:cs="Arial"/>
        </w:rPr>
      </w:pPr>
      <w:r w:rsidRPr="007254EE" w:rsidR="00C00D5B">
        <w:rPr>
          <w:rFonts w:ascii="Arial" w:hAnsi="Arial" w:cs="Arial"/>
        </w:rPr>
        <w:t xml:space="preserve">Na základe predloženého </w:t>
      </w:r>
      <w:r w:rsidRPr="007254EE" w:rsidR="000A1187">
        <w:rPr>
          <w:rFonts w:ascii="Arial" w:hAnsi="Arial" w:cs="Arial"/>
        </w:rPr>
        <w:t xml:space="preserve">návrhu </w:t>
      </w:r>
      <w:r w:rsidRPr="007254EE" w:rsidR="00C00D5B">
        <w:rPr>
          <w:rFonts w:ascii="Arial" w:hAnsi="Arial" w:cs="Arial"/>
        </w:rPr>
        <w:t xml:space="preserve">zákona sa </w:t>
      </w:r>
      <w:r w:rsidRPr="007254EE" w:rsidR="00806E41">
        <w:rPr>
          <w:rFonts w:ascii="Arial" w:hAnsi="Arial" w:cs="Arial"/>
        </w:rPr>
        <w:t>minimálny</w:t>
      </w:r>
      <w:r w:rsidRPr="007254EE" w:rsidR="00504CF3">
        <w:rPr>
          <w:rFonts w:ascii="Arial" w:hAnsi="Arial" w:cs="Arial"/>
        </w:rPr>
        <w:t xml:space="preserve"> základný plat</w:t>
      </w:r>
      <w:r w:rsidRPr="007254EE" w:rsidR="00C00D5B">
        <w:rPr>
          <w:rFonts w:ascii="Arial" w:hAnsi="Arial" w:cs="Arial"/>
        </w:rPr>
        <w:t xml:space="preserve"> </w:t>
      </w:r>
      <w:r w:rsidRPr="007254EE" w:rsidR="00F802E1">
        <w:rPr>
          <w:rFonts w:ascii="Arial" w:hAnsi="Arial" w:cs="Arial"/>
        </w:rPr>
        <w:t>lekára</w:t>
      </w:r>
      <w:r w:rsidRPr="007254EE" w:rsidR="000A1187">
        <w:rPr>
          <w:rFonts w:ascii="Arial" w:hAnsi="Arial" w:cs="Arial"/>
        </w:rPr>
        <w:t xml:space="preserve"> </w:t>
      </w:r>
      <w:r w:rsidRPr="007254EE" w:rsidR="00806E41">
        <w:rPr>
          <w:rFonts w:ascii="Arial" w:hAnsi="Arial" w:cs="Arial"/>
        </w:rPr>
        <w:t xml:space="preserve">bez atestácie </w:t>
      </w:r>
      <w:r w:rsidRPr="007254EE" w:rsidR="00C00D5B">
        <w:rPr>
          <w:rFonts w:ascii="Arial" w:hAnsi="Arial" w:cs="Arial"/>
        </w:rPr>
        <w:t>zvyšuje</w:t>
      </w:r>
      <w:r w:rsidRPr="007254EE" w:rsidR="00504CF3">
        <w:rPr>
          <w:rFonts w:ascii="Arial" w:hAnsi="Arial" w:cs="Arial"/>
        </w:rPr>
        <w:t xml:space="preserve"> </w:t>
      </w:r>
      <w:r w:rsidRPr="007254EE" w:rsidR="00806E41">
        <w:rPr>
          <w:rFonts w:ascii="Arial" w:hAnsi="Arial" w:cs="Arial"/>
        </w:rPr>
        <w:t xml:space="preserve">od 1. januára 2012 </w:t>
      </w:r>
      <w:r w:rsidRPr="007254EE" w:rsidR="00504CF3">
        <w:rPr>
          <w:rFonts w:ascii="Arial" w:hAnsi="Arial" w:cs="Arial"/>
        </w:rPr>
        <w:t xml:space="preserve">na </w:t>
      </w:r>
      <w:r w:rsidRPr="007254EE" w:rsidR="00806E41">
        <w:rPr>
          <w:rFonts w:ascii="Arial" w:hAnsi="Arial" w:cs="Arial"/>
        </w:rPr>
        <w:t>cca 807 eur</w:t>
      </w:r>
      <w:r w:rsidRPr="007254EE">
        <w:rPr>
          <w:rFonts w:ascii="Arial" w:hAnsi="Arial" w:cs="Arial"/>
        </w:rPr>
        <w:t>,</w:t>
      </w:r>
      <w:r w:rsidRPr="007254EE" w:rsidR="00806E41">
        <w:rPr>
          <w:rFonts w:ascii="Arial" w:hAnsi="Arial" w:cs="Arial"/>
        </w:rPr>
        <w:t xml:space="preserve"> od 1. júla na </w:t>
      </w:r>
      <w:r w:rsidRPr="007254EE">
        <w:rPr>
          <w:rFonts w:ascii="Arial" w:hAnsi="Arial" w:cs="Arial"/>
        </w:rPr>
        <w:t xml:space="preserve">cca </w:t>
      </w:r>
      <w:r w:rsidRPr="007254EE" w:rsidR="00806E41">
        <w:rPr>
          <w:rFonts w:ascii="Arial" w:hAnsi="Arial" w:cs="Arial"/>
        </w:rPr>
        <w:t>923 eur</w:t>
      </w:r>
      <w:r w:rsidRPr="007254EE">
        <w:rPr>
          <w:rFonts w:ascii="Arial" w:hAnsi="Arial" w:cs="Arial"/>
        </w:rPr>
        <w:t xml:space="preserve">. Minimálny základný </w:t>
      </w:r>
      <w:r w:rsidRPr="007254EE" w:rsidR="00806E41">
        <w:rPr>
          <w:rFonts w:ascii="Arial" w:hAnsi="Arial" w:cs="Arial"/>
        </w:rPr>
        <w:t>plat lekára so špecializáciou</w:t>
      </w:r>
      <w:r w:rsidRPr="007254EE">
        <w:rPr>
          <w:rFonts w:ascii="Arial" w:hAnsi="Arial" w:cs="Arial"/>
        </w:rPr>
        <w:t xml:space="preserve"> sa zvyšuje od 1. januára 2012 na cca 1230 eur, od 1. júla 2012 na cca 1461 eur</w:t>
      </w:r>
      <w:r w:rsidRPr="007254EE" w:rsidR="00D51303">
        <w:rPr>
          <w:rFonts w:ascii="Arial" w:hAnsi="Arial" w:cs="Arial"/>
        </w:rPr>
        <w:t xml:space="preserve"> </w:t>
      </w:r>
      <w:r w:rsidRPr="007254EE">
        <w:rPr>
          <w:rFonts w:ascii="Arial" w:hAnsi="Arial" w:cs="Arial"/>
        </w:rPr>
        <w:t>mesačne.</w:t>
      </w:r>
    </w:p>
    <w:p w:rsidR="00C00D5B" w:rsidRPr="007254EE" w:rsidP="001D7B65">
      <w:pPr>
        <w:bidi w:val="0"/>
        <w:jc w:val="both"/>
        <w:rPr>
          <w:rFonts w:ascii="Arial" w:hAnsi="Arial" w:cs="Arial"/>
        </w:rPr>
      </w:pPr>
    </w:p>
    <w:p w:rsidR="001D7B65" w:rsidRPr="007254EE" w:rsidP="00B2354B">
      <w:pPr>
        <w:bidi w:val="0"/>
        <w:ind w:firstLine="360"/>
        <w:jc w:val="both"/>
        <w:rPr>
          <w:rFonts w:ascii="Arial" w:hAnsi="Arial" w:cs="Arial"/>
        </w:rPr>
      </w:pPr>
      <w:r w:rsidRPr="007254EE" w:rsidR="00C00D5B">
        <w:rPr>
          <w:rFonts w:ascii="Arial" w:hAnsi="Arial" w:cs="Arial"/>
        </w:rPr>
        <w:t xml:space="preserve">Očakávaný nárast </w:t>
      </w:r>
      <w:r w:rsidRPr="007254EE" w:rsidR="00BA0C6D">
        <w:rPr>
          <w:rFonts w:ascii="Arial" w:hAnsi="Arial" w:cs="Arial"/>
        </w:rPr>
        <w:t xml:space="preserve">finančných prostriedkov </w:t>
      </w:r>
      <w:r w:rsidRPr="007254EE" w:rsidR="00772C52">
        <w:rPr>
          <w:rFonts w:ascii="Arial" w:hAnsi="Arial" w:cs="Arial"/>
        </w:rPr>
        <w:t xml:space="preserve">z titulu zvýšenia </w:t>
      </w:r>
      <w:r w:rsidRPr="007254EE" w:rsidR="00BA0C6D">
        <w:rPr>
          <w:rFonts w:ascii="Arial" w:hAnsi="Arial" w:cs="Arial"/>
        </w:rPr>
        <w:t xml:space="preserve">základnej zložky mzdy </w:t>
      </w:r>
      <w:r w:rsidRPr="007254EE" w:rsidR="001944D8">
        <w:rPr>
          <w:rFonts w:ascii="Arial" w:hAnsi="Arial" w:cs="Arial"/>
        </w:rPr>
        <w:t>lekárov</w:t>
      </w:r>
      <w:r w:rsidRPr="007254EE" w:rsidR="00EB6B91">
        <w:rPr>
          <w:rFonts w:ascii="Arial" w:hAnsi="Arial" w:cs="Arial"/>
        </w:rPr>
        <w:t xml:space="preserve"> </w:t>
      </w:r>
      <w:r w:rsidRPr="007254EE" w:rsidR="00F420A0">
        <w:rPr>
          <w:rFonts w:ascii="Arial" w:hAnsi="Arial" w:cs="Arial"/>
        </w:rPr>
        <w:t xml:space="preserve">                 </w:t>
      </w:r>
      <w:r w:rsidRPr="007254EE" w:rsidR="00EB6B91">
        <w:rPr>
          <w:rFonts w:ascii="Arial" w:hAnsi="Arial" w:cs="Arial"/>
        </w:rPr>
        <w:t>v</w:t>
      </w:r>
      <w:r w:rsidRPr="007254EE" w:rsidR="00940634">
        <w:rPr>
          <w:rFonts w:ascii="Arial" w:hAnsi="Arial" w:cs="Arial"/>
        </w:rPr>
        <w:t xml:space="preserve"> ústavných </w:t>
      </w:r>
      <w:r w:rsidRPr="007254EE" w:rsidR="00EB6B91">
        <w:rPr>
          <w:rFonts w:ascii="Arial" w:hAnsi="Arial" w:cs="Arial"/>
        </w:rPr>
        <w:t xml:space="preserve">zdravotníckych zariadeniach financovaných zo zdrojov zdravotných poisťovní </w:t>
      </w:r>
      <w:r w:rsidRPr="007254EE" w:rsidR="00BA0C6D">
        <w:rPr>
          <w:rFonts w:ascii="Arial" w:hAnsi="Arial" w:cs="Arial"/>
        </w:rPr>
        <w:t xml:space="preserve">v roku 2012 vo výške </w:t>
      </w:r>
      <w:r w:rsidRPr="007254EE" w:rsidR="004F7118">
        <w:rPr>
          <w:rFonts w:ascii="Arial" w:hAnsi="Arial" w:cs="Arial"/>
        </w:rPr>
        <w:t xml:space="preserve">31 206 561 </w:t>
      </w:r>
      <w:r w:rsidRPr="007254EE" w:rsidR="00BA0C6D">
        <w:rPr>
          <w:rFonts w:ascii="Arial" w:hAnsi="Arial" w:cs="Arial"/>
        </w:rPr>
        <w:t>eur zahŕňa mzdové výdavky a povinné príspevky na zákonné poistenie platené zamestnávateľom.</w:t>
      </w:r>
    </w:p>
    <w:p w:rsidR="00A63B1B" w:rsidRPr="007254EE" w:rsidP="001D7B65">
      <w:pPr>
        <w:bidi w:val="0"/>
        <w:ind w:left="720"/>
        <w:jc w:val="both"/>
        <w:rPr>
          <w:rFonts w:ascii="Arial" w:hAnsi="Arial" w:cs="Arial"/>
        </w:rPr>
      </w:pPr>
    </w:p>
    <w:p w:rsidR="00822BD6" w:rsidRPr="007254EE" w:rsidP="00822BD6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ab/>
        <w:t xml:space="preserve">Pokiaľ ide o návrh zákona, ktorým sa mení a dopĺňa zákon č. 311/2001 Z. z. Zákonník práce v znení neskorších predpisov, neočakáva sa, že navrhované zmeny budú mať vplyv na zvýšenie mzdových výdavkov, ale že zamestnávateľmi budú prijímané opatrenia, aby nedochádzalo k porušovaniu Zákonníka práce. </w:t>
      </w:r>
    </w:p>
    <w:p w:rsidR="007E76A4" w:rsidRPr="007254EE" w:rsidP="00665BB9">
      <w:pPr>
        <w:bidi w:val="0"/>
        <w:rPr>
          <w:rFonts w:ascii="Arial" w:hAnsi="Arial" w:cs="Arial"/>
        </w:rPr>
      </w:pPr>
    </w:p>
    <w:p w:rsidR="00433CAB" w:rsidRPr="007254EE" w:rsidP="001A5C0E">
      <w:pPr>
        <w:bidi w:val="0"/>
        <w:jc w:val="both"/>
        <w:rPr>
          <w:rFonts w:ascii="Arial" w:hAnsi="Arial" w:cs="Arial"/>
        </w:rPr>
      </w:pPr>
      <w:r w:rsidRPr="007254EE" w:rsidR="001A5C0E">
        <w:rPr>
          <w:rFonts w:ascii="Arial" w:hAnsi="Arial" w:cs="Arial"/>
        </w:rPr>
        <w:tab/>
      </w:r>
    </w:p>
    <w:p w:rsidR="00433CAB" w:rsidRPr="007254EE" w:rsidP="00433CAB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>S ohľadom na skutočnosť, že v</w:t>
      </w:r>
      <w:r w:rsidRPr="007254EE" w:rsidR="008F516F">
        <w:rPr>
          <w:rFonts w:ascii="Arial" w:hAnsi="Arial" w:cs="Arial"/>
        </w:rPr>
        <w:t xml:space="preserve"> ústavných </w:t>
      </w:r>
      <w:r w:rsidRPr="007254EE">
        <w:rPr>
          <w:rFonts w:ascii="Arial" w:hAnsi="Arial" w:cs="Arial"/>
        </w:rPr>
        <w:t>zdravotníckych zariadeniach spolu s</w:t>
      </w:r>
      <w:r w:rsidRPr="007254EE" w:rsidR="008F516F">
        <w:rPr>
          <w:rFonts w:ascii="Arial" w:hAnsi="Arial" w:cs="Arial"/>
        </w:rPr>
        <w:t xml:space="preserve"> lekármi</w:t>
      </w:r>
      <w:r w:rsidRPr="007254EE">
        <w:rPr>
          <w:rFonts w:ascii="Arial" w:hAnsi="Arial" w:cs="Arial"/>
        </w:rPr>
        <w:t xml:space="preserve"> poskytujú zdravotnú starostlivosť a zabezpečujú poskytovanie zdravotnej starostlivosti ďalší zdravotnícki  pracovníci (zdravotnícke povolania podľa osobitného predpisu) a nezdravotnícki pracovníci s porovnateľným vzdelaním, resp. odbornou spôsobilosťou podľa osobitného predpisu, ktorí vykonávajú práce s porovnateľnou mierou zložitosti, zodpovednosti a namáhavosti, a to v rovnakých alebo porovnateľných pracovných podmienkach a pri dosahovaní rovnakej alebo porovnateľnej výkonnosti a výsledkov práce, mzda </w:t>
      </w:r>
      <w:r w:rsidRPr="007254EE" w:rsidR="008F516F">
        <w:rPr>
          <w:rFonts w:ascii="Arial" w:hAnsi="Arial" w:cs="Arial"/>
        </w:rPr>
        <w:t>lekárov</w:t>
      </w:r>
      <w:r w:rsidRPr="007254EE">
        <w:rPr>
          <w:rFonts w:ascii="Arial" w:hAnsi="Arial" w:cs="Arial"/>
        </w:rPr>
        <w:t xml:space="preserve"> sa pre zamestnávateľov stane východiskom pre odmeňovanie ostatných pracovníkov </w:t>
      </w:r>
      <w:r w:rsidRPr="007254EE" w:rsidR="007508CB">
        <w:rPr>
          <w:rFonts w:ascii="Arial" w:hAnsi="Arial" w:cs="Arial"/>
        </w:rPr>
        <w:t xml:space="preserve">ústavných </w:t>
      </w:r>
      <w:r w:rsidRPr="007254EE">
        <w:rPr>
          <w:rFonts w:ascii="Arial" w:hAnsi="Arial" w:cs="Arial"/>
        </w:rPr>
        <w:t xml:space="preserve">zdravotníckych zariadení (právo na rovnaké zaobchádzanie, odmeňovanie, nediskrimináciu, právo na rovnakú mzdu za rovnakú prácu alebo za prácu rovnakej hodnoty).  </w:t>
      </w:r>
    </w:p>
    <w:p w:rsidR="00433CAB" w:rsidRPr="007254EE" w:rsidP="00433CAB">
      <w:pPr>
        <w:bidi w:val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>V nadväznosti na uvedené možno očakávať zvýšenie miezd týchto zamestnancov v</w:t>
      </w:r>
      <w:r w:rsidRPr="007254EE" w:rsidR="007508CB">
        <w:rPr>
          <w:rFonts w:ascii="Arial" w:hAnsi="Arial" w:cs="Arial"/>
        </w:rPr>
        <w:t>o</w:t>
      </w:r>
      <w:r w:rsidRPr="007254EE">
        <w:rPr>
          <w:rFonts w:ascii="Arial" w:hAnsi="Arial" w:cs="Arial"/>
        </w:rPr>
        <w:t xml:space="preserve"> výške</w:t>
      </w:r>
      <w:r w:rsidRPr="007254EE" w:rsidR="007508CB">
        <w:rPr>
          <w:rFonts w:ascii="Arial" w:hAnsi="Arial" w:cs="Arial"/>
        </w:rPr>
        <w:t xml:space="preserve"> 1.718.000 eur</w:t>
      </w:r>
      <w:r w:rsidRPr="007254EE">
        <w:rPr>
          <w:rFonts w:ascii="Arial" w:hAnsi="Arial" w:cs="Arial"/>
        </w:rPr>
        <w:t xml:space="preserve">. </w:t>
      </w:r>
      <w:r w:rsidRPr="007254EE" w:rsidR="007508CB">
        <w:rPr>
          <w:rFonts w:ascii="Arial" w:hAnsi="Arial" w:cs="Arial"/>
        </w:rPr>
        <w:t>Exaktnejšia</w:t>
      </w:r>
      <w:r w:rsidRPr="007254EE">
        <w:rPr>
          <w:rFonts w:ascii="Arial" w:hAnsi="Arial" w:cs="Arial"/>
        </w:rPr>
        <w:t xml:space="preserve"> kvantifikácia tohto nárastu nie je možná. </w:t>
      </w:r>
    </w:p>
    <w:p w:rsidR="00433CAB" w:rsidRPr="007254EE" w:rsidP="001A5C0E">
      <w:pPr>
        <w:bidi w:val="0"/>
        <w:jc w:val="both"/>
        <w:rPr>
          <w:rFonts w:ascii="Arial" w:hAnsi="Arial" w:cs="Arial"/>
        </w:rPr>
      </w:pPr>
    </w:p>
    <w:p w:rsidR="007E76A4" w:rsidRPr="007254EE" w:rsidP="00665BB9">
      <w:pPr>
        <w:bidi w:val="0"/>
        <w:rPr>
          <w:rFonts w:ascii="Arial" w:hAnsi="Arial" w:cs="Arial"/>
        </w:rPr>
      </w:pPr>
    </w:p>
    <w:p w:rsidR="007E76A4" w:rsidRPr="007254EE" w:rsidP="00665BB9">
      <w:pPr>
        <w:bidi w:val="0"/>
        <w:rPr>
          <w:rFonts w:ascii="Arial" w:hAnsi="Arial" w:cs="Arial"/>
        </w:rPr>
        <w:sectPr>
          <w:headerReference w:type="default" r:id="rId9"/>
          <w:footerReference w:type="even" r:id="rId10"/>
          <w:footerReference w:type="default" r:id="rId11"/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943EB2" w:rsidRPr="007254EE" w:rsidP="000861E3">
      <w:pPr>
        <w:pStyle w:val="NormalWeb"/>
        <w:bidi w:val="0"/>
        <w:spacing w:before="0" w:beforeAutospacing="0" w:after="0" w:afterAutospacing="0"/>
        <w:jc w:val="right"/>
        <w:outlineLvl w:val="0"/>
        <w:rPr>
          <w:rFonts w:ascii="Arial" w:hAnsi="Arial" w:cs="Arial"/>
        </w:rPr>
      </w:pPr>
      <w:r w:rsidRPr="007254EE">
        <w:rPr>
          <w:rFonts w:ascii="Arial" w:hAnsi="Arial" w:cs="Arial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  <w:r w:rsidRPr="007254EE">
              <w:rPr>
                <w:rFonts w:ascii="Arial" w:hAnsi="Arial" w:cs="Arial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Daňové príjmy (100)</w:t>
            </w:r>
            <w:r w:rsidRPr="007254E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Nedaňové príjmy (200)</w:t>
            </w:r>
            <w:r w:rsidRPr="007254E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Granty a transfery (300)</w:t>
            </w:r>
            <w:r w:rsidRPr="007254E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BB7494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4EE" w:rsidR="00943EB2">
        <w:rPr>
          <w:rFonts w:ascii="Arial" w:hAnsi="Arial" w:cs="Arial"/>
          <w:sz w:val="20"/>
          <w:szCs w:val="20"/>
        </w:rPr>
        <w:t xml:space="preserve">1 –  príjmy rozpísať až do položiek platnej ekonomickej klasifikácie    </w:t>
      </w:r>
    </w:p>
    <w:p w:rsidR="00BB7494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43EB2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7254EE" w:rsidR="00BB74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Pr="007254EE">
        <w:rPr>
          <w:rFonts w:ascii="Arial" w:hAnsi="Arial" w:cs="Arial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Tovary a služby (630)</w:t>
            </w:r>
            <w:r w:rsidRPr="007254EE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Bežné transfery (640)</w:t>
            </w:r>
            <w:r w:rsidRPr="007254EE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Splácanie úrokov a ostatné platby súvisiace s úvermi, pôžičkami a NFV (650)</w:t>
            </w:r>
            <w:r w:rsidRPr="007254EE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Obstarávanie kapitálových aktív (710)</w:t>
            </w:r>
            <w:r w:rsidRPr="007254EE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 Kapitálové transfery (720)</w:t>
            </w:r>
            <w:r w:rsidRPr="007254EE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color w:val="FFFFFF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 w:rsidR="00BB7494">
              <w:rPr>
                <w:rFonts w:ascii="Arial" w:hAnsi="Arial" w:cs="Arial"/>
                <w:sz w:val="20"/>
                <w:szCs w:val="20"/>
              </w:rPr>
              <w:t>   </w:t>
            </w:r>
            <w:r w:rsidRPr="007254EE">
              <w:rPr>
                <w:rFonts w:ascii="Arial" w:hAnsi="Arial" w:cs="Arial"/>
                <w:sz w:val="20"/>
                <w:szCs w:val="20"/>
              </w:rPr>
              <w:t>Bežné výdavky</w:t>
            </w: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54EE">
              <w:rPr>
                <w:rFonts w:ascii="Arial" w:hAnsi="Arial" w:cs="Arial"/>
                <w:sz w:val="20"/>
                <w:szCs w:val="20"/>
              </w:rPr>
              <w:t>(600)</w:t>
            </w: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   </w:t>
            </w:r>
            <w:r w:rsidRPr="007254EE">
              <w:rPr>
                <w:rFonts w:ascii="Arial" w:hAnsi="Arial" w:cs="Arial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 w:rsidR="00BB7494">
              <w:rPr>
                <w:rFonts w:ascii="Arial" w:hAnsi="Arial" w:cs="Arial"/>
                <w:sz w:val="20"/>
                <w:szCs w:val="20"/>
              </w:rPr>
              <w:t>   </w:t>
            </w:r>
            <w:r w:rsidRPr="007254EE">
              <w:rPr>
                <w:rFonts w:ascii="Arial" w:hAnsi="Arial" w:cs="Arial"/>
                <w:sz w:val="20"/>
                <w:szCs w:val="20"/>
              </w:rPr>
              <w:t xml:space="preserve">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 w:rsidR="00BB7494">
              <w:rPr>
                <w:rFonts w:ascii="Arial" w:hAnsi="Arial" w:cs="Arial"/>
                <w:sz w:val="20"/>
                <w:szCs w:val="20"/>
              </w:rPr>
              <w:t>    </w:t>
            </w:r>
            <w:r w:rsidRPr="007254EE">
              <w:rPr>
                <w:rFonts w:ascii="Arial" w:hAnsi="Arial" w:cs="Arial"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43EB2" w:rsidRPr="007254E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43EB2" w:rsidRPr="007254EE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943EB2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>2 –  výdavky rozpísať až do položiek platnej ekonomickej klasifikácie</w:t>
      </w:r>
    </w:p>
    <w:p w:rsidR="00943EB2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7254EE">
        <w:rPr>
          <w:rFonts w:ascii="Arial" w:hAnsi="Arial" w:cs="Arial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7254EE">
        <w:rPr>
          <w:rFonts w:ascii="Arial" w:hAnsi="Arial" w:cs="Arial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</w:rPr>
              <w:t>2011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</w:rPr>
              <w:t>2012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</w:rPr>
              <w:t>2013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 w:rsidR="00B161F6">
              <w:rPr>
                <w:rFonts w:ascii="Arial" w:hAnsi="Arial" w:cs="Arial"/>
                <w:b/>
                <w:bCs/>
                <w:color w:val="FFFFFF"/>
              </w:rPr>
              <w:t>2014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B161F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0A5C86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</w:p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044049" w:rsidRPr="007254EE" w:rsidP="0004404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7254EE">
              <w:rPr>
                <w:rFonts w:ascii="Arial" w:hAnsi="Arial" w:cs="Arial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044049" w:rsidRPr="007254EE" w:rsidP="00044049">
            <w:pPr>
              <w:bidi w:val="0"/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</w:tr>
    </w:tbl>
    <w:p w:rsidR="00943EB2" w:rsidRPr="007254EE" w:rsidP="00943EB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7254EE">
        <w:rPr>
          <w:rFonts w:ascii="Arial" w:hAnsi="Arial" w:cs="Arial"/>
        </w:rPr>
        <w:t> </w:t>
      </w:r>
    </w:p>
    <w:p w:rsidR="004161A1" w:rsidRPr="007254EE" w:rsidP="000A5C86">
      <w:pPr>
        <w:pStyle w:val="NormalWeb"/>
        <w:bidi w:val="0"/>
        <w:spacing w:before="0" w:beforeAutospacing="0" w:after="0" w:afterAutospacing="0"/>
        <w:rPr>
          <w:rFonts w:ascii="Arial" w:hAnsi="Arial" w:cs="Arial"/>
          <w:b/>
          <w:bCs/>
        </w:rPr>
      </w:pPr>
      <w:r w:rsidRPr="007254EE" w:rsidR="00943EB2">
        <w:rPr>
          <w:rFonts w:ascii="Arial" w:hAnsi="Arial" w:cs="Arial"/>
          <w:b/>
          <w:bCs/>
        </w:rPr>
        <w:t>* počet zamestnancov,  mzdy a poistné rozpísať podľa spôsobu odmeňovania (napr. policajti, colníci ...)</w:t>
      </w:r>
    </w:p>
    <w:p w:rsidR="000A5C86" w:rsidRPr="007254EE" w:rsidP="000A5C86">
      <w:pPr>
        <w:pStyle w:val="NormalWeb"/>
        <w:bidi w:val="0"/>
        <w:spacing w:before="0" w:beforeAutospacing="0" w:after="0" w:afterAutospacing="0"/>
        <w:rPr>
          <w:rFonts w:ascii="Arial" w:hAnsi="Arial" w:cs="Arial"/>
          <w:b/>
          <w:bCs/>
        </w:rPr>
      </w:pPr>
    </w:p>
    <w:p w:rsidR="000A5C86" w:rsidRPr="007254EE" w:rsidP="000A5C86">
      <w:pPr>
        <w:pStyle w:val="NormalWeb"/>
        <w:bidi w:val="0"/>
        <w:spacing w:before="0" w:beforeAutospacing="0" w:after="0" w:afterAutospacing="0"/>
        <w:rPr>
          <w:rFonts w:ascii="Arial" w:hAnsi="Arial" w:cs="Arial"/>
          <w:b/>
          <w:bCs/>
        </w:rPr>
      </w:pPr>
    </w:p>
    <w:p w:rsidR="000A5C86" w:rsidRPr="007254EE" w:rsidP="000A5C86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  <w:sectPr w:rsidSect="004161A1"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4554B0" w:rsidRPr="007254EE" w:rsidP="000A5C86">
      <w:pPr>
        <w:bidi w:val="0"/>
        <w:rPr>
          <w:rFonts w:ascii="Arial" w:hAnsi="Arial" w:cs="Arial"/>
        </w:rPr>
      </w:pPr>
    </w:p>
    <w:sectPr w:rsidSect="00A04535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35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43B35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35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3416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43B35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3416B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3332D5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P="003B57E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3416B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3332D5" w:rsidP="003B57E1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3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35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543B35">
    <w:pPr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Príloha č. 13.a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D5" w:rsidRPr="002E1304" w:rsidP="002E1304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101"/>
    <w:multiLevelType w:val="hybridMultilevel"/>
    <w:tmpl w:val="E96C84CE"/>
    <w:lvl w:ilvl="0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5AA07976"/>
    <w:multiLevelType w:val="hybridMultilevel"/>
    <w:tmpl w:val="7C28B238"/>
    <w:lvl w:ilvl="0">
      <w:start w:val="2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2E1304"/>
    <w:rsid w:val="00001877"/>
    <w:rsid w:val="000065A9"/>
    <w:rsid w:val="00007944"/>
    <w:rsid w:val="00012287"/>
    <w:rsid w:val="0001625B"/>
    <w:rsid w:val="00021860"/>
    <w:rsid w:val="00031343"/>
    <w:rsid w:val="00032327"/>
    <w:rsid w:val="00037C3F"/>
    <w:rsid w:val="00041DE9"/>
    <w:rsid w:val="00042608"/>
    <w:rsid w:val="00044049"/>
    <w:rsid w:val="000457DA"/>
    <w:rsid w:val="00052109"/>
    <w:rsid w:val="0005425E"/>
    <w:rsid w:val="000600BC"/>
    <w:rsid w:val="00062B7D"/>
    <w:rsid w:val="00065A30"/>
    <w:rsid w:val="000665C2"/>
    <w:rsid w:val="000675C4"/>
    <w:rsid w:val="0006778D"/>
    <w:rsid w:val="00071BF8"/>
    <w:rsid w:val="0007385D"/>
    <w:rsid w:val="0007653E"/>
    <w:rsid w:val="000775EE"/>
    <w:rsid w:val="0008045D"/>
    <w:rsid w:val="0008212B"/>
    <w:rsid w:val="000831A5"/>
    <w:rsid w:val="000853E4"/>
    <w:rsid w:val="000854F8"/>
    <w:rsid w:val="000861E3"/>
    <w:rsid w:val="00087647"/>
    <w:rsid w:val="000901BA"/>
    <w:rsid w:val="00093BE2"/>
    <w:rsid w:val="0009419E"/>
    <w:rsid w:val="00094BB4"/>
    <w:rsid w:val="000958FA"/>
    <w:rsid w:val="00095D1A"/>
    <w:rsid w:val="00097170"/>
    <w:rsid w:val="000A1187"/>
    <w:rsid w:val="000A4590"/>
    <w:rsid w:val="000A5C86"/>
    <w:rsid w:val="000B0731"/>
    <w:rsid w:val="000B0953"/>
    <w:rsid w:val="000B33F3"/>
    <w:rsid w:val="000B5E23"/>
    <w:rsid w:val="000B6C31"/>
    <w:rsid w:val="000C12F5"/>
    <w:rsid w:val="000C68D2"/>
    <w:rsid w:val="000C6A00"/>
    <w:rsid w:val="000D0A24"/>
    <w:rsid w:val="000D0E54"/>
    <w:rsid w:val="000D160F"/>
    <w:rsid w:val="000D2E71"/>
    <w:rsid w:val="000D70C9"/>
    <w:rsid w:val="000D7A6C"/>
    <w:rsid w:val="000E00FA"/>
    <w:rsid w:val="000E4B19"/>
    <w:rsid w:val="000E56A7"/>
    <w:rsid w:val="000E6D63"/>
    <w:rsid w:val="000F2103"/>
    <w:rsid w:val="000F2DE6"/>
    <w:rsid w:val="000F304F"/>
    <w:rsid w:val="000F3A93"/>
    <w:rsid w:val="000F3AC3"/>
    <w:rsid w:val="000F5AC8"/>
    <w:rsid w:val="000F60AF"/>
    <w:rsid w:val="00102E44"/>
    <w:rsid w:val="00103117"/>
    <w:rsid w:val="00106212"/>
    <w:rsid w:val="001072B2"/>
    <w:rsid w:val="001113E9"/>
    <w:rsid w:val="001113FA"/>
    <w:rsid w:val="00111539"/>
    <w:rsid w:val="00111973"/>
    <w:rsid w:val="00111D86"/>
    <w:rsid w:val="001132C5"/>
    <w:rsid w:val="0012053A"/>
    <w:rsid w:val="00122243"/>
    <w:rsid w:val="0012230A"/>
    <w:rsid w:val="00123EE7"/>
    <w:rsid w:val="0012401E"/>
    <w:rsid w:val="00131704"/>
    <w:rsid w:val="00137343"/>
    <w:rsid w:val="001443A8"/>
    <w:rsid w:val="001447DA"/>
    <w:rsid w:val="0015103A"/>
    <w:rsid w:val="001514A3"/>
    <w:rsid w:val="00152AA7"/>
    <w:rsid w:val="00153FF2"/>
    <w:rsid w:val="00154671"/>
    <w:rsid w:val="00157008"/>
    <w:rsid w:val="00157F7C"/>
    <w:rsid w:val="00161130"/>
    <w:rsid w:val="00162927"/>
    <w:rsid w:val="00163200"/>
    <w:rsid w:val="001647FB"/>
    <w:rsid w:val="001649CD"/>
    <w:rsid w:val="0016597F"/>
    <w:rsid w:val="00167EB4"/>
    <w:rsid w:val="0017502B"/>
    <w:rsid w:val="00175442"/>
    <w:rsid w:val="001773C6"/>
    <w:rsid w:val="0018252F"/>
    <w:rsid w:val="0018424D"/>
    <w:rsid w:val="00185931"/>
    <w:rsid w:val="00186BDD"/>
    <w:rsid w:val="00186DEA"/>
    <w:rsid w:val="001944D8"/>
    <w:rsid w:val="001A0796"/>
    <w:rsid w:val="001A1180"/>
    <w:rsid w:val="001A1BBF"/>
    <w:rsid w:val="001A284A"/>
    <w:rsid w:val="001A2E20"/>
    <w:rsid w:val="001A4E77"/>
    <w:rsid w:val="001A5C0E"/>
    <w:rsid w:val="001B0F66"/>
    <w:rsid w:val="001B1812"/>
    <w:rsid w:val="001B327D"/>
    <w:rsid w:val="001B57EC"/>
    <w:rsid w:val="001C4CD7"/>
    <w:rsid w:val="001C561A"/>
    <w:rsid w:val="001D0486"/>
    <w:rsid w:val="001D1DD8"/>
    <w:rsid w:val="001D2927"/>
    <w:rsid w:val="001D3455"/>
    <w:rsid w:val="001D376D"/>
    <w:rsid w:val="001D4C67"/>
    <w:rsid w:val="001D6BD1"/>
    <w:rsid w:val="001D72BD"/>
    <w:rsid w:val="001D7B65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635D"/>
    <w:rsid w:val="001F7064"/>
    <w:rsid w:val="001F7649"/>
    <w:rsid w:val="0020127E"/>
    <w:rsid w:val="002021FE"/>
    <w:rsid w:val="00203DD9"/>
    <w:rsid w:val="0020462E"/>
    <w:rsid w:val="00207248"/>
    <w:rsid w:val="00207E0B"/>
    <w:rsid w:val="00211A3B"/>
    <w:rsid w:val="00211B26"/>
    <w:rsid w:val="0021684F"/>
    <w:rsid w:val="00216947"/>
    <w:rsid w:val="002173ED"/>
    <w:rsid w:val="00217E9E"/>
    <w:rsid w:val="0022225F"/>
    <w:rsid w:val="00222D3B"/>
    <w:rsid w:val="002255D1"/>
    <w:rsid w:val="00226F3B"/>
    <w:rsid w:val="0022739B"/>
    <w:rsid w:val="00227888"/>
    <w:rsid w:val="00231117"/>
    <w:rsid w:val="00232EE1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7C"/>
    <w:rsid w:val="00245FA9"/>
    <w:rsid w:val="00246C1E"/>
    <w:rsid w:val="0025200C"/>
    <w:rsid w:val="002532E5"/>
    <w:rsid w:val="00253D51"/>
    <w:rsid w:val="002574A3"/>
    <w:rsid w:val="00257668"/>
    <w:rsid w:val="002607E8"/>
    <w:rsid w:val="0027146B"/>
    <w:rsid w:val="00282E6B"/>
    <w:rsid w:val="00283DEC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627"/>
    <w:rsid w:val="002A7CB2"/>
    <w:rsid w:val="002B0F6B"/>
    <w:rsid w:val="002C2145"/>
    <w:rsid w:val="002C2805"/>
    <w:rsid w:val="002C55F1"/>
    <w:rsid w:val="002C6AC9"/>
    <w:rsid w:val="002D0473"/>
    <w:rsid w:val="002D6317"/>
    <w:rsid w:val="002D646B"/>
    <w:rsid w:val="002E1304"/>
    <w:rsid w:val="002E40FB"/>
    <w:rsid w:val="002E4D4B"/>
    <w:rsid w:val="002E5074"/>
    <w:rsid w:val="002E5846"/>
    <w:rsid w:val="002E6125"/>
    <w:rsid w:val="002E6729"/>
    <w:rsid w:val="002F36FE"/>
    <w:rsid w:val="002F434C"/>
    <w:rsid w:val="002F48B1"/>
    <w:rsid w:val="002F5EC0"/>
    <w:rsid w:val="002F6FAF"/>
    <w:rsid w:val="002F78DF"/>
    <w:rsid w:val="0030643D"/>
    <w:rsid w:val="003103EC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2D5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1385"/>
    <w:rsid w:val="00344849"/>
    <w:rsid w:val="00345C7B"/>
    <w:rsid w:val="00347709"/>
    <w:rsid w:val="00351D80"/>
    <w:rsid w:val="003562FC"/>
    <w:rsid w:val="00357F38"/>
    <w:rsid w:val="003606E9"/>
    <w:rsid w:val="00362A9B"/>
    <w:rsid w:val="003636C0"/>
    <w:rsid w:val="0036409B"/>
    <w:rsid w:val="00364AD5"/>
    <w:rsid w:val="00366FF3"/>
    <w:rsid w:val="00367C9B"/>
    <w:rsid w:val="0037517F"/>
    <w:rsid w:val="00376B34"/>
    <w:rsid w:val="00376C16"/>
    <w:rsid w:val="00382CE9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21BA"/>
    <w:rsid w:val="003A3438"/>
    <w:rsid w:val="003A34CF"/>
    <w:rsid w:val="003A4133"/>
    <w:rsid w:val="003B0098"/>
    <w:rsid w:val="003B0A28"/>
    <w:rsid w:val="003B0EC8"/>
    <w:rsid w:val="003B3D78"/>
    <w:rsid w:val="003B3E43"/>
    <w:rsid w:val="003B57E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6DA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1734"/>
    <w:rsid w:val="00412989"/>
    <w:rsid w:val="00412C4F"/>
    <w:rsid w:val="00413805"/>
    <w:rsid w:val="00414253"/>
    <w:rsid w:val="004161A1"/>
    <w:rsid w:val="00416C8A"/>
    <w:rsid w:val="00422ED4"/>
    <w:rsid w:val="00423972"/>
    <w:rsid w:val="00426092"/>
    <w:rsid w:val="00426D4D"/>
    <w:rsid w:val="00430749"/>
    <w:rsid w:val="00432A7E"/>
    <w:rsid w:val="00433CAB"/>
    <w:rsid w:val="0043509F"/>
    <w:rsid w:val="004351CD"/>
    <w:rsid w:val="00436035"/>
    <w:rsid w:val="00437EE9"/>
    <w:rsid w:val="00444FBF"/>
    <w:rsid w:val="00445D2F"/>
    <w:rsid w:val="00450D34"/>
    <w:rsid w:val="004541DB"/>
    <w:rsid w:val="004554B0"/>
    <w:rsid w:val="004570D2"/>
    <w:rsid w:val="00457459"/>
    <w:rsid w:val="00457498"/>
    <w:rsid w:val="00457CFF"/>
    <w:rsid w:val="00463C21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544"/>
    <w:rsid w:val="0048589A"/>
    <w:rsid w:val="00485E1C"/>
    <w:rsid w:val="00487C12"/>
    <w:rsid w:val="00491E0B"/>
    <w:rsid w:val="00492135"/>
    <w:rsid w:val="00495572"/>
    <w:rsid w:val="004A03E9"/>
    <w:rsid w:val="004A0BC1"/>
    <w:rsid w:val="004A3564"/>
    <w:rsid w:val="004A3CB2"/>
    <w:rsid w:val="004A4217"/>
    <w:rsid w:val="004A5E82"/>
    <w:rsid w:val="004A6DD3"/>
    <w:rsid w:val="004A74DB"/>
    <w:rsid w:val="004A7645"/>
    <w:rsid w:val="004B0910"/>
    <w:rsid w:val="004B2AED"/>
    <w:rsid w:val="004B47CC"/>
    <w:rsid w:val="004B67D0"/>
    <w:rsid w:val="004B748E"/>
    <w:rsid w:val="004C0DDE"/>
    <w:rsid w:val="004C22E7"/>
    <w:rsid w:val="004C303D"/>
    <w:rsid w:val="004C453D"/>
    <w:rsid w:val="004C5186"/>
    <w:rsid w:val="004C789B"/>
    <w:rsid w:val="004D1916"/>
    <w:rsid w:val="004D226B"/>
    <w:rsid w:val="004D43CD"/>
    <w:rsid w:val="004D535C"/>
    <w:rsid w:val="004D5A7E"/>
    <w:rsid w:val="004E05FA"/>
    <w:rsid w:val="004E17EF"/>
    <w:rsid w:val="004F7118"/>
    <w:rsid w:val="004F7808"/>
    <w:rsid w:val="005000B4"/>
    <w:rsid w:val="00500227"/>
    <w:rsid w:val="00500C00"/>
    <w:rsid w:val="00501139"/>
    <w:rsid w:val="00501DEA"/>
    <w:rsid w:val="00504CF3"/>
    <w:rsid w:val="00505D4B"/>
    <w:rsid w:val="005061D4"/>
    <w:rsid w:val="0050640D"/>
    <w:rsid w:val="00506849"/>
    <w:rsid w:val="00511ED1"/>
    <w:rsid w:val="00512358"/>
    <w:rsid w:val="0051538F"/>
    <w:rsid w:val="00515DA8"/>
    <w:rsid w:val="00520998"/>
    <w:rsid w:val="005213E2"/>
    <w:rsid w:val="00521E25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0E16"/>
    <w:rsid w:val="005414EA"/>
    <w:rsid w:val="00543B35"/>
    <w:rsid w:val="00544D8A"/>
    <w:rsid w:val="00544DE7"/>
    <w:rsid w:val="00546163"/>
    <w:rsid w:val="00550D16"/>
    <w:rsid w:val="005513F2"/>
    <w:rsid w:val="0055726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2FA5"/>
    <w:rsid w:val="0059354D"/>
    <w:rsid w:val="00593640"/>
    <w:rsid w:val="00593E53"/>
    <w:rsid w:val="00594C11"/>
    <w:rsid w:val="005A1884"/>
    <w:rsid w:val="005A4A17"/>
    <w:rsid w:val="005A4F8C"/>
    <w:rsid w:val="005A530E"/>
    <w:rsid w:val="005B2622"/>
    <w:rsid w:val="005B2876"/>
    <w:rsid w:val="005B35B5"/>
    <w:rsid w:val="005B4619"/>
    <w:rsid w:val="005B6430"/>
    <w:rsid w:val="005C0018"/>
    <w:rsid w:val="005C2A65"/>
    <w:rsid w:val="005C5A15"/>
    <w:rsid w:val="005C6855"/>
    <w:rsid w:val="005D0441"/>
    <w:rsid w:val="005D170A"/>
    <w:rsid w:val="005D1C81"/>
    <w:rsid w:val="005D1DD7"/>
    <w:rsid w:val="005D3593"/>
    <w:rsid w:val="005D669D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2598"/>
    <w:rsid w:val="006031C2"/>
    <w:rsid w:val="00605C59"/>
    <w:rsid w:val="006213D8"/>
    <w:rsid w:val="006220BB"/>
    <w:rsid w:val="006228E8"/>
    <w:rsid w:val="006232DE"/>
    <w:rsid w:val="00623418"/>
    <w:rsid w:val="00625F21"/>
    <w:rsid w:val="00626827"/>
    <w:rsid w:val="00627684"/>
    <w:rsid w:val="00627B86"/>
    <w:rsid w:val="006314A5"/>
    <w:rsid w:val="006330CB"/>
    <w:rsid w:val="006346F5"/>
    <w:rsid w:val="006368FA"/>
    <w:rsid w:val="006411E7"/>
    <w:rsid w:val="00644B1D"/>
    <w:rsid w:val="00646B92"/>
    <w:rsid w:val="00650CFB"/>
    <w:rsid w:val="006512E3"/>
    <w:rsid w:val="006516F7"/>
    <w:rsid w:val="00656031"/>
    <w:rsid w:val="00664475"/>
    <w:rsid w:val="00664B75"/>
    <w:rsid w:val="00665BB9"/>
    <w:rsid w:val="00665BFA"/>
    <w:rsid w:val="00667F78"/>
    <w:rsid w:val="00672384"/>
    <w:rsid w:val="00675DAD"/>
    <w:rsid w:val="00680B4D"/>
    <w:rsid w:val="00685D81"/>
    <w:rsid w:val="00691AFB"/>
    <w:rsid w:val="006964CA"/>
    <w:rsid w:val="006A1ECF"/>
    <w:rsid w:val="006A2626"/>
    <w:rsid w:val="006A55E8"/>
    <w:rsid w:val="006A5861"/>
    <w:rsid w:val="006B073B"/>
    <w:rsid w:val="006B63E0"/>
    <w:rsid w:val="006C121A"/>
    <w:rsid w:val="006C1635"/>
    <w:rsid w:val="006C1CD6"/>
    <w:rsid w:val="006C20D2"/>
    <w:rsid w:val="006C37BB"/>
    <w:rsid w:val="006C401A"/>
    <w:rsid w:val="006C6325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6110"/>
    <w:rsid w:val="006F0633"/>
    <w:rsid w:val="006F06E6"/>
    <w:rsid w:val="006F0CFB"/>
    <w:rsid w:val="006F177B"/>
    <w:rsid w:val="006F1BD0"/>
    <w:rsid w:val="006F42A3"/>
    <w:rsid w:val="006F46FE"/>
    <w:rsid w:val="006F4783"/>
    <w:rsid w:val="00701402"/>
    <w:rsid w:val="00703D54"/>
    <w:rsid w:val="0070401B"/>
    <w:rsid w:val="0070423F"/>
    <w:rsid w:val="007060EF"/>
    <w:rsid w:val="00706551"/>
    <w:rsid w:val="007110B6"/>
    <w:rsid w:val="0071246D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54EE"/>
    <w:rsid w:val="00730143"/>
    <w:rsid w:val="00732026"/>
    <w:rsid w:val="007508CB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8E"/>
    <w:rsid w:val="007722FA"/>
    <w:rsid w:val="007729E8"/>
    <w:rsid w:val="00772C52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2E2"/>
    <w:rsid w:val="007929F6"/>
    <w:rsid w:val="007931FC"/>
    <w:rsid w:val="00793D54"/>
    <w:rsid w:val="007943B2"/>
    <w:rsid w:val="00795D18"/>
    <w:rsid w:val="007A3FDE"/>
    <w:rsid w:val="007A49F3"/>
    <w:rsid w:val="007A58AF"/>
    <w:rsid w:val="007A72E4"/>
    <w:rsid w:val="007B053E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4916"/>
    <w:rsid w:val="007D5D38"/>
    <w:rsid w:val="007D6878"/>
    <w:rsid w:val="007D693F"/>
    <w:rsid w:val="007D6D87"/>
    <w:rsid w:val="007E0FA6"/>
    <w:rsid w:val="007E1FEE"/>
    <w:rsid w:val="007E37A8"/>
    <w:rsid w:val="007E5079"/>
    <w:rsid w:val="007E5C78"/>
    <w:rsid w:val="007E76A4"/>
    <w:rsid w:val="007F5583"/>
    <w:rsid w:val="007F5D4D"/>
    <w:rsid w:val="007F6BA3"/>
    <w:rsid w:val="007F6EBD"/>
    <w:rsid w:val="007F6FB5"/>
    <w:rsid w:val="008015A6"/>
    <w:rsid w:val="00804266"/>
    <w:rsid w:val="0080605E"/>
    <w:rsid w:val="0080656D"/>
    <w:rsid w:val="00806591"/>
    <w:rsid w:val="00806983"/>
    <w:rsid w:val="00806E41"/>
    <w:rsid w:val="0081099A"/>
    <w:rsid w:val="00814827"/>
    <w:rsid w:val="00814E3E"/>
    <w:rsid w:val="008152AB"/>
    <w:rsid w:val="00821659"/>
    <w:rsid w:val="00822BD6"/>
    <w:rsid w:val="00822E28"/>
    <w:rsid w:val="00823142"/>
    <w:rsid w:val="00825171"/>
    <w:rsid w:val="00825E73"/>
    <w:rsid w:val="00825F3E"/>
    <w:rsid w:val="00826341"/>
    <w:rsid w:val="00834969"/>
    <w:rsid w:val="00835852"/>
    <w:rsid w:val="008412DC"/>
    <w:rsid w:val="0084149B"/>
    <w:rsid w:val="00844AEB"/>
    <w:rsid w:val="00844C2A"/>
    <w:rsid w:val="008459F9"/>
    <w:rsid w:val="0084740D"/>
    <w:rsid w:val="00850A55"/>
    <w:rsid w:val="00850ACF"/>
    <w:rsid w:val="00851B98"/>
    <w:rsid w:val="008547C9"/>
    <w:rsid w:val="008557C5"/>
    <w:rsid w:val="0086170F"/>
    <w:rsid w:val="008706B1"/>
    <w:rsid w:val="0087160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D96"/>
    <w:rsid w:val="00895D84"/>
    <w:rsid w:val="00896163"/>
    <w:rsid w:val="00897197"/>
    <w:rsid w:val="0089741D"/>
    <w:rsid w:val="008975F1"/>
    <w:rsid w:val="008A1C3B"/>
    <w:rsid w:val="008A25EE"/>
    <w:rsid w:val="008A5BF3"/>
    <w:rsid w:val="008A6049"/>
    <w:rsid w:val="008A604E"/>
    <w:rsid w:val="008A624B"/>
    <w:rsid w:val="008A7FB2"/>
    <w:rsid w:val="008B1C37"/>
    <w:rsid w:val="008B393B"/>
    <w:rsid w:val="008B4638"/>
    <w:rsid w:val="008B60A5"/>
    <w:rsid w:val="008C0D63"/>
    <w:rsid w:val="008C1AD5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161B"/>
    <w:rsid w:val="008E404D"/>
    <w:rsid w:val="008E56C9"/>
    <w:rsid w:val="008E65BD"/>
    <w:rsid w:val="008F0893"/>
    <w:rsid w:val="008F2B41"/>
    <w:rsid w:val="008F4FC9"/>
    <w:rsid w:val="008F516F"/>
    <w:rsid w:val="008F58DB"/>
    <w:rsid w:val="00900013"/>
    <w:rsid w:val="009064E4"/>
    <w:rsid w:val="00906A48"/>
    <w:rsid w:val="0090789B"/>
    <w:rsid w:val="00911160"/>
    <w:rsid w:val="009149BA"/>
    <w:rsid w:val="0091637A"/>
    <w:rsid w:val="00916CAE"/>
    <w:rsid w:val="0091758A"/>
    <w:rsid w:val="0092021B"/>
    <w:rsid w:val="00922120"/>
    <w:rsid w:val="0092262C"/>
    <w:rsid w:val="009243DF"/>
    <w:rsid w:val="009268B7"/>
    <w:rsid w:val="00927177"/>
    <w:rsid w:val="00930EC3"/>
    <w:rsid w:val="00932658"/>
    <w:rsid w:val="00934205"/>
    <w:rsid w:val="00934C9D"/>
    <w:rsid w:val="00936F4F"/>
    <w:rsid w:val="00937C91"/>
    <w:rsid w:val="00940634"/>
    <w:rsid w:val="00940A59"/>
    <w:rsid w:val="00940D0C"/>
    <w:rsid w:val="009415AB"/>
    <w:rsid w:val="00941F65"/>
    <w:rsid w:val="00943766"/>
    <w:rsid w:val="00943CA7"/>
    <w:rsid w:val="00943EB2"/>
    <w:rsid w:val="00944C45"/>
    <w:rsid w:val="00946736"/>
    <w:rsid w:val="00946F53"/>
    <w:rsid w:val="00950A62"/>
    <w:rsid w:val="00951630"/>
    <w:rsid w:val="00952ACD"/>
    <w:rsid w:val="00961731"/>
    <w:rsid w:val="0096184D"/>
    <w:rsid w:val="00962C1F"/>
    <w:rsid w:val="009654C6"/>
    <w:rsid w:val="00965970"/>
    <w:rsid w:val="0096653D"/>
    <w:rsid w:val="009668BE"/>
    <w:rsid w:val="00970054"/>
    <w:rsid w:val="00973374"/>
    <w:rsid w:val="009770E2"/>
    <w:rsid w:val="00980B4D"/>
    <w:rsid w:val="00980C43"/>
    <w:rsid w:val="00984DA0"/>
    <w:rsid w:val="0099012E"/>
    <w:rsid w:val="00990F4E"/>
    <w:rsid w:val="0099179B"/>
    <w:rsid w:val="009940EE"/>
    <w:rsid w:val="00994EB9"/>
    <w:rsid w:val="00994EDA"/>
    <w:rsid w:val="00994F98"/>
    <w:rsid w:val="00996751"/>
    <w:rsid w:val="00997DEF"/>
    <w:rsid w:val="009A1B17"/>
    <w:rsid w:val="009A73E4"/>
    <w:rsid w:val="009A7DBC"/>
    <w:rsid w:val="009A7FCA"/>
    <w:rsid w:val="009B07C2"/>
    <w:rsid w:val="009B45F2"/>
    <w:rsid w:val="009B5F5F"/>
    <w:rsid w:val="009B7C67"/>
    <w:rsid w:val="009C0655"/>
    <w:rsid w:val="009C28D4"/>
    <w:rsid w:val="009C591A"/>
    <w:rsid w:val="009C5F27"/>
    <w:rsid w:val="009C60C0"/>
    <w:rsid w:val="009D0434"/>
    <w:rsid w:val="009D0E1B"/>
    <w:rsid w:val="009D53DB"/>
    <w:rsid w:val="009D6AE1"/>
    <w:rsid w:val="009E5A06"/>
    <w:rsid w:val="009E5E68"/>
    <w:rsid w:val="009E71D7"/>
    <w:rsid w:val="009F1786"/>
    <w:rsid w:val="00A04535"/>
    <w:rsid w:val="00A04C2F"/>
    <w:rsid w:val="00A0690C"/>
    <w:rsid w:val="00A06AE8"/>
    <w:rsid w:val="00A12688"/>
    <w:rsid w:val="00A127B2"/>
    <w:rsid w:val="00A12BF3"/>
    <w:rsid w:val="00A14BBE"/>
    <w:rsid w:val="00A15E45"/>
    <w:rsid w:val="00A24E99"/>
    <w:rsid w:val="00A259AB"/>
    <w:rsid w:val="00A25E3A"/>
    <w:rsid w:val="00A2736C"/>
    <w:rsid w:val="00A300E9"/>
    <w:rsid w:val="00A32A59"/>
    <w:rsid w:val="00A33C17"/>
    <w:rsid w:val="00A33FE6"/>
    <w:rsid w:val="00A3416B"/>
    <w:rsid w:val="00A40234"/>
    <w:rsid w:val="00A410B8"/>
    <w:rsid w:val="00A42289"/>
    <w:rsid w:val="00A4397D"/>
    <w:rsid w:val="00A43B44"/>
    <w:rsid w:val="00A43C14"/>
    <w:rsid w:val="00A4575A"/>
    <w:rsid w:val="00A47FC6"/>
    <w:rsid w:val="00A5149F"/>
    <w:rsid w:val="00A51C1C"/>
    <w:rsid w:val="00A52335"/>
    <w:rsid w:val="00A53EA2"/>
    <w:rsid w:val="00A56DF6"/>
    <w:rsid w:val="00A63B1B"/>
    <w:rsid w:val="00A650CA"/>
    <w:rsid w:val="00A6621B"/>
    <w:rsid w:val="00A664B6"/>
    <w:rsid w:val="00A70D06"/>
    <w:rsid w:val="00A71048"/>
    <w:rsid w:val="00A714E2"/>
    <w:rsid w:val="00A71AD6"/>
    <w:rsid w:val="00A71FE6"/>
    <w:rsid w:val="00A72A8B"/>
    <w:rsid w:val="00A76DEF"/>
    <w:rsid w:val="00A77DE1"/>
    <w:rsid w:val="00A77F39"/>
    <w:rsid w:val="00A77FD6"/>
    <w:rsid w:val="00A8294F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376"/>
    <w:rsid w:val="00AA3771"/>
    <w:rsid w:val="00AA3EC3"/>
    <w:rsid w:val="00AA4633"/>
    <w:rsid w:val="00AA7258"/>
    <w:rsid w:val="00AB029F"/>
    <w:rsid w:val="00AB18CD"/>
    <w:rsid w:val="00AB2B4E"/>
    <w:rsid w:val="00AB3936"/>
    <w:rsid w:val="00AB39DC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3EF3"/>
    <w:rsid w:val="00AF11D8"/>
    <w:rsid w:val="00AF283B"/>
    <w:rsid w:val="00AF4E37"/>
    <w:rsid w:val="00AF5784"/>
    <w:rsid w:val="00AF7427"/>
    <w:rsid w:val="00AF7728"/>
    <w:rsid w:val="00B02E5A"/>
    <w:rsid w:val="00B04B7F"/>
    <w:rsid w:val="00B0743B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1F6"/>
    <w:rsid w:val="00B16D98"/>
    <w:rsid w:val="00B179EE"/>
    <w:rsid w:val="00B17F7D"/>
    <w:rsid w:val="00B2216E"/>
    <w:rsid w:val="00B227BC"/>
    <w:rsid w:val="00B2354B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2EF2"/>
    <w:rsid w:val="00B6374E"/>
    <w:rsid w:val="00B63E64"/>
    <w:rsid w:val="00B67293"/>
    <w:rsid w:val="00B70E69"/>
    <w:rsid w:val="00B71812"/>
    <w:rsid w:val="00B73EF8"/>
    <w:rsid w:val="00B740CE"/>
    <w:rsid w:val="00B74991"/>
    <w:rsid w:val="00B76CA7"/>
    <w:rsid w:val="00B8197E"/>
    <w:rsid w:val="00B82E6F"/>
    <w:rsid w:val="00B83568"/>
    <w:rsid w:val="00B84DE0"/>
    <w:rsid w:val="00B86E55"/>
    <w:rsid w:val="00B946F4"/>
    <w:rsid w:val="00B97824"/>
    <w:rsid w:val="00BA0C6D"/>
    <w:rsid w:val="00BA18F3"/>
    <w:rsid w:val="00BA333F"/>
    <w:rsid w:val="00BA3720"/>
    <w:rsid w:val="00BA380E"/>
    <w:rsid w:val="00BA52BF"/>
    <w:rsid w:val="00BA5DE4"/>
    <w:rsid w:val="00BB1663"/>
    <w:rsid w:val="00BB2E4A"/>
    <w:rsid w:val="00BB7494"/>
    <w:rsid w:val="00BC073F"/>
    <w:rsid w:val="00BC4904"/>
    <w:rsid w:val="00BC681F"/>
    <w:rsid w:val="00BC6888"/>
    <w:rsid w:val="00BC6B75"/>
    <w:rsid w:val="00BC6F35"/>
    <w:rsid w:val="00BD2DCC"/>
    <w:rsid w:val="00BD7A52"/>
    <w:rsid w:val="00BE20C1"/>
    <w:rsid w:val="00BF1A13"/>
    <w:rsid w:val="00BF2483"/>
    <w:rsid w:val="00BF311D"/>
    <w:rsid w:val="00BF3ADC"/>
    <w:rsid w:val="00BF5440"/>
    <w:rsid w:val="00C00D5B"/>
    <w:rsid w:val="00C01643"/>
    <w:rsid w:val="00C02377"/>
    <w:rsid w:val="00C02775"/>
    <w:rsid w:val="00C03AE7"/>
    <w:rsid w:val="00C05EE0"/>
    <w:rsid w:val="00C071D0"/>
    <w:rsid w:val="00C1046D"/>
    <w:rsid w:val="00C10487"/>
    <w:rsid w:val="00C113C0"/>
    <w:rsid w:val="00C12FDA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3A37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1903"/>
    <w:rsid w:val="00C72B0B"/>
    <w:rsid w:val="00C75C67"/>
    <w:rsid w:val="00C75DD0"/>
    <w:rsid w:val="00C826BB"/>
    <w:rsid w:val="00C83584"/>
    <w:rsid w:val="00C85DF3"/>
    <w:rsid w:val="00C86FFC"/>
    <w:rsid w:val="00C90EC7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319E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CF5AC4"/>
    <w:rsid w:val="00D0094D"/>
    <w:rsid w:val="00D009CC"/>
    <w:rsid w:val="00D0245F"/>
    <w:rsid w:val="00D03F32"/>
    <w:rsid w:val="00D04A1B"/>
    <w:rsid w:val="00D04DAD"/>
    <w:rsid w:val="00D05495"/>
    <w:rsid w:val="00D11E95"/>
    <w:rsid w:val="00D14F2A"/>
    <w:rsid w:val="00D17749"/>
    <w:rsid w:val="00D23C2F"/>
    <w:rsid w:val="00D26C6E"/>
    <w:rsid w:val="00D27C91"/>
    <w:rsid w:val="00D27F78"/>
    <w:rsid w:val="00D30292"/>
    <w:rsid w:val="00D309BA"/>
    <w:rsid w:val="00D35175"/>
    <w:rsid w:val="00D37F29"/>
    <w:rsid w:val="00D40AE4"/>
    <w:rsid w:val="00D42915"/>
    <w:rsid w:val="00D42989"/>
    <w:rsid w:val="00D47339"/>
    <w:rsid w:val="00D51303"/>
    <w:rsid w:val="00D526CC"/>
    <w:rsid w:val="00D540F7"/>
    <w:rsid w:val="00D54F98"/>
    <w:rsid w:val="00D573C9"/>
    <w:rsid w:val="00D64489"/>
    <w:rsid w:val="00D64E88"/>
    <w:rsid w:val="00D7000E"/>
    <w:rsid w:val="00D72553"/>
    <w:rsid w:val="00D743B0"/>
    <w:rsid w:val="00D750E6"/>
    <w:rsid w:val="00D8141C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491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3068"/>
    <w:rsid w:val="00DC45DB"/>
    <w:rsid w:val="00DC472D"/>
    <w:rsid w:val="00DC5649"/>
    <w:rsid w:val="00DD0998"/>
    <w:rsid w:val="00DD0D34"/>
    <w:rsid w:val="00DD245D"/>
    <w:rsid w:val="00DD2661"/>
    <w:rsid w:val="00DD268C"/>
    <w:rsid w:val="00DD33AF"/>
    <w:rsid w:val="00DE1677"/>
    <w:rsid w:val="00DE30BC"/>
    <w:rsid w:val="00DE4572"/>
    <w:rsid w:val="00DE4DF0"/>
    <w:rsid w:val="00DE559A"/>
    <w:rsid w:val="00DE74C4"/>
    <w:rsid w:val="00DF08A7"/>
    <w:rsid w:val="00DF176B"/>
    <w:rsid w:val="00DF3B08"/>
    <w:rsid w:val="00DF3F38"/>
    <w:rsid w:val="00E00725"/>
    <w:rsid w:val="00E01674"/>
    <w:rsid w:val="00E04068"/>
    <w:rsid w:val="00E0622F"/>
    <w:rsid w:val="00E12A39"/>
    <w:rsid w:val="00E13930"/>
    <w:rsid w:val="00E15121"/>
    <w:rsid w:val="00E15C10"/>
    <w:rsid w:val="00E16B52"/>
    <w:rsid w:val="00E240A1"/>
    <w:rsid w:val="00E26472"/>
    <w:rsid w:val="00E27DC4"/>
    <w:rsid w:val="00E31FD8"/>
    <w:rsid w:val="00E33798"/>
    <w:rsid w:val="00E3631E"/>
    <w:rsid w:val="00E363AC"/>
    <w:rsid w:val="00E36A11"/>
    <w:rsid w:val="00E37C83"/>
    <w:rsid w:val="00E40EB6"/>
    <w:rsid w:val="00E4190A"/>
    <w:rsid w:val="00E428A3"/>
    <w:rsid w:val="00E42B82"/>
    <w:rsid w:val="00E42E94"/>
    <w:rsid w:val="00E50907"/>
    <w:rsid w:val="00E54694"/>
    <w:rsid w:val="00E5592F"/>
    <w:rsid w:val="00E579E7"/>
    <w:rsid w:val="00E61378"/>
    <w:rsid w:val="00E64414"/>
    <w:rsid w:val="00E72D4F"/>
    <w:rsid w:val="00E72FA7"/>
    <w:rsid w:val="00E83979"/>
    <w:rsid w:val="00E87224"/>
    <w:rsid w:val="00E87DE3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414"/>
    <w:rsid w:val="00EB089E"/>
    <w:rsid w:val="00EB5E55"/>
    <w:rsid w:val="00EB6B91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E7C52"/>
    <w:rsid w:val="00EF0662"/>
    <w:rsid w:val="00EF11B7"/>
    <w:rsid w:val="00EF1C74"/>
    <w:rsid w:val="00EF21CF"/>
    <w:rsid w:val="00EF2876"/>
    <w:rsid w:val="00EF7342"/>
    <w:rsid w:val="00F00A16"/>
    <w:rsid w:val="00F0322F"/>
    <w:rsid w:val="00F0333A"/>
    <w:rsid w:val="00F07440"/>
    <w:rsid w:val="00F074BE"/>
    <w:rsid w:val="00F074E3"/>
    <w:rsid w:val="00F07E76"/>
    <w:rsid w:val="00F11B68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2C7"/>
    <w:rsid w:val="00F420A0"/>
    <w:rsid w:val="00F43E15"/>
    <w:rsid w:val="00F46C4E"/>
    <w:rsid w:val="00F507D7"/>
    <w:rsid w:val="00F5213E"/>
    <w:rsid w:val="00F52FA3"/>
    <w:rsid w:val="00F530E4"/>
    <w:rsid w:val="00F57467"/>
    <w:rsid w:val="00F6203F"/>
    <w:rsid w:val="00F66819"/>
    <w:rsid w:val="00F704C6"/>
    <w:rsid w:val="00F7238B"/>
    <w:rsid w:val="00F75FF1"/>
    <w:rsid w:val="00F76A45"/>
    <w:rsid w:val="00F802E1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6627"/>
    <w:rsid w:val="00F9755D"/>
    <w:rsid w:val="00FA0463"/>
    <w:rsid w:val="00FA1DD2"/>
    <w:rsid w:val="00FA43E4"/>
    <w:rsid w:val="00FA786E"/>
    <w:rsid w:val="00FB156B"/>
    <w:rsid w:val="00FB1660"/>
    <w:rsid w:val="00FB6359"/>
    <w:rsid w:val="00FB6C82"/>
    <w:rsid w:val="00FB7DC9"/>
    <w:rsid w:val="00FC0A10"/>
    <w:rsid w:val="00FC21AC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671D"/>
    <w:rsid w:val="00FF3820"/>
    <w:rsid w:val="00FF3F95"/>
    <w:rsid w:val="00FF5E57"/>
    <w:rsid w:val="00FF62B2"/>
    <w:rsid w:val="00FF6B8F"/>
    <w:rsid w:val="00FF7028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1304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04535"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Footer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535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E1304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2E1304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535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2E1304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535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2E1304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A04535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2E1304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535"/>
    <w:rPr>
      <w:rFonts w:cs="Times New Roman"/>
      <w:sz w:val="16"/>
      <w:szCs w:val="16"/>
      <w:rtl w:val="0"/>
      <w:cs w:val="0"/>
    </w:rPr>
  </w:style>
  <w:style w:type="paragraph" w:customStyle="1" w:styleId="Action">
    <w:name w:val="Action"/>
    <w:basedOn w:val="BodyText"/>
    <w:uiPriority w:val="99"/>
    <w:rsid w:val="002E1304"/>
    <w:pPr>
      <w:numPr>
        <w:numId w:val="1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2E1304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2E130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535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E1304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4161A1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C7190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535"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8A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861E3"/>
    <w:pPr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861E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B627-61CF-46EE-92D1-9FC8486C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1467</Words>
  <Characters>8366</Characters>
  <Application>Microsoft Office Word</Application>
  <DocSecurity>0</DocSecurity>
  <Lines>0</Lines>
  <Paragraphs>0</Paragraphs>
  <ScaleCrop>false</ScaleCrop>
  <Company>UVSR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grosjarova</dc:creator>
  <cp:lastModifiedBy>Gašparíková, Jarmila</cp:lastModifiedBy>
  <cp:revision>2</cp:revision>
  <cp:lastPrinted>2011-12-07T16:44:00Z</cp:lastPrinted>
  <dcterms:created xsi:type="dcterms:W3CDTF">2011-12-09T10:24:00Z</dcterms:created>
  <dcterms:modified xsi:type="dcterms:W3CDTF">2011-12-09T10:24:00Z</dcterms:modified>
</cp:coreProperties>
</file>