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185BC9" w:rsidRPr="007E60E2" w:rsidP="00185BC9">
      <w:pPr>
        <w:bidi w:val="0"/>
        <w:rPr>
          <w:rFonts w:ascii="Times New Roman" w:hAnsi="Times New Roman"/>
          <w:color w:val="000000" w:themeColor="tx1" w:themeShade="FF"/>
          <w:lang w:val="sk-SK" w:eastAsia="sk-SK"/>
        </w:rPr>
      </w:pPr>
    </w:p>
    <w:p w:rsidR="00185BC9" w:rsidRPr="007E60E2" w:rsidP="00185BC9">
      <w:pPr>
        <w:widowControl w:val="0"/>
        <w:tabs>
          <w:tab w:val="left" w:pos="708"/>
        </w:tabs>
        <w:bidi w:val="0"/>
        <w:jc w:val="center"/>
        <w:rPr>
          <w:rFonts w:ascii="Times New Roman" w:hAnsi="Times New Roman"/>
          <w:b/>
          <w:color w:val="000000" w:themeColor="tx1" w:themeShade="FF"/>
          <w:lang w:val="sk-SK" w:eastAsia="sk-SK"/>
        </w:rPr>
      </w:pPr>
      <w:r w:rsidRPr="007E60E2">
        <w:rPr>
          <w:rFonts w:ascii="Times New Roman" w:hAnsi="Times New Roman"/>
          <w:b/>
          <w:color w:val="000000" w:themeColor="tx1" w:themeShade="FF"/>
          <w:lang w:val="sk-SK" w:eastAsia="sk-SK"/>
        </w:rPr>
        <w:t>Dôvodová správa</w:t>
      </w:r>
    </w:p>
    <w:p w:rsidR="00185BC9" w:rsidRPr="007E60E2" w:rsidP="00185BC9">
      <w:pPr>
        <w:widowControl w:val="0"/>
        <w:tabs>
          <w:tab w:val="left" w:pos="708"/>
        </w:tabs>
        <w:bidi w:val="0"/>
        <w:rPr>
          <w:rFonts w:ascii="Times New Roman" w:hAnsi="Times New Roman"/>
          <w:b/>
          <w:color w:val="000000" w:themeColor="tx1" w:themeShade="FF"/>
          <w:lang w:val="sk-SK" w:eastAsia="sk-SK"/>
        </w:rPr>
      </w:pPr>
    </w:p>
    <w:p w:rsidR="00185BC9" w:rsidRPr="007E60E2" w:rsidP="00185BC9">
      <w:pPr>
        <w:widowControl w:val="0"/>
        <w:tabs>
          <w:tab w:val="left" w:pos="708"/>
        </w:tabs>
        <w:bidi w:val="0"/>
        <w:rPr>
          <w:rFonts w:ascii="Times New Roman" w:hAnsi="Times New Roman"/>
          <w:b/>
          <w:color w:val="000000" w:themeColor="tx1" w:themeShade="FF"/>
          <w:lang w:val="sk-SK" w:eastAsia="sk-SK"/>
        </w:rPr>
      </w:pPr>
    </w:p>
    <w:p w:rsidR="00185BC9" w:rsidRPr="007E60E2" w:rsidP="00185BC9">
      <w:pPr>
        <w:widowControl w:val="0"/>
        <w:tabs>
          <w:tab w:val="left" w:pos="708"/>
        </w:tabs>
        <w:bidi w:val="0"/>
        <w:rPr>
          <w:rFonts w:ascii="Times New Roman" w:hAnsi="Times New Roman"/>
          <w:b/>
          <w:color w:val="000000" w:themeColor="tx1" w:themeShade="FF"/>
          <w:lang w:val="sk-SK" w:eastAsia="sk-SK"/>
        </w:rPr>
      </w:pPr>
    </w:p>
    <w:p w:rsidR="00185BC9" w:rsidRPr="007E60E2" w:rsidP="00185BC9">
      <w:pPr>
        <w:widowControl w:val="0"/>
        <w:tabs>
          <w:tab w:val="left" w:pos="708"/>
        </w:tabs>
        <w:bidi w:val="0"/>
        <w:rPr>
          <w:rFonts w:ascii="Times New Roman" w:hAnsi="Times New Roman"/>
          <w:b/>
          <w:color w:val="000000" w:themeColor="tx1" w:themeShade="FF"/>
          <w:lang w:val="sk-SK" w:eastAsia="sk-SK"/>
        </w:rPr>
      </w:pPr>
      <w:r w:rsidRPr="007E60E2">
        <w:rPr>
          <w:rFonts w:ascii="Times New Roman" w:hAnsi="Times New Roman"/>
          <w:b/>
          <w:color w:val="000000" w:themeColor="tx1" w:themeShade="FF"/>
          <w:lang w:val="sk-SK" w:eastAsia="sk-SK"/>
        </w:rPr>
        <w:t xml:space="preserve">A. Všeobecná časť </w:t>
      </w:r>
    </w:p>
    <w:p w:rsidR="00185BC9" w:rsidRPr="007E60E2" w:rsidP="00185BC9">
      <w:pPr>
        <w:widowControl w:val="0"/>
        <w:bidi w:val="0"/>
        <w:ind w:right="57"/>
        <w:jc w:val="both"/>
        <w:rPr>
          <w:rFonts w:ascii="Times New Roman" w:hAnsi="Times New Roman"/>
          <w:color w:val="000000" w:themeColor="tx1" w:themeShade="FF"/>
          <w:lang w:val="sk-SK" w:eastAsia="sk-SK"/>
        </w:rPr>
      </w:pPr>
    </w:p>
    <w:p w:rsidR="00185BC9" w:rsidRPr="007E60E2" w:rsidP="00185BC9">
      <w:pPr>
        <w:widowControl w:val="0"/>
        <w:bidi w:val="0"/>
        <w:ind w:right="57"/>
        <w:jc w:val="both"/>
        <w:rPr>
          <w:rFonts w:ascii="Times New Roman" w:hAnsi="Times New Roman"/>
          <w:color w:val="000000" w:themeColor="tx1" w:themeShade="FF"/>
          <w:lang w:val="sk-SK" w:eastAsia="sk-SK"/>
        </w:rPr>
      </w:pPr>
      <w:r w:rsidRPr="007E60E2">
        <w:rPr>
          <w:rFonts w:ascii="Times New Roman" w:hAnsi="Times New Roman"/>
          <w:color w:val="000000" w:themeColor="tx1" w:themeShade="FF"/>
          <w:lang w:val="sk-SK" w:eastAsia="sk-SK"/>
        </w:rPr>
        <w:t>1. Predložený Návrh na uzavretie Zmluvy medzi Slovenskou republikou a</w:t>
      </w:r>
      <w:r w:rsidRPr="007E60E2" w:rsidR="00707D84">
        <w:rPr>
          <w:rFonts w:ascii="Times New Roman" w:hAnsi="Times New Roman"/>
          <w:color w:val="000000" w:themeColor="tx1" w:themeShade="FF"/>
          <w:lang w:val="sk-SK" w:eastAsia="sk-SK"/>
        </w:rPr>
        <w:t xml:space="preserve"> Gruzínskom o zamedzení dvojitého zdanenia a predchádzaní daňovému úniku v odbore daní z príjmov a z majetku </w:t>
      </w:r>
      <w:r w:rsidRPr="007E60E2">
        <w:rPr>
          <w:rFonts w:ascii="Times New Roman" w:hAnsi="Times New Roman"/>
          <w:color w:val="000000" w:themeColor="tx1" w:themeShade="FF"/>
          <w:lang w:val="sk-SK" w:eastAsia="sk-SK"/>
        </w:rPr>
        <w:t>zodpovedá vnútroštátnym právnym podmienkam, taktiež tradičným požiadavkám bilaterálnych daňových vzťahov upravujúcich rozdelenie práva na daň z jednotlivých príjmov medzi štát zdroja príjmu a štát rezidencie skutočného vlastníka príjmu</w:t>
      </w:r>
      <w:r w:rsidRPr="007E60E2" w:rsidR="00707D84">
        <w:rPr>
          <w:rFonts w:ascii="Times New Roman" w:hAnsi="Times New Roman"/>
          <w:color w:val="000000" w:themeColor="tx1" w:themeShade="FF"/>
          <w:lang w:val="sk-SK" w:eastAsia="sk-SK"/>
        </w:rPr>
        <w:t>.</w:t>
      </w:r>
      <w:r w:rsidRPr="007E60E2" w:rsidR="00E62500">
        <w:rPr>
          <w:rFonts w:ascii="Times New Roman" w:hAnsi="Times New Roman"/>
          <w:color w:val="000000" w:themeColor="tx1" w:themeShade="FF"/>
          <w:lang w:val="sk-SK" w:eastAsia="sk-SK"/>
        </w:rPr>
        <w:t xml:space="preserve"> </w:t>
      </w:r>
    </w:p>
    <w:p w:rsidR="00185BC9" w:rsidRPr="007E60E2" w:rsidP="00185BC9">
      <w:pPr>
        <w:widowControl w:val="0"/>
        <w:bidi w:val="0"/>
        <w:ind w:right="57"/>
        <w:jc w:val="both"/>
        <w:rPr>
          <w:rFonts w:ascii="Times New Roman" w:hAnsi="Times New Roman"/>
          <w:color w:val="000000" w:themeColor="tx1" w:themeShade="FF"/>
          <w:lang w:val="sk-SK" w:eastAsia="sk-SK"/>
        </w:rPr>
      </w:pPr>
    </w:p>
    <w:p w:rsidR="00185BC9" w:rsidRPr="007E60E2" w:rsidP="00185BC9">
      <w:pPr>
        <w:widowControl w:val="0"/>
        <w:bidi w:val="0"/>
        <w:ind w:right="57"/>
        <w:jc w:val="both"/>
        <w:rPr>
          <w:rFonts w:ascii="Times New Roman" w:hAnsi="Times New Roman"/>
          <w:color w:val="000000" w:themeColor="tx1" w:themeShade="FF"/>
          <w:lang w:val="sk-SK" w:eastAsia="sk-SK"/>
        </w:rPr>
      </w:pPr>
      <w:r w:rsidRPr="007E60E2">
        <w:rPr>
          <w:rFonts w:ascii="Times New Roman" w:hAnsi="Times New Roman"/>
          <w:color w:val="000000" w:themeColor="tx1" w:themeShade="FF"/>
          <w:lang w:val="sk-SK" w:eastAsia="sk-SK"/>
        </w:rPr>
        <w:t xml:space="preserve">2. Počas rokovania boli zohľadnené špecifiká vyplývajúce z vnútroštátnych právnych predpisov oboch štátov. </w:t>
      </w:r>
    </w:p>
    <w:p w:rsidR="00185BC9" w:rsidRPr="007E60E2" w:rsidP="00185BC9">
      <w:pPr>
        <w:widowControl w:val="0"/>
        <w:tabs>
          <w:tab w:val="left" w:pos="708"/>
        </w:tabs>
        <w:bidi w:val="0"/>
        <w:jc w:val="both"/>
        <w:rPr>
          <w:rFonts w:ascii="Times New Roman" w:hAnsi="Times New Roman"/>
          <w:color w:val="000000" w:themeColor="tx1" w:themeShade="FF"/>
          <w:lang w:val="sk-SK" w:eastAsia="sk-SK"/>
        </w:rPr>
      </w:pPr>
    </w:p>
    <w:p w:rsidR="00185BC9" w:rsidRPr="007E60E2" w:rsidP="00185BC9">
      <w:pPr>
        <w:widowControl w:val="0"/>
        <w:tabs>
          <w:tab w:val="left" w:pos="708"/>
        </w:tabs>
        <w:bidi w:val="0"/>
        <w:jc w:val="both"/>
        <w:rPr>
          <w:rFonts w:ascii="Times New Roman" w:hAnsi="Times New Roman"/>
          <w:color w:val="000000" w:themeColor="tx1" w:themeShade="FF"/>
          <w:lang w:val="sk-SK" w:eastAsia="sk-SK"/>
        </w:rPr>
      </w:pPr>
      <w:r w:rsidRPr="007E60E2">
        <w:rPr>
          <w:rFonts w:ascii="Times New Roman" w:hAnsi="Times New Roman"/>
          <w:color w:val="000000" w:themeColor="tx1" w:themeShade="FF"/>
          <w:lang w:val="sk-SK" w:eastAsia="sk-SK"/>
        </w:rPr>
        <w:t>3. Spoločným východiskom pri rokovaní bola Modelov</w:t>
      </w:r>
      <w:r w:rsidRPr="007E60E2" w:rsidR="00707D84">
        <w:rPr>
          <w:rFonts w:ascii="Times New Roman" w:hAnsi="Times New Roman"/>
          <w:color w:val="000000" w:themeColor="tx1" w:themeShade="FF"/>
          <w:lang w:val="sk-SK" w:eastAsia="sk-SK"/>
        </w:rPr>
        <w:t>á daňová zmluva OECD v aktualizovanom</w:t>
      </w:r>
      <w:r w:rsidRPr="007E60E2">
        <w:rPr>
          <w:rFonts w:ascii="Times New Roman" w:hAnsi="Times New Roman"/>
          <w:color w:val="000000" w:themeColor="tx1" w:themeShade="FF"/>
          <w:lang w:val="sk-SK" w:eastAsia="sk-SK"/>
        </w:rPr>
        <w:t xml:space="preserve"> znení z r.</w:t>
      </w:r>
      <w:r w:rsidRPr="007E60E2" w:rsidR="00E62500">
        <w:rPr>
          <w:rFonts w:ascii="Times New Roman" w:hAnsi="Times New Roman"/>
          <w:color w:val="000000" w:themeColor="tx1" w:themeShade="FF"/>
          <w:lang w:val="sk-SK" w:eastAsia="sk-SK"/>
        </w:rPr>
        <w:t> </w:t>
      </w:r>
      <w:r w:rsidRPr="007E60E2">
        <w:rPr>
          <w:rFonts w:ascii="Times New Roman" w:hAnsi="Times New Roman"/>
          <w:color w:val="000000" w:themeColor="tx1" w:themeShade="FF"/>
          <w:lang w:val="sk-SK" w:eastAsia="sk-SK"/>
        </w:rPr>
        <w:t>20</w:t>
      </w:r>
      <w:r w:rsidRPr="007E60E2" w:rsidR="00707D84">
        <w:rPr>
          <w:rFonts w:ascii="Times New Roman" w:hAnsi="Times New Roman"/>
          <w:color w:val="000000" w:themeColor="tx1" w:themeShade="FF"/>
          <w:lang w:val="sk-SK" w:eastAsia="sk-SK"/>
        </w:rPr>
        <w:t>10</w:t>
      </w:r>
      <w:r w:rsidRPr="007E60E2">
        <w:rPr>
          <w:rFonts w:ascii="Times New Roman" w:hAnsi="Times New Roman"/>
          <w:color w:val="000000" w:themeColor="tx1" w:themeShade="FF"/>
          <w:lang w:val="sk-SK" w:eastAsia="sk-SK"/>
        </w:rPr>
        <w:t xml:space="preserve">, čomu zodpovedajú ustanovenia </w:t>
      </w:r>
      <w:r w:rsidRPr="007E60E2" w:rsidR="00707D84">
        <w:rPr>
          <w:rFonts w:ascii="Times New Roman" w:hAnsi="Times New Roman"/>
          <w:color w:val="000000" w:themeColor="tx1" w:themeShade="FF"/>
          <w:lang w:val="sk-SK" w:eastAsia="sk-SK"/>
        </w:rPr>
        <w:t>čl</w:t>
      </w:r>
      <w:r w:rsidRPr="007E60E2" w:rsidR="00592146">
        <w:rPr>
          <w:rFonts w:ascii="Times New Roman" w:hAnsi="Times New Roman"/>
          <w:color w:val="000000" w:themeColor="tx1" w:themeShade="FF"/>
          <w:lang w:val="sk-SK" w:eastAsia="sk-SK"/>
        </w:rPr>
        <w:t xml:space="preserve">. 25 </w:t>
      </w:r>
      <w:r w:rsidRPr="007E60E2" w:rsidR="00707D84">
        <w:rPr>
          <w:rFonts w:ascii="Times New Roman" w:hAnsi="Times New Roman"/>
          <w:color w:val="000000" w:themeColor="tx1" w:themeShade="FF"/>
          <w:lang w:val="sk-SK" w:eastAsia="sk-SK"/>
        </w:rPr>
        <w:t>o</w:t>
      </w:r>
      <w:r w:rsidRPr="007E60E2" w:rsidR="00592146">
        <w:rPr>
          <w:rFonts w:ascii="Times New Roman" w:hAnsi="Times New Roman"/>
          <w:color w:val="000000" w:themeColor="tx1" w:themeShade="FF"/>
          <w:lang w:val="sk-SK" w:eastAsia="sk-SK"/>
        </w:rPr>
        <w:t xml:space="preserve"> medzinárodnej </w:t>
      </w:r>
      <w:r w:rsidRPr="007E60E2" w:rsidR="00707D84">
        <w:rPr>
          <w:rFonts w:ascii="Times New Roman" w:hAnsi="Times New Roman"/>
          <w:color w:val="000000" w:themeColor="tx1" w:themeShade="FF"/>
          <w:lang w:val="sk-SK" w:eastAsia="sk-SK"/>
        </w:rPr>
        <w:t xml:space="preserve">výmene </w:t>
      </w:r>
      <w:r w:rsidRPr="007E60E2" w:rsidR="00592146">
        <w:rPr>
          <w:rFonts w:ascii="Times New Roman" w:hAnsi="Times New Roman"/>
          <w:color w:val="000000" w:themeColor="tx1" w:themeShade="FF"/>
          <w:lang w:val="sk-SK" w:eastAsia="sk-SK"/>
        </w:rPr>
        <w:t xml:space="preserve">daňových </w:t>
      </w:r>
      <w:r w:rsidRPr="007E60E2" w:rsidR="00707D84">
        <w:rPr>
          <w:rFonts w:ascii="Times New Roman" w:hAnsi="Times New Roman"/>
          <w:color w:val="000000" w:themeColor="tx1" w:themeShade="FF"/>
          <w:lang w:val="sk-SK" w:eastAsia="sk-SK"/>
        </w:rPr>
        <w:t>informácií</w:t>
      </w:r>
      <w:r w:rsidRPr="007E60E2">
        <w:rPr>
          <w:rFonts w:ascii="Times New Roman" w:hAnsi="Times New Roman"/>
          <w:color w:val="000000" w:themeColor="tx1" w:themeShade="FF"/>
          <w:lang w:val="sk-SK" w:eastAsia="sk-SK"/>
        </w:rPr>
        <w:t xml:space="preserve">.  </w:t>
      </w:r>
    </w:p>
    <w:p w:rsidR="00185BC9" w:rsidRPr="007E60E2" w:rsidP="00185BC9">
      <w:pPr>
        <w:widowControl w:val="0"/>
        <w:tabs>
          <w:tab w:val="left" w:pos="708"/>
        </w:tabs>
        <w:bidi w:val="0"/>
        <w:rPr>
          <w:rFonts w:ascii="Times New Roman" w:hAnsi="Times New Roman"/>
          <w:b/>
          <w:color w:val="000000" w:themeColor="tx1" w:themeShade="FF"/>
          <w:lang w:val="sk-SK" w:eastAsia="sk-SK"/>
        </w:rPr>
      </w:pPr>
    </w:p>
    <w:p w:rsidR="00185BC9" w:rsidRPr="007E60E2" w:rsidP="00185BC9">
      <w:pPr>
        <w:widowControl w:val="0"/>
        <w:tabs>
          <w:tab w:val="left" w:pos="708"/>
        </w:tabs>
        <w:bidi w:val="0"/>
        <w:rPr>
          <w:rFonts w:ascii="Times New Roman" w:hAnsi="Times New Roman"/>
          <w:b/>
          <w:color w:val="000000" w:themeColor="tx1" w:themeShade="FF"/>
          <w:lang w:val="sk-SK" w:eastAsia="sk-SK"/>
        </w:rPr>
      </w:pPr>
    </w:p>
    <w:p w:rsidR="00185BC9" w:rsidRPr="007E60E2" w:rsidP="00185BC9">
      <w:pPr>
        <w:widowControl w:val="0"/>
        <w:tabs>
          <w:tab w:val="left" w:pos="708"/>
        </w:tabs>
        <w:bidi w:val="0"/>
        <w:rPr>
          <w:rFonts w:ascii="Times New Roman" w:hAnsi="Times New Roman"/>
          <w:color w:val="000000" w:themeColor="tx1" w:themeShade="FF"/>
          <w:lang w:val="sk-SK" w:eastAsia="sk-SK"/>
        </w:rPr>
      </w:pPr>
    </w:p>
    <w:p w:rsidR="00185BC9" w:rsidRPr="007E60E2" w:rsidP="00185BC9">
      <w:pPr>
        <w:widowControl w:val="0"/>
        <w:tabs>
          <w:tab w:val="left" w:pos="708"/>
        </w:tabs>
        <w:bidi w:val="0"/>
        <w:rPr>
          <w:rFonts w:ascii="Times New Roman" w:hAnsi="Times New Roman"/>
          <w:b/>
          <w:color w:val="000000" w:themeColor="tx1" w:themeShade="FF"/>
          <w:lang w:val="sk-SK" w:eastAsia="sk-SK"/>
        </w:rPr>
      </w:pPr>
      <w:r w:rsidRPr="007E60E2">
        <w:rPr>
          <w:rFonts w:ascii="Times New Roman" w:hAnsi="Times New Roman"/>
          <w:b/>
          <w:color w:val="000000" w:themeColor="tx1" w:themeShade="FF"/>
          <w:lang w:val="sk-SK" w:eastAsia="sk-SK"/>
        </w:rPr>
        <w:t xml:space="preserve">B. Osobitná časť </w:t>
      </w:r>
    </w:p>
    <w:p w:rsidR="00185BC9" w:rsidRPr="007E60E2" w:rsidP="00185BC9">
      <w:pPr>
        <w:widowControl w:val="0"/>
        <w:bidi w:val="0"/>
        <w:ind w:right="57"/>
        <w:jc w:val="both"/>
        <w:rPr>
          <w:rFonts w:ascii="Times New Roman" w:hAnsi="Times New Roman"/>
          <w:color w:val="000000" w:themeColor="tx1" w:themeShade="FF"/>
          <w:lang w:val="sk-SK" w:eastAsia="sk-SK"/>
        </w:rPr>
      </w:pPr>
    </w:p>
    <w:p w:rsidR="00185BC9" w:rsidRPr="007E60E2" w:rsidP="00185BC9">
      <w:pPr>
        <w:widowControl w:val="0"/>
        <w:bidi w:val="0"/>
        <w:ind w:right="57"/>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 </w:t>
      </w:r>
      <w:r w:rsidRPr="007E60E2">
        <w:rPr>
          <w:rFonts w:ascii="Times New Roman" w:hAnsi="Times New Roman"/>
          <w:color w:val="000000" w:themeColor="tx1" w:themeShade="FF"/>
          <w:lang w:val="sk-SK" w:eastAsia="sk-SK"/>
        </w:rPr>
        <w:t>Osobný a vecný rozsah zmluvy, ako aj všeobecné definície sú uvedené v</w:t>
      </w:r>
      <w:r w:rsidRPr="007E60E2" w:rsidR="000149EE">
        <w:rPr>
          <w:rFonts w:ascii="Times New Roman" w:hAnsi="Times New Roman"/>
          <w:color w:val="000000" w:themeColor="tx1" w:themeShade="FF"/>
          <w:lang w:val="sk-SK" w:eastAsia="sk-SK"/>
        </w:rPr>
        <w:t> </w:t>
      </w:r>
      <w:r w:rsidRPr="007E60E2">
        <w:rPr>
          <w:rFonts w:ascii="Times New Roman" w:hAnsi="Times New Roman"/>
          <w:color w:val="000000" w:themeColor="tx1" w:themeShade="FF"/>
          <w:lang w:val="sk-SK" w:eastAsia="sk-SK"/>
        </w:rPr>
        <w:t>čl</w:t>
      </w:r>
      <w:r w:rsidRPr="007E60E2" w:rsidR="000149EE">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 xml:space="preserve">1 </w:t>
      </w:r>
      <w:r w:rsidRPr="007E60E2" w:rsidR="000149EE">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5. </w:t>
      </w:r>
    </w:p>
    <w:p w:rsidR="00185BC9" w:rsidRPr="007E60E2" w:rsidP="00707D84">
      <w:pPr>
        <w:widowControl w:val="0"/>
        <w:bidi w:val="0"/>
        <w:ind w:right="57"/>
        <w:jc w:val="both"/>
        <w:rPr>
          <w:rFonts w:ascii="Times New Roman" w:hAnsi="Times New Roman"/>
          <w:color w:val="000000" w:themeColor="tx1" w:themeShade="FF"/>
          <w:lang w:val="sk-SK" w:eastAsia="sk-SK"/>
        </w:rPr>
      </w:pPr>
    </w:p>
    <w:p w:rsidR="00185BC9" w:rsidRPr="007E60E2" w:rsidP="00707D84">
      <w:pPr>
        <w:widowControl w:val="0"/>
        <w:bidi w:val="0"/>
        <w:ind w:right="57"/>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 </w:t>
      </w:r>
      <w:r w:rsidRPr="007E60E2">
        <w:rPr>
          <w:rFonts w:ascii="Times New Roman" w:hAnsi="Times New Roman"/>
          <w:color w:val="000000" w:themeColor="tx1" w:themeShade="FF"/>
          <w:lang w:val="sk-SK" w:eastAsia="sk-SK"/>
        </w:rPr>
        <w:t>V</w:t>
      </w:r>
      <w:r w:rsidRPr="007E60E2" w:rsidR="002E7FAC">
        <w:rPr>
          <w:rFonts w:ascii="Times New Roman" w:hAnsi="Times New Roman"/>
          <w:color w:val="000000" w:themeColor="tx1" w:themeShade="FF"/>
          <w:lang w:val="sk-SK" w:eastAsia="sk-SK"/>
        </w:rPr>
        <w:t> </w:t>
      </w:r>
      <w:r w:rsidRPr="007E60E2">
        <w:rPr>
          <w:rFonts w:ascii="Times New Roman" w:hAnsi="Times New Roman"/>
          <w:color w:val="000000" w:themeColor="tx1" w:themeShade="FF"/>
          <w:lang w:val="sk-SK" w:eastAsia="sk-SK"/>
        </w:rPr>
        <w:t>čl</w:t>
      </w:r>
      <w:r w:rsidRPr="007E60E2" w:rsidR="002E7FAC">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 xml:space="preserve">4 ods. 2 na účely určenia statusu fyzickej osoby, ktorá je rezidentom oboch zmluvných štátov, sa používa rozlišovacie kritérium „trvalo dostupné bývanie“ (v anglickom jazyku „permanent home available“). Trvalo dostupným bývaním sa rozumie obydlie bez ohľadu na jeho formu (byt, dom, izba atď.), ktoré fyzická osoba má vo vlastníctve, nájme alebo ho užíva na základe iného práva, v ktorom sa zdržiava s úmyslom nie len prechodného bývania a ktoré je jej kedykoľvek k dispozícii. Skôr používané pojmy „stály byt“ a „trvalé bydlisko“ spôsobovali terminologickú nejasnosť a nesprávny výklad tohto pojmu, keďže pojem „byt“ nezahŕňal všetky formy obydlia a pojem „trvalé bydlisko“ spôsobovalo ľahkú zameniteľnosť s odlišným inštitútom trvalého pobytu </w:t>
      </w:r>
      <w:r w:rsidRPr="007E60E2" w:rsidR="00120A84">
        <w:rPr>
          <w:rFonts w:ascii="Times New Roman" w:hAnsi="Times New Roman"/>
          <w:color w:val="000000" w:themeColor="tx1" w:themeShade="FF"/>
          <w:lang w:val="sk-SK" w:eastAsia="sk-SK"/>
        </w:rPr>
        <w:t xml:space="preserve">podľa </w:t>
      </w:r>
      <w:r w:rsidRPr="007E60E2">
        <w:rPr>
          <w:rFonts w:ascii="Times New Roman" w:hAnsi="Times New Roman"/>
          <w:color w:val="000000" w:themeColor="tx1" w:themeShade="FF"/>
          <w:lang w:val="sk-SK" w:eastAsia="sk-SK"/>
        </w:rPr>
        <w:t xml:space="preserve">zákona č. 253/1998 Z. z. o hlásení pobytu občanov Slovenskej republiky a registri obyvateľov Slovenskej republiky v znení neskorších predpisov. </w:t>
      </w:r>
    </w:p>
    <w:p w:rsidR="00185BC9" w:rsidRPr="007E60E2" w:rsidP="00707D84">
      <w:pPr>
        <w:widowControl w:val="0"/>
        <w:bidi w:val="0"/>
        <w:ind w:right="57"/>
        <w:jc w:val="both"/>
        <w:rPr>
          <w:rFonts w:ascii="Times New Roman" w:hAnsi="Times New Roman"/>
          <w:color w:val="000000" w:themeColor="tx1" w:themeShade="FF"/>
          <w:lang w:val="sk-SK" w:eastAsia="sk-SK"/>
        </w:rPr>
      </w:pPr>
    </w:p>
    <w:p w:rsidR="00185BC9" w:rsidRPr="007E60E2" w:rsidP="00707D84">
      <w:pPr>
        <w:widowControl w:val="0"/>
        <w:bidi w:val="0"/>
        <w:ind w:right="57"/>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3. </w:t>
      </w:r>
      <w:r w:rsidRPr="007E60E2" w:rsidR="00EE45C8">
        <w:rPr>
          <w:rFonts w:ascii="Times New Roman" w:hAnsi="Times New Roman"/>
          <w:color w:val="000000" w:themeColor="tx1" w:themeShade="FF"/>
          <w:lang w:val="sk-SK" w:eastAsia="sk-SK"/>
        </w:rPr>
        <w:t>P</w:t>
      </w:r>
      <w:r w:rsidRPr="007E60E2">
        <w:rPr>
          <w:rFonts w:ascii="Times New Roman" w:hAnsi="Times New Roman"/>
          <w:color w:val="000000" w:themeColor="tx1" w:themeShade="FF"/>
          <w:lang w:val="sk-SK" w:eastAsia="sk-SK"/>
        </w:rPr>
        <w:t xml:space="preserve">ojem „stála prevádzkareň“ </w:t>
      </w:r>
      <w:r w:rsidRPr="007E60E2" w:rsidR="00EE45C8">
        <w:rPr>
          <w:rFonts w:ascii="Times New Roman" w:hAnsi="Times New Roman"/>
          <w:color w:val="000000" w:themeColor="tx1" w:themeShade="FF"/>
          <w:lang w:val="sk-SK" w:eastAsia="sk-SK"/>
        </w:rPr>
        <w:t>podľa čl. 5 zahŕňa aj stavenisko, stavebný</w:t>
      </w:r>
      <w:r w:rsidRPr="007E60E2">
        <w:rPr>
          <w:rFonts w:ascii="Times New Roman" w:hAnsi="Times New Roman"/>
          <w:color w:val="000000" w:themeColor="tx1" w:themeShade="FF"/>
          <w:lang w:val="sk-SK" w:eastAsia="sk-SK"/>
        </w:rPr>
        <w:t xml:space="preserve">, montážny alebo inštalačný projekt len vtedy, ak </w:t>
      </w:r>
      <w:r w:rsidRPr="007E60E2" w:rsidR="00020E87">
        <w:rPr>
          <w:rFonts w:ascii="Times New Roman" w:hAnsi="Times New Roman"/>
          <w:color w:val="000000" w:themeColor="tx1" w:themeShade="FF"/>
          <w:lang w:val="sk-SK" w:eastAsia="sk-SK"/>
        </w:rPr>
        <w:t xml:space="preserve">sa na nich </w:t>
      </w:r>
      <w:r w:rsidRPr="007E60E2">
        <w:rPr>
          <w:rFonts w:ascii="Times New Roman" w:hAnsi="Times New Roman"/>
          <w:color w:val="000000" w:themeColor="tx1" w:themeShade="FF"/>
          <w:lang w:val="sk-SK" w:eastAsia="sk-SK"/>
        </w:rPr>
        <w:t xml:space="preserve">vykonávajú </w:t>
      </w:r>
      <w:r w:rsidRPr="007E60E2" w:rsidR="00020E87">
        <w:rPr>
          <w:rFonts w:ascii="Times New Roman" w:hAnsi="Times New Roman"/>
          <w:color w:val="000000" w:themeColor="tx1" w:themeShade="FF"/>
          <w:lang w:val="sk-SK" w:eastAsia="sk-SK"/>
        </w:rPr>
        <w:t xml:space="preserve">činnosti </w:t>
      </w:r>
      <w:r w:rsidRPr="007E60E2">
        <w:rPr>
          <w:rFonts w:ascii="Times New Roman" w:hAnsi="Times New Roman"/>
          <w:color w:val="000000" w:themeColor="tx1" w:themeShade="FF"/>
          <w:lang w:val="sk-SK" w:eastAsia="sk-SK"/>
        </w:rPr>
        <w:t xml:space="preserve">dlhšie ako šesť mesiacov.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4. </w:t>
      </w:r>
      <w:r w:rsidRPr="007E60E2">
        <w:rPr>
          <w:rFonts w:ascii="Times New Roman" w:hAnsi="Times New Roman"/>
          <w:color w:val="000000" w:themeColor="tx1" w:themeShade="FF"/>
          <w:lang w:val="sk-SK" w:eastAsia="sk-SK"/>
        </w:rPr>
        <w:t>Podľa čl</w:t>
      </w:r>
      <w:r w:rsidRPr="007E60E2" w:rsidR="00EE45C8">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 xml:space="preserve">6 daň z príjmov plynúcich z nehnuteľného majetku prislúcha tomu štátu, v ktorom sa nachádza príslušný nehnuteľný majetok. </w:t>
      </w:r>
    </w:p>
    <w:p w:rsidR="00185BC9" w:rsidRPr="007E60E2" w:rsidP="00185BC9">
      <w:pPr>
        <w:bidi w:val="0"/>
        <w:jc w:val="both"/>
        <w:rPr>
          <w:rFonts w:ascii="Times New Roman" w:hAnsi="Times New Roman"/>
          <w:color w:val="000000" w:themeColor="tx1" w:themeShade="FF"/>
          <w:lang w:val="sk-SK" w:eastAsia="sk-SK"/>
        </w:rPr>
      </w:pPr>
    </w:p>
    <w:p w:rsidR="00185BC9" w:rsidRPr="007E60E2" w:rsidP="00185BC9">
      <w:pPr>
        <w:bidi w:val="0"/>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5. </w:t>
      </w:r>
      <w:r w:rsidRPr="007E60E2" w:rsidR="005841BA">
        <w:rPr>
          <w:rFonts w:ascii="Times New Roman" w:hAnsi="Times New Roman"/>
          <w:color w:val="000000" w:themeColor="tx1" w:themeShade="FF"/>
          <w:lang w:val="sk-SK" w:eastAsia="sk-SK"/>
        </w:rPr>
        <w:t xml:space="preserve">Podľa čl. </w:t>
      </w:r>
      <w:r w:rsidRPr="007E60E2">
        <w:rPr>
          <w:rFonts w:ascii="Times New Roman" w:hAnsi="Times New Roman"/>
          <w:color w:val="000000" w:themeColor="tx1" w:themeShade="FF"/>
          <w:lang w:val="sk-SK" w:eastAsia="sk-SK"/>
        </w:rPr>
        <w:t xml:space="preserve">7 právo na daň zo ziskov podnikov prislúcha tomu štátu, ktorého je príjemca rezidentom </w:t>
      </w:r>
      <w:r w:rsidRPr="007E60E2" w:rsidR="00E544C6">
        <w:rPr>
          <w:rFonts w:ascii="Times New Roman" w:hAnsi="Times New Roman"/>
          <w:color w:val="000000" w:themeColor="tx1" w:themeShade="FF"/>
          <w:lang w:val="sk-SK" w:eastAsia="sk-SK"/>
        </w:rPr>
        <w:t>okrem situácie</w:t>
      </w:r>
      <w:r w:rsidRPr="007E60E2">
        <w:rPr>
          <w:rFonts w:ascii="Times New Roman" w:hAnsi="Times New Roman"/>
          <w:color w:val="000000" w:themeColor="tx1" w:themeShade="FF"/>
          <w:lang w:val="sk-SK" w:eastAsia="sk-SK"/>
        </w:rPr>
        <w:t xml:space="preserve">, </w:t>
      </w:r>
      <w:r w:rsidRPr="007E60E2" w:rsidR="00E544C6">
        <w:rPr>
          <w:rFonts w:ascii="Times New Roman" w:hAnsi="Times New Roman"/>
          <w:color w:val="000000" w:themeColor="tx1" w:themeShade="FF"/>
          <w:lang w:val="sk-SK" w:eastAsia="sk-SK"/>
        </w:rPr>
        <w:t xml:space="preserve">keď </w:t>
      </w:r>
      <w:r w:rsidRPr="007E60E2">
        <w:rPr>
          <w:rFonts w:ascii="Times New Roman" w:hAnsi="Times New Roman"/>
          <w:color w:val="000000" w:themeColor="tx1" w:themeShade="FF"/>
          <w:lang w:val="sk-SK" w:eastAsia="sk-SK"/>
        </w:rPr>
        <w:t xml:space="preserve">príjemca podniká v druhom zmluvnom štáte prostredníctvom stálej prevádzkarne, ktorá sa tam nachádza. </w:t>
      </w:r>
      <w:r w:rsidRPr="007E60E2" w:rsidR="00E17B13">
        <w:rPr>
          <w:rFonts w:ascii="Times New Roman" w:hAnsi="Times New Roman"/>
          <w:color w:val="000000" w:themeColor="tx1" w:themeShade="FF"/>
          <w:lang w:val="sk-SK" w:eastAsia="sk-SK"/>
        </w:rPr>
        <w:t xml:space="preserve">Čl. 7 ustanovuje podmienky odpočítania prevádzkových a všeobecných administratívnych nákladov, ktoré vznikli stálej prevádzkarni.  </w:t>
      </w:r>
    </w:p>
    <w:p w:rsidR="00185BC9" w:rsidRPr="007E60E2" w:rsidP="00185BC9">
      <w:pPr>
        <w:bidi w:val="0"/>
        <w:jc w:val="both"/>
        <w:rPr>
          <w:rFonts w:ascii="Times New Roman" w:hAnsi="Times New Roman"/>
          <w:color w:val="000000" w:themeColor="tx1" w:themeShade="FF"/>
          <w:lang w:val="sk-SK" w:eastAsia="sk-SK"/>
        </w:rPr>
      </w:pPr>
    </w:p>
    <w:p w:rsidR="00185BC9" w:rsidRPr="007E60E2" w:rsidP="00F7190C">
      <w:pPr>
        <w:bidi w:val="0"/>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6. </w:t>
      </w:r>
      <w:r w:rsidRPr="007E60E2" w:rsidR="00B248E4">
        <w:rPr>
          <w:rFonts w:ascii="Times New Roman" w:hAnsi="Times New Roman"/>
          <w:color w:val="000000" w:themeColor="tx1" w:themeShade="FF"/>
          <w:lang w:val="sk-SK" w:eastAsia="sk-SK"/>
        </w:rPr>
        <w:t xml:space="preserve">Podľa čl. </w:t>
      </w:r>
      <w:r w:rsidRPr="007E60E2">
        <w:rPr>
          <w:rFonts w:ascii="Times New Roman" w:hAnsi="Times New Roman"/>
          <w:color w:val="000000" w:themeColor="tx1" w:themeShade="FF"/>
          <w:lang w:val="sk-SK" w:eastAsia="sk-SK"/>
        </w:rPr>
        <w:t xml:space="preserve">8 právo na daň z príjmov z podnikania v medzinárodnej doprave </w:t>
      </w:r>
      <w:r w:rsidRPr="007E60E2" w:rsidR="00F7190C">
        <w:rPr>
          <w:rFonts w:ascii="Times New Roman" w:hAnsi="Times New Roman"/>
          <w:color w:val="000000" w:themeColor="tx1" w:themeShade="FF"/>
          <w:lang w:val="sk-SK" w:eastAsia="sk-SK"/>
        </w:rPr>
        <w:t xml:space="preserve">prislúcha tomu </w:t>
      </w:r>
      <w:r w:rsidRPr="007E60E2">
        <w:rPr>
          <w:rFonts w:ascii="Times New Roman" w:hAnsi="Times New Roman"/>
          <w:color w:val="000000" w:themeColor="tx1" w:themeShade="FF"/>
          <w:lang w:val="sk-SK" w:eastAsia="sk-SK"/>
        </w:rPr>
        <w:t>štát</w:t>
      </w:r>
      <w:r w:rsidRPr="007E60E2" w:rsidR="00F7190C">
        <w:rPr>
          <w:rFonts w:ascii="Times New Roman" w:hAnsi="Times New Roman"/>
          <w:color w:val="000000" w:themeColor="tx1" w:themeShade="FF"/>
          <w:lang w:val="sk-SK" w:eastAsia="sk-SK"/>
        </w:rPr>
        <w:t>u</w:t>
      </w:r>
      <w:r w:rsidRPr="007E60E2">
        <w:rPr>
          <w:rFonts w:ascii="Times New Roman" w:hAnsi="Times New Roman"/>
          <w:color w:val="000000" w:themeColor="tx1" w:themeShade="FF"/>
          <w:lang w:val="sk-SK" w:eastAsia="sk-SK"/>
        </w:rPr>
        <w:t xml:space="preserve">, v ktorom sa nachádza miesto skutočného vedenia podniku. </w:t>
      </w:r>
      <w:r w:rsidRPr="007E60E2" w:rsidR="00F7190C">
        <w:rPr>
          <w:rFonts w:ascii="Times New Roman" w:hAnsi="Times New Roman"/>
          <w:color w:val="000000" w:themeColor="tx1" w:themeShade="FF"/>
          <w:lang w:val="sk-SK" w:eastAsia="sk-SK"/>
        </w:rPr>
        <w:t>Zdaňovanie príjmov zo zamestnania na palube lode či lietadla prevádzkovaného v medzinárodnej doprave upravuje súvisiace ustanovenie čl. 14 ods. 3.</w:t>
      </w:r>
    </w:p>
    <w:p w:rsidR="00185BC9" w:rsidRPr="007E60E2" w:rsidP="00185BC9">
      <w:pPr>
        <w:bidi w:val="0"/>
        <w:jc w:val="both"/>
        <w:rPr>
          <w:rFonts w:ascii="Times New Roman" w:hAnsi="Times New Roman"/>
          <w:color w:val="000000" w:themeColor="tx1" w:themeShade="FF"/>
          <w:lang w:val="sk-SK" w:eastAsia="sk-SK"/>
        </w:rPr>
      </w:pPr>
    </w:p>
    <w:p w:rsidR="00185BC9" w:rsidRPr="007E60E2" w:rsidP="00185BC9">
      <w:pPr>
        <w:bidi w:val="0"/>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7. </w:t>
      </w:r>
      <w:r w:rsidRPr="007E60E2">
        <w:rPr>
          <w:rFonts w:ascii="Times New Roman" w:hAnsi="Times New Roman"/>
          <w:color w:val="000000" w:themeColor="tx1" w:themeShade="FF"/>
          <w:lang w:val="sk-SK" w:eastAsia="sk-SK"/>
        </w:rPr>
        <w:t>Čl</w:t>
      </w:r>
      <w:r w:rsidRPr="007E60E2" w:rsidR="00B248E4">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 xml:space="preserve">9 stanovuje podmienky úpravy ziskov prepojených spoločností na základe princípu nezávislého vzťahu. </w:t>
      </w:r>
    </w:p>
    <w:p w:rsidR="00185BC9" w:rsidRPr="007E60E2" w:rsidP="00185BC9">
      <w:pPr>
        <w:bidi w:val="0"/>
        <w:jc w:val="both"/>
        <w:rPr>
          <w:rFonts w:ascii="Times New Roman" w:hAnsi="Times New Roman"/>
          <w:color w:val="000000" w:themeColor="tx1" w:themeShade="FF"/>
          <w:lang w:val="sk-SK" w:eastAsia="sk-SK"/>
        </w:rPr>
      </w:pPr>
    </w:p>
    <w:p w:rsidR="00185BC9" w:rsidRPr="007E60E2" w:rsidP="00185BC9">
      <w:pPr>
        <w:bidi w:val="0"/>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8. </w:t>
      </w:r>
      <w:r w:rsidRPr="007E60E2">
        <w:rPr>
          <w:rFonts w:ascii="Times New Roman" w:hAnsi="Times New Roman"/>
          <w:color w:val="000000" w:themeColor="tx1" w:themeShade="FF"/>
          <w:lang w:val="sk-SK" w:eastAsia="sk-SK"/>
        </w:rPr>
        <w:t>Podľa čl</w:t>
      </w:r>
      <w:r w:rsidRPr="007E60E2" w:rsidR="007372B5">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 xml:space="preserve">10 sa dividendy </w:t>
      </w:r>
      <w:r w:rsidRPr="007E60E2" w:rsidR="00392402">
        <w:rPr>
          <w:rFonts w:ascii="Times New Roman" w:hAnsi="Times New Roman"/>
          <w:color w:val="000000" w:themeColor="tx1" w:themeShade="FF"/>
          <w:lang w:val="sk-SK" w:eastAsia="sk-SK"/>
        </w:rPr>
        <w:t xml:space="preserve">primárne </w:t>
      </w:r>
      <w:r w:rsidRPr="007E60E2">
        <w:rPr>
          <w:rFonts w:ascii="Times New Roman" w:hAnsi="Times New Roman"/>
          <w:color w:val="000000" w:themeColor="tx1" w:themeShade="FF"/>
          <w:lang w:val="sk-SK" w:eastAsia="sk-SK"/>
        </w:rPr>
        <w:t>zdaňujú v</w:t>
      </w:r>
      <w:r w:rsidRPr="007E60E2" w:rsidR="001A1F09">
        <w:rPr>
          <w:rFonts w:ascii="Times New Roman" w:hAnsi="Times New Roman"/>
          <w:color w:val="000000" w:themeColor="tx1" w:themeShade="FF"/>
          <w:lang w:val="sk-SK" w:eastAsia="sk-SK"/>
        </w:rPr>
        <w:t xml:space="preserve"> tom zmluvnom </w:t>
      </w:r>
      <w:r w:rsidRPr="007E60E2">
        <w:rPr>
          <w:rFonts w:ascii="Times New Roman" w:hAnsi="Times New Roman"/>
          <w:color w:val="000000" w:themeColor="tx1" w:themeShade="FF"/>
          <w:lang w:val="sk-SK" w:eastAsia="sk-SK"/>
        </w:rPr>
        <w:t xml:space="preserve">štáte, ktorého rezidentom </w:t>
      </w:r>
      <w:r w:rsidRPr="007E60E2" w:rsidR="001A1F09">
        <w:rPr>
          <w:rFonts w:ascii="Times New Roman" w:hAnsi="Times New Roman"/>
          <w:color w:val="000000" w:themeColor="tx1" w:themeShade="FF"/>
          <w:lang w:val="sk-SK" w:eastAsia="sk-SK"/>
        </w:rPr>
        <w:t xml:space="preserve">je príjemca dividend, </w:t>
      </w:r>
      <w:r w:rsidRPr="007E60E2" w:rsidR="00392402">
        <w:rPr>
          <w:rFonts w:ascii="Times New Roman" w:hAnsi="Times New Roman"/>
          <w:color w:val="000000" w:themeColor="tx1" w:themeShade="FF"/>
          <w:lang w:val="sk-SK" w:eastAsia="sk-SK"/>
        </w:rPr>
        <w:t xml:space="preserve">len </w:t>
      </w:r>
      <w:r w:rsidRPr="007E60E2">
        <w:rPr>
          <w:rFonts w:ascii="Times New Roman" w:hAnsi="Times New Roman"/>
          <w:color w:val="000000" w:themeColor="tx1" w:themeShade="FF"/>
          <w:lang w:val="sk-SK" w:eastAsia="sk-SK"/>
        </w:rPr>
        <w:t>a</w:t>
      </w:r>
      <w:r w:rsidRPr="007E60E2" w:rsidR="001A1F09">
        <w:rPr>
          <w:rFonts w:ascii="Times New Roman" w:hAnsi="Times New Roman"/>
          <w:color w:val="000000" w:themeColor="tx1" w:themeShade="FF"/>
          <w:lang w:val="sk-SK" w:eastAsia="sk-SK"/>
        </w:rPr>
        <w:t>k</w:t>
      </w:r>
      <w:r w:rsidRPr="007E60E2" w:rsidR="007372B5">
        <w:rPr>
          <w:rFonts w:ascii="Times New Roman" w:hAnsi="Times New Roman"/>
          <w:color w:val="000000" w:themeColor="tx1" w:themeShade="FF"/>
          <w:lang w:val="sk-SK" w:eastAsia="sk-SK"/>
        </w:rPr>
        <w:t> </w:t>
      </w:r>
      <w:r w:rsidRPr="007E60E2" w:rsidR="001A1F09">
        <w:rPr>
          <w:rFonts w:ascii="Times New Roman" w:hAnsi="Times New Roman"/>
          <w:color w:val="000000" w:themeColor="tx1" w:themeShade="FF"/>
          <w:lang w:val="sk-SK" w:eastAsia="sk-SK"/>
        </w:rPr>
        <w:t xml:space="preserve">je </w:t>
      </w:r>
      <w:r w:rsidRPr="007E60E2" w:rsidR="007372B5">
        <w:rPr>
          <w:rFonts w:ascii="Times New Roman" w:hAnsi="Times New Roman"/>
          <w:color w:val="000000" w:themeColor="tx1" w:themeShade="FF"/>
          <w:lang w:val="sk-SK" w:eastAsia="sk-SK"/>
        </w:rPr>
        <w:t xml:space="preserve">zároveň </w:t>
      </w:r>
      <w:r w:rsidRPr="007E60E2" w:rsidR="001A1F09">
        <w:rPr>
          <w:rFonts w:ascii="Times New Roman" w:hAnsi="Times New Roman"/>
          <w:color w:val="000000" w:themeColor="tx1" w:themeShade="FF"/>
          <w:lang w:val="sk-SK" w:eastAsia="sk-SK"/>
        </w:rPr>
        <w:t xml:space="preserve">aj ich </w:t>
      </w:r>
      <w:r w:rsidRPr="007E60E2">
        <w:rPr>
          <w:rFonts w:ascii="Times New Roman" w:hAnsi="Times New Roman"/>
          <w:color w:val="000000" w:themeColor="tx1" w:themeShade="FF"/>
          <w:lang w:val="sk-SK" w:eastAsia="sk-SK"/>
        </w:rPr>
        <w:t xml:space="preserve">skutočným vlastníkom.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9. </w:t>
      </w:r>
      <w:r w:rsidRPr="007E60E2">
        <w:rPr>
          <w:rFonts w:ascii="Times New Roman" w:hAnsi="Times New Roman"/>
          <w:color w:val="000000" w:themeColor="tx1" w:themeShade="FF"/>
          <w:lang w:val="sk-SK" w:eastAsia="sk-SK"/>
        </w:rPr>
        <w:t>Právo na daň z úrokov sa podľa čl</w:t>
      </w:r>
      <w:r w:rsidRPr="007E60E2" w:rsidR="00E4772E">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11 primárne priznáva tomu štátu, ktorého rezidentom a skutočným vlastníkom je príjemca úrokov. Štátu zdroja úrokov sa priznáva sekundárne právo na daň. Maximálna výška sadzby dane vyberanej zrážkou pri zdroji je </w:t>
      </w:r>
      <w:r w:rsidRPr="007E60E2" w:rsidR="00E4772E">
        <w:rPr>
          <w:rFonts w:ascii="Times New Roman" w:hAnsi="Times New Roman"/>
          <w:color w:val="000000" w:themeColor="tx1" w:themeShade="FF"/>
          <w:lang w:val="sk-SK" w:eastAsia="sk-SK"/>
        </w:rPr>
        <w:t>5</w:t>
      </w:r>
      <w:r w:rsidRPr="007E60E2">
        <w:rPr>
          <w:rFonts w:ascii="Times New Roman" w:hAnsi="Times New Roman"/>
          <w:color w:val="000000" w:themeColor="tx1" w:themeShade="FF"/>
          <w:lang w:val="sk-SK" w:eastAsia="sk-SK"/>
        </w:rPr>
        <w:t xml:space="preserve"> % z hrubej sumy úrokov. </w:t>
      </w:r>
    </w:p>
    <w:p w:rsidR="009D3CDC" w:rsidRPr="007E60E2" w:rsidP="009D3CDC">
      <w:pPr>
        <w:widowControl w:val="0"/>
        <w:bidi w:val="0"/>
        <w:ind w:right="56"/>
        <w:jc w:val="both"/>
        <w:rPr>
          <w:rFonts w:ascii="Times New Roman" w:hAnsi="Times New Roman"/>
          <w:color w:val="000000" w:themeColor="tx1" w:themeShade="FF"/>
          <w:lang w:val="sk-SK" w:eastAsia="sk-SK"/>
        </w:rPr>
      </w:pPr>
    </w:p>
    <w:p w:rsidR="004434FD" w:rsidRPr="004434FD" w:rsidP="004434FD">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10. </w:t>
      </w:r>
      <w:r w:rsidRPr="007E60E2" w:rsidR="00185BC9">
        <w:rPr>
          <w:rFonts w:ascii="Times New Roman" w:hAnsi="Times New Roman"/>
          <w:color w:val="000000" w:themeColor="tx1" w:themeShade="FF"/>
          <w:lang w:val="sk-SK" w:eastAsia="sk-SK"/>
        </w:rPr>
        <w:t>Podľa čl</w:t>
      </w:r>
      <w:r w:rsidRPr="007E60E2" w:rsidR="00F8738F">
        <w:rPr>
          <w:rFonts w:ascii="Times New Roman" w:hAnsi="Times New Roman"/>
          <w:color w:val="000000" w:themeColor="tx1" w:themeShade="FF"/>
          <w:lang w:val="sk-SK" w:eastAsia="sk-SK"/>
        </w:rPr>
        <w:t xml:space="preserve">. </w:t>
      </w:r>
      <w:r w:rsidRPr="007E60E2" w:rsidR="00185BC9">
        <w:rPr>
          <w:rFonts w:ascii="Times New Roman" w:hAnsi="Times New Roman"/>
          <w:color w:val="000000" w:themeColor="tx1" w:themeShade="FF"/>
          <w:lang w:val="sk-SK" w:eastAsia="sk-SK"/>
        </w:rPr>
        <w:t xml:space="preserve">12 sa daň z licenčných poplatkov rozdeľuje medzi  štát rezidencie príjemcu a skutočného vlastníka licenčných poplatkov </w:t>
      </w:r>
      <w:r w:rsidRPr="007E60E2" w:rsidR="00E4772E">
        <w:rPr>
          <w:rFonts w:ascii="Times New Roman" w:hAnsi="Times New Roman"/>
          <w:color w:val="000000" w:themeColor="tx1" w:themeShade="FF"/>
          <w:lang w:val="sk-SK" w:eastAsia="sk-SK"/>
        </w:rPr>
        <w:t xml:space="preserve">štát zdroja licenčných poplatkov </w:t>
      </w:r>
      <w:r w:rsidRPr="007E60E2" w:rsidR="00185BC9">
        <w:rPr>
          <w:rFonts w:ascii="Times New Roman" w:hAnsi="Times New Roman"/>
          <w:color w:val="000000" w:themeColor="tx1" w:themeShade="FF"/>
          <w:lang w:val="sk-SK" w:eastAsia="sk-SK"/>
        </w:rPr>
        <w:t>tak, že štát zdroja môže licen</w:t>
      </w:r>
      <w:r w:rsidRPr="007E60E2" w:rsidR="00E4772E">
        <w:rPr>
          <w:rFonts w:ascii="Times New Roman" w:hAnsi="Times New Roman"/>
          <w:color w:val="000000" w:themeColor="tx1" w:themeShade="FF"/>
          <w:lang w:val="sk-SK" w:eastAsia="sk-SK"/>
        </w:rPr>
        <w:t xml:space="preserve">čné poplatky zaťažiť maximálne </w:t>
      </w:r>
      <w:r w:rsidRPr="007E60E2" w:rsidR="00F8738F">
        <w:rPr>
          <w:rFonts w:ascii="Times New Roman" w:hAnsi="Times New Roman"/>
          <w:color w:val="000000" w:themeColor="tx1" w:themeShade="FF"/>
          <w:lang w:val="sk-SK" w:eastAsia="sk-SK"/>
        </w:rPr>
        <w:t>5</w:t>
      </w:r>
      <w:r w:rsidRPr="007E60E2" w:rsidR="00185BC9">
        <w:rPr>
          <w:rFonts w:ascii="Times New Roman" w:hAnsi="Times New Roman"/>
          <w:color w:val="000000" w:themeColor="tx1" w:themeShade="FF"/>
          <w:lang w:val="sk-SK" w:eastAsia="sk-SK"/>
        </w:rPr>
        <w:t xml:space="preserve"> % sadzbou dane z hrubej sumy licenčných poplatkov. Tento limit sa vzťahuje </w:t>
      </w:r>
      <w:r w:rsidRPr="007E60E2" w:rsidR="00E4772E">
        <w:rPr>
          <w:rFonts w:ascii="Times New Roman" w:hAnsi="Times New Roman"/>
          <w:color w:val="000000" w:themeColor="tx1" w:themeShade="FF"/>
          <w:lang w:val="sk-SK" w:eastAsia="sk-SK"/>
        </w:rPr>
        <w:t xml:space="preserve">nielen </w:t>
      </w:r>
      <w:r w:rsidRPr="007E60E2" w:rsidR="00185BC9">
        <w:rPr>
          <w:rFonts w:ascii="Times New Roman" w:hAnsi="Times New Roman"/>
          <w:color w:val="000000" w:themeColor="tx1" w:themeShade="FF"/>
          <w:lang w:val="sk-SK" w:eastAsia="sk-SK"/>
        </w:rPr>
        <w:t>na licenčné poplatky definované ako tzv. kultúrne licenčné poplatky, priemyselné licenčné poplatky aj softvér</w:t>
      </w:r>
      <w:r w:rsidRPr="007E60E2" w:rsidR="00E4772E">
        <w:rPr>
          <w:rFonts w:ascii="Times New Roman" w:hAnsi="Times New Roman"/>
          <w:color w:val="000000" w:themeColor="tx1" w:themeShade="FF"/>
          <w:lang w:val="sk-SK" w:eastAsia="sk-SK"/>
        </w:rPr>
        <w:t>, ale aj na zisky z prenájmu lodí, lietadiel a kontajnerov</w:t>
      </w:r>
      <w:r w:rsidRPr="007E60E2" w:rsidR="00185BC9">
        <w:rPr>
          <w:rFonts w:ascii="Times New Roman" w:hAnsi="Times New Roman"/>
          <w:color w:val="000000" w:themeColor="tx1" w:themeShade="FF"/>
          <w:lang w:val="sk-SK" w:eastAsia="sk-SK"/>
        </w:rPr>
        <w:t xml:space="preserve">. </w:t>
      </w:r>
      <w:r w:rsidRPr="007026C0" w:rsidR="00550A60">
        <w:rPr>
          <w:rFonts w:ascii="Times New Roman" w:hAnsi="Times New Roman"/>
          <w:color w:val="000000" w:themeColor="tx1" w:themeShade="FF"/>
          <w:lang w:val="sk-SK" w:eastAsia="sk-SK"/>
        </w:rPr>
        <w:t xml:space="preserve">Rozumie sa, že definícia licenčných poplatkov nie je taxatívne vymedzená a že sa vzťahuje aj na </w:t>
      </w:r>
      <w:r w:rsidRPr="007026C0">
        <w:rPr>
          <w:rFonts w:ascii="Times New Roman" w:hAnsi="Times New Roman"/>
          <w:color w:val="000000" w:themeColor="tx1" w:themeShade="FF"/>
          <w:lang w:val="sk-SK" w:eastAsia="sk-SK"/>
        </w:rPr>
        <w:t>úžitkové vzory a topografie polovodičových výrobkov</w:t>
      </w:r>
      <w:r w:rsidRPr="007026C0" w:rsidR="00550A60">
        <w:rPr>
          <w:rFonts w:ascii="Times New Roman" w:hAnsi="Times New Roman"/>
          <w:color w:val="000000" w:themeColor="tx1" w:themeShade="FF"/>
          <w:lang w:val="sk-SK" w:eastAsia="sk-SK"/>
        </w:rPr>
        <w:t>.</w:t>
      </w:r>
      <w:r w:rsidR="00550A60">
        <w:rPr>
          <w:rFonts w:ascii="Times New Roman" w:hAnsi="Times New Roman"/>
          <w:color w:val="000000" w:themeColor="tx1" w:themeShade="FF"/>
          <w:lang w:val="sk-SK" w:eastAsia="sk-SK"/>
        </w:rPr>
        <w:t xml:space="preserve">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11. </w:t>
      </w:r>
      <w:r w:rsidRPr="007E60E2" w:rsidR="004E66A7">
        <w:rPr>
          <w:rFonts w:ascii="Times New Roman" w:hAnsi="Times New Roman"/>
          <w:color w:val="000000" w:themeColor="tx1" w:themeShade="FF"/>
          <w:lang w:val="sk-SK" w:eastAsia="sk-SK"/>
        </w:rPr>
        <w:t>P</w:t>
      </w:r>
      <w:r w:rsidRPr="007E60E2">
        <w:rPr>
          <w:rFonts w:ascii="Times New Roman" w:hAnsi="Times New Roman"/>
          <w:color w:val="000000" w:themeColor="tx1" w:themeShade="FF"/>
          <w:lang w:val="sk-SK" w:eastAsia="sk-SK"/>
        </w:rPr>
        <w:t xml:space="preserve">rávo na daň z príjmov zo scudzenia majetku sa </w:t>
      </w:r>
      <w:r w:rsidRPr="007E60E2" w:rsidR="004E66A7">
        <w:rPr>
          <w:rFonts w:ascii="Times New Roman" w:hAnsi="Times New Roman"/>
          <w:color w:val="000000" w:themeColor="tx1" w:themeShade="FF"/>
          <w:lang w:val="sk-SK" w:eastAsia="sk-SK"/>
        </w:rPr>
        <w:t xml:space="preserve">podľa čl. 13 </w:t>
      </w:r>
      <w:r w:rsidRPr="007E60E2">
        <w:rPr>
          <w:rFonts w:ascii="Times New Roman" w:hAnsi="Times New Roman"/>
          <w:color w:val="000000" w:themeColor="tx1" w:themeShade="FF"/>
          <w:lang w:val="sk-SK" w:eastAsia="sk-SK"/>
        </w:rPr>
        <w:t xml:space="preserve">priznáva podľa </w:t>
      </w:r>
      <w:r w:rsidRPr="007E60E2" w:rsidR="004E66A7">
        <w:rPr>
          <w:rFonts w:ascii="Times New Roman" w:hAnsi="Times New Roman"/>
          <w:color w:val="000000" w:themeColor="tx1" w:themeShade="FF"/>
          <w:lang w:val="sk-SK" w:eastAsia="sk-SK"/>
        </w:rPr>
        <w:t>toho, o aký druh majetku ide</w:t>
      </w:r>
      <w:r w:rsidRPr="007E60E2">
        <w:rPr>
          <w:rFonts w:ascii="Times New Roman" w:hAnsi="Times New Roman"/>
          <w:color w:val="000000" w:themeColor="tx1" w:themeShade="FF"/>
          <w:lang w:val="sk-SK" w:eastAsia="sk-SK"/>
        </w:rPr>
        <w:t>. Právo na daň z príjmu zo scudzenia nehnuteľného majetku prislúcha tomu štátu, v ktorom sa nachádza príslušná nehnuteľnosť</w:t>
      </w:r>
      <w:r w:rsidRPr="007E60E2" w:rsidR="007D056A">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w:t>
      </w:r>
      <w:r w:rsidRPr="007E60E2" w:rsidR="007D056A">
        <w:rPr>
          <w:rFonts w:ascii="Times New Roman" w:hAnsi="Times New Roman"/>
          <w:color w:val="000000" w:themeColor="tx1" w:themeShade="FF"/>
          <w:lang w:val="sk-SK" w:eastAsia="sk-SK"/>
        </w:rPr>
        <w:t>V</w:t>
      </w:r>
      <w:r w:rsidRPr="007E60E2">
        <w:rPr>
          <w:rFonts w:ascii="Times New Roman" w:hAnsi="Times New Roman"/>
          <w:color w:val="000000" w:themeColor="tx1" w:themeShade="FF"/>
          <w:lang w:val="sk-SK" w:eastAsia="sk-SK"/>
        </w:rPr>
        <w:t> prípade scudzenia majetku stálej prevádzkarne (vrátane scudzenia samotnej stálej prevádzkarne)</w:t>
      </w:r>
      <w:r w:rsidRPr="007E60E2" w:rsidR="007D056A">
        <w:rPr>
          <w:rFonts w:ascii="Times New Roman" w:hAnsi="Times New Roman"/>
          <w:color w:val="000000" w:themeColor="tx1" w:themeShade="FF"/>
          <w:lang w:val="sk-SK" w:eastAsia="sk-SK"/>
        </w:rPr>
        <w:t xml:space="preserve"> prislúcha právo na daň tomu štátu, v ktorom sa stála prevádzkareň nachádza</w:t>
      </w:r>
      <w:r w:rsidRPr="007E60E2">
        <w:rPr>
          <w:rFonts w:ascii="Times New Roman" w:hAnsi="Times New Roman"/>
          <w:color w:val="000000" w:themeColor="tx1" w:themeShade="FF"/>
          <w:lang w:val="sk-SK" w:eastAsia="sk-SK"/>
        </w:rPr>
        <w:t xml:space="preserve">. Ak ide o scudzenie nehnuteľného majetku, alebo podielov na spoločnostiach vymedzených zmluvou, ktorých najmenej 50 % hodnoty pozostáva z nehnuteľného majetku, právo na daň z príjmu takého scudzeného majetku má ten zmluvný štát, v ktorom sa nachádza príslušná nehnuteľnosť. Zisky zo scudzenia majetku, ktorý pozostáva z lodí alebo lietadiel prevádzkovaných podnikom v medzinárodnej doprave, podlieha zdaneniu v tom zmluvnom štáte, v ktorom sa nachádza miesto skutočného vedenia </w:t>
      </w:r>
      <w:r w:rsidRPr="007E60E2" w:rsidR="007D056A">
        <w:rPr>
          <w:rFonts w:ascii="Times New Roman" w:hAnsi="Times New Roman"/>
          <w:color w:val="000000" w:themeColor="tx1" w:themeShade="FF"/>
          <w:lang w:val="sk-SK" w:eastAsia="sk-SK"/>
        </w:rPr>
        <w:t xml:space="preserve">toho </w:t>
      </w:r>
      <w:r w:rsidRPr="007E60E2">
        <w:rPr>
          <w:rFonts w:ascii="Times New Roman" w:hAnsi="Times New Roman"/>
          <w:color w:val="000000" w:themeColor="tx1" w:themeShade="FF"/>
          <w:lang w:val="sk-SK" w:eastAsia="sk-SK"/>
        </w:rPr>
        <w:t xml:space="preserve">podniku. Právo na daň zo scudzenia iného majetku sa priznáva štátu rezidencie scudziteľa.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12. </w:t>
      </w:r>
      <w:r w:rsidRPr="007E60E2" w:rsidR="004E66A7">
        <w:rPr>
          <w:rFonts w:ascii="Times New Roman" w:hAnsi="Times New Roman"/>
          <w:color w:val="000000" w:themeColor="tx1" w:themeShade="FF"/>
          <w:lang w:val="sk-SK" w:eastAsia="sk-SK"/>
        </w:rPr>
        <w:t>P</w:t>
      </w:r>
      <w:r w:rsidRPr="007E60E2">
        <w:rPr>
          <w:rFonts w:ascii="Times New Roman" w:hAnsi="Times New Roman"/>
          <w:color w:val="000000" w:themeColor="tx1" w:themeShade="FF"/>
          <w:lang w:val="sk-SK" w:eastAsia="sk-SK"/>
        </w:rPr>
        <w:t>odľa kritérií ustanovených v</w:t>
      </w:r>
      <w:r w:rsidRPr="007E60E2" w:rsidR="004E66A7">
        <w:rPr>
          <w:rFonts w:ascii="Times New Roman" w:hAnsi="Times New Roman"/>
          <w:color w:val="000000" w:themeColor="tx1" w:themeShade="FF"/>
          <w:lang w:val="sk-SK" w:eastAsia="sk-SK"/>
        </w:rPr>
        <w:t> </w:t>
      </w:r>
      <w:r w:rsidRPr="007E60E2">
        <w:rPr>
          <w:rFonts w:ascii="Times New Roman" w:hAnsi="Times New Roman"/>
          <w:color w:val="000000" w:themeColor="tx1" w:themeShade="FF"/>
          <w:lang w:val="sk-SK" w:eastAsia="sk-SK"/>
        </w:rPr>
        <w:t>čl</w:t>
      </w:r>
      <w:r w:rsidRPr="007E60E2" w:rsidR="004E66A7">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1</w:t>
      </w:r>
      <w:r w:rsidRPr="007E60E2" w:rsidR="004E66A7">
        <w:rPr>
          <w:rFonts w:ascii="Times New Roman" w:hAnsi="Times New Roman"/>
          <w:color w:val="000000" w:themeColor="tx1" w:themeShade="FF"/>
          <w:lang w:val="sk-SK" w:eastAsia="sk-SK"/>
        </w:rPr>
        <w:t xml:space="preserve">4 </w:t>
      </w:r>
      <w:r w:rsidRPr="007E60E2">
        <w:rPr>
          <w:rFonts w:ascii="Times New Roman" w:hAnsi="Times New Roman"/>
          <w:color w:val="000000" w:themeColor="tx1" w:themeShade="FF"/>
          <w:lang w:val="sk-SK" w:eastAsia="sk-SK"/>
        </w:rPr>
        <w:t xml:space="preserve">daň zo závislej činnosti </w:t>
      </w:r>
      <w:r w:rsidRPr="007E60E2" w:rsidR="004E66A7">
        <w:rPr>
          <w:rFonts w:ascii="Times New Roman" w:hAnsi="Times New Roman"/>
          <w:color w:val="000000" w:themeColor="tx1" w:themeShade="FF"/>
          <w:lang w:val="sk-SK" w:eastAsia="sk-SK"/>
        </w:rPr>
        <w:t xml:space="preserve">primárne </w:t>
      </w:r>
      <w:r w:rsidRPr="007E60E2">
        <w:rPr>
          <w:rFonts w:ascii="Times New Roman" w:hAnsi="Times New Roman"/>
          <w:color w:val="000000" w:themeColor="tx1" w:themeShade="FF"/>
          <w:lang w:val="sk-SK" w:eastAsia="sk-SK"/>
        </w:rPr>
        <w:t>prislúcha štátu rezidencie daňovníka, sekundárne štátu zdroja príjmov. Zdanenie príjmov zo závislej činnosti vykonávanej na palube lode alebo lietadla prevádzkovaných v medzinárodnej doprave prislúcha tomu štátu, v ktorom sa nachádza miesto skutočného vedenia podniku prevádzkujúceho medziná</w:t>
      </w:r>
      <w:r w:rsidRPr="007E60E2" w:rsidR="00F7190C">
        <w:rPr>
          <w:rFonts w:ascii="Times New Roman" w:hAnsi="Times New Roman"/>
          <w:color w:val="000000" w:themeColor="tx1" w:themeShade="FF"/>
          <w:lang w:val="sk-SK" w:eastAsia="sk-SK"/>
        </w:rPr>
        <w:t>rodnú dopravu</w:t>
      </w:r>
      <w:r w:rsidRPr="007E60E2">
        <w:rPr>
          <w:rFonts w:ascii="Times New Roman" w:hAnsi="Times New Roman"/>
          <w:color w:val="000000" w:themeColor="tx1" w:themeShade="FF"/>
          <w:lang w:val="sk-SK" w:eastAsia="sk-SK"/>
        </w:rPr>
        <w:t>.</w:t>
      </w:r>
      <w:r w:rsidRPr="007E60E2" w:rsidR="00F7190C">
        <w:rPr>
          <w:rFonts w:ascii="Times New Roman" w:hAnsi="Times New Roman"/>
          <w:color w:val="000000" w:themeColor="tx1" w:themeShade="FF"/>
          <w:lang w:val="sk-SK" w:eastAsia="sk-SK"/>
        </w:rPr>
        <w:t xml:space="preserve"> Jeho definícia je v čl. 8.</w:t>
      </w:r>
      <w:r w:rsidRPr="007E60E2">
        <w:rPr>
          <w:rFonts w:ascii="Times New Roman" w:hAnsi="Times New Roman"/>
          <w:color w:val="000000" w:themeColor="tx1" w:themeShade="FF"/>
          <w:lang w:val="sk-SK" w:eastAsia="sk-SK"/>
        </w:rPr>
        <w:t xml:space="preserve">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13. </w:t>
      </w:r>
      <w:r w:rsidRPr="007E60E2">
        <w:rPr>
          <w:rFonts w:ascii="Times New Roman" w:hAnsi="Times New Roman"/>
          <w:color w:val="000000" w:themeColor="tx1" w:themeShade="FF"/>
          <w:lang w:val="sk-SK" w:eastAsia="sk-SK"/>
        </w:rPr>
        <w:t xml:space="preserve">Odmeny prislúchajúce členovi štatutárneho orgánu spoločnosti sa podľa </w:t>
      </w:r>
      <w:r w:rsidRPr="007E60E2" w:rsidR="00015294">
        <w:rPr>
          <w:rFonts w:ascii="Times New Roman" w:hAnsi="Times New Roman"/>
          <w:color w:val="000000" w:themeColor="tx1" w:themeShade="FF"/>
          <w:lang w:val="sk-SK" w:eastAsia="sk-SK"/>
        </w:rPr>
        <w:t>čl.</w:t>
      </w:r>
      <w:r w:rsidRPr="007E60E2">
        <w:rPr>
          <w:rFonts w:ascii="Times New Roman" w:hAnsi="Times New Roman"/>
          <w:color w:val="000000" w:themeColor="tx1" w:themeShade="FF"/>
          <w:lang w:val="sk-SK" w:eastAsia="sk-SK"/>
        </w:rPr>
        <w:t xml:space="preserve"> 1</w:t>
      </w:r>
      <w:r w:rsidRPr="007E60E2" w:rsidR="00015294">
        <w:rPr>
          <w:rFonts w:ascii="Times New Roman" w:hAnsi="Times New Roman"/>
          <w:color w:val="000000" w:themeColor="tx1" w:themeShade="FF"/>
          <w:lang w:val="sk-SK" w:eastAsia="sk-SK"/>
        </w:rPr>
        <w:t>5</w:t>
      </w:r>
      <w:r w:rsidRPr="007E60E2">
        <w:rPr>
          <w:rFonts w:ascii="Times New Roman" w:hAnsi="Times New Roman"/>
          <w:color w:val="000000" w:themeColor="tx1" w:themeShade="FF"/>
          <w:lang w:val="sk-SK" w:eastAsia="sk-SK"/>
        </w:rPr>
        <w:t xml:space="preserve"> zdaňujú v štáte rezidencie spoločnosti.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14. </w:t>
      </w:r>
      <w:r w:rsidRPr="007E60E2">
        <w:rPr>
          <w:rFonts w:ascii="Times New Roman" w:hAnsi="Times New Roman"/>
          <w:color w:val="000000" w:themeColor="tx1" w:themeShade="FF"/>
          <w:lang w:val="sk-SK" w:eastAsia="sk-SK"/>
        </w:rPr>
        <w:t xml:space="preserve">Príjmy športovcov alebo umelcov sa podľa </w:t>
      </w:r>
      <w:r w:rsidRPr="007E60E2" w:rsidR="00FE0BF6">
        <w:rPr>
          <w:rFonts w:ascii="Times New Roman" w:hAnsi="Times New Roman"/>
          <w:color w:val="000000" w:themeColor="tx1" w:themeShade="FF"/>
          <w:lang w:val="sk-SK" w:eastAsia="sk-SK"/>
        </w:rPr>
        <w:t xml:space="preserve">čl. </w:t>
      </w:r>
      <w:r w:rsidRPr="007E60E2">
        <w:rPr>
          <w:rFonts w:ascii="Times New Roman" w:hAnsi="Times New Roman"/>
          <w:color w:val="000000" w:themeColor="tx1" w:themeShade="FF"/>
          <w:lang w:val="sk-SK" w:eastAsia="sk-SK"/>
        </w:rPr>
        <w:t>1</w:t>
      </w:r>
      <w:r w:rsidRPr="007E60E2" w:rsidR="00FE0BF6">
        <w:rPr>
          <w:rFonts w:ascii="Times New Roman" w:hAnsi="Times New Roman"/>
          <w:color w:val="000000" w:themeColor="tx1" w:themeShade="FF"/>
          <w:lang w:val="sk-SK" w:eastAsia="sk-SK"/>
        </w:rPr>
        <w:t>6</w:t>
      </w:r>
      <w:r w:rsidRPr="007E60E2">
        <w:rPr>
          <w:rFonts w:ascii="Times New Roman" w:hAnsi="Times New Roman"/>
          <w:color w:val="000000" w:themeColor="tx1" w:themeShade="FF"/>
          <w:lang w:val="sk-SK" w:eastAsia="sk-SK"/>
        </w:rPr>
        <w:t xml:space="preserve"> môžu zdaniť v štáte výkonu ich činností bez ohľadu na to, či plynú im priamo alebo prostredníctvom inej osoby. Oslobodenie v štáte zdroja sa uplat</w:t>
      </w:r>
      <w:r w:rsidRPr="007E60E2" w:rsidR="00FE0BF6">
        <w:rPr>
          <w:rFonts w:ascii="Times New Roman" w:hAnsi="Times New Roman"/>
          <w:color w:val="000000" w:themeColor="tx1" w:themeShade="FF"/>
          <w:lang w:val="sk-SK" w:eastAsia="sk-SK"/>
        </w:rPr>
        <w:t xml:space="preserve">ní </w:t>
      </w:r>
      <w:r w:rsidRPr="007E60E2">
        <w:rPr>
          <w:rFonts w:ascii="Times New Roman" w:hAnsi="Times New Roman"/>
          <w:color w:val="000000" w:themeColor="tx1" w:themeShade="FF"/>
          <w:lang w:val="sk-SK" w:eastAsia="sk-SK"/>
        </w:rPr>
        <w:t xml:space="preserve">len </w:t>
      </w:r>
      <w:r w:rsidRPr="007E60E2" w:rsidR="00FE0BF6">
        <w:rPr>
          <w:rFonts w:ascii="Times New Roman" w:hAnsi="Times New Roman"/>
          <w:color w:val="000000" w:themeColor="tx1" w:themeShade="FF"/>
          <w:lang w:val="sk-SK" w:eastAsia="sk-SK"/>
        </w:rPr>
        <w:t xml:space="preserve">v prípade výkonu činností, ktoré </w:t>
      </w:r>
      <w:r w:rsidRPr="007E60E2">
        <w:rPr>
          <w:rFonts w:ascii="Times New Roman" w:hAnsi="Times New Roman"/>
          <w:color w:val="000000" w:themeColor="tx1" w:themeShade="FF"/>
          <w:lang w:val="sk-SK" w:eastAsia="sk-SK"/>
        </w:rPr>
        <w:t xml:space="preserve">sú úplne alebo prevažne podporované z verejných prostriedkov jedného alebo oboch zmluvných štátov </w:t>
      </w:r>
      <w:r w:rsidRPr="007E60E2" w:rsidR="00FE0BF6">
        <w:rPr>
          <w:rFonts w:ascii="Times New Roman" w:hAnsi="Times New Roman"/>
          <w:color w:val="000000" w:themeColor="tx1" w:themeShade="FF"/>
          <w:lang w:val="sk-SK" w:eastAsia="sk-SK"/>
        </w:rPr>
        <w:t>nižších správnych útvarov alebo miestnych orgánov</w:t>
      </w:r>
      <w:r w:rsidRPr="007E60E2">
        <w:rPr>
          <w:rFonts w:ascii="Times New Roman" w:hAnsi="Times New Roman"/>
          <w:color w:val="000000" w:themeColor="tx1" w:themeShade="FF"/>
          <w:lang w:val="sk-SK" w:eastAsia="sk-SK"/>
        </w:rPr>
        <w:t xml:space="preserve">.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15. </w:t>
      </w:r>
      <w:r w:rsidRPr="007E60E2">
        <w:rPr>
          <w:rFonts w:ascii="Times New Roman" w:hAnsi="Times New Roman"/>
          <w:color w:val="000000" w:themeColor="tx1" w:themeShade="FF"/>
          <w:lang w:val="sk-SK" w:eastAsia="sk-SK"/>
        </w:rPr>
        <w:t>Podľa čl</w:t>
      </w:r>
      <w:r w:rsidRPr="007E60E2" w:rsidR="00FE0BF6">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1</w:t>
      </w:r>
      <w:r w:rsidRPr="007E60E2" w:rsidR="00FE0BF6">
        <w:rPr>
          <w:rFonts w:ascii="Times New Roman" w:hAnsi="Times New Roman"/>
          <w:color w:val="000000" w:themeColor="tx1" w:themeShade="FF"/>
          <w:lang w:val="sk-SK" w:eastAsia="sk-SK"/>
        </w:rPr>
        <w:t>7</w:t>
      </w:r>
      <w:r w:rsidRPr="007E60E2">
        <w:rPr>
          <w:rFonts w:ascii="Times New Roman" w:hAnsi="Times New Roman"/>
          <w:color w:val="000000" w:themeColor="tx1" w:themeShade="FF"/>
          <w:lang w:val="sk-SK" w:eastAsia="sk-SK"/>
        </w:rPr>
        <w:t xml:space="preserve"> sa právo na daň z dôchodkov primárne prisudzuje štátu rezidencie ich príjemcu. Ak sa dôchodky vyplácajú v rámci systému verejného sociálneho zabezpečenia, právo na daň prislúcha tomu štátu, z ktorého systému sa vyplácajú dôchodky.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16. </w:t>
      </w:r>
      <w:r w:rsidRPr="007E60E2">
        <w:rPr>
          <w:rFonts w:ascii="Times New Roman" w:hAnsi="Times New Roman"/>
          <w:color w:val="000000" w:themeColor="tx1" w:themeShade="FF"/>
          <w:lang w:val="sk-SK" w:eastAsia="sk-SK"/>
        </w:rPr>
        <w:t>Zdaňovanie príjmov zo štátnej služby upravujú ustanovenia čl</w:t>
      </w:r>
      <w:r w:rsidRPr="007E60E2" w:rsidR="00FE0BF6">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1</w:t>
      </w:r>
      <w:r w:rsidRPr="007E60E2" w:rsidR="00FE0BF6">
        <w:rPr>
          <w:rFonts w:ascii="Times New Roman" w:hAnsi="Times New Roman"/>
          <w:color w:val="000000" w:themeColor="tx1" w:themeShade="FF"/>
          <w:lang w:val="sk-SK" w:eastAsia="sk-SK"/>
        </w:rPr>
        <w:t>8</w:t>
      </w:r>
      <w:r w:rsidRPr="007E60E2">
        <w:rPr>
          <w:rFonts w:ascii="Times New Roman" w:hAnsi="Times New Roman"/>
          <w:color w:val="000000" w:themeColor="tx1" w:themeShade="FF"/>
          <w:lang w:val="sk-SK" w:eastAsia="sk-SK"/>
        </w:rPr>
        <w:t xml:space="preserve">.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653F67"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17. </w:t>
      </w:r>
      <w:r w:rsidRPr="007E60E2">
        <w:rPr>
          <w:rFonts w:ascii="Times New Roman" w:hAnsi="Times New Roman"/>
          <w:color w:val="000000" w:themeColor="tx1" w:themeShade="FF"/>
          <w:lang w:val="sk-SK" w:eastAsia="sk-SK"/>
        </w:rPr>
        <w:t>Podľa čl.</w:t>
      </w:r>
      <w:r w:rsidRPr="007E60E2" w:rsidR="00185BC9">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19</w:t>
      </w:r>
      <w:r w:rsidRPr="007E60E2" w:rsidR="00185BC9">
        <w:rPr>
          <w:rFonts w:ascii="Times New Roman" w:hAnsi="Times New Roman"/>
          <w:color w:val="000000" w:themeColor="tx1" w:themeShade="FF"/>
          <w:lang w:val="sk-SK" w:eastAsia="sk-SK"/>
        </w:rPr>
        <w:t xml:space="preserve"> príjmy, ktoré </w:t>
      </w:r>
      <w:r w:rsidRPr="007E60E2">
        <w:rPr>
          <w:rFonts w:ascii="Times New Roman" w:hAnsi="Times New Roman"/>
          <w:color w:val="000000" w:themeColor="tx1" w:themeShade="FF"/>
          <w:lang w:val="sk-SK" w:eastAsia="sk-SK"/>
        </w:rPr>
        <w:t xml:space="preserve">plynú </w:t>
      </w:r>
      <w:r w:rsidRPr="007E60E2" w:rsidR="00185BC9">
        <w:rPr>
          <w:rFonts w:ascii="Times New Roman" w:hAnsi="Times New Roman"/>
          <w:color w:val="000000" w:themeColor="tx1" w:themeShade="FF"/>
          <w:lang w:val="sk-SK" w:eastAsia="sk-SK"/>
        </w:rPr>
        <w:t>študent</w:t>
      </w:r>
      <w:r w:rsidRPr="007E60E2">
        <w:rPr>
          <w:rFonts w:ascii="Times New Roman" w:hAnsi="Times New Roman"/>
          <w:color w:val="000000" w:themeColor="tx1" w:themeShade="FF"/>
          <w:lang w:val="sk-SK" w:eastAsia="sk-SK"/>
        </w:rPr>
        <w:t>ovi</w:t>
      </w:r>
      <w:r w:rsidRPr="007E60E2" w:rsidR="00185BC9">
        <w:rPr>
          <w:rFonts w:ascii="Times New Roman" w:hAnsi="Times New Roman"/>
          <w:color w:val="000000" w:themeColor="tx1" w:themeShade="FF"/>
          <w:lang w:val="sk-SK" w:eastAsia="sk-SK"/>
        </w:rPr>
        <w:t xml:space="preserve"> alebo žiak</w:t>
      </w:r>
      <w:r w:rsidRPr="007E60E2">
        <w:rPr>
          <w:rFonts w:ascii="Times New Roman" w:hAnsi="Times New Roman"/>
          <w:color w:val="000000" w:themeColor="tx1" w:themeShade="FF"/>
          <w:lang w:val="sk-SK" w:eastAsia="sk-SK"/>
        </w:rPr>
        <w:t>ovi</w:t>
      </w:r>
      <w:r w:rsidRPr="007E60E2" w:rsidR="00185BC9">
        <w:rPr>
          <w:rFonts w:ascii="Times New Roman" w:hAnsi="Times New Roman"/>
          <w:color w:val="000000" w:themeColor="tx1" w:themeShade="FF"/>
          <w:lang w:val="sk-SK" w:eastAsia="sk-SK"/>
        </w:rPr>
        <w:t xml:space="preserve"> učilišťa</w:t>
      </w:r>
      <w:r w:rsidRPr="007E60E2">
        <w:rPr>
          <w:rFonts w:ascii="Times New Roman" w:hAnsi="Times New Roman"/>
          <w:color w:val="000000" w:themeColor="tx1" w:themeShade="FF"/>
          <w:lang w:val="sk-SK" w:eastAsia="sk-SK"/>
        </w:rPr>
        <w:t xml:space="preserve"> -</w:t>
      </w:r>
      <w:r w:rsidRPr="007E60E2" w:rsidR="00185BC9">
        <w:rPr>
          <w:rFonts w:ascii="Times New Roman" w:hAnsi="Times New Roman"/>
          <w:color w:val="000000" w:themeColor="tx1" w:themeShade="FF"/>
          <w:lang w:val="sk-SK" w:eastAsia="sk-SK"/>
        </w:rPr>
        <w:t xml:space="preserve"> rezident</w:t>
      </w:r>
      <w:r w:rsidRPr="007E60E2">
        <w:rPr>
          <w:rFonts w:ascii="Times New Roman" w:hAnsi="Times New Roman"/>
          <w:color w:val="000000" w:themeColor="tx1" w:themeShade="FF"/>
          <w:lang w:val="sk-SK" w:eastAsia="sk-SK"/>
        </w:rPr>
        <w:t>ovi</w:t>
      </w:r>
      <w:r w:rsidRPr="007E60E2" w:rsidR="00185BC9">
        <w:rPr>
          <w:rFonts w:ascii="Times New Roman" w:hAnsi="Times New Roman"/>
          <w:color w:val="000000" w:themeColor="tx1" w:themeShade="FF"/>
          <w:lang w:val="sk-SK" w:eastAsia="sk-SK"/>
        </w:rPr>
        <w:t xml:space="preserve"> jedného zmluvného štátu, </w:t>
      </w:r>
      <w:r w:rsidRPr="007E60E2">
        <w:rPr>
          <w:rFonts w:ascii="Times New Roman" w:hAnsi="Times New Roman"/>
          <w:color w:val="000000" w:themeColor="tx1" w:themeShade="FF"/>
          <w:lang w:val="sk-SK" w:eastAsia="sk-SK"/>
        </w:rPr>
        <w:t xml:space="preserve">ktorý sa zdržiava v druhom zmluvnom štáte, iba </w:t>
      </w:r>
      <w:r w:rsidRPr="007E60E2" w:rsidR="00185BC9">
        <w:rPr>
          <w:rFonts w:ascii="Times New Roman" w:hAnsi="Times New Roman"/>
          <w:color w:val="000000" w:themeColor="tx1" w:themeShade="FF"/>
          <w:lang w:val="sk-SK" w:eastAsia="sk-SK"/>
        </w:rPr>
        <w:t xml:space="preserve">na účely </w:t>
      </w:r>
      <w:r w:rsidRPr="007E60E2">
        <w:rPr>
          <w:rFonts w:ascii="Times New Roman" w:hAnsi="Times New Roman"/>
          <w:color w:val="000000" w:themeColor="tx1" w:themeShade="FF"/>
          <w:lang w:val="sk-SK" w:eastAsia="sk-SK"/>
        </w:rPr>
        <w:t xml:space="preserve">jeho </w:t>
      </w:r>
      <w:r w:rsidRPr="007E60E2" w:rsidR="00185BC9">
        <w:rPr>
          <w:rFonts w:ascii="Times New Roman" w:hAnsi="Times New Roman"/>
          <w:color w:val="000000" w:themeColor="tx1" w:themeShade="FF"/>
          <w:lang w:val="sk-SK" w:eastAsia="sk-SK"/>
        </w:rPr>
        <w:t xml:space="preserve">pobytu, štúdia alebo výcviku, </w:t>
      </w:r>
      <w:r w:rsidRPr="007E60E2">
        <w:rPr>
          <w:rFonts w:ascii="Times New Roman" w:hAnsi="Times New Roman"/>
          <w:color w:val="000000" w:themeColor="tx1" w:themeShade="FF"/>
          <w:lang w:val="sk-SK" w:eastAsia="sk-SK"/>
        </w:rPr>
        <w:t xml:space="preserve">nepodliehajú dani </w:t>
      </w:r>
      <w:r w:rsidRPr="007E60E2" w:rsidR="00185BC9">
        <w:rPr>
          <w:rFonts w:ascii="Times New Roman" w:hAnsi="Times New Roman"/>
          <w:color w:val="000000" w:themeColor="tx1" w:themeShade="FF"/>
          <w:lang w:val="sk-SK" w:eastAsia="sk-SK"/>
        </w:rPr>
        <w:t>v</w:t>
      </w:r>
      <w:r w:rsidRPr="007E60E2">
        <w:rPr>
          <w:rFonts w:ascii="Times New Roman" w:hAnsi="Times New Roman"/>
          <w:color w:val="000000" w:themeColor="tx1" w:themeShade="FF"/>
          <w:lang w:val="sk-SK" w:eastAsia="sk-SK"/>
        </w:rPr>
        <w:t xml:space="preserve"> hostiteľskom </w:t>
      </w:r>
      <w:r w:rsidRPr="007E60E2" w:rsidR="00185BC9">
        <w:rPr>
          <w:rFonts w:ascii="Times New Roman" w:hAnsi="Times New Roman"/>
          <w:color w:val="000000" w:themeColor="tx1" w:themeShade="FF"/>
          <w:lang w:val="sk-SK" w:eastAsia="sk-SK"/>
        </w:rPr>
        <w:t xml:space="preserve">zmluvnom štáte, ak je ich zdroj mimo toho hostiteľského štátu. </w:t>
      </w:r>
      <w:r w:rsidRPr="007E60E2">
        <w:rPr>
          <w:rFonts w:ascii="Times New Roman" w:hAnsi="Times New Roman"/>
          <w:color w:val="000000" w:themeColor="tx1" w:themeShade="FF"/>
          <w:lang w:val="sk-SK" w:eastAsia="sk-SK"/>
        </w:rPr>
        <w:t>Ak študent v súvislosti so svojim štúdiom či výcvikom vykonáva v hostiteľskom štáte závislú činnosť a plynú mu z nej príjmy, tak v štáte zdroja je tento príjem nepodlieha dani, ak činnosť vykonáva úhrnom menej ako 183 dní počas zdaňovacieho obdobia.</w:t>
      </w:r>
    </w:p>
    <w:p w:rsidR="00185BC9" w:rsidRPr="007E60E2" w:rsidP="000149EE">
      <w:pPr>
        <w:widowControl w:val="0"/>
        <w:bidi w:val="0"/>
        <w:ind w:right="57"/>
        <w:jc w:val="both"/>
        <w:rPr>
          <w:rFonts w:ascii="Times New Roman" w:hAnsi="Times New Roman"/>
          <w:color w:val="000000" w:themeColor="tx1" w:themeShade="FF"/>
          <w:lang w:val="sk-SK" w:eastAsia="sk-SK"/>
        </w:rPr>
      </w:pPr>
    </w:p>
    <w:p w:rsidR="00185BC9" w:rsidRPr="007E60E2" w:rsidP="000149EE">
      <w:pPr>
        <w:widowControl w:val="0"/>
        <w:bidi w:val="0"/>
        <w:ind w:right="57"/>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18. </w:t>
      </w:r>
      <w:r w:rsidRPr="007E60E2">
        <w:rPr>
          <w:rFonts w:ascii="Times New Roman" w:hAnsi="Times New Roman"/>
          <w:color w:val="000000" w:themeColor="tx1" w:themeShade="FF"/>
          <w:lang w:val="sk-SK" w:eastAsia="sk-SK"/>
        </w:rPr>
        <w:t>Podľa čl</w:t>
      </w:r>
      <w:r w:rsidRPr="007E60E2" w:rsidR="00EC15E9">
        <w:rPr>
          <w:rFonts w:ascii="Times New Roman" w:hAnsi="Times New Roman"/>
          <w:color w:val="000000" w:themeColor="tx1" w:themeShade="FF"/>
          <w:lang w:val="sk-SK" w:eastAsia="sk-SK"/>
        </w:rPr>
        <w:t xml:space="preserve">. </w:t>
      </w:r>
      <w:r w:rsidRPr="007E60E2">
        <w:rPr>
          <w:rFonts w:ascii="Times New Roman" w:hAnsi="Times New Roman"/>
          <w:color w:val="000000" w:themeColor="tx1" w:themeShade="FF"/>
          <w:lang w:val="sk-SK" w:eastAsia="sk-SK"/>
        </w:rPr>
        <w:t>2</w:t>
      </w:r>
      <w:r w:rsidRPr="007E60E2" w:rsidR="00446530">
        <w:rPr>
          <w:rFonts w:ascii="Times New Roman" w:hAnsi="Times New Roman"/>
          <w:color w:val="000000" w:themeColor="tx1" w:themeShade="FF"/>
          <w:lang w:val="sk-SK" w:eastAsia="sk-SK"/>
        </w:rPr>
        <w:t>0</w:t>
      </w:r>
      <w:r w:rsidRPr="007E60E2">
        <w:rPr>
          <w:rFonts w:ascii="Times New Roman" w:hAnsi="Times New Roman"/>
          <w:color w:val="000000" w:themeColor="tx1" w:themeShade="FF"/>
          <w:lang w:val="sk-SK" w:eastAsia="sk-SK"/>
        </w:rPr>
        <w:t xml:space="preserve"> iné príjmy neuvedené v zmluve sa primárne zdaňujú v štáte rezidencie príjemcu, za predpokladu, že neplynú stálej prevádzkarni nachádzajúcej sa na území druhého štátu. </w:t>
      </w:r>
      <w:r w:rsidRPr="007E60E2" w:rsidR="006708D8">
        <w:rPr>
          <w:rFonts w:ascii="Times New Roman" w:hAnsi="Times New Roman"/>
          <w:color w:val="000000" w:themeColor="tx1" w:themeShade="FF"/>
          <w:lang w:val="sk-SK" w:eastAsia="sk-SK"/>
        </w:rPr>
        <w:t>P</w:t>
      </w:r>
      <w:r w:rsidRPr="007E60E2">
        <w:rPr>
          <w:rFonts w:ascii="Times New Roman" w:hAnsi="Times New Roman"/>
          <w:color w:val="000000" w:themeColor="tx1" w:themeShade="FF"/>
          <w:lang w:val="sk-SK" w:eastAsia="sk-SK"/>
        </w:rPr>
        <w:t xml:space="preserve">ríjmy </w:t>
      </w:r>
      <w:r w:rsidRPr="007E60E2" w:rsidR="006708D8">
        <w:rPr>
          <w:rFonts w:ascii="Times New Roman" w:hAnsi="Times New Roman"/>
          <w:color w:val="000000" w:themeColor="tx1" w:themeShade="FF"/>
          <w:lang w:val="sk-SK" w:eastAsia="sk-SK"/>
        </w:rPr>
        <w:t xml:space="preserve">z hier a lotérií </w:t>
      </w:r>
      <w:r w:rsidRPr="007E60E2">
        <w:rPr>
          <w:rFonts w:ascii="Times New Roman" w:hAnsi="Times New Roman"/>
          <w:color w:val="000000" w:themeColor="tx1" w:themeShade="FF"/>
          <w:lang w:val="sk-SK" w:eastAsia="sk-SK"/>
        </w:rPr>
        <w:t xml:space="preserve">sa môžu zdaniť v štáte zdroja. </w:t>
      </w:r>
    </w:p>
    <w:p w:rsidR="00446530" w:rsidRPr="007E60E2" w:rsidP="000149EE">
      <w:pPr>
        <w:widowControl w:val="0"/>
        <w:bidi w:val="0"/>
        <w:ind w:right="57"/>
        <w:jc w:val="both"/>
        <w:rPr>
          <w:rFonts w:ascii="Times New Roman" w:hAnsi="Times New Roman"/>
          <w:color w:val="000000" w:themeColor="tx1" w:themeShade="FF"/>
          <w:lang w:val="sk-SK" w:eastAsia="sk-SK"/>
        </w:rPr>
      </w:pPr>
    </w:p>
    <w:p w:rsidR="00446530" w:rsidRPr="007E60E2" w:rsidP="000149EE">
      <w:pPr>
        <w:pStyle w:val="zz"/>
        <w:bidi w:val="0"/>
        <w:spacing w:line="240" w:lineRule="auto"/>
        <w:ind w:left="0" w:right="57"/>
        <w:rPr>
          <w:rFonts w:ascii="Times New Roman" w:hAnsi="Times New Roman"/>
          <w:szCs w:val="24"/>
        </w:rPr>
      </w:pPr>
      <w:r w:rsidRPr="007E60E2" w:rsidR="000149EE">
        <w:rPr>
          <w:rFonts w:ascii="Times New Roman" w:hAnsi="Times New Roman"/>
          <w:szCs w:val="24"/>
        </w:rPr>
        <w:t xml:space="preserve">19. </w:t>
      </w:r>
      <w:r w:rsidRPr="007E60E2">
        <w:rPr>
          <w:rFonts w:ascii="Times New Roman" w:hAnsi="Times New Roman"/>
          <w:szCs w:val="24"/>
        </w:rPr>
        <w:t>Čl</w:t>
      </w:r>
      <w:r w:rsidRPr="007E60E2" w:rsidR="00482332">
        <w:rPr>
          <w:rFonts w:ascii="Times New Roman" w:hAnsi="Times New Roman"/>
          <w:szCs w:val="24"/>
        </w:rPr>
        <w:t>.</w:t>
      </w:r>
      <w:r w:rsidRPr="007E60E2">
        <w:rPr>
          <w:rFonts w:ascii="Times New Roman" w:hAnsi="Times New Roman"/>
          <w:szCs w:val="24"/>
        </w:rPr>
        <w:t xml:space="preserve"> 21 ustanovuje spôsob zdaňovania hnuteľného a nehnuteľného majetku v nadväznosti na čl</w:t>
      </w:r>
      <w:r w:rsidRPr="007E60E2" w:rsidR="00E62500">
        <w:rPr>
          <w:rFonts w:ascii="Times New Roman" w:hAnsi="Times New Roman"/>
          <w:szCs w:val="24"/>
        </w:rPr>
        <w:t xml:space="preserve">. </w:t>
      </w:r>
      <w:r w:rsidRPr="007E60E2">
        <w:rPr>
          <w:rFonts w:ascii="Times New Roman" w:hAnsi="Times New Roman"/>
          <w:szCs w:val="24"/>
        </w:rPr>
        <w:t>5, 6, 7 a</w:t>
      </w:r>
      <w:r w:rsidRPr="007E60E2" w:rsidR="00E62500">
        <w:rPr>
          <w:rFonts w:ascii="Times New Roman" w:hAnsi="Times New Roman"/>
          <w:color w:themeColor="tx1" w:themeShade="FF"/>
          <w:szCs w:val="24"/>
        </w:rPr>
        <w:t> </w:t>
      </w:r>
      <w:r w:rsidRPr="007E60E2">
        <w:rPr>
          <w:rFonts w:ascii="Times New Roman" w:hAnsi="Times New Roman"/>
          <w:szCs w:val="24"/>
        </w:rPr>
        <w:t xml:space="preserve">8. </w:t>
      </w:r>
    </w:p>
    <w:p w:rsidR="000149EE" w:rsidRPr="007E60E2" w:rsidP="000149EE">
      <w:pPr>
        <w:pStyle w:val="zz"/>
        <w:bidi w:val="0"/>
        <w:spacing w:line="240" w:lineRule="auto"/>
        <w:ind w:left="0" w:right="57"/>
        <w:rPr>
          <w:rFonts w:ascii="Times New Roman" w:hAnsi="Times New Roman"/>
          <w:szCs w:val="24"/>
        </w:rPr>
      </w:pPr>
    </w:p>
    <w:p w:rsidR="0043515A" w:rsidRPr="007E60E2" w:rsidP="000149EE">
      <w:pPr>
        <w:widowControl w:val="0"/>
        <w:bidi w:val="0"/>
        <w:ind w:right="57"/>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20. </w:t>
      </w:r>
      <w:r w:rsidRPr="007E60E2">
        <w:rPr>
          <w:rFonts w:ascii="Times New Roman" w:hAnsi="Times New Roman"/>
          <w:color w:val="000000" w:themeColor="tx1" w:themeShade="FF"/>
          <w:lang w:val="sk-SK" w:eastAsia="sk-SK"/>
        </w:rPr>
        <w:t xml:space="preserve">Pri zamedzení dvojitého zdanenia oba štáty uplatňujú podľa čl. 22 metódu zápočtu. </w:t>
      </w:r>
    </w:p>
    <w:p w:rsidR="0043515A" w:rsidRPr="007E60E2" w:rsidP="000149EE">
      <w:pPr>
        <w:widowControl w:val="0"/>
        <w:bidi w:val="0"/>
        <w:ind w:right="57"/>
        <w:jc w:val="both"/>
        <w:rPr>
          <w:rFonts w:ascii="Times New Roman" w:hAnsi="Times New Roman"/>
          <w:color w:val="000000" w:themeColor="tx1" w:themeShade="FF"/>
          <w:lang w:val="sk-SK" w:eastAsia="sk-SK"/>
        </w:rPr>
      </w:pPr>
    </w:p>
    <w:p w:rsidR="00185BC9" w:rsidRPr="007E60E2" w:rsidP="000149EE">
      <w:pPr>
        <w:widowControl w:val="0"/>
        <w:bidi w:val="0"/>
        <w:ind w:right="57"/>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21. </w:t>
      </w:r>
      <w:r w:rsidRPr="007E60E2">
        <w:rPr>
          <w:rFonts w:ascii="Times New Roman" w:hAnsi="Times New Roman"/>
          <w:color w:val="000000" w:themeColor="tx1" w:themeShade="FF"/>
          <w:lang w:val="sk-SK" w:eastAsia="sk-SK"/>
        </w:rPr>
        <w:t xml:space="preserve">Zásady rovnakého zaobchádzania sú ustanovené </w:t>
      </w:r>
      <w:r w:rsidRPr="007E60E2" w:rsidR="0043515A">
        <w:rPr>
          <w:rFonts w:ascii="Times New Roman" w:hAnsi="Times New Roman"/>
          <w:color w:val="000000" w:themeColor="tx1" w:themeShade="FF"/>
          <w:lang w:val="sk-SK" w:eastAsia="sk-SK"/>
        </w:rPr>
        <w:t>čl.</w:t>
      </w:r>
      <w:r w:rsidRPr="007E60E2">
        <w:rPr>
          <w:rFonts w:ascii="Times New Roman" w:hAnsi="Times New Roman"/>
          <w:color w:val="000000" w:themeColor="tx1" w:themeShade="FF"/>
          <w:lang w:val="sk-SK" w:eastAsia="sk-SK"/>
        </w:rPr>
        <w:t xml:space="preserve"> </w:t>
      </w:r>
      <w:r w:rsidRPr="007E60E2" w:rsidR="00766130">
        <w:rPr>
          <w:rFonts w:ascii="Times New Roman" w:hAnsi="Times New Roman"/>
          <w:color w:val="000000" w:themeColor="tx1" w:themeShade="FF"/>
          <w:lang w:val="sk-SK" w:eastAsia="sk-SK"/>
        </w:rPr>
        <w:t xml:space="preserve">23 </w:t>
      </w:r>
      <w:r w:rsidRPr="007E60E2">
        <w:rPr>
          <w:rFonts w:ascii="Times New Roman" w:hAnsi="Times New Roman"/>
          <w:color w:val="000000" w:themeColor="tx1" w:themeShade="FF"/>
          <w:lang w:val="sk-SK" w:eastAsia="sk-SK"/>
        </w:rPr>
        <w:t xml:space="preserve">a vzťahujú sa aj na osoby, ktoré nie sú uvedené v článku 1. Ustanovenia </w:t>
      </w:r>
      <w:r w:rsidRPr="007E60E2" w:rsidR="0043515A">
        <w:rPr>
          <w:rFonts w:ascii="Times New Roman" w:hAnsi="Times New Roman"/>
          <w:color w:val="000000" w:themeColor="tx1" w:themeShade="FF"/>
          <w:lang w:val="sk-SK" w:eastAsia="sk-SK"/>
        </w:rPr>
        <w:t xml:space="preserve">čl. </w:t>
      </w:r>
      <w:r w:rsidRPr="007E60E2" w:rsidR="00766130">
        <w:rPr>
          <w:rFonts w:ascii="Times New Roman" w:hAnsi="Times New Roman"/>
          <w:color w:val="000000" w:themeColor="tx1" w:themeShade="FF"/>
          <w:lang w:val="sk-SK" w:eastAsia="sk-SK"/>
        </w:rPr>
        <w:t xml:space="preserve">23 </w:t>
      </w:r>
      <w:r w:rsidRPr="007E60E2">
        <w:rPr>
          <w:rFonts w:ascii="Times New Roman" w:hAnsi="Times New Roman"/>
          <w:color w:val="000000" w:themeColor="tx1" w:themeShade="FF"/>
          <w:lang w:val="sk-SK" w:eastAsia="sk-SK"/>
        </w:rPr>
        <w:t>zabezpečia, aby príjmy slovenských daňovníkov zo zdroja v</w:t>
      </w:r>
      <w:r w:rsidRPr="007E60E2" w:rsidR="00766130">
        <w:rPr>
          <w:rFonts w:ascii="Times New Roman" w:hAnsi="Times New Roman"/>
          <w:color w:val="000000" w:themeColor="tx1" w:themeShade="FF"/>
          <w:lang w:val="sk-SK" w:eastAsia="sk-SK"/>
        </w:rPr>
        <w:t xml:space="preserve"> Gruzínsku </w:t>
      </w:r>
      <w:r w:rsidRPr="007E60E2">
        <w:rPr>
          <w:rFonts w:ascii="Times New Roman" w:hAnsi="Times New Roman"/>
          <w:color w:val="000000" w:themeColor="tx1" w:themeShade="FF"/>
          <w:lang w:val="sk-SK" w:eastAsia="sk-SK"/>
        </w:rPr>
        <w:t xml:space="preserve">neboli zdaňované ťaživejšie ako príjmy </w:t>
      </w:r>
      <w:r w:rsidRPr="007E60E2" w:rsidR="00766130">
        <w:rPr>
          <w:rFonts w:ascii="Times New Roman" w:hAnsi="Times New Roman"/>
          <w:color w:val="000000" w:themeColor="tx1" w:themeShade="FF"/>
          <w:lang w:val="sk-SK" w:eastAsia="sk-SK"/>
        </w:rPr>
        <w:t>gruzí</w:t>
      </w:r>
      <w:r w:rsidRPr="007E60E2">
        <w:rPr>
          <w:rFonts w:ascii="Times New Roman" w:hAnsi="Times New Roman"/>
          <w:color w:val="000000" w:themeColor="tx1" w:themeShade="FF"/>
          <w:lang w:val="sk-SK" w:eastAsia="sk-SK"/>
        </w:rPr>
        <w:t xml:space="preserve">nskych daňovníkov v rovnakom postavení. </w:t>
      </w:r>
      <w:r w:rsidRPr="007E60E2" w:rsidR="00966260">
        <w:rPr>
          <w:rFonts w:ascii="Times New Roman" w:hAnsi="Times New Roman"/>
          <w:color w:val="000000" w:themeColor="tx1" w:themeShade="FF"/>
          <w:lang w:val="sk-SK" w:eastAsia="sk-SK"/>
        </w:rPr>
        <w:t xml:space="preserve">Tento článok </w:t>
      </w:r>
      <w:r w:rsidRPr="007E60E2" w:rsidR="00473408">
        <w:rPr>
          <w:rFonts w:ascii="Times New Roman" w:hAnsi="Times New Roman"/>
          <w:color w:val="000000" w:themeColor="tx1" w:themeShade="FF"/>
          <w:lang w:val="sk-SK" w:eastAsia="sk-SK"/>
        </w:rPr>
        <w:t xml:space="preserve">však </w:t>
      </w:r>
      <w:r w:rsidRPr="007E60E2" w:rsidR="00966260">
        <w:rPr>
          <w:rFonts w:ascii="Times New Roman" w:hAnsi="Times New Roman"/>
          <w:color w:val="000000" w:themeColor="tx1" w:themeShade="FF"/>
          <w:lang w:val="sk-SK" w:eastAsia="sk-SK"/>
        </w:rPr>
        <w:t xml:space="preserve">nezaväzuje zmluvný štát, aby poskytol </w:t>
      </w:r>
      <w:r w:rsidRPr="007E60E2" w:rsidR="00473408">
        <w:rPr>
          <w:rFonts w:ascii="Times New Roman" w:hAnsi="Times New Roman"/>
          <w:color w:val="000000" w:themeColor="tx1" w:themeShade="FF"/>
          <w:lang w:val="sk-SK" w:eastAsia="sk-SK"/>
        </w:rPr>
        <w:t>rezidentovi</w:t>
      </w:r>
      <w:r w:rsidRPr="007E60E2" w:rsidR="00966260">
        <w:rPr>
          <w:rFonts w:ascii="Times New Roman" w:hAnsi="Times New Roman"/>
          <w:color w:val="000000" w:themeColor="tx1" w:themeShade="FF"/>
          <w:lang w:val="sk-SK" w:eastAsia="sk-SK"/>
        </w:rPr>
        <w:t xml:space="preserve"> druhého zmluvného štátu výhody</w:t>
      </w:r>
      <w:r w:rsidRPr="007E60E2" w:rsidR="00473408">
        <w:rPr>
          <w:rFonts w:ascii="Times New Roman" w:hAnsi="Times New Roman"/>
          <w:color w:val="000000" w:themeColor="tx1" w:themeShade="FF"/>
          <w:lang w:val="sk-SK" w:eastAsia="sk-SK"/>
        </w:rPr>
        <w:t xml:space="preserve"> formou daňovej úľavy či zníženia daňovej povinnosti</w:t>
      </w:r>
      <w:r w:rsidRPr="007E60E2" w:rsidR="00966260">
        <w:rPr>
          <w:rFonts w:ascii="Times New Roman" w:hAnsi="Times New Roman"/>
          <w:color w:val="000000" w:themeColor="tx1" w:themeShade="FF"/>
          <w:lang w:val="sk-SK" w:eastAsia="sk-SK"/>
        </w:rPr>
        <w:t>, aké z</w:t>
      </w:r>
      <w:r w:rsidRPr="007E60E2" w:rsidR="00263210">
        <w:rPr>
          <w:rFonts w:ascii="Times New Roman" w:hAnsi="Times New Roman"/>
          <w:color w:val="000000" w:themeColor="tx1" w:themeShade="FF"/>
          <w:lang w:val="sk-SK" w:eastAsia="sk-SK"/>
        </w:rPr>
        <w:t> </w:t>
      </w:r>
      <w:r w:rsidRPr="007E60E2" w:rsidR="00966260">
        <w:rPr>
          <w:rFonts w:ascii="Times New Roman" w:hAnsi="Times New Roman"/>
          <w:color w:val="000000" w:themeColor="tx1" w:themeShade="FF"/>
          <w:lang w:val="sk-SK" w:eastAsia="sk-SK"/>
        </w:rPr>
        <w:t>dôvodu osobného stavu alebo rodinných záväzkov priznáva svojim vlastným rezidentom.</w:t>
      </w:r>
      <w:r w:rsidRPr="007E60E2" w:rsidR="00473408">
        <w:rPr>
          <w:rFonts w:ascii="Times New Roman" w:hAnsi="Times New Roman"/>
          <w:color w:val="000000" w:themeColor="tx1" w:themeShade="FF"/>
          <w:lang w:val="sk-SK" w:eastAsia="sk-SK"/>
        </w:rPr>
        <w:t xml:space="preserve"> Význam pojmov „úľavy“, „zľavy“ či „zníženia“ je určený podľa vnútroštátnych právnych predpisov každého zmluvného štátu. </w:t>
      </w:r>
    </w:p>
    <w:p w:rsidR="000149EE"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0149EE">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22. </w:t>
      </w:r>
      <w:r w:rsidRPr="007E60E2">
        <w:rPr>
          <w:rFonts w:ascii="Times New Roman" w:hAnsi="Times New Roman"/>
          <w:color w:val="000000" w:themeColor="tx1" w:themeShade="FF"/>
          <w:lang w:val="sk-SK" w:eastAsia="sk-SK"/>
        </w:rPr>
        <w:t xml:space="preserve">Podmienky dohodovacieho konania, v prípade zdaňovania príjmov v rozpore so zmluvou, definuje </w:t>
      </w:r>
      <w:r w:rsidRPr="007E60E2" w:rsidR="0043515A">
        <w:rPr>
          <w:rFonts w:ascii="Times New Roman" w:hAnsi="Times New Roman"/>
          <w:color w:val="000000" w:themeColor="tx1" w:themeShade="FF"/>
          <w:lang w:val="sk-SK" w:eastAsia="sk-SK"/>
        </w:rPr>
        <w:t>čl.</w:t>
      </w:r>
      <w:r w:rsidRPr="007E60E2" w:rsidR="00E9182B">
        <w:rPr>
          <w:rFonts w:ascii="Times New Roman" w:hAnsi="Times New Roman"/>
          <w:color w:val="000000" w:themeColor="tx1" w:themeShade="FF"/>
          <w:lang w:val="sk-SK" w:eastAsia="sk-SK"/>
        </w:rPr>
        <w:t> </w:t>
      </w:r>
      <w:r w:rsidRPr="007E60E2">
        <w:rPr>
          <w:rFonts w:ascii="Times New Roman" w:hAnsi="Times New Roman"/>
          <w:color w:val="000000" w:themeColor="tx1" w:themeShade="FF"/>
          <w:lang w:val="sk-SK" w:eastAsia="sk-SK"/>
        </w:rPr>
        <w:t>2</w:t>
      </w:r>
      <w:r w:rsidRPr="007E60E2" w:rsidR="00766130">
        <w:rPr>
          <w:rFonts w:ascii="Times New Roman" w:hAnsi="Times New Roman"/>
          <w:color w:val="000000" w:themeColor="tx1" w:themeShade="FF"/>
          <w:lang w:val="sk-SK" w:eastAsia="sk-SK"/>
        </w:rPr>
        <w:t>4</w:t>
      </w:r>
      <w:r w:rsidRPr="007E60E2">
        <w:rPr>
          <w:rFonts w:ascii="Times New Roman" w:hAnsi="Times New Roman"/>
          <w:color w:val="000000" w:themeColor="tx1" w:themeShade="FF"/>
          <w:lang w:val="sk-SK" w:eastAsia="sk-SK"/>
        </w:rPr>
        <w:t xml:space="preserve">.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23.</w:t>
      </w:r>
      <w:r w:rsidRPr="007E60E2">
        <w:rPr>
          <w:rFonts w:ascii="Times New Roman" w:hAnsi="Times New Roman"/>
          <w:color w:val="000000" w:themeColor="tx1" w:themeShade="FF"/>
          <w:lang w:val="sk-SK" w:eastAsia="sk-SK"/>
        </w:rPr>
        <w:t xml:space="preserve"> Výmena daňových informácií je upravená </w:t>
      </w:r>
      <w:r w:rsidRPr="007E60E2" w:rsidR="0043515A">
        <w:rPr>
          <w:rFonts w:ascii="Times New Roman" w:hAnsi="Times New Roman"/>
          <w:color w:val="000000" w:themeColor="tx1" w:themeShade="FF"/>
          <w:lang w:val="sk-SK" w:eastAsia="sk-SK"/>
        </w:rPr>
        <w:t xml:space="preserve">čl. </w:t>
      </w:r>
      <w:r w:rsidRPr="007E60E2">
        <w:rPr>
          <w:rFonts w:ascii="Times New Roman" w:hAnsi="Times New Roman"/>
          <w:color w:val="000000" w:themeColor="tx1" w:themeShade="FF"/>
          <w:lang w:val="sk-SK" w:eastAsia="sk-SK"/>
        </w:rPr>
        <w:t>2</w:t>
      </w:r>
      <w:r w:rsidRPr="007E60E2" w:rsidR="00E5442E">
        <w:rPr>
          <w:rFonts w:ascii="Times New Roman" w:hAnsi="Times New Roman"/>
          <w:color w:val="000000" w:themeColor="tx1" w:themeShade="FF"/>
          <w:lang w:val="sk-SK" w:eastAsia="sk-SK"/>
        </w:rPr>
        <w:t>5</w:t>
      </w:r>
      <w:r w:rsidRPr="007E60E2">
        <w:rPr>
          <w:rFonts w:ascii="Times New Roman" w:hAnsi="Times New Roman"/>
          <w:color w:val="000000" w:themeColor="tx1" w:themeShade="FF"/>
          <w:lang w:val="sk-SK" w:eastAsia="sk-SK"/>
        </w:rPr>
        <w:t xml:space="preserve">, ktorý zodpovedá </w:t>
      </w:r>
      <w:r w:rsidRPr="007E60E2" w:rsidR="00E5442E">
        <w:rPr>
          <w:rFonts w:ascii="Times New Roman" w:hAnsi="Times New Roman"/>
          <w:color w:val="000000" w:themeColor="tx1" w:themeShade="FF"/>
          <w:lang w:val="sk-SK" w:eastAsia="sk-SK"/>
        </w:rPr>
        <w:t xml:space="preserve">aktualizovanému zneniu Modelovej daňovej zmluvy OECD </w:t>
      </w:r>
      <w:r w:rsidRPr="007E60E2">
        <w:rPr>
          <w:rFonts w:ascii="Times New Roman" w:hAnsi="Times New Roman"/>
          <w:color w:val="000000" w:themeColor="tx1" w:themeShade="FF"/>
          <w:lang w:val="sk-SK" w:eastAsia="sk-SK"/>
        </w:rPr>
        <w:t xml:space="preserve">a náležitej ochrane daňového tajomstva. Výmena daňových informácií </w:t>
      </w:r>
      <w:r w:rsidRPr="007E60E2" w:rsidR="00E5442E">
        <w:rPr>
          <w:rFonts w:ascii="Times New Roman" w:hAnsi="Times New Roman"/>
          <w:color w:val="000000" w:themeColor="tx1" w:themeShade="FF"/>
          <w:lang w:val="sk-SK" w:eastAsia="sk-SK"/>
        </w:rPr>
        <w:t>sa vzťahuje na všetky druhy daní a</w:t>
      </w:r>
      <w:r w:rsidRPr="007E60E2" w:rsidR="00644C54">
        <w:rPr>
          <w:rFonts w:ascii="Times New Roman" w:hAnsi="Times New Roman"/>
          <w:color w:val="000000" w:themeColor="tx1" w:themeShade="FF"/>
          <w:lang w:val="sk-SK" w:eastAsia="sk-SK"/>
        </w:rPr>
        <w:t xml:space="preserve"> taktiež </w:t>
      </w:r>
      <w:r w:rsidRPr="007E60E2" w:rsidR="00E5442E">
        <w:rPr>
          <w:rFonts w:ascii="Times New Roman" w:hAnsi="Times New Roman"/>
          <w:color w:val="000000" w:themeColor="tx1" w:themeShade="FF"/>
          <w:lang w:val="sk-SK" w:eastAsia="sk-SK"/>
        </w:rPr>
        <w:t xml:space="preserve">na všetky osoby bez ohľadu na </w:t>
      </w:r>
      <w:r w:rsidRPr="007E60E2" w:rsidR="00644C54">
        <w:rPr>
          <w:rFonts w:ascii="Times New Roman" w:hAnsi="Times New Roman"/>
          <w:color w:val="000000" w:themeColor="tx1" w:themeShade="FF"/>
          <w:lang w:val="sk-SK" w:eastAsia="sk-SK"/>
        </w:rPr>
        <w:t>ich štát rezidencie</w:t>
      </w:r>
      <w:r w:rsidRPr="007E60E2">
        <w:rPr>
          <w:rFonts w:ascii="Times New Roman" w:hAnsi="Times New Roman"/>
          <w:color w:val="000000" w:themeColor="tx1" w:themeShade="FF"/>
          <w:lang w:val="sk-SK" w:eastAsia="sk-SK"/>
        </w:rPr>
        <w:t xml:space="preserve">. Ustanovenia </w:t>
      </w:r>
      <w:r w:rsidRPr="007E60E2" w:rsidR="0043515A">
        <w:rPr>
          <w:rFonts w:ascii="Times New Roman" w:hAnsi="Times New Roman"/>
          <w:color w:val="000000" w:themeColor="tx1" w:themeShade="FF"/>
          <w:lang w:val="sk-SK" w:eastAsia="sk-SK"/>
        </w:rPr>
        <w:t xml:space="preserve">čl. </w:t>
      </w:r>
      <w:r w:rsidRPr="007E60E2" w:rsidR="00766130">
        <w:rPr>
          <w:rFonts w:ascii="Times New Roman" w:hAnsi="Times New Roman"/>
          <w:color w:val="000000" w:themeColor="tx1" w:themeShade="FF"/>
          <w:lang w:val="sk-SK" w:eastAsia="sk-SK"/>
        </w:rPr>
        <w:t>25</w:t>
      </w:r>
      <w:r w:rsidRPr="007E60E2">
        <w:rPr>
          <w:rFonts w:ascii="Times New Roman" w:hAnsi="Times New Roman"/>
          <w:color w:val="000000" w:themeColor="tx1" w:themeShade="FF"/>
          <w:lang w:val="sk-SK" w:eastAsia="sk-SK"/>
        </w:rPr>
        <w:t xml:space="preserve"> </w:t>
      </w:r>
      <w:r w:rsidRPr="007E60E2" w:rsidR="00766130">
        <w:rPr>
          <w:rFonts w:ascii="Times New Roman" w:hAnsi="Times New Roman"/>
          <w:color w:val="000000" w:themeColor="tx1" w:themeShade="FF"/>
          <w:lang w:val="sk-SK" w:eastAsia="sk-SK"/>
        </w:rPr>
        <w:t xml:space="preserve">explicitne </w:t>
      </w:r>
      <w:r w:rsidRPr="007E60E2">
        <w:rPr>
          <w:rFonts w:ascii="Times New Roman" w:hAnsi="Times New Roman"/>
          <w:color w:val="000000" w:themeColor="tx1" w:themeShade="FF"/>
          <w:lang w:val="sk-SK" w:eastAsia="sk-SK"/>
        </w:rPr>
        <w:t>umožňujú výmenu informácií, ktorých vlastníkom je napr. banka, finančná inštitúcia</w:t>
      </w:r>
      <w:r w:rsidRPr="007E60E2" w:rsidR="00766130">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agent alebo splnomocnený zástupca</w:t>
      </w:r>
      <w:r w:rsidRPr="007E60E2">
        <w:rPr>
          <w:rFonts w:ascii="Times New Roman" w:hAnsi="Times New Roman"/>
          <w:color w:val="000000" w:themeColor="tx1" w:themeShade="FF"/>
          <w:lang w:val="sk-SK"/>
        </w:rPr>
        <w:t>. Výklad pojmov banka, finančná inštitúcia či agent sa uskutočňuje v súlade s vnútroštátnymi predpismi zmluvného štátu a v zásade sa pod týmito pojmami rozumie akákoľvek osoba</w:t>
      </w:r>
      <w:r w:rsidRPr="007E60E2" w:rsidR="00766130">
        <w:rPr>
          <w:rFonts w:ascii="Times New Roman" w:hAnsi="Times New Roman"/>
          <w:color w:val="000000" w:themeColor="tx1" w:themeShade="FF"/>
          <w:lang w:val="sk-SK"/>
        </w:rPr>
        <w:t xml:space="preserve"> (vrátane inštitúcie)</w:t>
      </w:r>
      <w:r w:rsidRPr="007E60E2">
        <w:rPr>
          <w:rFonts w:ascii="Times New Roman" w:hAnsi="Times New Roman"/>
          <w:color w:val="000000" w:themeColor="tx1" w:themeShade="FF"/>
          <w:lang w:val="sk-SK"/>
        </w:rPr>
        <w:t>, ktorá podľa vnútroštátnych predpisov podlieha zákonom uznanej povinnosti mlčanlivosti (napr. povinnosť banky a pobočky zahraničnej banky dodržiavať bankové tajomstvo, povinnosť správcovských spoločností zachovávať mlčanlivosť, povinnosť centrálneho depozitára cenných papierov zachovávať mlčanlivosť, povinnosť advokáta zachovávať mlčanlivosť atď.).</w:t>
      </w:r>
      <w:r w:rsidRPr="007E60E2">
        <w:rPr>
          <w:rFonts w:ascii="Times New Roman" w:hAnsi="Times New Roman"/>
          <w:color w:val="000000" w:themeColor="tx1" w:themeShade="FF"/>
          <w:lang w:val="sk-SK" w:eastAsia="sk-SK"/>
        </w:rPr>
        <w:t xml:space="preserve"> </w:t>
      </w:r>
    </w:p>
    <w:p w:rsidR="00185BC9" w:rsidP="00185BC9">
      <w:pPr>
        <w:widowControl w:val="0"/>
        <w:bidi w:val="0"/>
        <w:ind w:right="56"/>
        <w:jc w:val="both"/>
        <w:rPr>
          <w:rFonts w:ascii="Times New Roman" w:hAnsi="Times New Roman"/>
          <w:color w:val="000000" w:themeColor="tx1" w:themeShade="FF"/>
          <w:lang w:val="sk-SK" w:eastAsia="sk-SK"/>
        </w:rPr>
      </w:pPr>
    </w:p>
    <w:p w:rsidR="00192225" w:rsidRPr="007E60E2" w:rsidP="00192225">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24. </w:t>
      </w:r>
      <w:r w:rsidRPr="007E60E2">
        <w:rPr>
          <w:rFonts w:ascii="Times New Roman" w:hAnsi="Times New Roman"/>
          <w:color w:val="000000" w:themeColor="tx1" w:themeShade="FF"/>
          <w:lang w:val="sk-SK" w:eastAsia="sk-SK"/>
        </w:rPr>
        <w:t>Čl</w:t>
      </w:r>
      <w:r w:rsidRPr="007E60E2" w:rsidR="0043515A">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w:t>
      </w:r>
      <w:r w:rsidRPr="007E60E2" w:rsidR="00E5442E">
        <w:rPr>
          <w:rFonts w:ascii="Times New Roman" w:hAnsi="Times New Roman"/>
          <w:color w:val="000000" w:themeColor="tx1" w:themeShade="FF"/>
          <w:lang w:val="sk-SK" w:eastAsia="sk-SK"/>
        </w:rPr>
        <w:t xml:space="preserve">26 </w:t>
      </w:r>
      <w:r w:rsidRPr="007E60E2">
        <w:rPr>
          <w:rFonts w:ascii="Times New Roman" w:hAnsi="Times New Roman"/>
          <w:color w:val="000000" w:themeColor="tx1" w:themeShade="FF"/>
          <w:lang w:val="sk-SK" w:eastAsia="sk-SK"/>
        </w:rPr>
        <w:t>potvrdzuje daňové výsady prislúchajúce členom diplomatického a konzulárneho personálu vyplývajúce zo všeobecných pravidiel medzinárodného práva alebo na základe ustanovení osobitných dohôd.</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25. </w:t>
      </w:r>
      <w:r w:rsidRPr="007E60E2">
        <w:rPr>
          <w:rFonts w:ascii="Times New Roman" w:hAnsi="Times New Roman"/>
          <w:color w:val="000000" w:themeColor="tx1" w:themeShade="FF"/>
          <w:lang w:val="sk-SK" w:eastAsia="sk-SK"/>
        </w:rPr>
        <w:t>Čl</w:t>
      </w:r>
      <w:r w:rsidRPr="007E60E2" w:rsidR="0043515A">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2</w:t>
      </w:r>
      <w:r w:rsidRPr="007E60E2" w:rsidR="00E5442E">
        <w:rPr>
          <w:rFonts w:ascii="Times New Roman" w:hAnsi="Times New Roman"/>
          <w:color w:val="000000" w:themeColor="tx1" w:themeShade="FF"/>
          <w:lang w:val="sk-SK" w:eastAsia="sk-SK"/>
        </w:rPr>
        <w:t>7</w:t>
      </w:r>
      <w:r w:rsidRPr="007E60E2">
        <w:rPr>
          <w:rFonts w:ascii="Times New Roman" w:hAnsi="Times New Roman"/>
          <w:color w:val="000000" w:themeColor="tx1" w:themeShade="FF"/>
          <w:lang w:val="sk-SK" w:eastAsia="sk-SK"/>
        </w:rPr>
        <w:t xml:space="preserve"> ustanovuje spôsob nadobudnutia platnosti zmluvy. Zmluva nadobudne platnosť </w:t>
      </w:r>
      <w:r w:rsidRPr="007E60E2" w:rsidR="00E5442E">
        <w:rPr>
          <w:rFonts w:ascii="Times New Roman" w:hAnsi="Times New Roman"/>
          <w:color w:val="000000" w:themeColor="tx1" w:themeShade="FF"/>
          <w:lang w:val="sk-SK" w:eastAsia="sk-SK"/>
        </w:rPr>
        <w:t>šesťdesiatym</w:t>
      </w:r>
      <w:r w:rsidRPr="007E60E2">
        <w:rPr>
          <w:rFonts w:ascii="Times New Roman" w:hAnsi="Times New Roman"/>
          <w:color w:val="000000" w:themeColor="tx1" w:themeShade="FF"/>
          <w:lang w:val="sk-SK" w:eastAsia="sk-SK"/>
        </w:rPr>
        <w:t xml:space="preserve"> dňom </w:t>
      </w:r>
      <w:r w:rsidRPr="007E60E2" w:rsidR="00E5442E">
        <w:rPr>
          <w:rFonts w:ascii="Times New Roman" w:hAnsi="Times New Roman"/>
          <w:color w:val="000000" w:themeColor="tx1" w:themeShade="FF"/>
          <w:lang w:val="sk-SK" w:eastAsia="sk-SK"/>
        </w:rPr>
        <w:t>od neskoršieho oznámenia o splnení vnútroštátnych podmienok pre nadobudnutie platnosti</w:t>
      </w:r>
      <w:r w:rsidRPr="007E60E2">
        <w:rPr>
          <w:rFonts w:ascii="Times New Roman" w:hAnsi="Times New Roman"/>
          <w:color w:val="000000" w:themeColor="tx1" w:themeShade="FF"/>
          <w:lang w:val="sk-SK" w:eastAsia="sk-SK"/>
        </w:rPr>
        <w:t xml:space="preserve">. Zmluva sa začne vykonávať od 1. januára </w:t>
      </w:r>
      <w:r w:rsidRPr="007E60E2" w:rsidR="00E5442E">
        <w:rPr>
          <w:rFonts w:ascii="Times New Roman" w:hAnsi="Times New Roman"/>
          <w:color w:val="000000" w:themeColor="tx1" w:themeShade="FF"/>
          <w:lang w:val="sk-SK" w:eastAsia="sk-SK"/>
        </w:rPr>
        <w:t xml:space="preserve">kalendárneho roka, ktorý nasleduje </w:t>
      </w:r>
      <w:r w:rsidRPr="007E60E2">
        <w:rPr>
          <w:rFonts w:ascii="Times New Roman" w:hAnsi="Times New Roman"/>
          <w:color w:val="000000" w:themeColor="tx1" w:themeShade="FF"/>
          <w:lang w:val="sk-SK" w:eastAsia="sk-SK"/>
        </w:rPr>
        <w:t xml:space="preserve">po roku, v ktorom zmluva nadobudne platnosť. </w:t>
      </w:r>
    </w:p>
    <w:p w:rsidR="000149EE" w:rsidRPr="007E60E2" w:rsidP="000149EE">
      <w:pPr>
        <w:widowControl w:val="0"/>
        <w:bidi w:val="0"/>
        <w:ind w:right="56"/>
        <w:jc w:val="both"/>
        <w:rPr>
          <w:rFonts w:ascii="Times New Roman" w:hAnsi="Times New Roman"/>
          <w:color w:val="000000" w:themeColor="tx1" w:themeShade="FF"/>
          <w:lang w:val="sk-SK" w:eastAsia="sk-SK"/>
        </w:rPr>
      </w:pPr>
    </w:p>
    <w:p w:rsidR="00185BC9" w:rsidRPr="007E60E2" w:rsidP="000149EE">
      <w:pPr>
        <w:widowControl w:val="0"/>
        <w:bidi w:val="0"/>
        <w:ind w:right="56"/>
        <w:jc w:val="both"/>
        <w:rPr>
          <w:rFonts w:ascii="Times New Roman" w:hAnsi="Times New Roman"/>
          <w:color w:val="000000" w:themeColor="tx1" w:themeShade="FF"/>
          <w:lang w:val="sk-SK" w:eastAsia="sk-SK"/>
        </w:rPr>
      </w:pPr>
      <w:r w:rsidRPr="007E60E2" w:rsidR="000149EE">
        <w:rPr>
          <w:rFonts w:ascii="Times New Roman" w:hAnsi="Times New Roman"/>
          <w:color w:val="000000" w:themeColor="tx1" w:themeShade="FF"/>
          <w:lang w:val="sk-SK" w:eastAsia="sk-SK"/>
        </w:rPr>
        <w:t xml:space="preserve">26. </w:t>
      </w:r>
      <w:r w:rsidRPr="007E60E2">
        <w:rPr>
          <w:rFonts w:ascii="Times New Roman" w:hAnsi="Times New Roman"/>
          <w:color w:val="000000" w:themeColor="tx1" w:themeShade="FF"/>
          <w:lang w:val="sk-SK" w:eastAsia="sk-SK"/>
        </w:rPr>
        <w:t>Podľa čl</w:t>
      </w:r>
      <w:r w:rsidRPr="007E60E2" w:rsidR="0043515A">
        <w:rPr>
          <w:rFonts w:ascii="Times New Roman" w:hAnsi="Times New Roman"/>
          <w:color w:val="000000" w:themeColor="tx1" w:themeShade="FF"/>
          <w:lang w:val="sk-SK" w:eastAsia="sk-SK"/>
        </w:rPr>
        <w:t>.</w:t>
      </w:r>
      <w:r w:rsidRPr="007E60E2">
        <w:rPr>
          <w:rFonts w:ascii="Times New Roman" w:hAnsi="Times New Roman"/>
          <w:color w:val="000000" w:themeColor="tx1" w:themeShade="FF"/>
          <w:lang w:val="sk-SK" w:eastAsia="sk-SK"/>
        </w:rPr>
        <w:t xml:space="preserve"> 28 sa zmluva uzaviera na neurčitý čas. Zmluvu je možné vypovedať diplomatickou cestou najskôr po piatich rokoch od nadobudnutia jej platnosti. </w:t>
      </w: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p>
    <w:p w:rsidR="00185BC9" w:rsidRPr="007E60E2" w:rsidP="00185BC9">
      <w:pPr>
        <w:widowControl w:val="0"/>
        <w:bidi w:val="0"/>
        <w:ind w:right="56"/>
        <w:jc w:val="both"/>
        <w:rPr>
          <w:rFonts w:ascii="Times New Roman" w:hAnsi="Times New Roman"/>
          <w:color w:val="000000" w:themeColor="tx1" w:themeShade="FF"/>
          <w:lang w:val="sk-SK" w:eastAsia="sk-SK"/>
        </w:rPr>
      </w:pPr>
    </w:p>
    <w:p w:rsidR="002B04DB" w:rsidRPr="007E60E2" w:rsidP="00E33D9B">
      <w:pPr>
        <w:widowControl w:val="0"/>
        <w:bidi w:val="0"/>
        <w:ind w:right="56"/>
        <w:jc w:val="both"/>
        <w:rPr>
          <w:rFonts w:ascii="Times New Roman" w:hAnsi="Times New Roman"/>
          <w:color w:val="000000" w:themeColor="tx1" w:themeShade="FF"/>
          <w:lang w:val="sk-SK" w:eastAsia="sk-SK"/>
        </w:rPr>
      </w:pPr>
    </w:p>
    <w:sectPr w:rsidSect="006D0A3A">
      <w:footerReference w:type="even" r:id="rId4"/>
      <w:footerReference w:type="default" r:id="rId5"/>
      <w:footerReference w:type="first" r:id="rId6"/>
      <w:pgSz w:w="11906" w:h="16838"/>
      <w:pgMar w:top="1135" w:right="1416" w:bottom="1276" w:left="1800" w:header="708" w:footer="560" w:gutter="0"/>
      <w:lnNumType w:distance="0"/>
      <w:cols w:space="708"/>
      <w:noEndnote w:val="0"/>
      <w:titlePg/>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altName w:val=" Times"/>
    <w:panose1 w:val="02020603050405020304"/>
    <w:charset w:val="EE"/>
    <w:family w:val="roman"/>
    <w:pitch w:val="variable"/>
    <w:sig w:usb0="00000000" w:usb1="00000000" w:usb2="00000000" w:usb3="00000000" w:csb0="000001FF" w:csb1="00000000"/>
  </w:font>
  <w:font w:name="Cambria Math">
    <w:altName w:val="Palatino Linotype"/>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Century Gothic"/>
    <w:panose1 w:val="020F0502020204030204"/>
    <w:charset w:val="EE"/>
    <w:family w:val="swiss"/>
    <w:pitch w:val="variable"/>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E2" w:rsidP="00C70F6F">
    <w:pPr>
      <w:pStyle w:val="Footer"/>
      <w:framePr w:wrap="around" w:vAnchor="text"/>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rPr>
      <w:fldChar w:fldCharType="end"/>
    </w:r>
  </w:p>
  <w:p w:rsidR="00F26AE2" w:rsidP="00C70F6F">
    <w:pPr>
      <w:pStyle w:val="Footer"/>
      <w:ind w:right="360"/>
      <w:rPr>
        <w:rFonts w:ascii="Times New Roman" w:hAnsi="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E2" w:rsidRPr="0007418C">
    <w:pPr>
      <w:pStyle w:val="Footer"/>
      <w:jc w:val="center"/>
      <w:rPr>
        <w:rFonts w:ascii="Times New Roman" w:hAnsi="Times New Roman"/>
        <w:sz w:val="16"/>
        <w:szCs w:val="16"/>
      </w:rPr>
    </w:pPr>
    <w:r w:rsidRPr="0007418C">
      <w:rPr>
        <w:rFonts w:ascii="Times New Roman" w:hAnsi="Times New Roman"/>
        <w:sz w:val="16"/>
        <w:szCs w:val="16"/>
      </w:rPr>
      <w:fldChar w:fldCharType="begin"/>
    </w:r>
    <w:r w:rsidRPr="0007418C">
      <w:rPr>
        <w:rFonts w:ascii="Times New Roman" w:hAnsi="Times New Roman"/>
        <w:sz w:val="16"/>
        <w:szCs w:val="16"/>
      </w:rPr>
      <w:instrText xml:space="preserve"> PAGE   \* MERGEFORMAT </w:instrText>
    </w:r>
    <w:r w:rsidRPr="0007418C">
      <w:rPr>
        <w:rFonts w:ascii="Times New Roman" w:hAnsi="Times New Roman"/>
        <w:sz w:val="16"/>
        <w:szCs w:val="16"/>
      </w:rPr>
      <w:fldChar w:fldCharType="separate"/>
    </w:r>
    <w:r w:rsidR="005F4A7D">
      <w:rPr>
        <w:rFonts w:ascii="Times New Roman" w:hAnsi="Times New Roman"/>
        <w:noProof/>
        <w:sz w:val="16"/>
        <w:szCs w:val="16"/>
      </w:rPr>
      <w:t>4</w:t>
    </w:r>
    <w:r w:rsidRPr="0007418C">
      <w:rPr>
        <w:rFonts w:ascii="Times New Roman" w:hAnsi="Times New Roman"/>
        <w:sz w:val="16"/>
        <w:szCs w:val="16"/>
      </w:rPr>
      <w:fldChar w:fldCharType="end"/>
    </w:r>
  </w:p>
  <w:p w:rsidR="00F26AE2" w:rsidRPr="006D0A3A" w:rsidP="006D0A3A">
    <w:pPr>
      <w:pStyle w:val="Footer"/>
      <w:rPr>
        <w:rFonts w:ascii="Times New Roman" w:hAnsi="Times New Roman"/>
        <w:lang w:val="sk-SK"/>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AE2" w:rsidRPr="00F26AE2">
    <w:pPr>
      <w:pStyle w:val="Footer"/>
      <w:jc w:val="center"/>
      <w:rPr>
        <w:rFonts w:ascii="Times New Roman" w:hAnsi="Times New Roman"/>
        <w:sz w:val="16"/>
        <w:szCs w:val="16"/>
      </w:rPr>
    </w:pPr>
    <w:r w:rsidRPr="00F26AE2">
      <w:rPr>
        <w:rFonts w:ascii="Times New Roman" w:hAnsi="Times New Roman"/>
        <w:sz w:val="16"/>
        <w:szCs w:val="16"/>
      </w:rPr>
      <w:fldChar w:fldCharType="begin"/>
    </w:r>
    <w:r w:rsidRPr="00F26AE2">
      <w:rPr>
        <w:rFonts w:ascii="Times New Roman" w:hAnsi="Times New Roman"/>
        <w:sz w:val="16"/>
        <w:szCs w:val="16"/>
      </w:rPr>
      <w:instrText xml:space="preserve"> PAGE   \* MERGEFORMAT </w:instrText>
    </w:r>
    <w:r w:rsidRPr="00F26AE2">
      <w:rPr>
        <w:rFonts w:ascii="Times New Roman" w:hAnsi="Times New Roman"/>
        <w:sz w:val="16"/>
        <w:szCs w:val="16"/>
      </w:rPr>
      <w:fldChar w:fldCharType="separate"/>
    </w:r>
    <w:r w:rsidR="005F4A7D">
      <w:rPr>
        <w:rFonts w:ascii="Times New Roman" w:hAnsi="Times New Roman"/>
        <w:noProof/>
        <w:sz w:val="16"/>
        <w:szCs w:val="16"/>
      </w:rPr>
      <w:t>1</w:t>
    </w:r>
    <w:r w:rsidRPr="00F26AE2">
      <w:rPr>
        <w:rFonts w:ascii="Times New Roman" w:hAnsi="Times New Roman"/>
        <w:sz w:val="16"/>
        <w:szCs w:val="16"/>
      </w:rPr>
      <w:fldChar w:fldCharType="end"/>
    </w:r>
  </w:p>
  <w:p w:rsidR="00F26AE2">
    <w:pPr>
      <w:pStyle w:val="Footer"/>
      <w:rPr>
        <w:rFonts w:ascii="Times New Roman" w:hAnsi="Times New Roman"/>
      </w:rPr>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TrackMoves/>
  <w:defaultTabStop w:val="708"/>
  <w:hyphenationZone w:val="425"/>
  <w:characterSpacingControl w:val="doNotCompress"/>
  <w:compat/>
  <w:rsids>
    <w:rsidRoot w:val="00185BC9"/>
    <w:rsid w:val="000149EE"/>
    <w:rsid w:val="00015294"/>
    <w:rsid w:val="00020E87"/>
    <w:rsid w:val="00067E93"/>
    <w:rsid w:val="0007418C"/>
    <w:rsid w:val="00120A84"/>
    <w:rsid w:val="001538F1"/>
    <w:rsid w:val="00182555"/>
    <w:rsid w:val="00185BC9"/>
    <w:rsid w:val="00192225"/>
    <w:rsid w:val="001A1F09"/>
    <w:rsid w:val="00263210"/>
    <w:rsid w:val="00285C9C"/>
    <w:rsid w:val="002968EA"/>
    <w:rsid w:val="002B04DB"/>
    <w:rsid w:val="002E225C"/>
    <w:rsid w:val="002E7FAC"/>
    <w:rsid w:val="00392402"/>
    <w:rsid w:val="003F3093"/>
    <w:rsid w:val="0043515A"/>
    <w:rsid w:val="004434FD"/>
    <w:rsid w:val="00446530"/>
    <w:rsid w:val="00453AFC"/>
    <w:rsid w:val="00473408"/>
    <w:rsid w:val="00482332"/>
    <w:rsid w:val="004C41C8"/>
    <w:rsid w:val="004E66A7"/>
    <w:rsid w:val="00550A60"/>
    <w:rsid w:val="005841BA"/>
    <w:rsid w:val="00592146"/>
    <w:rsid w:val="005F4A7D"/>
    <w:rsid w:val="00644C54"/>
    <w:rsid w:val="00653F67"/>
    <w:rsid w:val="006708D8"/>
    <w:rsid w:val="006D0A3A"/>
    <w:rsid w:val="007026C0"/>
    <w:rsid w:val="00707D84"/>
    <w:rsid w:val="007372B5"/>
    <w:rsid w:val="007456AB"/>
    <w:rsid w:val="00761E1C"/>
    <w:rsid w:val="00766130"/>
    <w:rsid w:val="007744FE"/>
    <w:rsid w:val="007D056A"/>
    <w:rsid w:val="007E60E2"/>
    <w:rsid w:val="0084116A"/>
    <w:rsid w:val="008A2191"/>
    <w:rsid w:val="00966260"/>
    <w:rsid w:val="009B6A6A"/>
    <w:rsid w:val="009D3CDC"/>
    <w:rsid w:val="00AA3E2A"/>
    <w:rsid w:val="00B248E4"/>
    <w:rsid w:val="00C70F6F"/>
    <w:rsid w:val="00C82A98"/>
    <w:rsid w:val="00CD281C"/>
    <w:rsid w:val="00D33C5A"/>
    <w:rsid w:val="00E17B13"/>
    <w:rsid w:val="00E33D9B"/>
    <w:rsid w:val="00E4772E"/>
    <w:rsid w:val="00E5442E"/>
    <w:rsid w:val="00E544C6"/>
    <w:rsid w:val="00E62500"/>
    <w:rsid w:val="00E9182B"/>
    <w:rsid w:val="00EC15E9"/>
    <w:rsid w:val="00EE45C8"/>
    <w:rsid w:val="00F26AE2"/>
    <w:rsid w:val="00F64AA0"/>
    <w:rsid w:val="00F7190C"/>
    <w:rsid w:val="00F8738F"/>
    <w:rsid w:val="00FC0F92"/>
    <w:rsid w:val="00FE0BF6"/>
  </w:rsids>
  <m:mathPr>
    <m:mathFont m:val="Cambria Math"/>
  </m:mathPr>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eastAsia="Times New Roman" w:asciiTheme="minorHAnsi" w:hAnsiTheme="minorHAnsi" w:cstheme="minorHAnsi"/>
        <w:sz w:val="22"/>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BC9"/>
    <w:pPr>
      <w:framePr w:wrap="auto"/>
      <w:widowControl/>
      <w:autoSpaceDE/>
      <w:autoSpaceDN/>
      <w:bidi/>
      <w:adjustRightInd/>
      <w:ind w:left="0" w:right="0"/>
      <w:jc w:val="left"/>
      <w:textAlignment w:val="auto"/>
    </w:pPr>
    <w:rPr>
      <w:rFonts w:cs="Times New Roman"/>
      <w:sz w:val="24"/>
      <w:szCs w:val="24"/>
      <w:rtl w:val="0"/>
      <w:cs w:val="0"/>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paragraph" w:styleId="Footer">
    <w:name w:val="footer"/>
    <w:basedOn w:val="Normal"/>
    <w:link w:val="PtaChar"/>
    <w:uiPriority w:val="99"/>
    <w:rsid w:val="00185BC9"/>
    <w:pPr>
      <w:tabs>
        <w:tab w:val="center" w:pos="4153"/>
        <w:tab w:val="right" w:pos="8306"/>
      </w:tabs>
      <w:jc w:val="left"/>
    </w:pPr>
  </w:style>
  <w:style w:type="character" w:customStyle="1" w:styleId="PtaChar">
    <w:name w:val="Päta Char"/>
    <w:basedOn w:val="DefaultParagraphFont"/>
    <w:link w:val="Footer"/>
    <w:uiPriority w:val="99"/>
    <w:locked/>
    <w:rsid w:val="00185BC9"/>
    <w:rPr>
      <w:rFonts w:ascii="Times New Roman" w:hAnsi="Times New Roman" w:cs="Times New Roman"/>
      <w:sz w:val="24"/>
      <w:szCs w:val="24"/>
      <w:rtl w:val="0"/>
      <w:cs w:val="0"/>
      <w:lang w:val="en-US" w:eastAsia="x-none"/>
    </w:rPr>
  </w:style>
  <w:style w:type="character" w:styleId="PageNumber">
    <w:name w:val="page number"/>
    <w:basedOn w:val="DefaultParagraphFont"/>
    <w:uiPriority w:val="99"/>
    <w:rsid w:val="00185BC9"/>
    <w:rPr>
      <w:rFonts w:cs="Times New Roman"/>
      <w:rtl w:val="0"/>
      <w:cs w:val="0"/>
    </w:rPr>
  </w:style>
  <w:style w:type="paragraph" w:customStyle="1" w:styleId="zz">
    <w:name w:val="zz"/>
    <w:rsid w:val="00446530"/>
    <w:pPr>
      <w:framePr w:wrap="auto"/>
      <w:widowControl w:val="0"/>
      <w:autoSpaceDE/>
      <w:autoSpaceDN/>
      <w:adjustRightInd/>
      <w:spacing w:line="360" w:lineRule="atLeast"/>
      <w:ind w:left="56" w:right="56"/>
      <w:jc w:val="both"/>
      <w:textAlignment w:val="auto"/>
    </w:pPr>
    <w:rPr>
      <w:rFonts w:cs="Times New Roman"/>
      <w:color w:val="000000"/>
      <w:sz w:val="24"/>
      <w:szCs w:val="20"/>
      <w:rtl w:val="0"/>
      <w:cs w:val="0"/>
      <w:lang w:val="sk-SK" w:eastAsia="sk-SK" w:bidi="ar-SA"/>
    </w:rPr>
  </w:style>
  <w:style w:type="paragraph" w:styleId="ListParagraph">
    <w:name w:val="List Paragraph"/>
    <w:basedOn w:val="Normal"/>
    <w:uiPriority w:val="34"/>
    <w:qFormat/>
    <w:rsid w:val="000149EE"/>
    <w:pPr>
      <w:ind w:left="720"/>
      <w:contextualSpacing/>
      <w:jc w:val="left"/>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4</Pages>
  <Words>1364</Words>
  <Characters>8178</Characters>
  <Application>Microsoft Office Word</Application>
  <DocSecurity>0</DocSecurity>
  <Lines>0</Lines>
  <Paragraphs>0</Paragraphs>
  <ScaleCrop>false</ScaleCrop>
  <Company>mfsr</Company>
  <LinksUpToDate>false</LinksUpToDate>
  <CharactersWithSpaces>9523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emihalikova</dc:creator>
  <cp:lastModifiedBy>emihalikova</cp:lastModifiedBy>
  <cp:revision>2</cp:revision>
  <dcterms:created xsi:type="dcterms:W3CDTF">2011-11-15T12:17:00Z</dcterms:created>
  <dcterms:modified xsi:type="dcterms:W3CDTF">2011-11-15T12:17:00Z</dcterms:modified>
</cp:coreProperties>
</file>