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2B1" w:rsidRPr="00BB39FF" w:rsidP="00E97427">
      <w:pPr>
        <w:widowControl w:val="0"/>
        <w:bidi w:val="0"/>
        <w:spacing w:before="113" w:after="113"/>
        <w:jc w:val="center"/>
        <w:rPr>
          <w:rFonts w:ascii="Times New Roman" w:hAnsi="Times New Roman"/>
          <w:b/>
          <w:color w:val="000000" w:themeColor="tx1" w:themeShade="FF"/>
          <w:lang w:val="sk-SK" w:eastAsia="sk-SK"/>
        </w:rPr>
      </w:pPr>
      <w:r w:rsidRPr="00BB39FF">
        <w:rPr>
          <w:rFonts w:ascii="Times New Roman" w:hAnsi="Times New Roman"/>
          <w:b/>
          <w:color w:val="000000" w:themeColor="tx1" w:themeShade="FF"/>
          <w:lang w:val="sk-SK" w:eastAsia="sk-SK"/>
        </w:rPr>
        <w:t>Predkladacia správa</w:t>
      </w:r>
    </w:p>
    <w:p w:rsidR="00D672B1" w:rsidP="00D672B1">
      <w:pPr>
        <w:widowControl w:val="0"/>
        <w:bidi w:val="0"/>
        <w:spacing w:before="120" w:after="12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</w:p>
    <w:p w:rsidR="00612A61" w:rsidP="00612A61">
      <w:pPr>
        <w:widowControl w:val="0"/>
        <w:bidi w:val="0"/>
        <w:spacing w:before="120" w:after="12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  <w:r w:rsidR="00DF2CC1">
        <w:rPr>
          <w:rFonts w:ascii="Times New Roman" w:hAnsi="Times New Roman"/>
          <w:color w:val="000000" w:themeColor="tx1" w:themeShade="FF"/>
          <w:lang w:val="sk-SK" w:eastAsia="sk-SK"/>
        </w:rPr>
        <w:t xml:space="preserve">Predkladaný materiál obsahuje návrh na vyslovenie súhlasu Národnej rady Slovenskej republiky s uzavretím </w:t>
      </w:r>
      <w:r w:rsidRPr="00BB39FF" w:rsidR="00DF2CC1">
        <w:rPr>
          <w:rFonts w:ascii="Times New Roman" w:hAnsi="Times New Roman"/>
          <w:color w:val="000000" w:themeColor="tx1" w:themeShade="FF"/>
          <w:lang w:val="sk-SK" w:eastAsia="sk-SK"/>
        </w:rPr>
        <w:t>Zmluvy medzi Slovenskou republikou a Gruzínskom o zamedzení dvojitého zdanenia a predchádzaní daňovému úniku v odbore daní z príjmov a z majetku (ďalej len “zmluva”)</w:t>
      </w:r>
      <w:r w:rsidR="00DF2CC1">
        <w:rPr>
          <w:rFonts w:ascii="Times New Roman" w:hAnsi="Times New Roman"/>
          <w:color w:val="000000" w:themeColor="tx1" w:themeShade="FF"/>
          <w:lang w:val="sk-SK" w:eastAsia="sk-SK"/>
        </w:rPr>
        <w:t>. Zmluva bola podpísaná 27.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DF2CC1">
        <w:rPr>
          <w:rFonts w:ascii="Times New Roman" w:hAnsi="Times New Roman"/>
          <w:color w:val="000000" w:themeColor="tx1" w:themeShade="FF"/>
          <w:lang w:val="sk-SK" w:eastAsia="sk-SK"/>
        </w:rPr>
        <w:t>októbra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DF2CC1">
        <w:rPr>
          <w:rFonts w:ascii="Times New Roman" w:hAnsi="Times New Roman"/>
          <w:color w:val="000000" w:themeColor="tx1" w:themeShade="FF"/>
          <w:lang w:val="sk-SK" w:eastAsia="sk-SK"/>
        </w:rPr>
        <w:t>2011 v</w:t>
      </w:r>
      <w:r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DF2CC1">
        <w:rPr>
          <w:rFonts w:ascii="Times New Roman" w:hAnsi="Times New Roman"/>
          <w:color w:val="000000" w:themeColor="tx1" w:themeShade="FF"/>
          <w:lang w:val="sk-SK" w:eastAsia="sk-SK"/>
        </w:rPr>
        <w:t>Bratislave</w:t>
      </w:r>
      <w:r>
        <w:rPr>
          <w:rFonts w:ascii="Times New Roman" w:hAnsi="Times New Roman"/>
          <w:color w:val="000000" w:themeColor="tx1" w:themeShade="FF"/>
          <w:lang w:val="sk-SK" w:eastAsia="sk-SK"/>
        </w:rPr>
        <w:t xml:space="preserve"> na základe uznesenia vlády SR </w:t>
      </w:r>
      <w:r w:rsidRPr="00612A61">
        <w:rPr>
          <w:rFonts w:ascii="Times New Roman" w:hAnsi="Times New Roman"/>
          <w:bCs/>
          <w:color w:val="000000" w:themeColor="tx1" w:themeShade="FF"/>
          <w:lang w:val="sk-SK" w:eastAsia="sk-SK"/>
        </w:rPr>
        <w:t>č.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Pr="00612A61">
        <w:rPr>
          <w:rFonts w:ascii="Times New Roman" w:hAnsi="Times New Roman"/>
          <w:bCs/>
          <w:color w:val="000000" w:themeColor="tx1" w:themeShade="FF"/>
          <w:lang w:val="sk-SK" w:eastAsia="sk-SK"/>
        </w:rPr>
        <w:t>542</w:t>
      </w:r>
      <w:r w:rsidRPr="00612A61">
        <w:rPr>
          <w:rFonts w:ascii="Times New Roman" w:hAnsi="Times New Roman"/>
          <w:b/>
          <w:bCs/>
          <w:color w:val="000000" w:themeColor="tx1" w:themeShade="FF"/>
          <w:lang w:val="sk-SK" w:eastAsia="sk-SK"/>
        </w:rPr>
        <w:t xml:space="preserve"> </w:t>
      </w:r>
      <w:r w:rsidRPr="00612A61">
        <w:rPr>
          <w:rFonts w:ascii="Times New Roman" w:hAnsi="Times New Roman"/>
          <w:color w:val="000000" w:themeColor="tx1" w:themeShade="FF"/>
          <w:lang w:val="sk-SK" w:eastAsia="sk-SK"/>
        </w:rPr>
        <w:t>zo 17.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Pr="00612A61">
        <w:rPr>
          <w:rFonts w:ascii="Times New Roman" w:hAnsi="Times New Roman"/>
          <w:color w:val="000000" w:themeColor="tx1" w:themeShade="FF"/>
          <w:lang w:val="sk-SK" w:eastAsia="sk-SK"/>
        </w:rPr>
        <w:t>augusta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Pr="00612A61">
        <w:rPr>
          <w:rFonts w:ascii="Times New Roman" w:hAnsi="Times New Roman"/>
          <w:color w:val="000000" w:themeColor="tx1" w:themeShade="FF"/>
          <w:lang w:val="sk-SK" w:eastAsia="sk-SK"/>
        </w:rPr>
        <w:t>2011</w:t>
      </w:r>
      <w:r w:rsidR="00DF2CC1">
        <w:rPr>
          <w:rFonts w:ascii="Times New Roman" w:hAnsi="Times New Roman"/>
          <w:color w:val="000000" w:themeColor="tx1" w:themeShade="FF"/>
          <w:lang w:val="sk-SK" w:eastAsia="sk-SK"/>
        </w:rPr>
        <w:t xml:space="preserve">. </w:t>
      </w:r>
    </w:p>
    <w:p w:rsidR="00D672B1" w:rsidRPr="00BB39FF" w:rsidP="00612A61">
      <w:pPr>
        <w:widowControl w:val="0"/>
        <w:bidi w:val="0"/>
        <w:spacing w:before="120" w:after="12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  <w:r w:rsidRPr="00BB39FF" w:rsidR="00573EE7">
        <w:rPr>
          <w:rFonts w:ascii="Times New Roman" w:hAnsi="Times New Roman"/>
          <w:bCs/>
          <w:color w:val="000000" w:themeColor="tx1" w:themeShade="FF"/>
          <w:lang w:val="sk-SK" w:eastAsia="cs-CZ"/>
        </w:rPr>
        <w:t xml:space="preserve">Materiál sa predkladá </w:t>
      </w:r>
      <w:r w:rsidRPr="00BB39FF" w:rsidR="00612A61">
        <w:rPr>
          <w:rFonts w:ascii="Times New Roman" w:hAnsi="Times New Roman"/>
          <w:color w:val="000000" w:themeColor="tx1" w:themeShade="FF"/>
          <w:lang w:val="sk-SK" w:eastAsia="sk-SK"/>
        </w:rPr>
        <w:t xml:space="preserve">ako iniciatívny </w:t>
      </w:r>
      <w:r w:rsidR="00612A61">
        <w:rPr>
          <w:rFonts w:ascii="Times New Roman" w:hAnsi="Times New Roman"/>
          <w:color w:val="000000" w:themeColor="tx1" w:themeShade="FF"/>
          <w:lang w:val="sk-SK" w:eastAsia="sk-SK"/>
        </w:rPr>
        <w:t xml:space="preserve">podľa </w:t>
      </w:r>
      <w:r w:rsidRPr="00BB39FF" w:rsidR="00573EE7">
        <w:rPr>
          <w:rFonts w:ascii="Times New Roman" w:hAnsi="Times New Roman"/>
          <w:color w:val="000000" w:themeColor="tx1" w:themeShade="FF"/>
          <w:lang w:val="sk-SK" w:eastAsia="sk-SK"/>
        </w:rPr>
        <w:t>Pravid</w:t>
      </w:r>
      <w:r w:rsidR="00612A61">
        <w:rPr>
          <w:rFonts w:ascii="Times New Roman" w:hAnsi="Times New Roman"/>
          <w:color w:val="000000" w:themeColor="tx1" w:themeShade="FF"/>
          <w:lang w:val="sk-SK" w:eastAsia="sk-SK"/>
        </w:rPr>
        <w:t>iel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 pre uzatváranie medzinárodných zmlúv a zmluvnú prax</w:t>
      </w:r>
      <w:r w:rsidRPr="00BB39FF" w:rsidR="00573EE7">
        <w:rPr>
          <w:rFonts w:ascii="Times New Roman" w:hAnsi="Times New Roman"/>
          <w:color w:val="000000" w:themeColor="tx1" w:themeShade="FF"/>
          <w:lang w:val="sk-SK" w:eastAsia="sk-SK"/>
        </w:rPr>
        <w:t xml:space="preserve">, ktoré schválila vláda SR svojím uznesením 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č.</w:t>
      </w:r>
      <w:r w:rsidRPr="00BB39FF" w:rsidR="0062187B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743 z 21.</w:t>
      </w:r>
      <w:r w:rsidRPr="00BB39FF" w:rsidR="005A6B6A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 xml:space="preserve">októbra 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2009. </w:t>
      </w:r>
      <w:r w:rsidR="00000F89">
        <w:rPr>
          <w:rFonts w:ascii="Times New Roman" w:hAnsi="Times New Roman"/>
          <w:color w:val="000000" w:themeColor="tx1" w:themeShade="FF"/>
          <w:lang w:val="sk-SK" w:eastAsia="sk-SK"/>
        </w:rPr>
        <w:t xml:space="preserve">Podľa 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 xml:space="preserve">vyjadrenia </w:t>
      </w:r>
      <w:r w:rsidR="00000F89">
        <w:rPr>
          <w:rFonts w:ascii="Times New Roman" w:hAnsi="Times New Roman"/>
          <w:color w:val="000000" w:themeColor="tx1" w:themeShade="FF"/>
          <w:lang w:val="sk-SK" w:eastAsia="sk-SK"/>
        </w:rPr>
        <w:t>Kancelárie prezidenta Slovenskej republiky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 xml:space="preserve"> z 8.</w:t>
      </w:r>
      <w:r w:rsidRPr="00BB39FF" w:rsidR="005A6B6A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>11.</w:t>
      </w:r>
      <w:r w:rsidRPr="00BB39FF" w:rsidR="005A6B6A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 xml:space="preserve">2011 </w:t>
      </w:r>
      <w:r w:rsidR="00000F89">
        <w:rPr>
          <w:rFonts w:ascii="Times New Roman" w:hAnsi="Times New Roman"/>
          <w:color w:val="000000" w:themeColor="tx1" w:themeShade="FF"/>
          <w:lang w:val="sk-SK" w:eastAsia="sk-SK"/>
        </w:rPr>
        <w:t xml:space="preserve">pán prezident </w:t>
      </w:r>
      <w:r w:rsidR="00010DA5">
        <w:rPr>
          <w:rFonts w:ascii="Times New Roman" w:hAnsi="Times New Roman"/>
          <w:color w:val="000000" w:themeColor="tx1" w:themeShade="FF"/>
          <w:lang w:val="sk-SK" w:eastAsia="sk-SK"/>
        </w:rPr>
        <w:t xml:space="preserve">nemá </w:t>
      </w:r>
      <w:r w:rsidR="00000F89">
        <w:rPr>
          <w:rFonts w:ascii="Times New Roman" w:hAnsi="Times New Roman"/>
          <w:color w:val="000000" w:themeColor="tx1" w:themeShade="FF"/>
          <w:lang w:val="sk-SK" w:eastAsia="sk-SK"/>
        </w:rPr>
        <w:t xml:space="preserve">pripomienky k dojednanej zmluve a gestor môže pokračovať vo vnútroštátnom schvaľovacom procese. </w:t>
      </w:r>
    </w:p>
    <w:p w:rsidR="00D672B1" w:rsidRPr="00BB39FF" w:rsidP="00D672B1">
      <w:pPr>
        <w:bidi w:val="0"/>
        <w:spacing w:before="120" w:after="24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Predkladaný materiál je v súlade s právnym poriadkom Slovenskej republiky, pričom rozširuje jej bilaterálnu zmluvnú základňu. Pokiaľ ide o otázku zlučiteľnosti medzinárodných zmlúv o zamedzení dvojitého zdanenia s právom Európskej únie, spôsob zamedzenia dvojitého zdanenia je úplne v kompetencii jednotlivých členských štátov Európskej únie. P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rimárne p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rávo EÚ neupravuje uzavieranie zmlúv o zamedzení dvojitého zdanenia. </w:t>
      </w:r>
    </w:p>
    <w:p w:rsidR="00D672B1" w:rsidRPr="00BB39FF" w:rsidP="00D672B1">
      <w:pPr>
        <w:bidi w:val="0"/>
        <w:spacing w:before="120" w:after="24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Z hľadiska vecnej podstaty predkladaného materiálu, zmluva je medzinárodnou hospodárskou zmluvou všeobecnej povahy (čl. 7 ods. 4 Ústavy SR), ktorá má charakter prezidentskej zmluvy. Zmluva podľa čl. 7 ods. 5 Ústavy SR má prednosť pred zákonmi. </w:t>
      </w:r>
      <w:r w:rsidR="0005467C">
        <w:rPr>
          <w:rFonts w:ascii="Times New Roman" w:hAnsi="Times New Roman"/>
          <w:color w:val="000000" w:themeColor="tx1" w:themeShade="FF"/>
          <w:lang w:val="sk-SK" w:eastAsia="sk-SK"/>
        </w:rPr>
        <w:t>I</w:t>
      </w:r>
      <w:r w:rsidRPr="0005467C" w:rsidR="0005467C">
        <w:rPr>
          <w:rFonts w:ascii="Times New Roman" w:hAnsi="Times New Roman"/>
          <w:lang w:val="sk-SK"/>
        </w:rPr>
        <w:t>de o medzinárodnú zmluvu, ktorá priamo zakladá práva alebo povinnosti fyzických osôb alebo právnických osôb a medzinárodnú zmluvu, na ktorej vykonanie nie je potrebný zákon</w:t>
      </w:r>
      <w:r w:rsidR="00565341">
        <w:rPr>
          <w:rFonts w:ascii="Times New Roman" w:hAnsi="Times New Roman"/>
          <w:lang w:val="sk-SK"/>
        </w:rPr>
        <w:t>.</w:t>
      </w:r>
      <w:r w:rsidRPr="008F0F67" w:rsidR="0005467C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  <w:r w:rsidR="00B63F80">
        <w:rPr>
          <w:rFonts w:ascii="Times New Roman" w:hAnsi="Times New Roman"/>
          <w:color w:val="000000" w:themeColor="tx1" w:themeShade="FF"/>
          <w:lang w:val="sk-SK" w:eastAsia="sk-SK"/>
        </w:rPr>
        <w:t>Z</w:t>
      </w:r>
      <w:r w:rsidRPr="008F0F67" w:rsidR="007F341A">
        <w:rPr>
          <w:rFonts w:ascii="Times New Roman" w:hAnsi="Times New Roman"/>
          <w:color w:val="000000" w:themeColor="tx1" w:themeShade="FF"/>
          <w:lang w:val="sk-SK" w:eastAsia="sk-SK"/>
        </w:rPr>
        <w:t>mluva</w:t>
      </w:r>
      <w:r w:rsidRPr="00BB39FF" w:rsidR="007F341A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podlieha ratifikácii a bude vyhlásená spôsobom ustanoveným zákonom. </w:t>
      </w:r>
      <w:r w:rsidRPr="00BB39FF" w:rsidR="007F341A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</w:p>
    <w:p w:rsidR="00D672B1" w:rsidRPr="00BB39FF" w:rsidP="00D672B1">
      <w:pPr>
        <w:bidi w:val="0"/>
        <w:spacing w:before="120" w:after="24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P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red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ložený materiál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obsahuje doložku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 xml:space="preserve">o posúdení vplyvov 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a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 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>doložk</w:t>
      </w:r>
      <w:r w:rsidRPr="00BB39FF" w:rsidR="001E48FA">
        <w:rPr>
          <w:rFonts w:ascii="Times New Roman" w:hAnsi="Times New Roman"/>
          <w:color w:val="000000" w:themeColor="tx1" w:themeShade="FF"/>
          <w:lang w:val="sk-SK" w:eastAsia="sk-SK"/>
        </w:rPr>
        <w:t>u</w:t>
      </w:r>
      <w:r w:rsidRPr="00BB39FF">
        <w:rPr>
          <w:rFonts w:ascii="Times New Roman" w:hAnsi="Times New Roman"/>
          <w:color w:val="000000" w:themeColor="tx1" w:themeShade="FF"/>
          <w:lang w:val="sk-SK" w:eastAsia="sk-SK"/>
        </w:rPr>
        <w:t xml:space="preserve"> prednosti medzinárodnej zmluvy pred zákonmi Slovenskej republiky.</w:t>
      </w:r>
      <w:r w:rsidR="00612A61">
        <w:rPr>
          <w:rFonts w:ascii="Times New Roman" w:hAnsi="Times New Roman"/>
          <w:color w:val="000000" w:themeColor="tx1" w:themeShade="FF"/>
          <w:lang w:val="sk-SK" w:eastAsia="sk-SK"/>
        </w:rPr>
        <w:t xml:space="preserve"> </w:t>
      </w:r>
    </w:p>
    <w:p w:rsidR="00D672B1" w:rsidRPr="00BB39FF" w:rsidP="00D672B1">
      <w:pPr>
        <w:bidi w:val="0"/>
        <w:jc w:val="both"/>
        <w:rPr>
          <w:rFonts w:ascii="Times New Roman" w:hAnsi="Times New Roman"/>
          <w:color w:val="000000" w:themeColor="tx1" w:themeShade="FF"/>
          <w:lang w:val="sk-SK" w:eastAsia="sk-SK"/>
        </w:rPr>
      </w:pPr>
    </w:p>
    <w:sectPr w:rsidSect="00F242A7">
      <w:footerReference w:type="even" r:id="rId5"/>
      <w:footerReference w:type="default" r:id="rId6"/>
      <w:pgSz w:w="11906" w:h="16838"/>
      <w:pgMar w:top="993" w:right="1416" w:bottom="1134" w:left="1800" w:header="708" w:footer="560" w:gutter="0"/>
      <w:lnNumType w:distance="0"/>
      <w:cols w:space="708"/>
      <w:noEndnote w:val="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084B01" w:rsidP="00BF5787">
    <w:pPr>
      <w:pStyle w:val="Footer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BF5787"/>
    <w:rsid w:val="00000F89"/>
    <w:rsid w:val="00004A20"/>
    <w:rsid w:val="00006873"/>
    <w:rsid w:val="00010DA5"/>
    <w:rsid w:val="00042A4E"/>
    <w:rsid w:val="00047380"/>
    <w:rsid w:val="0005467C"/>
    <w:rsid w:val="00057937"/>
    <w:rsid w:val="00084B01"/>
    <w:rsid w:val="0010463C"/>
    <w:rsid w:val="001708EF"/>
    <w:rsid w:val="00174075"/>
    <w:rsid w:val="00185B26"/>
    <w:rsid w:val="001E2FD8"/>
    <w:rsid w:val="001E48FA"/>
    <w:rsid w:val="0020484D"/>
    <w:rsid w:val="00207F8C"/>
    <w:rsid w:val="00212880"/>
    <w:rsid w:val="00251E10"/>
    <w:rsid w:val="00291C19"/>
    <w:rsid w:val="0031105A"/>
    <w:rsid w:val="00317A81"/>
    <w:rsid w:val="003D5FFD"/>
    <w:rsid w:val="003F57AE"/>
    <w:rsid w:val="0041087F"/>
    <w:rsid w:val="00482F8B"/>
    <w:rsid w:val="00485AEC"/>
    <w:rsid w:val="004A7AA2"/>
    <w:rsid w:val="00554DA0"/>
    <w:rsid w:val="00565341"/>
    <w:rsid w:val="00573EE7"/>
    <w:rsid w:val="00574C99"/>
    <w:rsid w:val="005A6B6A"/>
    <w:rsid w:val="005B4C48"/>
    <w:rsid w:val="005D3127"/>
    <w:rsid w:val="005E345D"/>
    <w:rsid w:val="005E3CF8"/>
    <w:rsid w:val="005F664D"/>
    <w:rsid w:val="00610CBC"/>
    <w:rsid w:val="00612A61"/>
    <w:rsid w:val="0062187B"/>
    <w:rsid w:val="00677BE1"/>
    <w:rsid w:val="006A0042"/>
    <w:rsid w:val="006D1C6B"/>
    <w:rsid w:val="006F4ADA"/>
    <w:rsid w:val="0070341D"/>
    <w:rsid w:val="007100B6"/>
    <w:rsid w:val="00731C35"/>
    <w:rsid w:val="00732FDF"/>
    <w:rsid w:val="007572CF"/>
    <w:rsid w:val="0078474F"/>
    <w:rsid w:val="00794AF9"/>
    <w:rsid w:val="00795FF5"/>
    <w:rsid w:val="007F341A"/>
    <w:rsid w:val="008523EB"/>
    <w:rsid w:val="00857FFE"/>
    <w:rsid w:val="00892116"/>
    <w:rsid w:val="008A44DE"/>
    <w:rsid w:val="008E3AB4"/>
    <w:rsid w:val="008F0F67"/>
    <w:rsid w:val="00900F0A"/>
    <w:rsid w:val="009043FE"/>
    <w:rsid w:val="009156AE"/>
    <w:rsid w:val="009503AE"/>
    <w:rsid w:val="00961C0B"/>
    <w:rsid w:val="0096723E"/>
    <w:rsid w:val="009938F9"/>
    <w:rsid w:val="009A5439"/>
    <w:rsid w:val="009D6059"/>
    <w:rsid w:val="00A02825"/>
    <w:rsid w:val="00A02F78"/>
    <w:rsid w:val="00A17DFF"/>
    <w:rsid w:val="00A40B1C"/>
    <w:rsid w:val="00AA1B62"/>
    <w:rsid w:val="00AB2D95"/>
    <w:rsid w:val="00AC6B36"/>
    <w:rsid w:val="00AF5DAC"/>
    <w:rsid w:val="00B320E1"/>
    <w:rsid w:val="00B62A44"/>
    <w:rsid w:val="00B63F80"/>
    <w:rsid w:val="00B90651"/>
    <w:rsid w:val="00BB39FF"/>
    <w:rsid w:val="00BB4AE0"/>
    <w:rsid w:val="00BC69CD"/>
    <w:rsid w:val="00BF5787"/>
    <w:rsid w:val="00BF6931"/>
    <w:rsid w:val="00C21921"/>
    <w:rsid w:val="00C23C57"/>
    <w:rsid w:val="00C449E4"/>
    <w:rsid w:val="00C70F6F"/>
    <w:rsid w:val="00D038E1"/>
    <w:rsid w:val="00D141C2"/>
    <w:rsid w:val="00D14D37"/>
    <w:rsid w:val="00D14F9D"/>
    <w:rsid w:val="00D503FD"/>
    <w:rsid w:val="00D509F5"/>
    <w:rsid w:val="00D62432"/>
    <w:rsid w:val="00D6526A"/>
    <w:rsid w:val="00D672B1"/>
    <w:rsid w:val="00DB32E7"/>
    <w:rsid w:val="00DE68AA"/>
    <w:rsid w:val="00DF2CC1"/>
    <w:rsid w:val="00E602F0"/>
    <w:rsid w:val="00E92987"/>
    <w:rsid w:val="00E97427"/>
    <w:rsid w:val="00EE2E12"/>
    <w:rsid w:val="00F242A7"/>
    <w:rsid w:val="00F50175"/>
    <w:rsid w:val="00F73121"/>
    <w:rsid w:val="00FA7778"/>
    <w:rsid w:val="00FB3C35"/>
    <w:rsid w:val="00FB72C1"/>
    <w:rsid w:val="00FC064E"/>
    <w:rsid w:val="00FC69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87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BF5787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BF5787"/>
    <w:rPr>
      <w:rFonts w:cs="Times New Roman"/>
      <w:rtl w:val="0"/>
      <w:cs w:val="0"/>
    </w:rPr>
  </w:style>
  <w:style w:type="paragraph" w:customStyle="1" w:styleId="Zkladntext">
    <w:name w:val="Základní text"/>
    <w:rsid w:val="00BF5787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4"/>
      <w:szCs w:val="24"/>
      <w:rtl w:val="0"/>
      <w:cs w:val="0"/>
      <w:lang w:val="sk-SK" w:eastAsia="cs-CZ" w:bidi="ar-SA"/>
    </w:rPr>
  </w:style>
  <w:style w:type="character" w:customStyle="1" w:styleId="ppp-input-value1">
    <w:name w:val="ppp-input-value1"/>
    <w:basedOn w:val="DefaultParagraphFont"/>
    <w:rsid w:val="00BF5787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F578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F5787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paragraph" w:customStyle="1" w:styleId="Vlada">
    <w:name w:val="Vlada"/>
    <w:basedOn w:val="Normal"/>
    <w:rsid w:val="0020484D"/>
    <w:pPr>
      <w:bidi w:val="0"/>
      <w:spacing w:before="480" w:after="120"/>
      <w:jc w:val="left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A777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A7778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D790-62FC-4C56-B447-AB12666C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272</Words>
  <Characters>1551</Characters>
  <Application>Microsoft Office Word</Application>
  <DocSecurity>0</DocSecurity>
  <Lines>0</Lines>
  <Paragraphs>0</Paragraphs>
  <ScaleCrop>false</ScaleCrop>
  <Company>mfsr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emihalikova</cp:lastModifiedBy>
  <cp:revision>10</cp:revision>
  <cp:lastPrinted>2010-03-24T08:37:00Z</cp:lastPrinted>
  <dcterms:created xsi:type="dcterms:W3CDTF">2011-11-15T12:09:00Z</dcterms:created>
  <dcterms:modified xsi:type="dcterms:W3CDTF">2011-11-16T10:36:00Z</dcterms:modified>
</cp:coreProperties>
</file>