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11AF5" w:rsidRPr="00F172DC" w:rsidP="00511AF5">
      <w:pPr>
        <w:bidi w:val="0"/>
        <w:jc w:val="center"/>
        <w:rPr>
          <w:rFonts w:ascii="Times New Roman" w:hAnsi="Times New Roman"/>
          <w:b/>
        </w:rPr>
      </w:pPr>
      <w:r w:rsidRPr="00F172DC">
        <w:rPr>
          <w:rFonts w:ascii="Times New Roman" w:hAnsi="Times New Roman"/>
          <w:b/>
        </w:rPr>
        <w:t>Dôvodová správa</w:t>
      </w:r>
    </w:p>
    <w:p w:rsidR="00511AF5" w:rsidRPr="00F172DC" w:rsidP="00511AF5">
      <w:pPr>
        <w:bidi w:val="0"/>
        <w:outlineLvl w:val="0"/>
        <w:rPr>
          <w:rFonts w:ascii="Times New Roman" w:hAnsi="Times New Roman"/>
          <w:b/>
          <w:bCs/>
          <w:u w:val="single"/>
        </w:rPr>
      </w:pPr>
    </w:p>
    <w:p w:rsidR="00511AF5" w:rsidRPr="00F172DC" w:rsidP="00511AF5">
      <w:pPr>
        <w:bidi w:val="0"/>
        <w:outlineLvl w:val="0"/>
        <w:rPr>
          <w:rFonts w:ascii="Times New Roman" w:hAnsi="Times New Roman"/>
          <w:b/>
          <w:bCs/>
          <w:u w:val="single"/>
        </w:rPr>
      </w:pPr>
      <w:r w:rsidRPr="00F172DC">
        <w:rPr>
          <w:rFonts w:ascii="Times New Roman" w:hAnsi="Times New Roman"/>
          <w:b/>
          <w:bCs/>
          <w:u w:val="single"/>
        </w:rPr>
        <w:t xml:space="preserve">Všeobecná časť  </w:t>
      </w:r>
    </w:p>
    <w:p w:rsidR="00511AF5" w:rsidRPr="00F172DC" w:rsidP="00511AF5">
      <w:pPr>
        <w:bidi w:val="0"/>
        <w:rPr>
          <w:rFonts w:ascii="Times New Roman" w:hAnsi="Times New Roman"/>
        </w:rPr>
      </w:pPr>
    </w:p>
    <w:p w:rsidR="004F42E3" w:rsidRPr="00F172DC" w:rsidP="004F42E3">
      <w:pPr>
        <w:bidi w:val="0"/>
        <w:jc w:val="both"/>
        <w:rPr>
          <w:rFonts w:ascii="Times New Roman" w:hAnsi="Times New Roman"/>
        </w:rPr>
      </w:pPr>
      <w:r w:rsidR="00DC22DB">
        <w:rPr>
          <w:rFonts w:ascii="Times New Roman" w:hAnsi="Times New Roman"/>
        </w:rPr>
        <w:t>Vládny</w:t>
      </w:r>
      <w:r w:rsidRPr="00F172DC" w:rsidR="00B962A2">
        <w:rPr>
          <w:rFonts w:ascii="Times New Roman" w:hAnsi="Times New Roman"/>
        </w:rPr>
        <w:t xml:space="preserve"> návrh zákona, ktorým sa mení a dopĺňa zákon č. 595/2003 Z. z. o dani z príjmov v znení neskorších predpisov</w:t>
      </w:r>
      <w:r w:rsidR="00AB0A69">
        <w:rPr>
          <w:rFonts w:ascii="Times New Roman" w:hAnsi="Times New Roman"/>
        </w:rPr>
        <w:t xml:space="preserve"> a ktorým sa mení a dopĺňa zákon č. 564/2004 Z. z. o rozpočtovom určení výnosu dane z príjmov územnej samospráve a o zmene a doplnení niektorých zákonov v znení neskorších predpisov</w:t>
      </w:r>
      <w:r>
        <w:rPr>
          <w:rStyle w:val="PlaceholderText"/>
          <w:color w:val="000000"/>
        </w:rPr>
        <w:t xml:space="preserve"> nadväzuje na zámer vlády vyjadrený potrebou konsolidácie verejných financií a postupného znižovania deficitu verejných financií</w:t>
      </w:r>
      <w:r w:rsidRPr="00F172DC">
        <w:rPr>
          <w:rStyle w:val="PlaceholderText"/>
          <w:color w:val="000000"/>
        </w:rPr>
        <w:t>.</w:t>
      </w:r>
    </w:p>
    <w:p w:rsidR="00AB0A69" w:rsidP="00380518">
      <w:pPr>
        <w:bidi w:val="0"/>
        <w:jc w:val="both"/>
        <w:rPr>
          <w:rFonts w:ascii="Times New Roman" w:hAnsi="Times New Roman"/>
        </w:rPr>
      </w:pPr>
    </w:p>
    <w:p w:rsidR="00380518" w:rsidRPr="00F172DC" w:rsidP="00380518">
      <w:pPr>
        <w:bidi w:val="0"/>
        <w:jc w:val="both"/>
        <w:rPr>
          <w:rStyle w:val="PlaceholderText"/>
          <w:color w:val="000000"/>
        </w:rPr>
      </w:pPr>
      <w:r w:rsidRPr="00AB0A69" w:rsidR="00AB0A69">
        <w:rPr>
          <w:rFonts w:ascii="Times New Roman" w:hAnsi="Times New Roman"/>
          <w:b/>
        </w:rPr>
        <w:t>V článku I</w:t>
      </w:r>
      <w:r w:rsidR="00AB0A69">
        <w:rPr>
          <w:rFonts w:ascii="Times New Roman" w:hAnsi="Times New Roman"/>
        </w:rPr>
        <w:t xml:space="preserve"> sa mení a dopĺňa zákon č. 595/2003 Z. z. o dani z príjmov v znení neskorších predpisov (ďalej len „zákon o dani z príjmov“). </w:t>
      </w:r>
      <w:r w:rsidRPr="00805B61" w:rsidR="00805B61">
        <w:rPr>
          <w:rFonts w:ascii="Times New Roman" w:hAnsi="Times New Roman"/>
        </w:rPr>
        <w:t>Predložený návrh zákona</w:t>
      </w:r>
      <w:r w:rsidR="00AB0A69">
        <w:rPr>
          <w:rFonts w:ascii="Times New Roman" w:hAnsi="Times New Roman"/>
        </w:rPr>
        <w:t xml:space="preserve"> o dani z príjmov</w:t>
      </w:r>
      <w:r w:rsidRPr="00F172DC">
        <w:rPr>
          <w:rFonts w:ascii="Times New Roman" w:hAnsi="Times New Roman"/>
        </w:rPr>
        <w:t xml:space="preserve"> je vypracovaný ako iniciatívny</w:t>
      </w:r>
      <w:r w:rsidRPr="00F172DC">
        <w:rPr>
          <w:rStyle w:val="PlaceholderText"/>
          <w:color w:val="000000"/>
        </w:rPr>
        <w:t>, ktorého cieľom je predovšetkým udržanie efektívneho, jednoduchého a neutrálneho daňového systému v oblasti dane z</w:t>
      </w:r>
      <w:r w:rsidR="00EF0940">
        <w:rPr>
          <w:rStyle w:val="PlaceholderText"/>
          <w:color w:val="000000"/>
        </w:rPr>
        <w:t> </w:t>
      </w:r>
      <w:r w:rsidRPr="00F172DC">
        <w:rPr>
          <w:rStyle w:val="PlaceholderText"/>
          <w:color w:val="000000"/>
        </w:rPr>
        <w:t>príjmov</w:t>
      </w:r>
      <w:r w:rsidR="00EF0940">
        <w:rPr>
          <w:rStyle w:val="PlaceholderText"/>
          <w:color w:val="000000"/>
        </w:rPr>
        <w:t xml:space="preserve"> ako aj konsolidácia verejných financií</w:t>
      </w:r>
      <w:r w:rsidRPr="00F172DC">
        <w:rPr>
          <w:rStyle w:val="PlaceholderText"/>
          <w:color w:val="000000"/>
        </w:rPr>
        <w:t>. Navrhované úpravy sú zamerané najmä na:</w:t>
      </w:r>
    </w:p>
    <w:p w:rsidR="00F172DC" w:rsidRPr="00F172DC" w:rsidP="00F172DC">
      <w:pPr>
        <w:bidi w:val="0"/>
        <w:jc w:val="both"/>
        <w:rPr>
          <w:rFonts w:ascii="Times New Roman" w:hAnsi="Times New Roman"/>
          <w:b/>
          <w:u w:val="single"/>
        </w:rPr>
      </w:pPr>
    </w:p>
    <w:p w:rsidR="00805B61" w:rsidP="00805B61">
      <w:pPr>
        <w:numPr>
          <w:numId w:val="4"/>
        </w:numPr>
        <w:bidi w:val="0"/>
        <w:jc w:val="both"/>
        <w:rPr>
          <w:rFonts w:ascii="Times New Roman" w:hAnsi="Times New Roman"/>
        </w:rPr>
      </w:pPr>
      <w:r>
        <w:rPr>
          <w:rFonts w:ascii="Times New Roman" w:hAnsi="Times New Roman"/>
        </w:rPr>
        <w:t>zrušenie disproporcie pri odpisovaní hmotného majetku v závislosti od spôsobu jeho obstarania, t.j. obstaranie z vlastných zdrojov, na úver a finančným prenájmom tak, aby všetok hmotný majetok počnúc rokom 2012 bol odpisovaný za rovnakých podmienok,</w:t>
      </w:r>
    </w:p>
    <w:p w:rsidR="00805B61" w:rsidP="00805B61">
      <w:pPr>
        <w:numPr>
          <w:numId w:val="4"/>
        </w:numPr>
        <w:bidi w:val="0"/>
        <w:jc w:val="both"/>
        <w:rPr>
          <w:rFonts w:ascii="Times New Roman" w:hAnsi="Times New Roman"/>
        </w:rPr>
      </w:pPr>
      <w:r>
        <w:rPr>
          <w:rFonts w:ascii="Times New Roman" w:hAnsi="Times New Roman"/>
        </w:rPr>
        <w:t>uplatnenie len pomernej časti ročného odpisu v 1. roku odpisovania hmotného majetku, ktorá zodpovedá počtu mesiacov</w:t>
      </w:r>
      <w:r w:rsidR="00305C3D">
        <w:rPr>
          <w:rFonts w:ascii="Times New Roman" w:hAnsi="Times New Roman"/>
        </w:rPr>
        <w:t>,</w:t>
      </w:r>
      <w:r>
        <w:rPr>
          <w:rFonts w:ascii="Times New Roman" w:hAnsi="Times New Roman"/>
        </w:rPr>
        <w:t xml:space="preserve"> počas ktorých sa tento majetok používal (od zaradenia do užívania do konca zdaňovacieho obdobia),</w:t>
      </w:r>
    </w:p>
    <w:p w:rsidR="00805B61" w:rsidP="00805B61">
      <w:pPr>
        <w:numPr>
          <w:numId w:val="4"/>
        </w:numPr>
        <w:bidi w:val="0"/>
        <w:jc w:val="both"/>
        <w:rPr>
          <w:rFonts w:ascii="Times New Roman" w:hAnsi="Times New Roman"/>
        </w:rPr>
      </w:pPr>
      <w:r>
        <w:rPr>
          <w:rFonts w:ascii="Times New Roman" w:hAnsi="Times New Roman"/>
        </w:rPr>
        <w:t>technické úpravy týkajúce sa výpočtu základu dane fyzických osôb z dôvodu rozčlenenia príjmov na aktívne a pasívne a možnosti uplatnenia nezdaniteľnej časti základu dane len z aktívnych príjmov.</w:t>
      </w:r>
    </w:p>
    <w:p w:rsidR="00B962A2" w:rsidP="00B962A2">
      <w:pPr>
        <w:bidi w:val="0"/>
        <w:jc w:val="both"/>
        <w:rPr>
          <w:rFonts w:ascii="Times New Roman" w:hAnsi="Times New Roman"/>
        </w:rPr>
      </w:pPr>
    </w:p>
    <w:p w:rsidR="00AB0A69" w:rsidP="00B962A2">
      <w:pPr>
        <w:bidi w:val="0"/>
        <w:jc w:val="both"/>
        <w:rPr>
          <w:rFonts w:ascii="Times New Roman" w:hAnsi="Times New Roman"/>
        </w:rPr>
      </w:pPr>
      <w:r w:rsidRPr="00AB0A69">
        <w:rPr>
          <w:rFonts w:ascii="Times New Roman" w:hAnsi="Times New Roman"/>
          <w:b/>
        </w:rPr>
        <w:t>V článku II</w:t>
      </w:r>
      <w:r>
        <w:rPr>
          <w:rFonts w:ascii="Times New Roman" w:hAnsi="Times New Roman"/>
        </w:rPr>
        <w:t xml:space="preserve"> sa mení a dopĺňa zákon č. 564/2004 Z. z. o rozpočtovom určení výnosu dane z príjmov územnej samospráve a o zmene a doplnení niektorých zákonov v znení neskorších predpisov (ďalej len „zákon o rozpočtovom určení výnosu dane z príjmov územnej samospráve“).</w:t>
      </w:r>
    </w:p>
    <w:p w:rsidR="00AB0A69" w:rsidP="00B962A2">
      <w:pPr>
        <w:bidi w:val="0"/>
        <w:jc w:val="both"/>
        <w:rPr>
          <w:rFonts w:ascii="Times New Roman" w:hAnsi="Times New Roman"/>
        </w:rPr>
      </w:pPr>
    </w:p>
    <w:p w:rsidR="00AB0A69" w:rsidRPr="00062B38" w:rsidP="00AB0A69">
      <w:pPr>
        <w:bidi w:val="0"/>
        <w:spacing w:after="120"/>
        <w:jc w:val="both"/>
        <w:rPr>
          <w:rFonts w:ascii="Times New Roman" w:hAnsi="Times New Roman"/>
        </w:rPr>
      </w:pPr>
      <w:r>
        <w:rPr>
          <w:rFonts w:ascii="Times New Roman" w:hAnsi="Times New Roman" w:cs="Arial Narrow"/>
        </w:rPr>
        <w:t>Návrh zákona o rozpočtovom určení výnosu dane z príjmov územnej samospráve je v súlade s dosiahnutou d</w:t>
      </w:r>
      <w:r w:rsidRPr="00062B38">
        <w:rPr>
          <w:rFonts w:ascii="Times New Roman" w:hAnsi="Times New Roman"/>
        </w:rPr>
        <w:t>ohod</w:t>
      </w:r>
      <w:r>
        <w:rPr>
          <w:rFonts w:ascii="Times New Roman" w:hAnsi="Times New Roman"/>
        </w:rPr>
        <w:t>o</w:t>
      </w:r>
      <w:r w:rsidRPr="00062B38">
        <w:rPr>
          <w:rFonts w:ascii="Times New Roman" w:hAnsi="Times New Roman"/>
        </w:rPr>
        <w:t>u, podľa ktorej územná samospráva súhlasí so začlenením do navrhovaného ústavného zákona o rozpočtovej zodpovednosti, ako aj participáciou na konsolidácií verejných financií. Územná samospráva však trvá na splnení základnej podmienky zachovať súčasný systém financovania originálnych kompetencií prostredníctvom podielu na dani z príjmov fyzických osôb a teda požaduje neprijať návrh zákona o rozpočtovom určení výnosu niektorých daní územnej samospráve, ktorého základom je práve prechod z jednej dane na  mix daní.</w:t>
      </w:r>
    </w:p>
    <w:p w:rsidR="00AB0A69" w:rsidRPr="004E71D6" w:rsidP="00AB0A69">
      <w:pPr>
        <w:bidi w:val="0"/>
        <w:spacing w:after="240"/>
        <w:contextualSpacing/>
        <w:jc w:val="both"/>
        <w:rPr>
          <w:rFonts w:ascii="Times New Roman" w:hAnsi="Times New Roman"/>
        </w:rPr>
      </w:pPr>
      <w:r w:rsidRPr="00D63ECA">
        <w:rPr>
          <w:rFonts w:ascii="Times New Roman" w:hAnsi="Times New Roman"/>
        </w:rPr>
        <w:t>V predloženom návrhu zákona</w:t>
      </w:r>
      <w:r>
        <w:rPr>
          <w:rFonts w:ascii="Times New Roman" w:hAnsi="Times New Roman"/>
        </w:rPr>
        <w:t xml:space="preserve"> o rozpočtovom určení výnosu dane z príjmov územnej samospráve</w:t>
      </w:r>
      <w:r w:rsidRPr="00D63ECA">
        <w:rPr>
          <w:rFonts w:ascii="Times New Roman" w:hAnsi="Times New Roman"/>
        </w:rPr>
        <w:t xml:space="preserve"> je</w:t>
      </w:r>
      <w:r>
        <w:rPr>
          <w:rFonts w:ascii="Times New Roman" w:hAnsi="Times New Roman"/>
        </w:rPr>
        <w:t xml:space="preserve"> v zmysle dohody</w:t>
      </w:r>
      <w:r w:rsidRPr="00D63ECA">
        <w:rPr>
          <w:rFonts w:ascii="Times New Roman" w:hAnsi="Times New Roman"/>
        </w:rPr>
        <w:t xml:space="preserve"> </w:t>
      </w:r>
      <w:r>
        <w:rPr>
          <w:rFonts w:ascii="Times New Roman" w:hAnsi="Times New Roman"/>
        </w:rPr>
        <w:t xml:space="preserve">upravený podiel na dani z príjmu fyzických osôb pre </w:t>
      </w:r>
      <w:r w:rsidRPr="00C15465">
        <w:rPr>
          <w:rFonts w:ascii="Times New Roman" w:hAnsi="Times New Roman"/>
        </w:rPr>
        <w:t>územn</w:t>
      </w:r>
      <w:r>
        <w:rPr>
          <w:rFonts w:ascii="Times New Roman" w:hAnsi="Times New Roman"/>
        </w:rPr>
        <w:t>ú samosprávu</w:t>
      </w:r>
      <w:r w:rsidRPr="00C15465">
        <w:rPr>
          <w:rFonts w:ascii="Times New Roman" w:hAnsi="Times New Roman"/>
        </w:rPr>
        <w:t xml:space="preserve"> </w:t>
      </w:r>
      <w:r w:rsidRPr="00D63ECA">
        <w:rPr>
          <w:rFonts w:ascii="Times New Roman" w:hAnsi="Times New Roman"/>
        </w:rPr>
        <w:t>z</w:t>
      </w:r>
      <w:r>
        <w:rPr>
          <w:rFonts w:ascii="Times New Roman" w:hAnsi="Times New Roman"/>
        </w:rPr>
        <w:t xml:space="preserve"> 93,8% </w:t>
      </w:r>
      <w:r w:rsidRPr="00C15465">
        <w:rPr>
          <w:rFonts w:ascii="Times New Roman" w:hAnsi="Times New Roman"/>
        </w:rPr>
        <w:t>na úrov</w:t>
      </w:r>
      <w:r>
        <w:rPr>
          <w:rFonts w:ascii="Times New Roman" w:hAnsi="Times New Roman"/>
        </w:rPr>
        <w:t>eň</w:t>
      </w:r>
      <w:r w:rsidRPr="00C15465">
        <w:rPr>
          <w:rFonts w:ascii="Times New Roman" w:hAnsi="Times New Roman"/>
        </w:rPr>
        <w:t xml:space="preserve"> </w:t>
      </w:r>
      <w:r w:rsidRPr="00740CF3">
        <w:rPr>
          <w:rFonts w:ascii="Times New Roman" w:hAnsi="Times New Roman"/>
        </w:rPr>
        <w:t>8</w:t>
      </w:r>
      <w:r>
        <w:rPr>
          <w:rFonts w:ascii="Times New Roman" w:hAnsi="Times New Roman"/>
        </w:rPr>
        <w:t>7</w:t>
      </w:r>
      <w:r w:rsidRPr="00740CF3">
        <w:rPr>
          <w:rFonts w:ascii="Times New Roman" w:hAnsi="Times New Roman"/>
        </w:rPr>
        <w:t>,</w:t>
      </w:r>
      <w:r>
        <w:rPr>
          <w:rFonts w:ascii="Times New Roman" w:hAnsi="Times New Roman"/>
        </w:rPr>
        <w:t>3</w:t>
      </w:r>
      <w:r w:rsidRPr="00740CF3">
        <w:rPr>
          <w:rFonts w:ascii="Times New Roman" w:hAnsi="Times New Roman"/>
        </w:rPr>
        <w:t xml:space="preserve">%, z toho pre obce </w:t>
      </w:r>
      <w:r>
        <w:rPr>
          <w:rFonts w:ascii="Times New Roman" w:hAnsi="Times New Roman"/>
        </w:rPr>
        <w:t xml:space="preserve">z 70,3% na </w:t>
      </w:r>
      <w:r w:rsidRPr="00740CF3">
        <w:rPr>
          <w:rFonts w:ascii="Times New Roman" w:hAnsi="Times New Roman"/>
        </w:rPr>
        <w:t>6</w:t>
      </w:r>
      <w:r>
        <w:rPr>
          <w:rFonts w:ascii="Times New Roman" w:hAnsi="Times New Roman"/>
        </w:rPr>
        <w:t>5</w:t>
      </w:r>
      <w:r w:rsidRPr="00740CF3">
        <w:rPr>
          <w:rFonts w:ascii="Times New Roman" w:hAnsi="Times New Roman"/>
        </w:rPr>
        <w:t>,</w:t>
      </w:r>
      <w:r>
        <w:rPr>
          <w:rFonts w:ascii="Times New Roman" w:hAnsi="Times New Roman"/>
        </w:rPr>
        <w:t>4</w:t>
      </w:r>
      <w:r w:rsidRPr="00740CF3">
        <w:rPr>
          <w:rFonts w:ascii="Times New Roman" w:hAnsi="Times New Roman"/>
        </w:rPr>
        <w:t xml:space="preserve">% a VÚC </w:t>
      </w:r>
      <w:r>
        <w:rPr>
          <w:rFonts w:ascii="Times New Roman" w:hAnsi="Times New Roman"/>
        </w:rPr>
        <w:t xml:space="preserve">z 23,5 % na </w:t>
      </w:r>
      <w:r w:rsidRPr="00740CF3">
        <w:rPr>
          <w:rFonts w:ascii="Times New Roman" w:hAnsi="Times New Roman"/>
        </w:rPr>
        <w:t>21,</w:t>
      </w:r>
      <w:r>
        <w:rPr>
          <w:rFonts w:ascii="Times New Roman" w:hAnsi="Times New Roman"/>
        </w:rPr>
        <w:t>9 %.</w:t>
      </w:r>
      <w:r w:rsidRPr="00D63ECA">
        <w:rPr>
          <w:rFonts w:ascii="Times New Roman" w:hAnsi="Times New Roman"/>
        </w:rPr>
        <w:t xml:space="preserve"> </w:t>
      </w:r>
      <w:r>
        <w:rPr>
          <w:rFonts w:ascii="Times New Roman" w:hAnsi="Times New Roman"/>
        </w:rPr>
        <w:t xml:space="preserve">Očakávaný </w:t>
      </w:r>
      <w:r w:rsidRPr="00D63ECA">
        <w:rPr>
          <w:rFonts w:ascii="Times New Roman" w:hAnsi="Times New Roman"/>
        </w:rPr>
        <w:t xml:space="preserve"> príj</w:t>
      </w:r>
      <w:r>
        <w:rPr>
          <w:rFonts w:ascii="Times New Roman" w:hAnsi="Times New Roman"/>
        </w:rPr>
        <w:t>e</w:t>
      </w:r>
      <w:r w:rsidRPr="00D63ECA">
        <w:rPr>
          <w:rFonts w:ascii="Times New Roman" w:hAnsi="Times New Roman"/>
        </w:rPr>
        <w:t xml:space="preserve">m </w:t>
      </w:r>
      <w:r>
        <w:rPr>
          <w:rFonts w:ascii="Times New Roman" w:hAnsi="Times New Roman"/>
        </w:rPr>
        <w:t xml:space="preserve">z tejto dane </w:t>
      </w:r>
      <w:r w:rsidRPr="00D63ECA">
        <w:rPr>
          <w:rFonts w:ascii="Times New Roman" w:hAnsi="Times New Roman"/>
        </w:rPr>
        <w:t xml:space="preserve">do rozpočtov samospráv </w:t>
      </w:r>
      <w:r>
        <w:rPr>
          <w:rFonts w:ascii="Times New Roman" w:hAnsi="Times New Roman"/>
        </w:rPr>
        <w:t xml:space="preserve">by mal </w:t>
      </w:r>
      <w:r w:rsidRPr="00D63ECA">
        <w:rPr>
          <w:rFonts w:ascii="Times New Roman" w:hAnsi="Times New Roman"/>
        </w:rPr>
        <w:t>v roku 2012 dosiah</w:t>
      </w:r>
      <w:r>
        <w:rPr>
          <w:rFonts w:ascii="Times New Roman" w:hAnsi="Times New Roman"/>
        </w:rPr>
        <w:t>nuť</w:t>
      </w:r>
      <w:r w:rsidRPr="00D63ECA">
        <w:rPr>
          <w:rFonts w:ascii="Times New Roman" w:hAnsi="Times New Roman"/>
        </w:rPr>
        <w:t xml:space="preserve"> sumu 1,68</w:t>
      </w:r>
      <w:r>
        <w:rPr>
          <w:rFonts w:ascii="Times New Roman" w:hAnsi="Times New Roman"/>
        </w:rPr>
        <w:t>5</w:t>
      </w:r>
      <w:r w:rsidRPr="00D63ECA">
        <w:rPr>
          <w:rFonts w:ascii="Times New Roman" w:hAnsi="Times New Roman"/>
        </w:rPr>
        <w:t xml:space="preserve"> miliardy €</w:t>
      </w:r>
      <w:r>
        <w:rPr>
          <w:rFonts w:ascii="Times New Roman" w:hAnsi="Times New Roman"/>
        </w:rPr>
        <w:t>, z toho pre obce 1</w:t>
      </w:r>
      <w:r w:rsidR="007931AC">
        <w:rPr>
          <w:rFonts w:ascii="Times New Roman" w:hAnsi="Times New Roman"/>
        </w:rPr>
        <w:t>,</w:t>
      </w:r>
      <w:r>
        <w:rPr>
          <w:rFonts w:ascii="Times New Roman" w:hAnsi="Times New Roman"/>
        </w:rPr>
        <w:t>263 mil</w:t>
      </w:r>
      <w:r w:rsidR="007931AC">
        <w:rPr>
          <w:rFonts w:ascii="Times New Roman" w:hAnsi="Times New Roman"/>
        </w:rPr>
        <w:t>iardy</w:t>
      </w:r>
      <w:r>
        <w:rPr>
          <w:rFonts w:ascii="Times New Roman" w:hAnsi="Times New Roman"/>
        </w:rPr>
        <w:t xml:space="preserve"> € a vyššie územné celky </w:t>
      </w:r>
      <w:r w:rsidR="007931AC">
        <w:rPr>
          <w:rFonts w:ascii="Times New Roman" w:hAnsi="Times New Roman"/>
        </w:rPr>
        <w:t>0,</w:t>
      </w:r>
      <w:r>
        <w:rPr>
          <w:rFonts w:ascii="Times New Roman" w:hAnsi="Times New Roman"/>
        </w:rPr>
        <w:t>422 mil</w:t>
      </w:r>
      <w:r w:rsidR="007931AC">
        <w:rPr>
          <w:rFonts w:ascii="Times New Roman" w:hAnsi="Times New Roman"/>
        </w:rPr>
        <w:t>iardy</w:t>
      </w:r>
      <w:r>
        <w:rPr>
          <w:rFonts w:ascii="Times New Roman" w:hAnsi="Times New Roman"/>
        </w:rPr>
        <w:t xml:space="preserve"> €, </w:t>
      </w:r>
      <w:r w:rsidRPr="00062B38">
        <w:rPr>
          <w:rFonts w:ascii="Times New Roman" w:hAnsi="Times New Roman"/>
        </w:rPr>
        <w:t>čo predstavuje zmenu medziročného nárastu v budúcom roku oproti pôvodne navrhovaným 3 % na cca 7%.</w:t>
      </w:r>
      <w:r>
        <w:rPr>
          <w:rFonts w:ascii="Times New Roman" w:hAnsi="Times New Roman"/>
        </w:rPr>
        <w:t xml:space="preserve"> Podkladom pre stanovenie</w:t>
      </w:r>
      <w:r w:rsidRPr="004E71D6">
        <w:rPr>
          <w:rFonts w:ascii="Times New Roman" w:hAnsi="Times New Roman"/>
        </w:rPr>
        <w:t xml:space="preserve"> percentuálneho podielu obcí a VÚC </w:t>
      </w:r>
      <w:r>
        <w:rPr>
          <w:rFonts w:ascii="Times New Roman" w:hAnsi="Times New Roman"/>
        </w:rPr>
        <w:t xml:space="preserve">bola </w:t>
      </w:r>
      <w:r w:rsidRPr="004E71D6">
        <w:rPr>
          <w:rFonts w:ascii="Times New Roman" w:hAnsi="Times New Roman"/>
        </w:rPr>
        <w:t> novembrov</w:t>
      </w:r>
      <w:r>
        <w:rPr>
          <w:rFonts w:ascii="Times New Roman" w:hAnsi="Times New Roman"/>
        </w:rPr>
        <w:t>á</w:t>
      </w:r>
      <w:r w:rsidRPr="004E71D6">
        <w:rPr>
          <w:rFonts w:ascii="Times New Roman" w:hAnsi="Times New Roman"/>
        </w:rPr>
        <w:t xml:space="preserve"> prognóz</w:t>
      </w:r>
      <w:r>
        <w:rPr>
          <w:rFonts w:ascii="Times New Roman" w:hAnsi="Times New Roman"/>
        </w:rPr>
        <w:t>a</w:t>
      </w:r>
      <w:r w:rsidRPr="004E71D6">
        <w:rPr>
          <w:rFonts w:ascii="Times New Roman" w:hAnsi="Times New Roman"/>
        </w:rPr>
        <w:t xml:space="preserve"> daňových príjmov.</w:t>
      </w:r>
    </w:p>
    <w:p w:rsidR="00AB0A69" w:rsidRPr="004E71D6" w:rsidP="00AB0A69">
      <w:pPr>
        <w:bidi w:val="0"/>
        <w:jc w:val="both"/>
        <w:rPr>
          <w:rFonts w:ascii="Times New Roman" w:hAnsi="Times New Roman"/>
        </w:rPr>
      </w:pPr>
      <w:r w:rsidRPr="004E71D6">
        <w:rPr>
          <w:rFonts w:ascii="Times New Roman" w:hAnsi="Times New Roman"/>
        </w:rPr>
        <w:t xml:space="preserve">Vplyvy návrhu zákona na jednotlivé subjekty verejnej správy sú uvedené v Doložke vybraných vplyvov. Návrh zákona nemá vplyv na podnikateľské prostredie, sociálnu oblasť, životné prostredie a ani na informatizáciu spoločnosti. </w:t>
      </w:r>
    </w:p>
    <w:p w:rsidR="00AB0A69" w:rsidRPr="004E71D6" w:rsidP="00AB0A69">
      <w:pPr>
        <w:bidi w:val="0"/>
        <w:jc w:val="both"/>
        <w:rPr>
          <w:rFonts w:ascii="Times New Roman" w:hAnsi="Times New Roman"/>
        </w:rPr>
      </w:pPr>
    </w:p>
    <w:p w:rsidR="00AB0A69" w:rsidRPr="004E71D6" w:rsidP="00C468C1">
      <w:pPr>
        <w:bidi w:val="0"/>
        <w:jc w:val="both"/>
        <w:rPr>
          <w:rFonts w:ascii="Times New Roman" w:hAnsi="Times New Roman"/>
        </w:rPr>
      </w:pPr>
      <w:r w:rsidRPr="004E71D6">
        <w:rPr>
          <w:rFonts w:ascii="Times New Roman" w:hAnsi="Times New Roman"/>
        </w:rPr>
        <w:t xml:space="preserve">Návrh zákona je v súlade s Ústavou Slovenskej republiky, zákonmi a medzinárodnými zmluvami a inými medzinárodnými dokumentmi, ktorými je Slovenská republika viazaná a s právom Európskej únie. </w:t>
      </w:r>
    </w:p>
    <w:p w:rsidR="00AB0A69" w:rsidRPr="004E71D6" w:rsidP="00AB0A69">
      <w:pPr>
        <w:bidi w:val="0"/>
        <w:jc w:val="both"/>
        <w:rPr>
          <w:rFonts w:ascii="Times New Roman" w:hAnsi="Times New Roman"/>
        </w:rPr>
      </w:pPr>
    </w:p>
    <w:p w:rsidR="00AB0A69" w:rsidRPr="00D0458F" w:rsidP="00C468C1">
      <w:pPr>
        <w:pStyle w:val="ListParagraph"/>
        <w:bidi w:val="0"/>
        <w:spacing w:after="240"/>
        <w:ind w:left="0"/>
        <w:jc w:val="both"/>
      </w:pPr>
      <w:r w:rsidRPr="00D0458F">
        <w:rPr>
          <w:rFonts w:ascii="Times New Roman" w:hAnsi="Times New Roman"/>
          <w:sz w:val="24"/>
          <w:szCs w:val="24"/>
        </w:rPr>
        <w:t>Vzhľadom n</w:t>
      </w:r>
      <w:r>
        <w:rPr>
          <w:rFonts w:ascii="Times New Roman" w:hAnsi="Times New Roman"/>
          <w:sz w:val="24"/>
          <w:szCs w:val="24"/>
        </w:rPr>
        <w:t xml:space="preserve">a nevyhnutnosť </w:t>
      </w:r>
      <w:r w:rsidR="00667CBB">
        <w:rPr>
          <w:rFonts w:ascii="Times New Roman" w:hAnsi="Times New Roman"/>
          <w:sz w:val="24"/>
          <w:szCs w:val="24"/>
        </w:rPr>
        <w:t xml:space="preserve">konsolidácie verejných financií a </w:t>
      </w:r>
      <w:r>
        <w:rPr>
          <w:rFonts w:ascii="Times New Roman" w:hAnsi="Times New Roman"/>
          <w:sz w:val="24"/>
          <w:szCs w:val="24"/>
        </w:rPr>
        <w:t>uplatn</w:t>
      </w:r>
      <w:r w:rsidR="00667CBB">
        <w:rPr>
          <w:rFonts w:ascii="Times New Roman" w:hAnsi="Times New Roman"/>
          <w:sz w:val="24"/>
          <w:szCs w:val="24"/>
        </w:rPr>
        <w:t xml:space="preserve">enia </w:t>
      </w:r>
      <w:r>
        <w:rPr>
          <w:rFonts w:ascii="Times New Roman" w:hAnsi="Times New Roman"/>
          <w:sz w:val="24"/>
          <w:szCs w:val="24"/>
        </w:rPr>
        <w:t>nov</w:t>
      </w:r>
      <w:r w:rsidR="00667CBB">
        <w:rPr>
          <w:rFonts w:ascii="Times New Roman" w:hAnsi="Times New Roman"/>
          <w:sz w:val="24"/>
          <w:szCs w:val="24"/>
        </w:rPr>
        <w:t>ých</w:t>
      </w:r>
      <w:r>
        <w:rPr>
          <w:rFonts w:ascii="Times New Roman" w:hAnsi="Times New Roman"/>
          <w:sz w:val="24"/>
          <w:szCs w:val="24"/>
        </w:rPr>
        <w:t xml:space="preserve"> podmien</w:t>
      </w:r>
      <w:r w:rsidR="00667CBB">
        <w:rPr>
          <w:rFonts w:ascii="Times New Roman" w:hAnsi="Times New Roman"/>
          <w:sz w:val="24"/>
          <w:szCs w:val="24"/>
        </w:rPr>
        <w:t>o</w:t>
      </w:r>
      <w:r>
        <w:rPr>
          <w:rFonts w:ascii="Times New Roman" w:hAnsi="Times New Roman"/>
          <w:sz w:val="24"/>
          <w:szCs w:val="24"/>
        </w:rPr>
        <w:t>k prerozdelenia dane z príjmov fyzických osôb v súvislosti s</w:t>
      </w:r>
      <w:r w:rsidR="00667CBB">
        <w:rPr>
          <w:rFonts w:ascii="Times New Roman" w:hAnsi="Times New Roman"/>
          <w:sz w:val="24"/>
          <w:szCs w:val="24"/>
        </w:rPr>
        <w:t xml:space="preserve"> touto </w:t>
      </w:r>
      <w:r>
        <w:rPr>
          <w:rFonts w:ascii="Times New Roman" w:hAnsi="Times New Roman"/>
          <w:sz w:val="24"/>
          <w:szCs w:val="24"/>
        </w:rPr>
        <w:t xml:space="preserve">konsolidáciou verejných financií a s cieľom zamedziť vzniku značných hospodárskych škôd </w:t>
      </w:r>
      <w:r w:rsidRPr="00D0458F">
        <w:rPr>
          <w:rFonts w:ascii="Times New Roman" w:hAnsi="Times New Roman"/>
          <w:sz w:val="24"/>
          <w:szCs w:val="24"/>
        </w:rPr>
        <w:t xml:space="preserve">sa navrhuje, aby </w:t>
      </w:r>
      <w:r>
        <w:rPr>
          <w:rFonts w:ascii="Times New Roman" w:hAnsi="Times New Roman"/>
          <w:sz w:val="24"/>
          <w:szCs w:val="24"/>
        </w:rPr>
        <w:t xml:space="preserve">bol </w:t>
      </w:r>
      <w:r w:rsidRPr="00D0458F">
        <w:rPr>
          <w:rFonts w:ascii="Times New Roman" w:hAnsi="Times New Roman"/>
          <w:sz w:val="24"/>
          <w:szCs w:val="24"/>
        </w:rPr>
        <w:t>tento zákon</w:t>
      </w:r>
      <w:r>
        <w:rPr>
          <w:rFonts w:ascii="Times New Roman" w:hAnsi="Times New Roman"/>
          <w:sz w:val="24"/>
          <w:szCs w:val="24"/>
        </w:rPr>
        <w:t xml:space="preserve"> schválený v skrátenom legislatívnom konaní a</w:t>
      </w:r>
      <w:r w:rsidRPr="00D0458F">
        <w:rPr>
          <w:rFonts w:ascii="Times New Roman" w:hAnsi="Times New Roman"/>
          <w:sz w:val="24"/>
          <w:szCs w:val="24"/>
        </w:rPr>
        <w:t xml:space="preserve"> nadobudol účinnosť od 1. januára 2012.</w:t>
      </w:r>
    </w:p>
    <w:p w:rsidR="00AB0A69"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b/>
          <w:bCs/>
        </w:rPr>
        <w:t>Doložka vybraných vplyvov</w:t>
      </w:r>
    </w:p>
    <w:p w:rsidR="00ED7170" w:rsidRPr="0047032D" w:rsidP="00ED7170">
      <w:pPr>
        <w:pStyle w:val="NormalWeb"/>
        <w:bidi w:val="0"/>
        <w:spacing w:before="0" w:beforeAutospacing="0" w:after="0" w:afterAutospacing="0"/>
        <w:ind w:right="-108"/>
        <w:jc w:val="center"/>
        <w:rPr>
          <w:rFonts w:ascii="Times New Roman" w:hAnsi="Times New Roman"/>
        </w:rPr>
      </w:pPr>
      <w:r w:rsidRPr="0047032D">
        <w:rPr>
          <w:rFonts w:ascii="Times New Roman" w:hAnsi="Times New Roman"/>
          <w:b/>
          <w:bCs/>
        </w:rPr>
        <w:t> </w:t>
      </w:r>
    </w:p>
    <w:p w:rsidR="00ED7170" w:rsidRPr="0047032D" w:rsidP="00ED7170">
      <w:pPr>
        <w:bidi w:val="0"/>
        <w:jc w:val="both"/>
        <w:rPr>
          <w:rFonts w:ascii="Times New Roman" w:hAnsi="Times New Roman"/>
          <w:b/>
          <w:bCs/>
        </w:rPr>
      </w:pPr>
      <w:r w:rsidRPr="0047032D">
        <w:rPr>
          <w:rFonts w:ascii="Times New Roman" w:hAnsi="Times New Roman"/>
          <w:b/>
          <w:bCs/>
        </w:rPr>
        <w:t xml:space="preserve"> A.1. Názov materiálu: </w:t>
      </w:r>
      <w:r w:rsidRPr="0047032D">
        <w:rPr>
          <w:rFonts w:ascii="Times New Roman" w:hAnsi="Times New Roman"/>
          <w:bCs/>
        </w:rPr>
        <w:t xml:space="preserve">Návrh zákona, ktorým sa mení a dopĺňa zákon č. 595/2003 Z. z. o dani z príjmov v znení neskorších predpisov </w:t>
      </w:r>
      <w:r>
        <w:rPr>
          <w:rFonts w:ascii="Times New Roman" w:hAnsi="Times New Roman"/>
          <w:bCs/>
        </w:rPr>
        <w:t>a ktorým sa mení a dopĺňa zákon č. 564/2004 Z. z. o rozpočtovom určení výnosu dane z príjmov územnej samospráve a o zmene a doplnení niektorých zákonov v znení neskorších predpisov</w:t>
      </w:r>
    </w:p>
    <w:p w:rsidR="00ED7170" w:rsidRPr="0047032D" w:rsidP="00ED7170">
      <w:pPr>
        <w:pStyle w:val="NormalWeb"/>
        <w:bidi w:val="0"/>
        <w:spacing w:before="0" w:beforeAutospacing="0" w:after="0" w:afterAutospacing="0"/>
        <w:rPr>
          <w:rFonts w:ascii="Times New Roman" w:hAnsi="Times New Roman"/>
        </w:rPr>
      </w:pP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b/>
          <w:bCs/>
        </w:rPr>
        <w:t> Termín začatia a ukončenia PPK: </w:t>
      </w:r>
      <w:r>
        <w:rPr>
          <w:rFonts w:ascii="Times New Roman" w:hAnsi="Times New Roman"/>
          <w:b/>
          <w:bCs/>
        </w:rPr>
        <w:t>-</w:t>
      </w: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b/>
          <w:bCs/>
        </w:rPr>
        <w:t>A.2. Vplyvy:</w:t>
      </w: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w:t>
      </w:r>
    </w:p>
    <w:tbl>
      <w:tblPr>
        <w:tblStyle w:val="TableNormal"/>
        <w:tblW w:w="9180" w:type="dxa"/>
        <w:tblLayout w:type="fixed"/>
        <w:tblCellMar>
          <w:left w:w="0" w:type="dxa"/>
          <w:right w:w="0" w:type="dxa"/>
        </w:tblCellMar>
      </w:tblPr>
      <w:tblGrid>
        <w:gridCol w:w="5211"/>
        <w:gridCol w:w="1276"/>
        <w:gridCol w:w="1276"/>
        <w:gridCol w:w="1417"/>
      </w:tblGrid>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Pozitívne</w:t>
            </w:r>
            <w:r w:rsidRPr="0047032D">
              <w:rPr>
                <w:rFonts w:ascii="Times New Roman" w:hAnsi="Times New Roman"/>
                <w:vertAlign w:val="superscript"/>
              </w:rPr>
              <w:t>*</w:t>
            </w:r>
            <w:r w:rsidRPr="0047032D">
              <w:rPr>
                <w:rFonts w:ascii="Times New Roman" w:hAnsi="Times New Roman"/>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Žiadne</w:t>
            </w:r>
            <w:r w:rsidRPr="0047032D">
              <w:rPr>
                <w:rFonts w:ascii="Times New Roman" w:hAnsi="Times New Roman"/>
                <w:vertAlign w:val="superscript"/>
              </w:rPr>
              <w:t>*</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Negatívne</w:t>
            </w:r>
            <w:r w:rsidRPr="0047032D">
              <w:rPr>
                <w:rFonts w:ascii="Times New Roman" w:hAnsi="Times New Roman"/>
                <w:vertAlign w:val="superscript"/>
              </w:rPr>
              <w:t>*</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1. Vplyvy na rozpočet verejnej správy</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2. Vplyvy na podnikateľské prostredie – dochádza k zvýšeniu regulačného zaťaženia?</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r>
              <w:rPr>
                <w:rFonts w:ascii="Times New Roman" w:hAnsi="Times New Roman"/>
              </w:rPr>
              <w:t>X</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xml:space="preserve">3, Sociálne vplyvy </w:t>
            </w: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vplyvy na hospodárenie obyvateľstva,</w:t>
            </w: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sociálnu exklúziu,</w:t>
            </w:r>
          </w:p>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 rovnosť príležitostí a rodovú rovnosť a vplyvy na zamestnanosť</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p>
          <w:p w:rsidR="00ED7170" w:rsidRPr="0047032D" w:rsidP="00ED7170">
            <w:pPr>
              <w:pStyle w:val="NormalWeb"/>
              <w:bidi w:val="0"/>
              <w:spacing w:before="0" w:beforeAutospacing="0" w:after="0" w:afterAutospacing="0"/>
              <w:jc w:val="center"/>
              <w:rPr>
                <w:rFonts w:ascii="Times New Roman" w:hAnsi="Times New Roman"/>
              </w:rPr>
            </w:pPr>
          </w:p>
          <w:p w:rsidR="00ED7170" w:rsidRPr="0047032D" w:rsidP="00ED7170">
            <w:pPr>
              <w:pStyle w:val="NormalWeb"/>
              <w:bidi w:val="0"/>
              <w:spacing w:before="0" w:beforeAutospacing="0" w:after="0" w:afterAutospacing="0"/>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Pr>
                <w:rFonts w:ascii="Times New Roman" w:hAnsi="Times New Roman"/>
              </w:rPr>
              <w:t>X</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4. Vplyvy na životné prostredie</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r>
        <w:tblPrEx>
          <w:tblW w:w="9180" w:type="dxa"/>
          <w:tblLayout w:type="fixed"/>
          <w:tblCellMar>
            <w:left w:w="0" w:type="dxa"/>
            <w:right w:w="0" w:type="dxa"/>
          </w:tblCellMar>
        </w:tblPrEx>
        <w:tc>
          <w:tcPr>
            <w:tcW w:w="521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rPr>
                <w:rFonts w:ascii="Times New Roman" w:hAnsi="Times New Roman"/>
              </w:rPr>
            </w:pPr>
            <w:r w:rsidRPr="0047032D">
              <w:rPr>
                <w:rFonts w:ascii="Times New Roman" w:hAnsi="Times New Roman"/>
              </w:rPr>
              <w:t>5. Vplyvy na informatizáciu spoločnosti</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c>
          <w:tcPr>
            <w:tcW w:w="127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X </w:t>
            </w:r>
          </w:p>
        </w:tc>
        <w:tc>
          <w:tcPr>
            <w:tcW w:w="1417"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ED7170" w:rsidRPr="0047032D" w:rsidP="00ED7170">
            <w:pPr>
              <w:pStyle w:val="NormalWeb"/>
              <w:bidi w:val="0"/>
              <w:spacing w:before="0" w:beforeAutospacing="0" w:after="0" w:afterAutospacing="0"/>
              <w:jc w:val="center"/>
              <w:rPr>
                <w:rFonts w:ascii="Times New Roman" w:hAnsi="Times New Roman"/>
              </w:rPr>
            </w:pPr>
            <w:r w:rsidRPr="0047032D">
              <w:rPr>
                <w:rFonts w:ascii="Times New Roman" w:hAnsi="Times New Roman"/>
              </w:rPr>
              <w:t> </w:t>
            </w:r>
          </w:p>
        </w:tc>
      </w:tr>
    </w:tbl>
    <w:p w:rsidR="00ED7170" w:rsidRPr="0047032D" w:rsidP="00ED7170">
      <w:pPr>
        <w:pStyle w:val="NormalWeb"/>
        <w:bidi w:val="0"/>
        <w:spacing w:before="0" w:beforeAutospacing="0" w:after="0" w:afterAutospacing="0"/>
        <w:jc w:val="both"/>
        <w:rPr>
          <w:rFonts w:ascii="Times New Roman" w:hAnsi="Times New Roman"/>
        </w:rPr>
      </w:pPr>
      <w:r w:rsidRPr="0047032D">
        <w:rPr>
          <w:rFonts w:ascii="Times New Roman" w:hAnsi="Times New Roman"/>
        </w:rPr>
        <w:t> </w:t>
      </w:r>
    </w:p>
    <w:p w:rsidR="00ED7170" w:rsidRPr="0047032D" w:rsidP="00ED7170">
      <w:pPr>
        <w:pStyle w:val="NormalWeb"/>
        <w:bidi w:val="0"/>
        <w:spacing w:before="0" w:beforeAutospacing="0" w:after="0" w:afterAutospacing="0"/>
        <w:jc w:val="both"/>
        <w:rPr>
          <w:rFonts w:ascii="Times New Roman" w:hAnsi="Times New Roman"/>
        </w:rPr>
      </w:pPr>
      <w:r w:rsidRPr="0047032D">
        <w:rPr>
          <w:rFonts w:ascii="Times New Roman" w:hAnsi="Times New Roman"/>
          <w:b/>
          <w:bCs/>
        </w:rPr>
        <w:t>A.3. Poznámky</w:t>
      </w:r>
    </w:p>
    <w:p w:rsidR="00ED7170" w:rsidRPr="00207C1A" w:rsidP="00ED7170">
      <w:pPr>
        <w:bidi w:val="0"/>
        <w:jc w:val="both"/>
        <w:rPr>
          <w:rFonts w:ascii="Times New Roman" w:hAnsi="Times New Roman"/>
          <w:u w:val="single"/>
        </w:rPr>
      </w:pPr>
      <w:r w:rsidRPr="00207C1A">
        <w:rPr>
          <w:rFonts w:ascii="Times New Roman" w:hAnsi="Times New Roman"/>
          <w:u w:val="single"/>
        </w:rPr>
        <w:t>Zákon č. 595/2003 Z. z. o dani z príjmov v znení neskorších predpisov</w:t>
      </w:r>
    </w:p>
    <w:p w:rsidR="00ED7170" w:rsidP="00ED7170">
      <w:pPr>
        <w:bidi w:val="0"/>
        <w:jc w:val="both"/>
        <w:rPr>
          <w:rFonts w:ascii="Times New Roman" w:hAnsi="Times New Roman"/>
        </w:rPr>
      </w:pPr>
      <w:r w:rsidRPr="002A0DDB">
        <w:rPr>
          <w:rFonts w:ascii="Times New Roman" w:hAnsi="Times New Roman"/>
        </w:rPr>
        <w:t>Zjednoten</w:t>
      </w:r>
      <w:r>
        <w:rPr>
          <w:rFonts w:ascii="Times New Roman" w:hAnsi="Times New Roman"/>
        </w:rPr>
        <w:t>ím</w:t>
      </w:r>
      <w:r w:rsidRPr="002A0DDB">
        <w:rPr>
          <w:rFonts w:ascii="Times New Roman" w:hAnsi="Times New Roman"/>
        </w:rPr>
        <w:t xml:space="preserve"> podmienok odpisovania hmotného majetku obstaraného formou finančného prenájmu s ostatnými formami </w:t>
      </w:r>
      <w:r>
        <w:rPr>
          <w:rFonts w:ascii="Times New Roman" w:hAnsi="Times New Roman"/>
        </w:rPr>
        <w:t xml:space="preserve">jeho </w:t>
      </w:r>
      <w:r w:rsidRPr="002A0DDB">
        <w:rPr>
          <w:rFonts w:ascii="Times New Roman" w:hAnsi="Times New Roman"/>
        </w:rPr>
        <w:t xml:space="preserve">obstarania </w:t>
      </w:r>
      <w:r>
        <w:rPr>
          <w:rFonts w:ascii="Times New Roman" w:hAnsi="Times New Roman"/>
        </w:rPr>
        <w:t>sa dosiahne</w:t>
      </w:r>
      <w:r w:rsidRPr="002A0DDB">
        <w:rPr>
          <w:rFonts w:ascii="Times New Roman" w:hAnsi="Times New Roman"/>
        </w:rPr>
        <w:t xml:space="preserve"> </w:t>
      </w:r>
      <w:r>
        <w:rPr>
          <w:rFonts w:ascii="Times New Roman" w:hAnsi="Times New Roman"/>
        </w:rPr>
        <w:t>rovnaká doba odpisovania bez ohľadu na spôsob jeho obstarania. Zavedením mesačných odpisov sa nemení celkové daňové zaťaženie podnikateľských subjektov, ale dochádza len k miernemu presunu možnosti uplatnenia daňových výdavkov z prvého roku odpisovania hmotného majetku do ďalších rokov odpisovania</w:t>
      </w:r>
      <w:r w:rsidRPr="002A0DDB">
        <w:rPr>
          <w:rFonts w:ascii="Times New Roman" w:hAnsi="Times New Roman"/>
        </w:rPr>
        <w:t>.</w:t>
      </w:r>
      <w:r>
        <w:rPr>
          <w:rFonts w:ascii="Times New Roman" w:hAnsi="Times New Roman"/>
        </w:rPr>
        <w:t xml:space="preserve"> Daňové požiadavky pre uplatnenie odpisov hmotného majetku obstaraného akýmkoľvek spôsobom budú  u podnikateľských subjektov rovnaké.</w:t>
      </w:r>
    </w:p>
    <w:p w:rsidR="00ED7170" w:rsidP="00ED7170">
      <w:pPr>
        <w:bidi w:val="0"/>
        <w:jc w:val="both"/>
        <w:rPr>
          <w:rFonts w:ascii="Times New Roman" w:hAnsi="Times New Roman"/>
        </w:rPr>
      </w:pPr>
    </w:p>
    <w:p w:rsidR="00ED7170" w:rsidRPr="00207C1A" w:rsidP="00ED7170">
      <w:pPr>
        <w:bidi w:val="0"/>
        <w:jc w:val="both"/>
        <w:rPr>
          <w:rFonts w:ascii="Times New Roman" w:hAnsi="Times New Roman"/>
          <w:u w:val="single"/>
        </w:rPr>
      </w:pPr>
      <w:r w:rsidRPr="00207C1A">
        <w:rPr>
          <w:rFonts w:ascii="Times New Roman" w:hAnsi="Times New Roman"/>
          <w:u w:val="single"/>
        </w:rPr>
        <w:t>Zákon č. 564/2004 Z. z. o rozpočtovom určení výnosu dane z príjmov územnej samospráve a o zmene a doplnení niektorých zákonov v znení neskorších predpisov</w:t>
      </w:r>
    </w:p>
    <w:p w:rsidR="00ED7170" w:rsidRPr="00C01012" w:rsidP="00ED7170">
      <w:pPr>
        <w:bidi w:val="0"/>
        <w:spacing w:after="280" w:afterAutospacing="1"/>
        <w:jc w:val="both"/>
        <w:rPr>
          <w:rFonts w:ascii="Times New Roman" w:hAnsi="Times New Roman"/>
          <w:color w:val="000000"/>
        </w:rPr>
      </w:pPr>
      <w:r w:rsidRPr="00C01012">
        <w:rPr>
          <w:rFonts w:ascii="Times New Roman" w:hAnsi="Times New Roman"/>
          <w:color w:val="000000"/>
        </w:rPr>
        <w:t xml:space="preserve"> Návrh zákona nemá dopad na rozpočet verejnej správy, vzhľadom na to, že ide o vzájomne vykompenzovanú zmenu prerozdelenia daňových príjmov medzi štátnym rozpočtom a rozpočtami územnej samosprávy. Podľa prognózy na rok 2012 je </w:t>
      </w:r>
      <w:r>
        <w:rPr>
          <w:rFonts w:ascii="Times New Roman" w:hAnsi="Times New Roman"/>
          <w:color w:val="000000"/>
        </w:rPr>
        <w:t xml:space="preserve">dopad kvantifikovaný vo výške +123 </w:t>
      </w:r>
      <w:r w:rsidRPr="00C01012">
        <w:rPr>
          <w:rFonts w:ascii="Times New Roman" w:hAnsi="Times New Roman"/>
          <w:color w:val="000000"/>
        </w:rPr>
        <w:t>mil. € pre štátny rozpočet a -</w:t>
      </w:r>
      <w:r>
        <w:rPr>
          <w:rFonts w:ascii="Times New Roman" w:hAnsi="Times New Roman"/>
          <w:color w:val="000000"/>
        </w:rPr>
        <w:t>123</w:t>
      </w:r>
      <w:r w:rsidRPr="00C01012">
        <w:rPr>
          <w:rFonts w:ascii="Times New Roman" w:hAnsi="Times New Roman"/>
          <w:color w:val="000000"/>
        </w:rPr>
        <w:t xml:space="preserve"> mil. € pre územnú samosprávu, z toho pre obce -</w:t>
      </w:r>
      <w:r>
        <w:rPr>
          <w:rFonts w:ascii="Times New Roman" w:hAnsi="Times New Roman"/>
          <w:color w:val="000000"/>
        </w:rPr>
        <w:t>93</w:t>
      </w:r>
      <w:r w:rsidRPr="00C01012">
        <w:rPr>
          <w:rFonts w:ascii="Times New Roman" w:hAnsi="Times New Roman"/>
          <w:color w:val="000000"/>
        </w:rPr>
        <w:t xml:space="preserve"> mil. € a pre VÚC -</w:t>
      </w:r>
      <w:r>
        <w:rPr>
          <w:rFonts w:ascii="Times New Roman" w:hAnsi="Times New Roman"/>
          <w:color w:val="000000"/>
        </w:rPr>
        <w:t>30</w:t>
      </w:r>
      <w:r w:rsidRPr="00C01012">
        <w:rPr>
          <w:rFonts w:ascii="Times New Roman" w:hAnsi="Times New Roman"/>
          <w:color w:val="000000"/>
        </w:rPr>
        <w:t xml:space="preserve"> mil. €. Pre rok 2013 je dopad kvantifikovaný vo výške </w:t>
      </w:r>
      <w:r>
        <w:rPr>
          <w:rFonts w:ascii="Times New Roman" w:hAnsi="Times New Roman"/>
          <w:color w:val="000000"/>
        </w:rPr>
        <w:t>+131</w:t>
      </w:r>
      <w:r w:rsidRPr="00C01012">
        <w:rPr>
          <w:rFonts w:ascii="Times New Roman" w:hAnsi="Times New Roman"/>
          <w:color w:val="000000"/>
        </w:rPr>
        <w:t xml:space="preserve"> mil. € pre štátny rozpočet</w:t>
      </w:r>
      <w:r>
        <w:rPr>
          <w:rFonts w:ascii="Times New Roman" w:hAnsi="Times New Roman"/>
          <w:color w:val="000000"/>
        </w:rPr>
        <w:t xml:space="preserve"> a</w:t>
      </w:r>
      <w:r w:rsidRPr="00C01012">
        <w:rPr>
          <w:rFonts w:ascii="Times New Roman" w:hAnsi="Times New Roman"/>
          <w:color w:val="000000"/>
        </w:rPr>
        <w:t xml:space="preserve"> -</w:t>
      </w:r>
      <w:r>
        <w:rPr>
          <w:rFonts w:ascii="Times New Roman" w:hAnsi="Times New Roman"/>
          <w:color w:val="000000"/>
        </w:rPr>
        <w:t>131</w:t>
      </w:r>
      <w:r w:rsidRPr="00C01012">
        <w:rPr>
          <w:rFonts w:ascii="Times New Roman" w:hAnsi="Times New Roman"/>
          <w:color w:val="000000"/>
        </w:rPr>
        <w:t xml:space="preserve"> mil. € pre územnú samosprávu, z toho pre obce -</w:t>
      </w:r>
      <w:r>
        <w:rPr>
          <w:rFonts w:ascii="Times New Roman" w:hAnsi="Times New Roman"/>
          <w:color w:val="000000"/>
        </w:rPr>
        <w:t>99</w:t>
      </w:r>
      <w:r w:rsidRPr="00C01012">
        <w:rPr>
          <w:rFonts w:ascii="Times New Roman" w:hAnsi="Times New Roman"/>
          <w:color w:val="000000"/>
        </w:rPr>
        <w:t xml:space="preserve"> mil. € a pre VÚC -</w:t>
      </w:r>
      <w:r>
        <w:rPr>
          <w:rFonts w:ascii="Times New Roman" w:hAnsi="Times New Roman"/>
          <w:color w:val="000000"/>
        </w:rPr>
        <w:t>32</w:t>
      </w:r>
      <w:r w:rsidRPr="00C01012">
        <w:rPr>
          <w:rFonts w:ascii="Times New Roman" w:hAnsi="Times New Roman"/>
          <w:color w:val="000000"/>
        </w:rPr>
        <w:t xml:space="preserve"> mil.</w:t>
      </w:r>
      <w:r>
        <w:rPr>
          <w:rFonts w:ascii="Times New Roman" w:hAnsi="Times New Roman"/>
          <w:color w:val="000000"/>
        </w:rPr>
        <w:t xml:space="preserve"> €.</w:t>
      </w:r>
      <w:r w:rsidRPr="00C01012">
        <w:rPr>
          <w:rFonts w:ascii="Times New Roman" w:hAnsi="Times New Roman"/>
          <w:color w:val="000000"/>
        </w:rPr>
        <w:t xml:space="preserve"> </w:t>
      </w:r>
      <w:r>
        <w:rPr>
          <w:rFonts w:ascii="Times New Roman" w:hAnsi="Times New Roman"/>
          <w:color w:val="000000"/>
        </w:rPr>
        <w:t>P</w:t>
      </w:r>
      <w:r w:rsidRPr="00C01012">
        <w:rPr>
          <w:rFonts w:ascii="Times New Roman" w:hAnsi="Times New Roman"/>
          <w:color w:val="000000"/>
        </w:rPr>
        <w:t xml:space="preserve">re rok 2014 </w:t>
      </w:r>
      <w:r>
        <w:rPr>
          <w:rFonts w:ascii="Times New Roman" w:hAnsi="Times New Roman"/>
          <w:color w:val="000000"/>
        </w:rPr>
        <w:t>je dopad +138</w:t>
      </w:r>
      <w:r w:rsidRPr="00C01012">
        <w:rPr>
          <w:rFonts w:ascii="Times New Roman" w:hAnsi="Times New Roman"/>
          <w:color w:val="000000"/>
        </w:rPr>
        <w:t xml:space="preserve"> mil. € pre štátny rozpočet</w:t>
      </w:r>
      <w:r>
        <w:rPr>
          <w:rFonts w:ascii="Times New Roman" w:hAnsi="Times New Roman"/>
          <w:color w:val="000000"/>
        </w:rPr>
        <w:t>,</w:t>
      </w:r>
      <w:r w:rsidRPr="00C01012">
        <w:rPr>
          <w:rFonts w:ascii="Times New Roman" w:hAnsi="Times New Roman"/>
          <w:color w:val="000000"/>
        </w:rPr>
        <w:t xml:space="preserve"> -</w:t>
      </w:r>
      <w:r>
        <w:rPr>
          <w:rFonts w:ascii="Times New Roman" w:hAnsi="Times New Roman"/>
          <w:color w:val="000000"/>
        </w:rPr>
        <w:t>138</w:t>
      </w:r>
      <w:r w:rsidRPr="00C01012">
        <w:rPr>
          <w:rFonts w:ascii="Times New Roman" w:hAnsi="Times New Roman"/>
          <w:color w:val="000000"/>
        </w:rPr>
        <w:t xml:space="preserve"> mil. €</w:t>
      </w:r>
      <w:r w:rsidRPr="00D444C7">
        <w:rPr>
          <w:rFonts w:ascii="Times New Roman" w:hAnsi="Times New Roman"/>
          <w:color w:val="000000"/>
        </w:rPr>
        <w:t xml:space="preserve"> </w:t>
      </w:r>
      <w:r w:rsidRPr="00C01012">
        <w:rPr>
          <w:rFonts w:ascii="Times New Roman" w:hAnsi="Times New Roman"/>
          <w:color w:val="000000"/>
        </w:rPr>
        <w:t>pre územnú samosprávu, z toho pre obce -</w:t>
      </w:r>
      <w:r>
        <w:rPr>
          <w:rFonts w:ascii="Times New Roman" w:hAnsi="Times New Roman"/>
          <w:color w:val="000000"/>
        </w:rPr>
        <w:t>104</w:t>
      </w:r>
      <w:r w:rsidRPr="00C01012">
        <w:rPr>
          <w:rFonts w:ascii="Times New Roman" w:hAnsi="Times New Roman"/>
          <w:color w:val="000000"/>
        </w:rPr>
        <w:t xml:space="preserve"> mil. € a VÚC -</w:t>
      </w:r>
      <w:r>
        <w:rPr>
          <w:rFonts w:ascii="Times New Roman" w:hAnsi="Times New Roman"/>
          <w:color w:val="000000"/>
        </w:rPr>
        <w:t>34</w:t>
      </w:r>
      <w:r w:rsidRPr="00C01012">
        <w:rPr>
          <w:rFonts w:ascii="Times New Roman" w:hAnsi="Times New Roman"/>
          <w:color w:val="000000"/>
        </w:rPr>
        <w:t xml:space="preserve"> mil. €</w:t>
      </w:r>
      <w:r>
        <w:rPr>
          <w:rFonts w:ascii="Times New Roman" w:hAnsi="Times New Roman"/>
          <w:color w:val="000000"/>
        </w:rPr>
        <w:t>.</w:t>
      </w:r>
    </w:p>
    <w:p w:rsidR="00ED7170" w:rsidRPr="0047032D" w:rsidP="00ED7170">
      <w:pPr>
        <w:pStyle w:val="NormalWeb"/>
        <w:bidi w:val="0"/>
        <w:spacing w:before="0" w:beforeAutospacing="0" w:after="0" w:afterAutospacing="0"/>
        <w:jc w:val="both"/>
        <w:rPr>
          <w:rFonts w:ascii="Times New Roman" w:hAnsi="Times New Roman"/>
        </w:rPr>
      </w:pPr>
      <w:r w:rsidRPr="0047032D">
        <w:rPr>
          <w:rFonts w:ascii="Times New Roman" w:hAnsi="Times New Roman"/>
          <w:b/>
          <w:bCs/>
        </w:rPr>
        <w:t>A.4. Alternatívne riešenia</w:t>
      </w:r>
    </w:p>
    <w:p w:rsidR="00ED7170" w:rsidRPr="0047032D" w:rsidP="00ED7170">
      <w:pPr>
        <w:pStyle w:val="NormalWeb"/>
        <w:bidi w:val="0"/>
        <w:spacing w:before="0" w:beforeAutospacing="0" w:after="0" w:afterAutospacing="0"/>
        <w:jc w:val="both"/>
        <w:rPr>
          <w:rFonts w:ascii="Times New Roman" w:hAnsi="Times New Roman"/>
        </w:rPr>
      </w:pPr>
      <w:r>
        <w:rPr>
          <w:rFonts w:ascii="Times New Roman" w:hAnsi="Times New Roman"/>
        </w:rPr>
        <w:t>Bezpredmetné</w:t>
      </w:r>
      <w:r w:rsidRPr="0047032D">
        <w:rPr>
          <w:rFonts w:ascii="Times New Roman" w:hAnsi="Times New Roman"/>
        </w:rPr>
        <w:t> </w:t>
      </w:r>
    </w:p>
    <w:p w:rsidR="00ED7170" w:rsidRPr="0047032D" w:rsidP="00ED7170">
      <w:pPr>
        <w:pStyle w:val="NormalWeb"/>
        <w:bidi w:val="0"/>
        <w:spacing w:before="0" w:beforeAutospacing="0" w:after="0" w:afterAutospacing="0"/>
        <w:jc w:val="both"/>
        <w:rPr>
          <w:rFonts w:ascii="Times New Roman" w:hAnsi="Times New Roman"/>
        </w:rPr>
      </w:pPr>
      <w:r w:rsidRPr="0047032D">
        <w:rPr>
          <w:rFonts w:ascii="Times New Roman" w:hAnsi="Times New Roman"/>
          <w:b/>
          <w:bCs/>
        </w:rPr>
        <w:t>  </w:t>
      </w:r>
    </w:p>
    <w:p w:rsidR="00ED7170" w:rsidRPr="00207C1A" w:rsidP="00ED7170">
      <w:pPr>
        <w:pStyle w:val="NormalWeb"/>
        <w:bidi w:val="0"/>
        <w:spacing w:before="0" w:beforeAutospacing="0" w:after="0" w:afterAutospacing="0"/>
        <w:rPr>
          <w:rFonts w:ascii="Times New Roman" w:hAnsi="Times New Roman"/>
          <w:b/>
          <w:bCs/>
        </w:rPr>
      </w:pPr>
      <w:r w:rsidRPr="0047032D">
        <w:rPr>
          <w:rFonts w:ascii="Times New Roman" w:hAnsi="Times New Roman"/>
          <w:b/>
          <w:bCs/>
        </w:rPr>
        <w:t>A.5. Stanovisko gestorov</w:t>
      </w:r>
    </w:p>
    <w:p w:rsidR="00ED7170" w:rsidP="00ED7170">
      <w:pPr>
        <w:pStyle w:val="NormalWeb"/>
        <w:bidi w:val="0"/>
        <w:spacing w:before="0" w:beforeAutospacing="0" w:after="0" w:afterAutospacing="0"/>
        <w:jc w:val="both"/>
        <w:rPr>
          <w:rFonts w:ascii="Times New Roman" w:hAnsi="Times New Roman"/>
        </w:rPr>
      </w:pPr>
    </w:p>
    <w:p w:rsidR="00ED7170" w:rsidP="00ED7170">
      <w:pPr>
        <w:bidi w:val="0"/>
        <w:ind w:firstLine="708"/>
        <w:jc w:val="both"/>
        <w:rPr>
          <w:rFonts w:ascii="Times New Roman" w:hAnsi="Times New Roman"/>
        </w:rPr>
      </w:pPr>
      <w:r>
        <w:rPr>
          <w:rFonts w:ascii="Times New Roman" w:hAnsi="Times New Roman"/>
        </w:rPr>
        <w:tab/>
        <w:tab/>
        <w:tab/>
        <w:tab/>
        <w:tab/>
        <w:tab/>
        <w:tab/>
        <w:tab/>
        <w:tab/>
        <w:t xml:space="preserve">              Príloha č. 1</w:t>
        <w:tab/>
      </w:r>
    </w:p>
    <w:p w:rsidR="00ED7170" w:rsidRPr="00323053" w:rsidP="00ED7170">
      <w:pPr>
        <w:bidi w:val="0"/>
        <w:jc w:val="center"/>
        <w:rPr>
          <w:rFonts w:ascii="Times New Roman" w:hAnsi="Times New Roman"/>
        </w:rPr>
      </w:pPr>
      <w:r w:rsidRPr="00323053">
        <w:rPr>
          <w:rFonts w:ascii="Times New Roman" w:hAnsi="Times New Roman"/>
          <w:b/>
          <w:bCs/>
        </w:rPr>
        <w:t>Vplyvy na rozpočet verejnej správy,</w:t>
      </w:r>
    </w:p>
    <w:p w:rsidR="00ED7170" w:rsidP="00ED7170">
      <w:pPr>
        <w:bidi w:val="0"/>
        <w:jc w:val="center"/>
        <w:rPr>
          <w:rFonts w:ascii="Times New Roman" w:hAnsi="Times New Roman"/>
          <w:b/>
          <w:bCs/>
        </w:rPr>
      </w:pPr>
      <w:r w:rsidRPr="00323053">
        <w:rPr>
          <w:rFonts w:ascii="Times New Roman" w:hAnsi="Times New Roman"/>
          <w:b/>
          <w:bCs/>
        </w:rPr>
        <w:t xml:space="preserve">na zamestnanosť vo verejnej správe a financovanie </w:t>
      </w:r>
    </w:p>
    <w:p w:rsidR="00ED7170" w:rsidRPr="00323053" w:rsidP="00ED7170">
      <w:pPr>
        <w:bidi w:val="0"/>
        <w:jc w:val="center"/>
        <w:rPr>
          <w:rFonts w:ascii="Times New Roman" w:hAnsi="Times New Roman"/>
        </w:rPr>
      </w:pPr>
      <w:r w:rsidRPr="00323053">
        <w:rPr>
          <w:rFonts w:ascii="Times New Roman" w:hAnsi="Times New Roman"/>
          <w:b/>
          <w:bCs/>
        </w:rPr>
        <w:t>návrhu</w:t>
      </w:r>
      <w:r>
        <w:rPr>
          <w:rFonts w:ascii="Times New Roman" w:hAnsi="Times New Roman"/>
          <w:b/>
          <w:bCs/>
        </w:rPr>
        <w:t xml:space="preserve"> zákona, ktorým sa mení a dopĺňa zákon č. 595/2003 Z. z. o dani z príjmov v znení neskorších predpisov</w:t>
      </w:r>
    </w:p>
    <w:p w:rsidR="00ED7170" w:rsidRPr="00323053" w:rsidP="00ED7170">
      <w:pPr>
        <w:bidi w:val="0"/>
        <w:rPr>
          <w:rFonts w:ascii="Times New Roman" w:hAnsi="Times New Roman"/>
        </w:rPr>
      </w:pPr>
      <w:r w:rsidRPr="00323053">
        <w:rPr>
          <w:rFonts w:ascii="Times New Roman" w:hAnsi="Times New Roman"/>
        </w:rPr>
        <w:t> </w:t>
      </w:r>
    </w:p>
    <w:p w:rsidR="00ED7170" w:rsidRPr="00323053" w:rsidP="00ED7170">
      <w:pPr>
        <w:bidi w:val="0"/>
        <w:rPr>
          <w:rFonts w:ascii="Times New Roman" w:hAnsi="Times New Roman"/>
        </w:rPr>
      </w:pPr>
      <w:r w:rsidRPr="00323053">
        <w:rPr>
          <w:rFonts w:ascii="Times New Roman" w:hAnsi="Times New Roman"/>
          <w:b/>
          <w:bCs/>
        </w:rPr>
        <w:t>2.1. Zhrnutie vplyvov na rozpočet verejnej správy v návrhu</w:t>
      </w:r>
    </w:p>
    <w:p w:rsidR="00ED7170" w:rsidRPr="00323053" w:rsidP="00ED7170">
      <w:pPr>
        <w:bidi w:val="0"/>
        <w:jc w:val="right"/>
        <w:rPr>
          <w:rFonts w:ascii="Times New Roman" w:hAnsi="Times New Roman"/>
        </w:rPr>
      </w:pPr>
      <w:r w:rsidRPr="00323053">
        <w:rPr>
          <w:rFonts w:ascii="Times New Roman" w:hAnsi="Times New Roman"/>
        </w:rPr>
        <w:t>Tabuľka č. 1</w:t>
      </w:r>
    </w:p>
    <w:tbl>
      <w:tblPr>
        <w:tblStyle w:val="TableNormal"/>
        <w:tblW w:w="9229" w:type="dxa"/>
        <w:tblInd w:w="55" w:type="dxa"/>
        <w:tblLayout w:type="fixed"/>
        <w:tblCellMar>
          <w:left w:w="70" w:type="dxa"/>
          <w:right w:w="70" w:type="dxa"/>
        </w:tblCellMar>
        <w:tblLook w:val="04A0"/>
      </w:tblPr>
      <w:tblGrid>
        <w:gridCol w:w="3800"/>
        <w:gridCol w:w="1357"/>
        <w:gridCol w:w="1357"/>
        <w:gridCol w:w="1357"/>
        <w:gridCol w:w="1358"/>
      </w:tblGrid>
      <w:tr>
        <w:tblPrEx>
          <w:tblW w:w="9229" w:type="dxa"/>
          <w:tblInd w:w="55" w:type="dxa"/>
          <w:tblLayout w:type="fixed"/>
          <w:tblCellMar>
            <w:left w:w="70" w:type="dxa"/>
            <w:right w:w="70" w:type="dxa"/>
          </w:tblCellMar>
          <w:tblLook w:val="04A0"/>
        </w:tblPrEx>
        <w:trPr>
          <w:trHeight w:val="315"/>
        </w:trPr>
        <w:tc>
          <w:tcPr>
            <w:tcW w:w="380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Rozpočet verejnej správy (v tis. eur)</w:t>
            </w:r>
          </w:p>
        </w:tc>
        <w:tc>
          <w:tcPr>
            <w:tcW w:w="5429" w:type="dxa"/>
            <w:gridSpan w:val="4"/>
            <w:tcBorders>
              <w:top w:val="single" w:sz="4" w:space="0" w:color="auto"/>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229" w:type="dxa"/>
          <w:tblInd w:w="55" w:type="dxa"/>
          <w:tblLayout w:type="fixed"/>
          <w:tblCellMar>
            <w:left w:w="70" w:type="dxa"/>
            <w:right w:w="70" w:type="dxa"/>
          </w:tblCellMar>
          <w:tblLook w:val="04A0"/>
        </w:tblPrEx>
        <w:trPr>
          <w:trHeight w:val="315"/>
        </w:trPr>
        <w:tc>
          <w:tcPr>
            <w:tcW w:w="3800" w:type="dxa"/>
            <w:vMerge/>
            <w:tcBorders>
              <w:top w:val="none" w:sz="0"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p>
        </w:tc>
        <w:tc>
          <w:tcPr>
            <w:tcW w:w="1357"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357"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357"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358"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229" w:type="dxa"/>
          <w:tblInd w:w="55" w:type="dxa"/>
          <w:tblLayout w:type="fixed"/>
          <w:tblCellMar>
            <w:left w:w="70" w:type="dxa"/>
            <w:right w:w="70" w:type="dxa"/>
          </w:tblCellMar>
          <w:tblLook w:val="04A0"/>
        </w:tblPrEx>
        <w:trPr>
          <w:trHeight w:val="283"/>
        </w:trPr>
        <w:tc>
          <w:tcPr>
            <w:tcW w:w="38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Príjmy verejnej správy celkom</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357"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358"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Štátny rozpočet (VPS)</w:t>
            </w:r>
          </w:p>
        </w:tc>
        <w:tc>
          <w:tcPr>
            <w:tcW w:w="1357" w:type="dxa"/>
            <w:tcBorders>
              <w:top w:val="nil"/>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358"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Obce</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VÚC</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Sociálna poisťovňa</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poisťovne</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110955">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z toho:</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7" w:type="dxa"/>
            <w:tcBorders>
              <w:top w:val="nil"/>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358"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7"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8"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Výdavky verejnej správy celkom</w:t>
            </w:r>
          </w:p>
        </w:tc>
        <w:tc>
          <w:tcPr>
            <w:tcW w:w="1357"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8 332</w:t>
            </w:r>
          </w:p>
        </w:tc>
        <w:tc>
          <w:tcPr>
            <w:tcW w:w="1357"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8 408</w:t>
            </w:r>
          </w:p>
        </w:tc>
        <w:tc>
          <w:tcPr>
            <w:tcW w:w="1357"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8 485</w:t>
            </w:r>
          </w:p>
        </w:tc>
        <w:tc>
          <w:tcPr>
            <w:tcW w:w="1358"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8 561</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ind w:firstLine="708"/>
              <w:rPr>
                <w:rFonts w:ascii="Times New Roman" w:hAnsi="Times New Roman"/>
                <w:color w:val="000000"/>
              </w:rPr>
            </w:pPr>
            <w:r w:rsidRPr="00323053">
              <w:rPr>
                <w:rFonts w:ascii="Times New Roman" w:hAnsi="Times New Roman"/>
                <w:color w:val="000000"/>
              </w:rPr>
              <w:t xml:space="preserve">Štátny rozpočet </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Obce</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Pr>
                <w:rFonts w:ascii="Times New Roman" w:hAnsi="Times New Roman"/>
                <w:color w:val="000000"/>
              </w:rPr>
              <w:t>-7 713</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7 755</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7 797</w:t>
            </w:r>
          </w:p>
        </w:tc>
        <w:tc>
          <w:tcPr>
            <w:tcW w:w="1358"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7 839</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VÚC</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Pr>
                <w:rFonts w:ascii="Times New Roman" w:hAnsi="Times New Roman"/>
                <w:color w:val="000000"/>
              </w:rPr>
              <w:t>-619</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654</w:t>
            </w:r>
          </w:p>
        </w:tc>
        <w:tc>
          <w:tcPr>
            <w:tcW w:w="1357"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688</w:t>
            </w:r>
          </w:p>
        </w:tc>
        <w:tc>
          <w:tcPr>
            <w:tcW w:w="1358"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color w:val="000000"/>
              </w:rPr>
            </w:pPr>
            <w:r>
              <w:rPr>
                <w:rFonts w:ascii="Times New Roman" w:hAnsi="Times New Roman"/>
                <w:color w:val="000000"/>
              </w:rPr>
              <w:t>-</w:t>
            </w:r>
            <w:r w:rsidRPr="00CE72D2">
              <w:rPr>
                <w:rFonts w:ascii="Times New Roman" w:hAnsi="Times New Roman"/>
                <w:color w:val="000000"/>
              </w:rPr>
              <w:t>722</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Sociálna poisťovňa</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7"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CE2637">
              <w:rPr>
                <w:rFonts w:ascii="Times New Roman" w:hAnsi="Times New Roman"/>
                <w:color w:val="000000"/>
              </w:rPr>
              <w:t>0</w:t>
            </w:r>
          </w:p>
        </w:tc>
        <w:tc>
          <w:tcPr>
            <w:tcW w:w="1358"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CE2637">
              <w:rPr>
                <w:rFonts w:ascii="Times New Roman" w:hAnsi="Times New Roman"/>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poisťovne</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z toho:</w:t>
            </w:r>
          </w:p>
        </w:tc>
        <w:tc>
          <w:tcPr>
            <w:tcW w:w="1357"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7"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8"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7"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7"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8"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r>
      <w:tr>
        <w:tblPrEx>
          <w:tblW w:w="9229" w:type="dxa"/>
          <w:tblInd w:w="55"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7"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8 332</w:t>
            </w:r>
          </w:p>
        </w:tc>
        <w:tc>
          <w:tcPr>
            <w:tcW w:w="1357"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8 408</w:t>
            </w:r>
          </w:p>
        </w:tc>
        <w:tc>
          <w:tcPr>
            <w:tcW w:w="1357"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8 485</w:t>
            </w:r>
          </w:p>
        </w:tc>
        <w:tc>
          <w:tcPr>
            <w:tcW w:w="1358"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color w:val="000000"/>
              </w:rPr>
            </w:pPr>
            <w:r>
              <w:rPr>
                <w:rFonts w:ascii="Times New Roman" w:hAnsi="Times New Roman"/>
                <w:b/>
                <w:bCs/>
                <w:color w:val="000000"/>
              </w:rPr>
              <w:t>-</w:t>
            </w:r>
            <w:r w:rsidRPr="005F0D1D">
              <w:rPr>
                <w:rFonts w:ascii="Times New Roman" w:hAnsi="Times New Roman"/>
                <w:b/>
                <w:bCs/>
                <w:color w:val="000000"/>
              </w:rPr>
              <w:t>8 561</w:t>
            </w:r>
          </w:p>
        </w:tc>
      </w:tr>
    </w:tbl>
    <w:p w:rsidR="00ED7170" w:rsidRPr="00323053" w:rsidP="00ED7170">
      <w:pPr>
        <w:bidi w:val="0"/>
        <w:jc w:val="right"/>
        <w:rPr>
          <w:rFonts w:ascii="Times New Roman" w:hAnsi="Times New Roman"/>
        </w:rPr>
      </w:pPr>
    </w:p>
    <w:tbl>
      <w:tblPr>
        <w:tblStyle w:val="TableNormal"/>
        <w:tblW w:w="9224" w:type="dxa"/>
        <w:tblInd w:w="60" w:type="dxa"/>
        <w:tblLayout w:type="fixed"/>
        <w:tblCellMar>
          <w:left w:w="70" w:type="dxa"/>
          <w:right w:w="70" w:type="dxa"/>
        </w:tblCellMar>
        <w:tblLook w:val="04A0"/>
      </w:tblPr>
      <w:tblGrid>
        <w:gridCol w:w="3800"/>
        <w:gridCol w:w="1356"/>
        <w:gridCol w:w="1356"/>
        <w:gridCol w:w="1356"/>
        <w:gridCol w:w="1356"/>
      </w:tblGrid>
      <w:tr>
        <w:tblPrEx>
          <w:tblW w:w="9224" w:type="dxa"/>
          <w:tblInd w:w="60" w:type="dxa"/>
          <w:tblLayout w:type="fixed"/>
          <w:tblCellMar>
            <w:left w:w="70" w:type="dxa"/>
            <w:right w:w="70" w:type="dxa"/>
          </w:tblCellMar>
          <w:tblLook w:val="04A0"/>
        </w:tblPrEx>
        <w:trPr>
          <w:trHeight w:val="315"/>
        </w:trPr>
        <w:tc>
          <w:tcPr>
            <w:tcW w:w="380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u w:val="single"/>
              </w:rPr>
              <w:t>Rozpočet verejnej správy (v tis. eur)</w:t>
            </w:r>
          </w:p>
        </w:tc>
        <w:tc>
          <w:tcPr>
            <w:tcW w:w="5424" w:type="dxa"/>
            <w:gridSpan w:val="4"/>
            <w:tcBorders>
              <w:top w:val="single" w:sz="4" w:space="0" w:color="auto"/>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224" w:type="dxa"/>
          <w:tblInd w:w="60" w:type="dxa"/>
          <w:tblLayout w:type="fixed"/>
          <w:tblCellMar>
            <w:left w:w="70" w:type="dxa"/>
            <w:right w:w="70" w:type="dxa"/>
          </w:tblCellMar>
          <w:tblLook w:val="04A0"/>
        </w:tblPrEx>
        <w:trPr>
          <w:trHeight w:val="315"/>
        </w:trPr>
        <w:tc>
          <w:tcPr>
            <w:tcW w:w="3800" w:type="dxa"/>
            <w:vMerge/>
            <w:tcBorders>
              <w:top w:val="none" w:sz="0"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p>
        </w:tc>
        <w:tc>
          <w:tcPr>
            <w:tcW w:w="1356"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356"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356"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356"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224" w:type="dxa"/>
          <w:tblInd w:w="60" w:type="dxa"/>
          <w:tblLayout w:type="fixed"/>
          <w:tblCellMar>
            <w:left w:w="70" w:type="dxa"/>
            <w:right w:w="70" w:type="dxa"/>
          </w:tblCellMar>
          <w:tblLook w:val="04A0"/>
        </w:tblPrEx>
        <w:trPr>
          <w:trHeight w:val="283"/>
        </w:trPr>
        <w:tc>
          <w:tcPr>
            <w:tcW w:w="3800" w:type="dxa"/>
            <w:tcBorders>
              <w:top w:val="single" w:sz="4" w:space="0" w:color="auto"/>
              <w:left w:val="single" w:sz="4" w:space="0" w:color="auto"/>
              <w:bottom w:val="single" w:sz="4" w:space="0" w:color="auto"/>
              <w:right w:val="single" w:sz="4" w:space="0" w:color="auto"/>
            </w:tcBorders>
            <w:shd w:val="clear" w:color="000000" w:fill="BFBFBF"/>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Príjmy verejnej správy celkom</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center"/>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0</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356" w:type="dxa"/>
            <w:tcBorders>
              <w:top w:val="single" w:sz="4" w:space="0" w:color="auto"/>
              <w:left w:val="nil"/>
              <w:bottom w:val="single" w:sz="4" w:space="0" w:color="auto"/>
              <w:right w:val="single" w:sz="4" w:space="0" w:color="auto"/>
            </w:tcBorders>
            <w:shd w:val="clear" w:color="000000" w:fill="BFBFBF"/>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Štátny rozpočet (VPS)</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Obce</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VÚC</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top"/>
            <w:hideMark/>
          </w:tcPr>
          <w:p w:rsidR="00ED7170" w:rsidP="00ED7170">
            <w:pPr>
              <w:bidi w:val="0"/>
              <w:jc w:val="right"/>
              <w:rPr>
                <w:rFonts w:ascii="Times New Roman" w:hAnsi="Times New Roman"/>
              </w:rPr>
            </w:pPr>
            <w:r w:rsidRPr="009B74D2">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z toho:</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356"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shd w:val="clear" w:color="000000" w:fill="BFBFBF"/>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Výdavky verejnej správy celkom</w:t>
            </w:r>
          </w:p>
        </w:tc>
        <w:tc>
          <w:tcPr>
            <w:tcW w:w="1356" w:type="dxa"/>
            <w:tcBorders>
              <w:top w:val="nil"/>
              <w:left w:val="nil"/>
              <w:bottom w:val="single" w:sz="4" w:space="0" w:color="auto"/>
              <w:right w:val="single" w:sz="4" w:space="0" w:color="auto"/>
            </w:tcBorders>
            <w:shd w:val="clear" w:color="000000" w:fill="BFBFBF"/>
            <w:noWrap/>
            <w:textDirection w:val="lrTb"/>
            <w:vAlign w:val="center"/>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0</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14 582</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8 465</w:t>
            </w:r>
          </w:p>
        </w:tc>
        <w:tc>
          <w:tcPr>
            <w:tcW w:w="1356" w:type="dxa"/>
            <w:tcBorders>
              <w:top w:val="nil"/>
              <w:left w:val="nil"/>
              <w:bottom w:val="single" w:sz="4" w:space="0" w:color="auto"/>
              <w:right w:val="single" w:sz="4" w:space="0" w:color="auto"/>
            </w:tcBorders>
            <w:shd w:val="clear" w:color="000000" w:fill="BFBFBF"/>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8 542</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Štátny rozpočet (MPSVaR)</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Obce</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13 448</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7 779</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7 821</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VÚC</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1 134</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686</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color w:val="000000"/>
              </w:rPr>
            </w:pPr>
            <w:r>
              <w:rPr>
                <w:rFonts w:ascii="Times New Roman" w:hAnsi="Times New Roman"/>
                <w:color w:val="000000"/>
              </w:rPr>
              <w:t>-</w:t>
            </w:r>
            <w:r w:rsidRPr="005F0D1D">
              <w:rPr>
                <w:rFonts w:ascii="Times New Roman" w:hAnsi="Times New Roman"/>
                <w:color w:val="000000"/>
              </w:rPr>
              <w:t>721</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Sociálna poisťovňa</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r>
              <w:rPr>
                <w:rFonts w:ascii="Times New Roman" w:hAnsi="Times New Roman"/>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poisťovne</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z toho:</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356"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ŠR</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r>
      <w:tr>
        <w:tblPrEx>
          <w:tblW w:w="9224" w:type="dxa"/>
          <w:tblInd w:w="60" w:type="dxa"/>
          <w:tblLayout w:type="fixed"/>
          <w:tblCellMar>
            <w:left w:w="70" w:type="dxa"/>
            <w:right w:w="70" w:type="dxa"/>
          </w:tblCellMar>
          <w:tblLook w:val="04A0"/>
        </w:tblPrEx>
        <w:trPr>
          <w:trHeight w:val="283"/>
        </w:trPr>
        <w:tc>
          <w:tcPr>
            <w:tcW w:w="380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i/>
                <w:iCs/>
                <w:color w:val="000000"/>
              </w:rPr>
            </w:pPr>
            <w:r w:rsidRPr="00323053">
              <w:rPr>
                <w:rFonts w:ascii="Times New Roman" w:hAnsi="Times New Roman"/>
                <w:b/>
                <w:bCs/>
                <w:i/>
                <w:iCs/>
                <w:color w:val="000000"/>
              </w:rPr>
              <w:t xml:space="preserve"> - vplyv na územnú samosprávu</w:t>
            </w:r>
          </w:p>
        </w:tc>
        <w:tc>
          <w:tcPr>
            <w:tcW w:w="1356" w:type="dxa"/>
            <w:tcBorders>
              <w:top w:val="nil"/>
              <w:left w:val="nil"/>
              <w:bottom w:val="single" w:sz="4" w:space="0" w:color="auto"/>
              <w:right w:val="single" w:sz="4" w:space="0" w:color="auto"/>
            </w:tcBorders>
            <w:noWrap/>
            <w:textDirection w:val="lrTb"/>
            <w:vAlign w:val="center"/>
            <w:hideMark/>
          </w:tcPr>
          <w:p w:rsidR="00ED7170" w:rsidRPr="00FF1502" w:rsidP="00ED7170">
            <w:pPr>
              <w:bidi w:val="0"/>
              <w:jc w:val="right"/>
              <w:rPr>
                <w:rFonts w:ascii="Times New Roman" w:hAnsi="Times New Roman"/>
                <w:b/>
                <w:bCs/>
                <w:iCs/>
                <w:color w:val="000000"/>
              </w:rPr>
            </w:pPr>
            <w:r w:rsidRPr="00FF1502">
              <w:rPr>
                <w:rFonts w:ascii="Times New Roman" w:hAnsi="Times New Roman"/>
                <w:b/>
                <w:bCs/>
                <w:iCs/>
                <w:color w:val="000000"/>
              </w:rPr>
              <w:t>0</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14 582</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8 465</w:t>
            </w:r>
          </w:p>
        </w:tc>
        <w:tc>
          <w:tcPr>
            <w:tcW w:w="1356" w:type="dxa"/>
            <w:tcBorders>
              <w:top w:val="nil"/>
              <w:left w:val="nil"/>
              <w:bottom w:val="single" w:sz="4" w:space="0" w:color="auto"/>
              <w:right w:val="single" w:sz="4" w:space="0" w:color="auto"/>
            </w:tcBorders>
            <w:noWrap/>
            <w:textDirection w:val="lrTb"/>
            <w:vAlign w:val="bottom"/>
            <w:hideMark/>
          </w:tcPr>
          <w:p w:rsidR="00ED7170" w:rsidRPr="005F0D1D" w:rsidP="00ED7170">
            <w:pPr>
              <w:bidi w:val="0"/>
              <w:jc w:val="right"/>
              <w:rPr>
                <w:rFonts w:ascii="Times New Roman" w:hAnsi="Times New Roman"/>
                <w:b/>
                <w:bCs/>
                <w:iCs/>
                <w:color w:val="000000"/>
              </w:rPr>
            </w:pPr>
            <w:r>
              <w:rPr>
                <w:rFonts w:ascii="Times New Roman" w:hAnsi="Times New Roman"/>
                <w:b/>
                <w:bCs/>
                <w:iCs/>
                <w:color w:val="000000"/>
              </w:rPr>
              <w:t>-</w:t>
            </w:r>
            <w:r w:rsidRPr="005F0D1D">
              <w:rPr>
                <w:rFonts w:ascii="Times New Roman" w:hAnsi="Times New Roman"/>
                <w:b/>
                <w:bCs/>
                <w:iCs/>
                <w:color w:val="000000"/>
              </w:rPr>
              <w:t>8 542</w:t>
            </w:r>
          </w:p>
        </w:tc>
      </w:tr>
    </w:tbl>
    <w:p w:rsidR="00ED7170" w:rsidRPr="00323053" w:rsidP="00ED7170">
      <w:pPr>
        <w:bidi w:val="0"/>
        <w:rPr>
          <w:rFonts w:ascii="Times New Roman" w:hAnsi="Times New Roman"/>
        </w:rPr>
      </w:pPr>
      <w:r w:rsidRPr="00323053">
        <w:rPr>
          <w:rFonts w:ascii="Times New Roman" w:hAnsi="Times New Roman"/>
        </w:rPr>
        <w:t xml:space="preserve"> </w:t>
      </w:r>
    </w:p>
    <w:p w:rsidR="00ED7170" w:rsidRPr="00323053" w:rsidP="00ED7170">
      <w:pPr>
        <w:bidi w:val="0"/>
        <w:rPr>
          <w:rFonts w:ascii="Times New Roman" w:hAnsi="Times New Roman"/>
        </w:rPr>
      </w:pPr>
      <w:bookmarkStart w:id="0" w:name="OLE_LINK1"/>
      <w:bookmarkEnd w:id="0"/>
    </w:p>
    <w:p w:rsidR="00ED7170" w:rsidRPr="00323053" w:rsidP="00ED7170">
      <w:pPr>
        <w:bidi w:val="0"/>
        <w:rPr>
          <w:rFonts w:ascii="Times New Roman" w:hAnsi="Times New Roman"/>
        </w:rPr>
      </w:pPr>
      <w:r w:rsidRPr="00323053">
        <w:rPr>
          <w:rFonts w:ascii="Times New Roman" w:hAnsi="Times New Roman"/>
          <w:b/>
          <w:bCs/>
        </w:rPr>
        <w:t>2.2. Financovanie návrhu</w:t>
      </w:r>
    </w:p>
    <w:p w:rsidR="00ED7170" w:rsidRPr="00323053" w:rsidP="00ED7170">
      <w:pPr>
        <w:bidi w:val="0"/>
        <w:jc w:val="right"/>
        <w:rPr>
          <w:rFonts w:ascii="Times New Roman" w:hAnsi="Times New Roman"/>
        </w:rPr>
      </w:pPr>
      <w:r w:rsidRPr="00323053">
        <w:rPr>
          <w:rFonts w:ascii="Times New Roman" w:hAnsi="Times New Roman"/>
        </w:rPr>
        <w:t>Tabuľka č. 2</w:t>
      </w:r>
    </w:p>
    <w:tbl>
      <w:tblPr>
        <w:tblStyle w:val="TableNormal"/>
        <w:tblW w:w="9229" w:type="dxa"/>
        <w:tblInd w:w="55" w:type="dxa"/>
        <w:tblLayout w:type="fixed"/>
        <w:tblCellMar>
          <w:left w:w="70" w:type="dxa"/>
          <w:right w:w="70" w:type="dxa"/>
        </w:tblCellMar>
        <w:tblLook w:val="04A0"/>
      </w:tblPr>
      <w:tblGrid>
        <w:gridCol w:w="3820"/>
        <w:gridCol w:w="1352"/>
        <w:gridCol w:w="1352"/>
        <w:gridCol w:w="1352"/>
        <w:gridCol w:w="1353"/>
      </w:tblGrid>
      <w:tr>
        <w:tblPrEx>
          <w:tblW w:w="9229" w:type="dxa"/>
          <w:tblInd w:w="55" w:type="dxa"/>
          <w:tblLayout w:type="fixed"/>
          <w:tblCellMar>
            <w:left w:w="70" w:type="dxa"/>
            <w:right w:w="70" w:type="dxa"/>
          </w:tblCellMar>
          <w:tblLook w:val="04A0"/>
        </w:tblPrEx>
        <w:trPr>
          <w:trHeight w:val="315"/>
        </w:trPr>
        <w:tc>
          <w:tcPr>
            <w:tcW w:w="382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Financovanie (v tis. eur)</w:t>
            </w:r>
          </w:p>
        </w:tc>
        <w:tc>
          <w:tcPr>
            <w:tcW w:w="5409" w:type="dxa"/>
            <w:gridSpan w:val="4"/>
            <w:tcBorders>
              <w:top w:val="single" w:sz="4" w:space="0" w:color="auto"/>
              <w:left w:val="nil"/>
              <w:bottom w:val="nil"/>
              <w:right w:val="single" w:sz="4" w:space="0" w:color="000000"/>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229" w:type="dxa"/>
          <w:tblInd w:w="55" w:type="dxa"/>
          <w:tblLayout w:type="fixed"/>
          <w:tblCellMar>
            <w:left w:w="70" w:type="dxa"/>
            <w:right w:w="70" w:type="dxa"/>
          </w:tblCellMar>
          <w:tblLook w:val="04A0"/>
        </w:tblPrEx>
        <w:trPr>
          <w:trHeight w:val="315"/>
        </w:trPr>
        <w:tc>
          <w:tcPr>
            <w:tcW w:w="3820" w:type="dxa"/>
            <w:vMerge/>
            <w:tcBorders>
              <w:top w:val="none" w:sz="0"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p>
        </w:tc>
        <w:tc>
          <w:tcPr>
            <w:tcW w:w="1352"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352"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352"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353" w:type="dxa"/>
            <w:tcBorders>
              <w:top w:val="nil"/>
              <w:left w:val="nil"/>
              <w:bottom w:val="nil"/>
              <w:right w:val="single" w:sz="4" w:space="0" w:color="auto"/>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229" w:type="dxa"/>
          <w:tblInd w:w="55" w:type="dxa"/>
          <w:tblLayout w:type="fixed"/>
          <w:tblCellMar>
            <w:left w:w="70" w:type="dxa"/>
            <w:right w:w="70" w:type="dxa"/>
          </w:tblCellMar>
          <w:tblLook w:val="04A0"/>
        </w:tblPrEx>
        <w:trPr>
          <w:trHeight w:val="630"/>
        </w:trPr>
        <w:tc>
          <w:tcPr>
            <w:tcW w:w="3820" w:type="dxa"/>
            <w:tcBorders>
              <w:top w:val="single" w:sz="4" w:space="0" w:color="auto"/>
              <w:left w:val="single" w:sz="4" w:space="0" w:color="auto"/>
              <w:bottom w:val="single" w:sz="4" w:space="0" w:color="auto"/>
              <w:right w:val="single" w:sz="4" w:space="0" w:color="auto"/>
            </w:tcBorders>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Celkový vplyv na rozpočet verejnej správy (- príjmy, + výdavky)</w:t>
            </w:r>
          </w:p>
        </w:tc>
        <w:tc>
          <w:tcPr>
            <w:tcW w:w="1352" w:type="dxa"/>
            <w:tcBorders>
              <w:top w:val="single" w:sz="4" w:space="0" w:color="auto"/>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p>
        </w:tc>
        <w:tc>
          <w:tcPr>
            <w:tcW w:w="1352" w:type="dxa"/>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2" w:type="dxa"/>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3" w:type="dxa"/>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ind w:firstLine="480" w:firstLineChars="200"/>
              <w:rPr>
                <w:rFonts w:ascii="Times New Roman" w:hAnsi="Times New Roman"/>
                <w:color w:val="000000"/>
              </w:rPr>
            </w:pPr>
            <w:r w:rsidRPr="00323053">
              <w:rPr>
                <w:rFonts w:ascii="Times New Roman" w:hAnsi="Times New Roman"/>
                <w:color w:val="000000"/>
              </w:rPr>
              <w:t>z toho vplyv na ŠR</w:t>
            </w:r>
          </w:p>
        </w:tc>
        <w:tc>
          <w:tcPr>
            <w:tcW w:w="1352"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353"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financovanie zabezpečené v rozpočte</w:t>
            </w:r>
          </w:p>
        </w:tc>
        <w:tc>
          <w:tcPr>
            <w:tcW w:w="1352"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3"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ostatné zdroje financovania</w:t>
            </w:r>
          </w:p>
        </w:tc>
        <w:tc>
          <w:tcPr>
            <w:tcW w:w="1352"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2"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3"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229" w:type="dxa"/>
          <w:tblInd w:w="55"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Rozpočtovo nekrytý vplyv / úspora *</w:t>
            </w:r>
          </w:p>
        </w:tc>
        <w:tc>
          <w:tcPr>
            <w:tcW w:w="1352"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p>
        </w:tc>
        <w:tc>
          <w:tcPr>
            <w:tcW w:w="1352"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2"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3"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r>
    </w:tbl>
    <w:p w:rsidR="00ED7170" w:rsidRPr="00323053" w:rsidP="00ED7170">
      <w:pPr>
        <w:bidi w:val="0"/>
        <w:jc w:val="right"/>
        <w:rPr>
          <w:rFonts w:ascii="Times New Roman" w:hAnsi="Times New Roman"/>
        </w:rPr>
      </w:pPr>
    </w:p>
    <w:tbl>
      <w:tblPr>
        <w:tblStyle w:val="TableNormal"/>
        <w:tblW w:w="9224" w:type="dxa"/>
        <w:tblInd w:w="60" w:type="dxa"/>
        <w:tblLayout w:type="fixed"/>
        <w:tblCellMar>
          <w:left w:w="70" w:type="dxa"/>
          <w:right w:w="70" w:type="dxa"/>
        </w:tblCellMar>
        <w:tblLook w:val="04A0"/>
      </w:tblPr>
      <w:tblGrid>
        <w:gridCol w:w="3820"/>
        <w:gridCol w:w="773"/>
        <w:gridCol w:w="578"/>
        <w:gridCol w:w="411"/>
        <w:gridCol w:w="940"/>
        <w:gridCol w:w="419"/>
        <w:gridCol w:w="932"/>
        <w:gridCol w:w="1351"/>
      </w:tblGrid>
      <w:tr>
        <w:tblPrEx>
          <w:tblW w:w="9224" w:type="dxa"/>
          <w:tblInd w:w="60" w:type="dxa"/>
          <w:tblLayout w:type="fixed"/>
          <w:tblCellMar>
            <w:left w:w="70" w:type="dxa"/>
            <w:right w:w="70" w:type="dxa"/>
          </w:tblCellMar>
          <w:tblLook w:val="04A0"/>
        </w:tblPrEx>
        <w:trPr>
          <w:trHeight w:val="315"/>
        </w:trPr>
        <w:tc>
          <w:tcPr>
            <w:tcW w:w="3820" w:type="dxa"/>
            <w:vMerge w:val="restart"/>
            <w:tcBorders>
              <w:top w:val="single" w:sz="4" w:space="0" w:color="auto"/>
              <w:left w:val="single" w:sz="4" w:space="0" w:color="auto"/>
              <w:bottom w:val="none" w:sz="0" w:space="0" w:color="auto"/>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F</w:t>
            </w:r>
            <w:r w:rsidRPr="00323053">
              <w:rPr>
                <w:rFonts w:ascii="Times New Roman" w:hAnsi="Times New Roman"/>
                <w:b/>
                <w:bCs/>
                <w:color w:val="FFFFFF"/>
                <w:u w:val="single"/>
              </w:rPr>
              <w:t>inancovanie (v tis. eur)</w:t>
            </w:r>
          </w:p>
        </w:tc>
        <w:tc>
          <w:tcPr>
            <w:tcW w:w="5404" w:type="dxa"/>
            <w:gridSpan w:val="7"/>
            <w:tcBorders>
              <w:top w:val="single" w:sz="4" w:space="0" w:color="auto"/>
              <w:left w:val="nil"/>
              <w:bottom w:val="nil"/>
              <w:right w:val="single" w:sz="4" w:space="0" w:color="000000"/>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224" w:type="dxa"/>
          <w:tblInd w:w="60" w:type="dxa"/>
          <w:tblLayout w:type="fixed"/>
          <w:tblCellMar>
            <w:left w:w="70" w:type="dxa"/>
            <w:right w:w="70" w:type="dxa"/>
          </w:tblCellMar>
          <w:tblLook w:val="04A0"/>
        </w:tblPrEx>
        <w:trPr>
          <w:trHeight w:val="315"/>
        </w:trPr>
        <w:tc>
          <w:tcPr>
            <w:tcW w:w="3820" w:type="dxa"/>
            <w:vMerge/>
            <w:tcBorders>
              <w:top w:val="none" w:sz="0"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p>
        </w:tc>
        <w:tc>
          <w:tcPr>
            <w:tcW w:w="1351" w:type="dxa"/>
            <w:gridSpan w:val="2"/>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351" w:type="dxa"/>
            <w:gridSpan w:val="2"/>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351" w:type="dxa"/>
            <w:gridSpan w:val="2"/>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351" w:type="dxa"/>
            <w:tcBorders>
              <w:top w:val="nil"/>
              <w:left w:val="nil"/>
              <w:bottom w:val="nil"/>
              <w:right w:val="single" w:sz="4" w:space="0" w:color="auto"/>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224" w:type="dxa"/>
          <w:tblInd w:w="60" w:type="dxa"/>
          <w:tblLayout w:type="fixed"/>
          <w:tblCellMar>
            <w:left w:w="70" w:type="dxa"/>
            <w:right w:w="70" w:type="dxa"/>
          </w:tblCellMar>
          <w:tblLook w:val="04A0"/>
        </w:tblPrEx>
        <w:trPr>
          <w:trHeight w:val="630"/>
        </w:trPr>
        <w:tc>
          <w:tcPr>
            <w:tcW w:w="3820" w:type="dxa"/>
            <w:tcBorders>
              <w:top w:val="single" w:sz="4" w:space="0" w:color="auto"/>
              <w:left w:val="single" w:sz="4" w:space="0" w:color="auto"/>
              <w:bottom w:val="single" w:sz="4" w:space="0" w:color="auto"/>
              <w:right w:val="single" w:sz="4" w:space="0" w:color="auto"/>
            </w:tcBorders>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Celkový vplyv na rozpočet verejnej správy (- príjmy, + výdavky)</w:t>
            </w: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1" w:type="dxa"/>
            <w:gridSpan w:val="2"/>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1" w:type="dxa"/>
            <w:tcBorders>
              <w:top w:val="single" w:sz="4" w:space="0" w:color="auto"/>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ind w:firstLine="480" w:firstLineChars="200"/>
              <w:rPr>
                <w:rFonts w:ascii="Times New Roman" w:hAnsi="Times New Roman"/>
                <w:color w:val="000000"/>
              </w:rPr>
            </w:pPr>
            <w:r w:rsidRPr="00323053">
              <w:rPr>
                <w:rFonts w:ascii="Times New Roman" w:hAnsi="Times New Roman"/>
                <w:color w:val="000000"/>
              </w:rPr>
              <w:t>z toho vplyv na ŠR</w:t>
            </w: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351"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financovanie zabezpečené v rozpočte</w:t>
            </w: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1"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ostatné zdroje financovania</w:t>
            </w: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1" w:type="dxa"/>
            <w:gridSpan w:val="2"/>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351"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224" w:type="dxa"/>
          <w:tblInd w:w="60" w:type="dxa"/>
          <w:tblLayout w:type="fixed"/>
          <w:tblCellMar>
            <w:left w:w="70" w:type="dxa"/>
            <w:right w:w="70" w:type="dxa"/>
          </w:tblCellMar>
          <w:tblLook w:val="04A0"/>
        </w:tblPrEx>
        <w:trPr>
          <w:trHeight w:val="315"/>
        </w:trPr>
        <w:tc>
          <w:tcPr>
            <w:tcW w:w="382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Rozpočtovo nekrytý vplyv / úspora *</w:t>
            </w: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1" w:type="dxa"/>
            <w:gridSpan w:val="2"/>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c>
          <w:tcPr>
            <w:tcW w:w="1351"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b/>
                <w:bCs/>
                <w:color w:val="000000"/>
              </w:rPr>
            </w:pPr>
          </w:p>
        </w:tc>
      </w:tr>
      <w:tr>
        <w:tblPrEx>
          <w:tblW w:w="9224" w:type="dxa"/>
          <w:tblInd w:w="60" w:type="dxa"/>
          <w:tblLayout w:type="fixed"/>
          <w:tblCellMar>
            <w:left w:w="70" w:type="dxa"/>
            <w:right w:w="70" w:type="dxa"/>
          </w:tblCellMar>
          <w:tblLook w:val="04A0"/>
        </w:tblPrEx>
        <w:trPr>
          <w:trHeight w:val="315"/>
        </w:trPr>
        <w:tc>
          <w:tcPr>
            <w:tcW w:w="3820"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úspora má znamienko (-)</w:t>
            </w:r>
          </w:p>
        </w:tc>
        <w:tc>
          <w:tcPr>
            <w:tcW w:w="773"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989" w:type="dxa"/>
            <w:gridSpan w:val="2"/>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1359" w:type="dxa"/>
            <w:gridSpan w:val="2"/>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2283" w:type="dxa"/>
            <w:gridSpan w:val="2"/>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r>
    </w:tbl>
    <w:p w:rsidR="00ED7170" w:rsidRPr="00323053" w:rsidP="00ED7170">
      <w:pPr>
        <w:bidi w:val="0"/>
        <w:rPr>
          <w:rFonts w:ascii="Times New Roman" w:hAnsi="Times New Roman"/>
          <w:b/>
          <w:bCs/>
        </w:rPr>
      </w:pPr>
    </w:p>
    <w:p w:rsidR="00ED7170" w:rsidRPr="00323053" w:rsidP="00ED7170">
      <w:pPr>
        <w:bidi w:val="0"/>
        <w:rPr>
          <w:rFonts w:ascii="Times New Roman" w:hAnsi="Times New Roman"/>
          <w:b/>
          <w:bCs/>
        </w:rPr>
      </w:pPr>
    </w:p>
    <w:p w:rsidR="00ED7170" w:rsidRPr="00323053" w:rsidP="00ED7170">
      <w:pPr>
        <w:bidi w:val="0"/>
        <w:rPr>
          <w:rFonts w:ascii="Times New Roman" w:hAnsi="Times New Roman"/>
        </w:rPr>
      </w:pPr>
      <w:r w:rsidRPr="00323053">
        <w:rPr>
          <w:rFonts w:ascii="Times New Roman" w:hAnsi="Times New Roman"/>
          <w:b/>
          <w:bCs/>
        </w:rPr>
        <w:t>Návrh na riešenie úbytku príjmov alebo zvýšených výdavkov podľa § 33 ods. 1 zákona č. 523/2004 Z. z. o rozpočtových pravidlách verejnej správy:</w:t>
      </w:r>
    </w:p>
    <w:p w:rsidR="00ED7170" w:rsidRPr="00323053" w:rsidP="00ED717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ED7170" w:rsidRPr="00323053" w:rsidP="00ED717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ED7170" w:rsidRPr="00323053" w:rsidP="00ED717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ED7170" w:rsidRPr="00323053" w:rsidP="00ED7170">
      <w:pPr>
        <w:pBdr>
          <w:top w:val="single" w:sz="4" w:space="1" w:color="000000"/>
          <w:left w:val="single" w:sz="4" w:space="4" w:color="000000"/>
          <w:bottom w:val="single" w:sz="4" w:space="1" w:color="000000"/>
          <w:right w:val="single" w:sz="4" w:space="4" w:color="000000"/>
        </w:pBdr>
        <w:bidi w:val="0"/>
        <w:rPr>
          <w:rFonts w:ascii="Times New Roman" w:hAnsi="Times New Roman"/>
        </w:rPr>
      </w:pPr>
      <w:r w:rsidRPr="00323053">
        <w:rPr>
          <w:rFonts w:ascii="Times New Roman" w:hAnsi="Times New Roman"/>
          <w:b/>
          <w:bCs/>
        </w:rPr>
        <w:t> </w:t>
      </w:r>
    </w:p>
    <w:p w:rsidR="00ED7170" w:rsidRPr="00323053" w:rsidP="00ED7170">
      <w:pPr>
        <w:bidi w:val="0"/>
        <w:rPr>
          <w:rFonts w:ascii="Times New Roman" w:hAnsi="Times New Roman"/>
          <w:b/>
          <w:bCs/>
        </w:rPr>
      </w:pPr>
    </w:p>
    <w:p w:rsidR="00ED7170" w:rsidRPr="00323053" w:rsidP="00ED7170">
      <w:pPr>
        <w:bidi w:val="0"/>
        <w:rPr>
          <w:rFonts w:ascii="Times New Roman" w:hAnsi="Times New Roman"/>
        </w:rPr>
      </w:pPr>
      <w:r w:rsidRPr="00323053">
        <w:rPr>
          <w:rFonts w:ascii="Times New Roman" w:hAnsi="Times New Roman"/>
          <w:b/>
          <w:bCs/>
        </w:rPr>
        <w:t>2.3. Popis a charakteristika návrhu</w:t>
      </w:r>
    </w:p>
    <w:p w:rsidR="00ED7170" w:rsidRPr="00323053" w:rsidP="00ED7170">
      <w:pPr>
        <w:bidi w:val="0"/>
        <w:rPr>
          <w:rFonts w:ascii="Times New Roman" w:hAnsi="Times New Roman"/>
        </w:rPr>
      </w:pPr>
      <w:r w:rsidRPr="00323053">
        <w:rPr>
          <w:rFonts w:ascii="Times New Roman" w:hAnsi="Times New Roman"/>
        </w:rPr>
        <w:t> </w:t>
      </w:r>
    </w:p>
    <w:p w:rsidR="00ED7170" w:rsidRPr="00323053" w:rsidP="00ED7170">
      <w:pPr>
        <w:bidi w:val="0"/>
        <w:jc w:val="both"/>
        <w:rPr>
          <w:rFonts w:ascii="Times New Roman" w:hAnsi="Times New Roman"/>
        </w:rPr>
      </w:pPr>
      <w:r w:rsidRPr="00323053">
        <w:rPr>
          <w:rFonts w:ascii="Times New Roman" w:hAnsi="Times New Roman"/>
          <w:b/>
          <w:bCs/>
        </w:rPr>
        <w:t>2.3.1. Popis návrhu:</w:t>
      </w:r>
    </w:p>
    <w:p w:rsidR="00ED7170" w:rsidRPr="00323053" w:rsidP="00ED7170">
      <w:pPr>
        <w:bidi w:val="0"/>
        <w:jc w:val="both"/>
        <w:rPr>
          <w:rFonts w:ascii="Times New Roman" w:hAnsi="Times New Roman"/>
          <w:b/>
          <w:bCs/>
        </w:rPr>
      </w:pPr>
    </w:p>
    <w:p w:rsidR="00ED7170" w:rsidP="00ED7170">
      <w:pPr>
        <w:bidi w:val="0"/>
        <w:jc w:val="both"/>
        <w:rPr>
          <w:rFonts w:ascii="Times New Roman" w:hAnsi="Times New Roman"/>
          <w:b/>
          <w:bCs/>
        </w:rPr>
      </w:pPr>
      <w:r w:rsidRPr="00323053">
        <w:rPr>
          <w:rFonts w:ascii="Times New Roman" w:hAnsi="Times New Roman"/>
          <w:b/>
          <w:bCs/>
        </w:rPr>
        <w:t>Návrh zákona, ktorým sa mení a dopĺňa zákon č. 595/2003 Z. z. o dani z príjmov v znení neskorších predpisov</w:t>
      </w:r>
      <w:r>
        <w:rPr>
          <w:rFonts w:ascii="Times New Roman" w:hAnsi="Times New Roman"/>
          <w:b/>
          <w:bCs/>
        </w:rPr>
        <w:t>.</w:t>
      </w:r>
    </w:p>
    <w:p w:rsidR="00ED7170" w:rsidP="00ED7170">
      <w:pPr>
        <w:bidi w:val="0"/>
        <w:jc w:val="both"/>
        <w:rPr>
          <w:rFonts w:ascii="Times New Roman" w:hAnsi="Times New Roman"/>
          <w:b/>
          <w:bCs/>
        </w:rPr>
      </w:pPr>
    </w:p>
    <w:p w:rsidR="00ED7170" w:rsidP="00ED7170">
      <w:pPr>
        <w:numPr>
          <w:numId w:val="4"/>
        </w:numPr>
        <w:bidi w:val="0"/>
        <w:jc w:val="both"/>
        <w:rPr>
          <w:rFonts w:ascii="Times New Roman" w:hAnsi="Times New Roman"/>
        </w:rPr>
      </w:pPr>
      <w:r>
        <w:rPr>
          <w:rFonts w:ascii="Times New Roman" w:hAnsi="Times New Roman"/>
          <w:b/>
          <w:bCs/>
        </w:rPr>
        <w:t>Z</w:t>
      </w:r>
      <w:r w:rsidRPr="003B474B">
        <w:rPr>
          <w:rFonts w:ascii="Times New Roman" w:hAnsi="Times New Roman"/>
          <w:b/>
        </w:rPr>
        <w:t>rušenie disproporcie pri odpisovaní hmotného majetku</w:t>
      </w:r>
      <w:r>
        <w:rPr>
          <w:rFonts w:ascii="Times New Roman" w:hAnsi="Times New Roman"/>
        </w:rPr>
        <w:t xml:space="preserve"> v závislosti od spôsobu jeho obstarania, t.j. obstaranie z vlastných zdrojov, na úver a finančným prenájmom tak, aby všetok hmotný majetok počnúc rokom 2012 bol odpisovaný za rovnakých podmienok,</w:t>
      </w:r>
    </w:p>
    <w:p w:rsidR="00ED7170" w:rsidP="00ED7170">
      <w:pPr>
        <w:numPr>
          <w:numId w:val="4"/>
        </w:numPr>
        <w:bidi w:val="0"/>
        <w:jc w:val="both"/>
        <w:rPr>
          <w:rFonts w:ascii="Times New Roman" w:hAnsi="Times New Roman"/>
        </w:rPr>
      </w:pPr>
      <w:r w:rsidRPr="003B474B">
        <w:rPr>
          <w:rFonts w:ascii="Times New Roman" w:hAnsi="Times New Roman"/>
          <w:b/>
        </w:rPr>
        <w:t>Uplatnenie len pomernej časti ročného odpisu v 1. roku odpisovania hmotného majetku</w:t>
      </w:r>
      <w:r>
        <w:rPr>
          <w:rFonts w:ascii="Times New Roman" w:hAnsi="Times New Roman"/>
        </w:rPr>
        <w:t>, ktorá zodpovedá počtu mesiacov, počas ktorých sa tento majetok používal (od zaradenia do užívania do konca zdaňovacieho obdobia),</w:t>
      </w:r>
    </w:p>
    <w:p w:rsidR="00ED7170" w:rsidP="00ED7170">
      <w:pPr>
        <w:numPr>
          <w:numId w:val="4"/>
        </w:numPr>
        <w:bidi w:val="0"/>
        <w:jc w:val="both"/>
        <w:rPr>
          <w:rFonts w:ascii="Times New Roman" w:hAnsi="Times New Roman"/>
        </w:rPr>
      </w:pPr>
      <w:r>
        <w:rPr>
          <w:rFonts w:ascii="Times New Roman" w:hAnsi="Times New Roman"/>
          <w:b/>
        </w:rPr>
        <w:t>T</w:t>
      </w:r>
      <w:r w:rsidRPr="003B474B">
        <w:rPr>
          <w:rFonts w:ascii="Times New Roman" w:hAnsi="Times New Roman"/>
          <w:b/>
        </w:rPr>
        <w:t>echnické úpravy</w:t>
      </w:r>
      <w:r>
        <w:rPr>
          <w:rFonts w:ascii="Times New Roman" w:hAnsi="Times New Roman"/>
        </w:rPr>
        <w:t xml:space="preserve"> týkajúce sa výpočtu základu dane fyzických osôb z dôvodu rozčlenenia príjmov na aktívne a pasívne a možnosti uplatnenia nezdaniteľnej časti základu dane len z aktívnych príjmov.</w:t>
      </w:r>
    </w:p>
    <w:p w:rsidR="00ED7170" w:rsidRPr="00986C44" w:rsidP="00ED7170">
      <w:pPr>
        <w:pStyle w:val="ListParagraph"/>
        <w:bidi w:val="0"/>
        <w:ind w:left="786"/>
        <w:jc w:val="both"/>
        <w:rPr>
          <w:b/>
        </w:rPr>
      </w:pPr>
    </w:p>
    <w:p w:rsidR="00ED7170" w:rsidRPr="00323053" w:rsidP="00ED7170">
      <w:pPr>
        <w:bidi w:val="0"/>
        <w:jc w:val="both"/>
        <w:rPr>
          <w:rFonts w:ascii="Times New Roman" w:hAnsi="Times New Roman"/>
        </w:rPr>
      </w:pPr>
      <w:r w:rsidRPr="00323053">
        <w:rPr>
          <w:rFonts w:ascii="Times New Roman" w:hAnsi="Times New Roman"/>
        </w:rPr>
        <w:t xml:space="preserve">Legislatívne zmeny bude implementovať Ministerstvo financií SR a Daňové riaditeľstvo SR. </w:t>
      </w:r>
    </w:p>
    <w:p w:rsidR="00ED7170" w:rsidRPr="00323053" w:rsidP="00ED7170">
      <w:pPr>
        <w:bidi w:val="0"/>
        <w:jc w:val="both"/>
        <w:rPr>
          <w:rFonts w:ascii="Times New Roman" w:hAnsi="Times New Roman"/>
        </w:rPr>
      </w:pPr>
    </w:p>
    <w:p w:rsidR="00ED7170" w:rsidRPr="00323053" w:rsidP="00ED7170">
      <w:pPr>
        <w:bidi w:val="0"/>
        <w:rPr>
          <w:rFonts w:ascii="Times New Roman" w:hAnsi="Times New Roman"/>
        </w:rPr>
      </w:pPr>
      <w:r w:rsidRPr="00323053">
        <w:rPr>
          <w:rFonts w:ascii="Times New Roman" w:hAnsi="Times New Roman"/>
          <w:b/>
          <w:bCs/>
        </w:rPr>
        <w:t>2.3.2. Charakteristika návrhu podľa bodu  2.3.2. Metodiky :</w:t>
      </w:r>
    </w:p>
    <w:p w:rsidR="00ED7170" w:rsidRPr="00323053" w:rsidP="00ED7170">
      <w:pPr>
        <w:bidi w:val="0"/>
        <w:rPr>
          <w:rFonts w:ascii="Times New Roman" w:hAnsi="Times New Roman"/>
        </w:rPr>
      </w:pPr>
      <w:r w:rsidRPr="00323053">
        <w:rPr>
          <w:rFonts w:ascii="Times New Roman" w:hAnsi="Times New Roman"/>
        </w:rPr>
        <w:t> </w:t>
      </w:r>
    </w:p>
    <w:p w:rsidR="00ED7170" w:rsidRPr="00323053" w:rsidP="00ED7170">
      <w:pPr>
        <w:bidi w:val="0"/>
        <w:rPr>
          <w:rFonts w:ascii="Times New Roman" w:hAnsi="Times New Roman"/>
        </w:rPr>
      </w:pPr>
      <w:r w:rsidRPr="00323053">
        <w:rPr>
          <w:rFonts w:ascii="Times New Roman" w:hAnsi="Times New Roman"/>
          <w:b/>
          <w:bCs/>
          <w:bdr w:val="single" w:sz="4" w:space="0" w:color="000000" w:frame="1"/>
        </w:rPr>
        <w:t xml:space="preserve">     </w:t>
      </w:r>
      <w:r w:rsidRPr="00323053">
        <w:rPr>
          <w:rFonts w:ascii="Times New Roman" w:hAnsi="Times New Roman"/>
          <w:b/>
          <w:bCs/>
        </w:rPr>
        <w:t xml:space="preserve">  </w:t>
      </w:r>
      <w:r w:rsidRPr="00323053">
        <w:rPr>
          <w:rFonts w:ascii="Times New Roman" w:hAnsi="Times New Roman"/>
        </w:rPr>
        <w:t>zmena sadzby</w:t>
      </w:r>
    </w:p>
    <w:p w:rsidR="00ED7170" w:rsidRPr="00323053" w:rsidP="00ED7170">
      <w:pPr>
        <w:bidi w:val="0"/>
        <w:rPr>
          <w:rFonts w:ascii="Times New Roman" w:hAnsi="Times New Roman"/>
        </w:rPr>
      </w:pPr>
      <w:r w:rsidRPr="00323053">
        <w:rPr>
          <w:rFonts w:ascii="Times New Roman" w:hAnsi="Times New Roman"/>
          <w:bdr w:val="single" w:sz="4" w:space="0" w:color="000000" w:frame="1"/>
        </w:rPr>
        <w:t xml:space="preserve">     </w:t>
      </w:r>
      <w:r w:rsidRPr="00323053">
        <w:rPr>
          <w:rFonts w:ascii="Times New Roman" w:hAnsi="Times New Roman"/>
        </w:rPr>
        <w:t>  zmena v nároku</w:t>
      </w:r>
    </w:p>
    <w:p w:rsidR="00ED7170" w:rsidRPr="00323053" w:rsidP="00ED7170">
      <w:pPr>
        <w:bidi w:val="0"/>
        <w:rPr>
          <w:rFonts w:ascii="Times New Roman" w:hAnsi="Times New Roman"/>
        </w:rPr>
      </w:pPr>
      <w:r w:rsidRPr="00323053">
        <w:rPr>
          <w:rFonts w:ascii="Times New Roman" w:hAnsi="Times New Roman"/>
          <w:bdr w:val="single" w:sz="4" w:space="0" w:color="000000" w:frame="1"/>
        </w:rPr>
        <w:t xml:space="preserve">     </w:t>
      </w:r>
      <w:r w:rsidRPr="00323053">
        <w:rPr>
          <w:rFonts w:ascii="Times New Roman" w:hAnsi="Times New Roman"/>
        </w:rPr>
        <w:t>  nová služba alebo nariadenie (alebo ich zrušenie)</w:t>
      </w:r>
    </w:p>
    <w:p w:rsidR="00ED7170" w:rsidRPr="00323053" w:rsidP="00ED7170">
      <w:pPr>
        <w:bidi w:val="0"/>
        <w:rPr>
          <w:rFonts w:ascii="Times New Roman" w:hAnsi="Times New Roman"/>
        </w:rPr>
      </w:pPr>
      <w:r w:rsidRPr="00323053">
        <w:rPr>
          <w:rFonts w:ascii="Times New Roman" w:hAnsi="Times New Roman"/>
          <w:bdr w:val="single" w:sz="4" w:space="0" w:color="000000" w:frame="1"/>
        </w:rPr>
        <w:t>     </w:t>
      </w:r>
      <w:r w:rsidRPr="00323053">
        <w:rPr>
          <w:rFonts w:ascii="Times New Roman" w:hAnsi="Times New Roman"/>
        </w:rPr>
        <w:t>  kombinovaný návrh</w:t>
      </w:r>
    </w:p>
    <w:p w:rsidR="00ED7170" w:rsidRPr="00323053" w:rsidP="00ED7170">
      <w:pPr>
        <w:bidi w:val="0"/>
        <w:rPr>
          <w:rFonts w:ascii="Times New Roman" w:hAnsi="Times New Roman"/>
        </w:rPr>
      </w:pPr>
      <w:r w:rsidRPr="00323053">
        <w:rPr>
          <w:rFonts w:ascii="Times New Roman" w:hAnsi="Times New Roman"/>
          <w:bdr w:val="single" w:sz="4" w:space="0" w:color="000000" w:frame="1"/>
        </w:rPr>
        <w:t xml:space="preserve"> x  </w:t>
      </w:r>
      <w:r w:rsidRPr="00323053">
        <w:rPr>
          <w:rFonts w:ascii="Times New Roman" w:hAnsi="Times New Roman"/>
        </w:rPr>
        <w:t>  iné (rozšírenie základne pre výpočet dane z príjmov)</w:t>
      </w:r>
    </w:p>
    <w:p w:rsidR="00ED7170" w:rsidRPr="00323053" w:rsidP="00ED7170">
      <w:pPr>
        <w:bidi w:val="0"/>
        <w:rPr>
          <w:rFonts w:ascii="Times New Roman" w:hAnsi="Times New Roman"/>
        </w:rPr>
      </w:pPr>
      <w:r w:rsidRPr="00323053">
        <w:rPr>
          <w:rFonts w:ascii="Times New Roman" w:hAnsi="Times New Roman"/>
        </w:rPr>
        <w:t> </w:t>
      </w:r>
    </w:p>
    <w:p w:rsidR="00ED7170" w:rsidRPr="00323053" w:rsidP="00ED7170">
      <w:pPr>
        <w:bidi w:val="0"/>
        <w:rPr>
          <w:rFonts w:ascii="Times New Roman" w:hAnsi="Times New Roman"/>
        </w:rPr>
      </w:pPr>
      <w:r w:rsidRPr="00323053">
        <w:rPr>
          <w:rFonts w:ascii="Times New Roman" w:hAnsi="Times New Roman"/>
        </w:rPr>
        <w:t> </w:t>
      </w:r>
    </w:p>
    <w:p w:rsidR="00ED7170" w:rsidRPr="00323053" w:rsidP="00ED7170">
      <w:pPr>
        <w:bidi w:val="0"/>
        <w:rPr>
          <w:rFonts w:ascii="Times New Roman" w:hAnsi="Times New Roman"/>
        </w:rPr>
      </w:pPr>
      <w:r w:rsidRPr="00323053">
        <w:rPr>
          <w:rFonts w:ascii="Times New Roman" w:hAnsi="Times New Roman"/>
          <w:b/>
          <w:bCs/>
        </w:rPr>
        <w:t>2.3.3. Predpoklady vývoja objemu aktivít:</w:t>
      </w:r>
    </w:p>
    <w:p w:rsidR="00ED7170" w:rsidP="00ED7170">
      <w:pPr>
        <w:bidi w:val="0"/>
        <w:rPr>
          <w:rFonts w:ascii="Times New Roman" w:hAnsi="Times New Roman"/>
        </w:rPr>
      </w:pPr>
      <w:r w:rsidRPr="00323053">
        <w:rPr>
          <w:rFonts w:ascii="Times New Roman" w:hAnsi="Times New Roman"/>
        </w:rPr>
        <w:t> </w:t>
      </w:r>
      <w:r>
        <w:rPr>
          <w:rFonts w:ascii="Times New Roman" w:hAnsi="Times New Roman"/>
        </w:rPr>
        <w:t>-</w:t>
      </w:r>
    </w:p>
    <w:p w:rsidR="00ED7170" w:rsidRPr="00323053" w:rsidP="00ED7170">
      <w:pPr>
        <w:bidi w:val="0"/>
        <w:rPr>
          <w:rFonts w:ascii="Times New Roman" w:hAnsi="Times New Roman"/>
        </w:rPr>
      </w:pPr>
    </w:p>
    <w:p w:rsidR="00ED7170" w:rsidRPr="00323053" w:rsidP="00ED7170">
      <w:pPr>
        <w:bidi w:val="0"/>
        <w:rPr>
          <w:rFonts w:ascii="Times New Roman" w:hAnsi="Times New Roman"/>
          <w:b/>
          <w:bCs/>
        </w:rPr>
      </w:pPr>
      <w:r w:rsidRPr="00323053">
        <w:rPr>
          <w:rFonts w:ascii="Times New Roman" w:hAnsi="Times New Roman"/>
          <w:b/>
          <w:bCs/>
        </w:rPr>
        <w:t>2.3.4. Výpočty vplyvov na verejné financie</w:t>
      </w:r>
    </w:p>
    <w:p w:rsidR="00ED7170" w:rsidRPr="00323053" w:rsidP="00ED7170">
      <w:pPr>
        <w:autoSpaceDE w:val="0"/>
        <w:autoSpaceDN w:val="0"/>
        <w:bidi w:val="0"/>
        <w:adjustRightInd w:val="0"/>
        <w:jc w:val="both"/>
        <w:rPr>
          <w:rFonts w:ascii="Times New Roman" w:hAnsi="Times New Roman"/>
        </w:rPr>
      </w:pPr>
    </w:p>
    <w:p w:rsidR="00ED7170" w:rsidP="00ED7170">
      <w:pPr>
        <w:numPr>
          <w:numId w:val="6"/>
        </w:numPr>
        <w:tabs>
          <w:tab w:val="clear" w:pos="720"/>
        </w:tabs>
        <w:bidi w:val="0"/>
        <w:ind w:left="360"/>
        <w:jc w:val="both"/>
        <w:rPr>
          <w:rFonts w:ascii="Times New Roman" w:hAnsi="Times New Roman"/>
        </w:rPr>
      </w:pPr>
      <w:r>
        <w:rPr>
          <w:rFonts w:ascii="Times New Roman" w:hAnsi="Times New Roman"/>
        </w:rPr>
        <w:t>Kvantifikácia bola uskutočnená na základe o</w:t>
      </w:r>
      <w:r w:rsidRPr="00FF4428">
        <w:rPr>
          <w:rFonts w:ascii="Times New Roman" w:hAnsi="Times New Roman"/>
        </w:rPr>
        <w:t>bjem</w:t>
      </w:r>
      <w:r>
        <w:rPr>
          <w:rFonts w:ascii="Times New Roman" w:hAnsi="Times New Roman"/>
        </w:rPr>
        <w:t>u</w:t>
      </w:r>
      <w:r w:rsidRPr="00FF4428">
        <w:rPr>
          <w:rFonts w:ascii="Times New Roman" w:hAnsi="Times New Roman"/>
        </w:rPr>
        <w:t xml:space="preserve"> obstarania </w:t>
      </w:r>
      <w:r>
        <w:rPr>
          <w:rFonts w:ascii="Times New Roman" w:hAnsi="Times New Roman"/>
        </w:rPr>
        <w:t xml:space="preserve">hmotného majetku, </w:t>
      </w:r>
      <w:r w:rsidRPr="00FF4428">
        <w:rPr>
          <w:rFonts w:ascii="Times New Roman" w:hAnsi="Times New Roman"/>
        </w:rPr>
        <w:t>ako rozdiel</w:t>
      </w:r>
      <w:r>
        <w:rPr>
          <w:rFonts w:ascii="Times New Roman" w:hAnsi="Times New Roman"/>
        </w:rPr>
        <w:t>u</w:t>
      </w:r>
      <w:r w:rsidRPr="00FF4428">
        <w:rPr>
          <w:rFonts w:ascii="Times New Roman" w:hAnsi="Times New Roman"/>
        </w:rPr>
        <w:t xml:space="preserve"> nominálnej tvorby hrubého fixného kapitálu (THFK) očisteného o THFK verejnej správy.</w:t>
      </w:r>
      <w:r>
        <w:rPr>
          <w:rFonts w:ascii="Times New Roman" w:hAnsi="Times New Roman"/>
        </w:rPr>
        <w:t xml:space="preserve"> Podiely</w:t>
      </w:r>
      <w:r w:rsidRPr="00FF4428">
        <w:rPr>
          <w:rFonts w:ascii="Times New Roman" w:hAnsi="Times New Roman"/>
        </w:rPr>
        <w:t xml:space="preserve"> jednotlivých druhov majetku na celkovom objeme obstaraného majetku boli uskutočnené na základe údajov zo štatistických ročeniek</w:t>
      </w:r>
      <w:r>
        <w:rPr>
          <w:rFonts w:ascii="Times New Roman" w:hAnsi="Times New Roman"/>
        </w:rPr>
        <w:t>.</w:t>
      </w:r>
      <w:r w:rsidRPr="00FF4428">
        <w:rPr>
          <w:rFonts w:ascii="Times New Roman" w:hAnsi="Times New Roman"/>
        </w:rPr>
        <w:t xml:space="preserve"> </w:t>
      </w:r>
      <w:r>
        <w:rPr>
          <w:rFonts w:ascii="Times New Roman" w:hAnsi="Times New Roman"/>
        </w:rPr>
        <w:t>Zároveň sa stanovil</w:t>
      </w:r>
      <w:r w:rsidRPr="00FF4428">
        <w:rPr>
          <w:rFonts w:ascii="Times New Roman" w:hAnsi="Times New Roman"/>
        </w:rPr>
        <w:t xml:space="preserve"> predpoklad o distribúcii jednotlivých druhov ma</w:t>
      </w:r>
      <w:r>
        <w:rPr>
          <w:rFonts w:ascii="Times New Roman" w:hAnsi="Times New Roman"/>
        </w:rPr>
        <w:t>jetku do odpisových skupín. Zmeny základu dane a následne daňovej povinnosti právnických osôb predstavujú pozitívny vplyv na rozpočet verejnej správy.</w:t>
      </w:r>
    </w:p>
    <w:p w:rsidR="00ED7170" w:rsidP="00ED7170">
      <w:pPr>
        <w:numPr>
          <w:numId w:val="6"/>
        </w:numPr>
        <w:tabs>
          <w:tab w:val="clear" w:pos="720"/>
        </w:tabs>
        <w:bidi w:val="0"/>
        <w:ind w:left="360"/>
        <w:jc w:val="both"/>
        <w:rPr>
          <w:rFonts w:ascii="Arial Narrow" w:hAnsi="Arial Narrow"/>
        </w:rPr>
      </w:pPr>
      <w:r>
        <w:rPr>
          <w:rFonts w:ascii="Times New Roman" w:hAnsi="Times New Roman"/>
        </w:rPr>
        <w:t>Kvantifikácia opätovného oslobodenia príjmu obcí a VÚC z prenájmu majetku od dane bola uskutočnená na základe údajov z Rozpočtového informačného systému (RIS) o rozpočtovaných výnosoch obcí a VÚC z prenájmu majetku.</w:t>
      </w:r>
    </w:p>
    <w:p w:rsidR="00ED7170" w:rsidRPr="00FF4428" w:rsidP="00ED7170">
      <w:pPr>
        <w:bidi w:val="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b/>
        </w:rPr>
      </w:pPr>
      <w:r w:rsidRPr="00323053">
        <w:rPr>
          <w:rFonts w:ascii="Times New Roman" w:hAnsi="Times New Roman"/>
          <w:b/>
        </w:rPr>
        <w:t>Kvantifikácia príjmov</w:t>
      </w:r>
    </w:p>
    <w:p w:rsidR="00ED7170" w:rsidRPr="00323053" w:rsidP="00ED7170">
      <w:pPr>
        <w:pStyle w:val="ListParagraph"/>
        <w:bidi w:val="0"/>
        <w:rPr>
          <w:rStyle w:val="PlaceholderText"/>
          <w:i/>
          <w:color w:val="000000"/>
        </w:rPr>
      </w:pPr>
    </w:p>
    <w:tbl>
      <w:tblPr>
        <w:tblStyle w:val="TableNormal"/>
        <w:tblW w:w="9082" w:type="dxa"/>
        <w:tblInd w:w="60" w:type="dxa"/>
        <w:tblLayout w:type="fixed"/>
        <w:tblCellMar>
          <w:left w:w="70" w:type="dxa"/>
          <w:right w:w="70" w:type="dxa"/>
        </w:tblCellMar>
        <w:tblLook w:val="04A0"/>
      </w:tblPr>
      <w:tblGrid>
        <w:gridCol w:w="960"/>
        <w:gridCol w:w="3445"/>
        <w:gridCol w:w="1169"/>
        <w:gridCol w:w="1169"/>
        <w:gridCol w:w="1169"/>
        <w:gridCol w:w="1170"/>
      </w:tblGrid>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r w:rsidRPr="00323053">
              <w:rPr>
                <w:rFonts w:ascii="Times New Roman" w:hAnsi="Times New Roman"/>
                <w:b/>
                <w:bCs/>
                <w:color w:val="FFFFFF"/>
                <w:u w:val="single"/>
              </w:rPr>
              <w:t>Štátny rozpočet (VPS) - príjmy (v tis. eur)</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štátny rozpočet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vMerge/>
            <w:tcBorders>
              <w:top w:val="none" w:sz="0" w:space="0" w:color="auto"/>
              <w:left w:val="nil"/>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170"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082" w:type="dxa"/>
          <w:tblInd w:w="60" w:type="dxa"/>
          <w:tblLayout w:type="fixed"/>
          <w:tblCellMar>
            <w:left w:w="70" w:type="dxa"/>
            <w:right w:w="70" w:type="dxa"/>
          </w:tblCellMar>
          <w:tblLook w:val="04A0"/>
        </w:tblPrEx>
        <w:trPr>
          <w:trHeight w:val="283"/>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170"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283"/>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3445"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c>
          <w:tcPr>
            <w:tcW w:w="1170" w:type="dxa"/>
            <w:tcBorders>
              <w:top w:val="nil"/>
              <w:left w:val="nil"/>
              <w:bottom w:val="nil"/>
              <w:right w:val="nil"/>
            </w:tcBorders>
            <w:noWrap/>
            <w:textDirection w:val="lrTb"/>
            <w:vAlign w:val="center"/>
            <w:hideMark/>
          </w:tcPr>
          <w:p w:rsidR="00ED7170" w:rsidRPr="00323053"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(ESA95)</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center"/>
            <w:hideMark/>
          </w:tcPr>
          <w:p w:rsidR="00ED7170" w:rsidRPr="00323053" w:rsidP="00ED7170">
            <w:pPr>
              <w:bidi w:val="0"/>
              <w:rPr>
                <w:rFonts w:ascii="Times New Roman" w:hAnsi="Times New Roman"/>
                <w:b/>
                <w:bCs/>
                <w:color w:val="FFFFFF"/>
                <w:u w:val="single"/>
              </w:rPr>
            </w:pPr>
            <w:r w:rsidRPr="00323053">
              <w:rPr>
                <w:rFonts w:ascii="Times New Roman" w:hAnsi="Times New Roman"/>
                <w:b/>
                <w:bCs/>
                <w:color w:val="FFFFFF"/>
                <w:u w:val="single"/>
              </w:rPr>
              <w:t>Rozpočet verejnej správy - príjmy (v tis. eur)</w:t>
            </w: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169"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170" w:type="dxa"/>
            <w:tcBorders>
              <w:top w:val="nil"/>
              <w:left w:val="nil"/>
              <w:bottom w:val="nil"/>
              <w:right w:val="nil"/>
            </w:tcBorders>
            <w:shd w:val="clear" w:color="000000" w:fill="000000"/>
            <w:noWrap/>
            <w:textDirection w:val="lrTb"/>
            <w:vAlign w:val="center"/>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center"/>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-8 332</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46 569</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46 650</w:t>
            </w:r>
          </w:p>
        </w:tc>
        <w:tc>
          <w:tcPr>
            <w:tcW w:w="1170"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color w:val="000000"/>
              </w:rPr>
            </w:pPr>
            <w:r w:rsidRPr="00CE72D2">
              <w:rPr>
                <w:rFonts w:ascii="Times New Roman" w:hAnsi="Times New Roman"/>
                <w:b/>
                <w:bCs/>
                <w:color w:val="000000"/>
              </w:rPr>
              <w:t>55 526</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133</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Dane za špecifické služby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139</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Iné dane za tovary a služby</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bl>
    <w:p w:rsidR="00ED7170" w:rsidP="00ED7170">
      <w:pPr>
        <w:tabs>
          <w:tab w:val="left" w:pos="851"/>
        </w:tabs>
        <w:autoSpaceDE w:val="0"/>
        <w:autoSpaceDN w:val="0"/>
        <w:bidi w:val="0"/>
        <w:adjustRightInd w:val="0"/>
        <w:jc w:val="both"/>
        <w:rPr>
          <w:rStyle w:val="PlaceholderText"/>
          <w:i/>
          <w:color w:val="000000"/>
        </w:rPr>
      </w:pPr>
    </w:p>
    <w:p w:rsidR="00ED7170" w:rsidP="00ED7170">
      <w:pPr>
        <w:tabs>
          <w:tab w:val="left" w:pos="851"/>
        </w:tabs>
        <w:autoSpaceDE w:val="0"/>
        <w:autoSpaceDN w:val="0"/>
        <w:bidi w:val="0"/>
        <w:adjustRightInd w:val="0"/>
        <w:jc w:val="both"/>
        <w:rPr>
          <w:rStyle w:val="PlaceholderText"/>
          <w:i/>
          <w:color w:val="000000"/>
        </w:rPr>
      </w:pPr>
    </w:p>
    <w:p w:rsidR="00ED7170" w:rsidRPr="00323053" w:rsidP="00ED7170">
      <w:pPr>
        <w:tabs>
          <w:tab w:val="left" w:pos="851"/>
        </w:tabs>
        <w:autoSpaceDE w:val="0"/>
        <w:autoSpaceDN w:val="0"/>
        <w:bidi w:val="0"/>
        <w:adjustRightInd w:val="0"/>
        <w:jc w:val="both"/>
        <w:rPr>
          <w:rStyle w:val="PlaceholderText"/>
          <w:i/>
          <w:color w:val="000000"/>
        </w:rPr>
      </w:pPr>
    </w:p>
    <w:tbl>
      <w:tblPr>
        <w:tblStyle w:val="TableNormal"/>
        <w:tblW w:w="9082" w:type="dxa"/>
        <w:tblInd w:w="60" w:type="dxa"/>
        <w:tblLayout w:type="fixed"/>
        <w:tblCellMar>
          <w:left w:w="70" w:type="dxa"/>
          <w:right w:w="70" w:type="dxa"/>
        </w:tblCellMar>
        <w:tblLook w:val="04A0"/>
      </w:tblPr>
      <w:tblGrid>
        <w:gridCol w:w="960"/>
        <w:gridCol w:w="3445"/>
        <w:gridCol w:w="1169"/>
        <w:gridCol w:w="1169"/>
        <w:gridCol w:w="1169"/>
        <w:gridCol w:w="1170"/>
      </w:tblGrid>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single" w:sz="4" w:space="0" w:color="auto"/>
              <w:left w:val="nil"/>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štátny rozpočet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tcBorders>
              <w:top w:val="nil"/>
              <w:left w:val="nil"/>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u w:val="single"/>
              </w:rPr>
            </w:pPr>
            <w:r w:rsidRPr="00323053">
              <w:rPr>
                <w:rFonts w:ascii="Times New Roman" w:hAnsi="Times New Roman"/>
                <w:b/>
                <w:bCs/>
                <w:color w:val="FFFFFF"/>
                <w:u w:val="single"/>
              </w:rPr>
              <w:t>Štátny rozpočet (VPS) - príjmy (v tis. eur)</w:t>
            </w: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170"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b/>
                <w:bCs/>
                <w:color w:val="000000"/>
              </w:rPr>
            </w:pP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170"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rPr>
                <w:rFonts w:ascii="Times New Roman" w:hAnsi="Times New Roman"/>
                <w:color w:val="000000"/>
              </w:rPr>
            </w:pPr>
            <w:r>
              <w:rPr>
                <w:rFonts w:ascii="Times New Roman" w:hAnsi="Times New Roman"/>
                <w:color w:val="000000"/>
              </w:rPr>
              <w:t> </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3445"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69"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c>
          <w:tcPr>
            <w:tcW w:w="1170" w:type="dxa"/>
            <w:tcBorders>
              <w:top w:val="nil"/>
              <w:left w:val="nil"/>
              <w:bottom w:val="nil"/>
              <w:right w:val="nil"/>
            </w:tcBorders>
            <w:noWrap/>
            <w:textDirection w:val="lrTb"/>
            <w:vAlign w:val="bottom"/>
            <w:hideMark/>
          </w:tcPr>
          <w:p w:rsidR="00ED7170" w:rsidRPr="00323053" w:rsidP="00ED7170">
            <w:pPr>
              <w:bidi w:val="0"/>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vMerge w:val="restart"/>
            <w:tcBorders>
              <w:top w:val="single" w:sz="4" w:space="0" w:color="auto"/>
              <w:left w:val="nil"/>
              <w:bottom w:val="none" w:sz="0" w:space="0" w:color="auto"/>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u w:val="single"/>
              </w:rPr>
              <w:t>Rozpočet verejnej správy - príjmy (v tis. eur)</w:t>
            </w:r>
          </w:p>
        </w:tc>
        <w:tc>
          <w:tcPr>
            <w:tcW w:w="4677" w:type="dxa"/>
            <w:gridSpan w:val="4"/>
            <w:tcBorders>
              <w:top w:val="single" w:sz="4" w:space="0" w:color="auto"/>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Vplyv na rozpočet verejnej správy (cash)</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rPr>
            </w:pPr>
            <w:r w:rsidRPr="00323053">
              <w:rPr>
                <w:rFonts w:ascii="Times New Roman" w:hAnsi="Times New Roman"/>
                <w:b/>
                <w:bCs/>
                <w:color w:val="FFFFFF"/>
              </w:rPr>
              <w:t> </w:t>
            </w:r>
          </w:p>
        </w:tc>
        <w:tc>
          <w:tcPr>
            <w:tcW w:w="3445" w:type="dxa"/>
            <w:vMerge/>
            <w:tcBorders>
              <w:top w:val="none" w:sz="0" w:space="0" w:color="auto"/>
              <w:left w:val="nil"/>
              <w:bottom w:val="nil"/>
              <w:right w:val="nil"/>
            </w:tcBorders>
            <w:shd w:val="clear" w:color="000000" w:fill="000000"/>
            <w:noWrap/>
            <w:textDirection w:val="lrTb"/>
            <w:vAlign w:val="bottom"/>
            <w:hideMark/>
          </w:tcPr>
          <w:p w:rsidR="00ED7170" w:rsidRPr="00323053" w:rsidP="00ED7170">
            <w:pPr>
              <w:bidi w:val="0"/>
              <w:rPr>
                <w:rFonts w:ascii="Times New Roman" w:hAnsi="Times New Roman"/>
                <w:b/>
                <w:bCs/>
                <w:color w:val="FFFFFF"/>
                <w:u w:val="single"/>
              </w:rPr>
            </w:pP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1</w:t>
            </w: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2</w:t>
            </w:r>
          </w:p>
        </w:tc>
        <w:tc>
          <w:tcPr>
            <w:tcW w:w="1169"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3</w:t>
            </w:r>
          </w:p>
        </w:tc>
        <w:tc>
          <w:tcPr>
            <w:tcW w:w="1170" w:type="dxa"/>
            <w:tcBorders>
              <w:top w:val="nil"/>
              <w:left w:val="nil"/>
              <w:bottom w:val="nil"/>
              <w:right w:val="nil"/>
            </w:tcBorders>
            <w:shd w:val="clear" w:color="000000" w:fill="000000"/>
            <w:noWrap/>
            <w:textDirection w:val="lrTb"/>
            <w:vAlign w:val="bottom"/>
            <w:hideMark/>
          </w:tcPr>
          <w:p w:rsidR="00ED7170" w:rsidRPr="00323053" w:rsidP="00ED7170">
            <w:pPr>
              <w:bidi w:val="0"/>
              <w:jc w:val="center"/>
              <w:rPr>
                <w:rFonts w:ascii="Times New Roman" w:hAnsi="Times New Roman"/>
                <w:b/>
                <w:bCs/>
                <w:color w:val="FFFFFF"/>
              </w:rPr>
            </w:pPr>
            <w:r w:rsidRPr="00323053">
              <w:rPr>
                <w:rFonts w:ascii="Times New Roman" w:hAnsi="Times New Roman"/>
                <w:b/>
                <w:bCs/>
                <w:color w:val="FFFFFF"/>
              </w:rPr>
              <w:t>201</w:t>
            </w:r>
            <w:r>
              <w:rPr>
                <w:rFonts w:ascii="Times New Roman" w:hAnsi="Times New Roman"/>
                <w:b/>
                <w:bCs/>
                <w:color w:val="FFFFFF"/>
              </w:rPr>
              <w:t>4</w:t>
            </w:r>
          </w:p>
        </w:tc>
      </w:tr>
      <w:tr>
        <w:tblPrEx>
          <w:tblW w:w="9082" w:type="dxa"/>
          <w:tblInd w:w="60" w:type="dxa"/>
          <w:tblLayout w:type="fixed"/>
          <w:tblCellMar>
            <w:left w:w="70" w:type="dxa"/>
            <w:right w:w="70" w:type="dxa"/>
          </w:tblCellMar>
          <w:tblLook w:val="04A0"/>
        </w:tblPrEx>
        <w:trPr>
          <w:trHeight w:val="315"/>
        </w:trPr>
        <w:tc>
          <w:tcPr>
            <w:tcW w:w="960" w:type="dxa"/>
            <w:tcBorders>
              <w:top w:val="single" w:sz="4" w:space="0" w:color="auto"/>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b/>
                <w:bCs/>
                <w:color w:val="000000"/>
              </w:rPr>
            </w:pPr>
            <w:r w:rsidRPr="00323053">
              <w:rPr>
                <w:rFonts w:ascii="Times New Roman" w:hAnsi="Times New Roman"/>
                <w:b/>
                <w:bCs/>
                <w:color w:val="000000"/>
              </w:rPr>
              <w:t>100</w:t>
            </w:r>
          </w:p>
        </w:tc>
        <w:tc>
          <w:tcPr>
            <w:tcW w:w="3445" w:type="dxa"/>
            <w:tcBorders>
              <w:top w:val="single" w:sz="4" w:space="0" w:color="auto"/>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b/>
                <w:bCs/>
                <w:color w:val="000000"/>
              </w:rPr>
            </w:pPr>
            <w:r w:rsidRPr="00323053">
              <w:rPr>
                <w:rFonts w:ascii="Times New Roman" w:hAnsi="Times New Roman"/>
                <w:b/>
                <w:bCs/>
                <w:color w:val="000000"/>
              </w:rPr>
              <w:t>Daňové príjmy</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b/>
                <w:bCs/>
                <w:color w:val="000000"/>
              </w:rPr>
            </w:pP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169"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170" w:type="dxa"/>
            <w:tcBorders>
              <w:top w:val="single" w:sz="4" w:space="0" w:color="auto"/>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110</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 príjmov a kapitálového majetku</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111</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fyzickej osoby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112</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právnickej osoby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-14 582</w:t>
            </w:r>
          </w:p>
        </w:tc>
        <w:tc>
          <w:tcPr>
            <w:tcW w:w="1169"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87 744</w:t>
            </w:r>
          </w:p>
        </w:tc>
        <w:tc>
          <w:tcPr>
            <w:tcW w:w="1170" w:type="dxa"/>
            <w:tcBorders>
              <w:top w:val="nil"/>
              <w:left w:val="nil"/>
              <w:bottom w:val="single" w:sz="4" w:space="0" w:color="auto"/>
              <w:right w:val="single" w:sz="4" w:space="0" w:color="auto"/>
            </w:tcBorders>
            <w:noWrap/>
            <w:textDirection w:val="lrTb"/>
            <w:vAlign w:val="bottom"/>
            <w:hideMark/>
          </w:tcPr>
          <w:p w:rsidR="00ED7170" w:rsidRPr="00CE72D2" w:rsidP="00ED7170">
            <w:pPr>
              <w:bidi w:val="0"/>
              <w:jc w:val="right"/>
              <w:rPr>
                <w:rFonts w:ascii="Times New Roman" w:hAnsi="Times New Roman"/>
                <w:b/>
                <w:bCs/>
                <w:iCs/>
                <w:color w:val="000000"/>
              </w:rPr>
            </w:pPr>
            <w:r w:rsidRPr="00CE72D2">
              <w:rPr>
                <w:rFonts w:ascii="Times New Roman" w:hAnsi="Times New Roman"/>
                <w:b/>
                <w:bCs/>
                <w:iCs/>
                <w:color w:val="000000"/>
              </w:rPr>
              <w:t>46 712</w:t>
            </w: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113</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príjmov vyberaná zrážkou</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130</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131</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Daň z pridanej hodnoty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132</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Spotrebné dane</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133</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Dane za špecifické služby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134</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Dane z používania tovarov a z povolenia na výkon činnosti</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139</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Iné dane za tovary a služby</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r w:rsidRPr="00323053">
              <w:rPr>
                <w:rFonts w:ascii="Times New Roman" w:hAnsi="Times New Roman"/>
                <w:i/>
                <w:iCs/>
                <w:color w:val="000000"/>
              </w:rPr>
              <w:t>150</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i/>
                <w:iCs/>
                <w:color w:val="000000"/>
              </w:rPr>
            </w:pPr>
            <w:r w:rsidRPr="00323053">
              <w:rPr>
                <w:rFonts w:ascii="Times New Roman" w:hAnsi="Times New Roman"/>
                <w:i/>
                <w:iCs/>
                <w:color w:val="000000"/>
              </w:rPr>
              <w:t>Poistné</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i/>
                <w:iCs/>
                <w:color w:val="000000"/>
              </w:rPr>
            </w:pPr>
          </w:p>
        </w:tc>
      </w:tr>
      <w:tr>
        <w:tblPrEx>
          <w:tblW w:w="9082" w:type="dxa"/>
          <w:tblInd w:w="60" w:type="dxa"/>
          <w:tblLayout w:type="fixed"/>
          <w:tblCellMar>
            <w:left w:w="70" w:type="dxa"/>
            <w:right w:w="70" w:type="dxa"/>
          </w:tblCellMar>
          <w:tblLook w:val="04A0"/>
        </w:tblPrEx>
        <w:trPr>
          <w:trHeight w:val="450"/>
        </w:trPr>
        <w:tc>
          <w:tcPr>
            <w:tcW w:w="960" w:type="dxa"/>
            <w:tcBorders>
              <w:top w:val="nil"/>
              <w:left w:val="single" w:sz="4" w:space="0" w:color="auto"/>
              <w:bottom w:val="single" w:sz="4" w:space="0" w:color="auto"/>
              <w:right w:val="single" w:sz="4" w:space="0" w:color="auto"/>
            </w:tcBorders>
            <w:textDirection w:val="lrTb"/>
            <w:vAlign w:val="center"/>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151-153, 155-158</w:t>
            </w:r>
          </w:p>
        </w:tc>
        <w:tc>
          <w:tcPr>
            <w:tcW w:w="3445" w:type="dxa"/>
            <w:tcBorders>
              <w:top w:val="nil"/>
              <w:left w:val="nil"/>
              <w:bottom w:val="single" w:sz="4" w:space="0" w:color="auto"/>
              <w:right w:val="single" w:sz="4" w:space="0" w:color="auto"/>
            </w:tcBorders>
            <w:noWrap/>
            <w:textDirection w:val="lrTb"/>
            <w:vAlign w:val="center"/>
            <w:hideMark/>
          </w:tcPr>
          <w:p w:rsidR="00ED7170" w:rsidRPr="00323053" w:rsidP="00ED7170">
            <w:pPr>
              <w:bidi w:val="0"/>
              <w:rPr>
                <w:rFonts w:ascii="Times New Roman" w:hAnsi="Times New Roman"/>
                <w:color w:val="000000"/>
              </w:rPr>
            </w:pPr>
            <w:r w:rsidRPr="00323053">
              <w:rPr>
                <w:rFonts w:ascii="Times New Roman" w:hAnsi="Times New Roman"/>
                <w:color w:val="000000"/>
              </w:rPr>
              <w:t>Sociálne poistenie</w:t>
            </w:r>
          </w:p>
        </w:tc>
        <w:tc>
          <w:tcPr>
            <w:tcW w:w="1169" w:type="dxa"/>
            <w:tcBorders>
              <w:top w:val="nil"/>
              <w:left w:val="nil"/>
              <w:bottom w:val="single" w:sz="4" w:space="0" w:color="auto"/>
              <w:right w:val="single" w:sz="4" w:space="0" w:color="auto"/>
            </w:tcBorders>
            <w:noWrap/>
            <w:textDirection w:val="lrTb"/>
            <w:vAlign w:val="center"/>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center"/>
            <w:hideMark/>
          </w:tcPr>
          <w:p w:rsidR="00ED7170" w:rsidP="00ED7170">
            <w:pPr>
              <w:bidi w:val="0"/>
              <w:jc w:val="right"/>
              <w:rPr>
                <w:rFonts w:ascii="Times New Roman" w:hAnsi="Times New Roman"/>
                <w:color w:val="000000"/>
              </w:rPr>
            </w:pPr>
          </w:p>
        </w:tc>
      </w:tr>
      <w:tr>
        <w:tblPrEx>
          <w:tblW w:w="9082" w:type="dxa"/>
          <w:tblInd w:w="60" w:type="dxa"/>
          <w:tblLayout w:type="fixed"/>
          <w:tblCellMar>
            <w:left w:w="70" w:type="dxa"/>
            <w:right w:w="70" w:type="dxa"/>
          </w:tblCellMar>
          <w:tblLook w:val="04A0"/>
        </w:tblPrEx>
        <w:trPr>
          <w:trHeight w:val="315"/>
        </w:trPr>
        <w:tc>
          <w:tcPr>
            <w:tcW w:w="960" w:type="dxa"/>
            <w:tcBorders>
              <w:top w:val="nil"/>
              <w:left w:val="single" w:sz="4" w:space="0" w:color="auto"/>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r w:rsidRPr="00323053">
              <w:rPr>
                <w:rFonts w:ascii="Times New Roman" w:hAnsi="Times New Roman"/>
                <w:color w:val="000000"/>
              </w:rPr>
              <w:t>154</w:t>
            </w:r>
          </w:p>
        </w:tc>
        <w:tc>
          <w:tcPr>
            <w:tcW w:w="3445" w:type="dxa"/>
            <w:tcBorders>
              <w:top w:val="nil"/>
              <w:left w:val="nil"/>
              <w:bottom w:val="single" w:sz="4" w:space="0" w:color="auto"/>
              <w:right w:val="single" w:sz="4" w:space="0" w:color="auto"/>
            </w:tcBorders>
            <w:noWrap/>
            <w:textDirection w:val="lrTb"/>
            <w:vAlign w:val="bottom"/>
            <w:hideMark/>
          </w:tcPr>
          <w:p w:rsidR="00ED7170" w:rsidRPr="00323053" w:rsidP="00ED7170">
            <w:pPr>
              <w:bidi w:val="0"/>
              <w:rPr>
                <w:rFonts w:ascii="Times New Roman" w:hAnsi="Times New Roman"/>
                <w:color w:val="000000"/>
              </w:rPr>
            </w:pPr>
            <w:r w:rsidRPr="00323053">
              <w:rPr>
                <w:rFonts w:ascii="Times New Roman" w:hAnsi="Times New Roman"/>
                <w:color w:val="000000"/>
              </w:rPr>
              <w:t>Zdravotné poistenie</w:t>
            </w:r>
          </w:p>
        </w:tc>
        <w:tc>
          <w:tcPr>
            <w:tcW w:w="1169" w:type="dxa"/>
            <w:tcBorders>
              <w:top w:val="nil"/>
              <w:left w:val="nil"/>
              <w:bottom w:val="single" w:sz="4" w:space="0" w:color="auto"/>
              <w:right w:val="single" w:sz="4" w:space="0" w:color="auto"/>
            </w:tcBorders>
            <w:noWrap/>
            <w:textDirection w:val="lrTb"/>
            <w:vAlign w:val="bottom"/>
            <w:hideMark/>
          </w:tcPr>
          <w:p w:rsidR="00ED7170" w:rsidRPr="00323053"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69"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c>
          <w:tcPr>
            <w:tcW w:w="1170" w:type="dxa"/>
            <w:tcBorders>
              <w:top w:val="nil"/>
              <w:left w:val="nil"/>
              <w:bottom w:val="single" w:sz="4" w:space="0" w:color="auto"/>
              <w:right w:val="single" w:sz="4" w:space="0" w:color="auto"/>
            </w:tcBorders>
            <w:noWrap/>
            <w:textDirection w:val="lrTb"/>
            <w:vAlign w:val="bottom"/>
            <w:hideMark/>
          </w:tcPr>
          <w:p w:rsidR="00ED7170" w:rsidP="00ED7170">
            <w:pPr>
              <w:bidi w:val="0"/>
              <w:jc w:val="right"/>
              <w:rPr>
                <w:rFonts w:ascii="Times New Roman" w:hAnsi="Times New Roman"/>
                <w:color w:val="000000"/>
              </w:rPr>
            </w:pPr>
          </w:p>
        </w:tc>
      </w:tr>
    </w:tbl>
    <w:p w:rsidR="00ED7170" w:rsidRPr="00323053" w:rsidP="00ED7170">
      <w:pPr>
        <w:tabs>
          <w:tab w:val="left" w:pos="851"/>
        </w:tabs>
        <w:autoSpaceDE w:val="0"/>
        <w:autoSpaceDN w:val="0"/>
        <w:bidi w:val="0"/>
        <w:adjustRightInd w:val="0"/>
        <w:jc w:val="both"/>
        <w:rPr>
          <w:rStyle w:val="PlaceholderText"/>
          <w:i/>
          <w:color w:val="000000"/>
        </w:rPr>
      </w:pPr>
    </w:p>
    <w:p w:rsidR="00ED7170" w:rsidRPr="00323053" w:rsidP="00ED7170">
      <w:pPr>
        <w:autoSpaceDE w:val="0"/>
        <w:autoSpaceDN w:val="0"/>
        <w:bidi w:val="0"/>
        <w:adjustRightInd w:val="0"/>
        <w:jc w:val="both"/>
        <w:rPr>
          <w:rFonts w:ascii="Times New Roman" w:hAnsi="Times New Roman"/>
          <w:b/>
        </w:rPr>
      </w:pPr>
    </w:p>
    <w:p w:rsidR="00ED7170" w:rsidRPr="00323053" w:rsidP="00ED7170">
      <w:pPr>
        <w:autoSpaceDE w:val="0"/>
        <w:autoSpaceDN w:val="0"/>
        <w:bidi w:val="0"/>
        <w:adjustRightInd w:val="0"/>
        <w:jc w:val="both"/>
        <w:rPr>
          <w:rFonts w:ascii="Times New Roman" w:hAnsi="Times New Roman"/>
          <w:b/>
        </w:rPr>
      </w:pPr>
      <w:r w:rsidRPr="00323053">
        <w:rPr>
          <w:rFonts w:ascii="Times New Roman" w:hAnsi="Times New Roman"/>
          <w:b/>
        </w:rPr>
        <w:t>Kvantifikácia výdavkov</w:t>
      </w:r>
    </w:p>
    <w:p w:rsidR="00ED7170" w:rsidRPr="00323053" w:rsidP="00ED7170">
      <w:pPr>
        <w:autoSpaceDE w:val="0"/>
        <w:autoSpaceDN w:val="0"/>
        <w:bidi w:val="0"/>
        <w:adjustRightInd w:val="0"/>
        <w:ind w:left="36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rPr>
      </w:pPr>
      <w:r w:rsidRPr="00323053">
        <w:rPr>
          <w:rFonts w:ascii="Times New Roman" w:hAnsi="Times New Roman"/>
        </w:rPr>
        <w:t>Prijatie opatrení v oblasti dani z príjmov nebude mať priamy vplyv na zmenu výdavkov rozpočtu verejnej správy, nakoľko neexistuje žiadny vzťah medzi zaplatenou daňou a nejakou službou/benefitom zo strany štátu.</w:t>
      </w:r>
    </w:p>
    <w:p w:rsidR="00ED7170" w:rsidRPr="00323053" w:rsidP="00ED7170">
      <w:pPr>
        <w:autoSpaceDE w:val="0"/>
        <w:autoSpaceDN w:val="0"/>
        <w:bidi w:val="0"/>
        <w:adjustRightInd w:val="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rPr>
      </w:pPr>
    </w:p>
    <w:tbl>
      <w:tblPr>
        <w:tblStyle w:val="TableNormal"/>
        <w:tblW w:w="9212" w:type="dxa"/>
        <w:jc w:val="center"/>
        <w:tblLayout w:type="fixed"/>
        <w:tblCellMar>
          <w:left w:w="70" w:type="dxa"/>
          <w:right w:w="70" w:type="dxa"/>
        </w:tblCellMar>
        <w:tblLook w:val="04A0"/>
      </w:tblPr>
      <w:tblGrid>
        <w:gridCol w:w="753"/>
        <w:gridCol w:w="4650"/>
        <w:gridCol w:w="952"/>
        <w:gridCol w:w="952"/>
        <w:gridCol w:w="952"/>
        <w:gridCol w:w="953"/>
      </w:tblGrid>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nil"/>
              <w:right w:val="nil"/>
            </w:tcBorders>
            <w:shd w:val="clear" w:color="000000" w:fill="000000"/>
            <w:noWrap/>
            <w:textDirection w:val="lrTb"/>
            <w:vAlign w:val="bottom"/>
            <w:hideMark/>
          </w:tcPr>
          <w:p w:rsidR="00ED7170" w:rsidRPr="00A85981" w:rsidP="00ED7170">
            <w:pPr>
              <w:bidi w:val="0"/>
              <w:rPr>
                <w:rFonts w:ascii="Times New Roman" w:hAnsi="Times New Roman"/>
                <w:b/>
                <w:bCs/>
                <w:color w:val="FFFFFF"/>
              </w:rPr>
            </w:pPr>
            <w:r w:rsidRPr="00A85981">
              <w:rPr>
                <w:rFonts w:ascii="Times New Roman" w:hAnsi="Times New Roman"/>
                <w:b/>
                <w:bCs/>
                <w:color w:val="FFFFFF"/>
              </w:rPr>
              <w:t> </w:t>
            </w:r>
          </w:p>
        </w:tc>
        <w:tc>
          <w:tcPr>
            <w:tcW w:w="4650" w:type="dxa"/>
            <w:vMerge w:val="restart"/>
            <w:tcBorders>
              <w:top w:val="single" w:sz="4" w:space="0" w:color="auto"/>
              <w:left w:val="nil"/>
              <w:bottom w:val="none" w:sz="0" w:space="0" w:color="auto"/>
              <w:right w:val="nil"/>
            </w:tcBorders>
            <w:shd w:val="clear" w:color="000000" w:fill="000000"/>
            <w:noWrap/>
            <w:textDirection w:val="lrTb"/>
            <w:vAlign w:val="center"/>
            <w:hideMark/>
          </w:tcPr>
          <w:p w:rsidR="00ED7170" w:rsidRPr="00A85981" w:rsidP="00ED7170">
            <w:pPr>
              <w:bidi w:val="0"/>
              <w:rPr>
                <w:rFonts w:ascii="Times New Roman" w:hAnsi="Times New Roman"/>
                <w:b/>
                <w:bCs/>
                <w:color w:val="FFFFFF"/>
              </w:rPr>
            </w:pPr>
            <w:r w:rsidRPr="00A85981">
              <w:rPr>
                <w:rFonts w:ascii="Times New Roman" w:hAnsi="Times New Roman"/>
                <w:b/>
                <w:bCs/>
                <w:color w:val="FFFFFF"/>
                <w:u w:val="single"/>
              </w:rPr>
              <w:t>Štátny rozpočet - výdavky (v tis. eur)</w:t>
            </w:r>
          </w:p>
        </w:tc>
        <w:tc>
          <w:tcPr>
            <w:tcW w:w="3809" w:type="dxa"/>
            <w:gridSpan w:val="4"/>
            <w:tcBorders>
              <w:top w:val="single" w:sz="4" w:space="0" w:color="auto"/>
              <w:left w:val="nil"/>
              <w:bottom w:val="nil"/>
              <w:right w:val="nil"/>
            </w:tcBorders>
            <w:shd w:val="clear" w:color="000000" w:fill="000000"/>
            <w:noWrap/>
            <w:textDirection w:val="lrTb"/>
            <w:vAlign w:val="bottom"/>
            <w:hideMark/>
          </w:tcPr>
          <w:p w:rsidR="00ED7170" w:rsidRPr="00A85981" w:rsidP="00ED7170">
            <w:pPr>
              <w:bidi w:val="0"/>
              <w:jc w:val="center"/>
              <w:rPr>
                <w:rFonts w:ascii="Times New Roman" w:hAnsi="Times New Roman"/>
                <w:b/>
                <w:bCs/>
                <w:color w:val="FFFFFF"/>
              </w:rPr>
            </w:pPr>
            <w:r w:rsidRPr="00A85981">
              <w:rPr>
                <w:rFonts w:ascii="Times New Roman" w:hAnsi="Times New Roman"/>
                <w:b/>
                <w:bCs/>
                <w:color w:val="FFFFFF"/>
              </w:rPr>
              <w:t>Vplyv na štátny rozpočet (ESA95)</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nil"/>
              <w:right w:val="nil"/>
            </w:tcBorders>
            <w:shd w:val="clear" w:color="000000" w:fill="000000"/>
            <w:noWrap/>
            <w:textDirection w:val="lrTb"/>
            <w:vAlign w:val="bottom"/>
            <w:hideMark/>
          </w:tcPr>
          <w:p w:rsidR="00ED7170" w:rsidRPr="00A85981" w:rsidP="00ED7170">
            <w:pPr>
              <w:bidi w:val="0"/>
              <w:rPr>
                <w:rFonts w:ascii="Times New Roman" w:hAnsi="Times New Roman"/>
                <w:b/>
                <w:bCs/>
                <w:color w:val="FFFFFF"/>
              </w:rPr>
            </w:pPr>
            <w:r w:rsidRPr="00A85981">
              <w:rPr>
                <w:rFonts w:ascii="Times New Roman" w:hAnsi="Times New Roman"/>
                <w:b/>
                <w:bCs/>
                <w:color w:val="FFFFFF"/>
              </w:rPr>
              <w:t> </w:t>
            </w:r>
          </w:p>
        </w:tc>
        <w:tc>
          <w:tcPr>
            <w:tcW w:w="4650" w:type="dxa"/>
            <w:vMerge/>
            <w:tcBorders>
              <w:top w:val="none" w:sz="0" w:space="0" w:color="auto"/>
              <w:left w:val="nil"/>
              <w:bottom w:val="nil"/>
              <w:right w:val="nil"/>
            </w:tcBorders>
            <w:shd w:val="clear" w:color="000000" w:fill="000000"/>
            <w:noWrap/>
            <w:textDirection w:val="lrTb"/>
            <w:vAlign w:val="bottom"/>
            <w:hideMark/>
          </w:tcPr>
          <w:p w:rsidR="00ED7170" w:rsidRPr="00A85981" w:rsidP="00ED7170">
            <w:pPr>
              <w:bidi w:val="0"/>
              <w:rPr>
                <w:rFonts w:ascii="Times New Roman" w:hAnsi="Times New Roman"/>
                <w:b/>
                <w:bCs/>
                <w:color w:val="FFFFFF"/>
                <w:u w:val="single"/>
              </w:rPr>
            </w:pPr>
          </w:p>
        </w:tc>
        <w:tc>
          <w:tcPr>
            <w:tcW w:w="952" w:type="dxa"/>
            <w:tcBorders>
              <w:top w:val="nil"/>
              <w:left w:val="nil"/>
              <w:bottom w:val="nil"/>
              <w:right w:val="nil"/>
            </w:tcBorders>
            <w:shd w:val="clear" w:color="000000" w:fill="000000"/>
            <w:noWrap/>
            <w:textDirection w:val="lrTb"/>
            <w:vAlign w:val="bottom"/>
            <w:hideMark/>
          </w:tcPr>
          <w:p w:rsidR="00ED7170" w:rsidRPr="00A85981" w:rsidP="00ED7170">
            <w:pPr>
              <w:bidi w:val="0"/>
              <w:jc w:val="center"/>
              <w:rPr>
                <w:rFonts w:ascii="Times New Roman" w:hAnsi="Times New Roman"/>
                <w:b/>
                <w:bCs/>
                <w:color w:val="FFFFFF"/>
              </w:rPr>
            </w:pPr>
            <w:r w:rsidRPr="00A85981">
              <w:rPr>
                <w:rFonts w:ascii="Times New Roman" w:hAnsi="Times New Roman"/>
                <w:b/>
                <w:bCs/>
                <w:color w:val="FFFFFF"/>
              </w:rPr>
              <w:t>201</w:t>
            </w:r>
            <w:r>
              <w:rPr>
                <w:rFonts w:ascii="Times New Roman" w:hAnsi="Times New Roman"/>
                <w:b/>
                <w:bCs/>
                <w:color w:val="FFFFFF"/>
              </w:rPr>
              <w:t>1</w:t>
            </w:r>
          </w:p>
        </w:tc>
        <w:tc>
          <w:tcPr>
            <w:tcW w:w="952" w:type="dxa"/>
            <w:tcBorders>
              <w:top w:val="nil"/>
              <w:left w:val="nil"/>
              <w:bottom w:val="nil"/>
              <w:right w:val="nil"/>
            </w:tcBorders>
            <w:shd w:val="clear" w:color="000000" w:fill="000000"/>
            <w:noWrap/>
            <w:textDirection w:val="lrTb"/>
            <w:vAlign w:val="bottom"/>
            <w:hideMark/>
          </w:tcPr>
          <w:p w:rsidR="00ED7170" w:rsidRPr="00A85981" w:rsidP="00ED7170">
            <w:pPr>
              <w:bidi w:val="0"/>
              <w:jc w:val="center"/>
              <w:rPr>
                <w:rFonts w:ascii="Times New Roman" w:hAnsi="Times New Roman"/>
                <w:b/>
                <w:bCs/>
                <w:color w:val="FFFFFF"/>
              </w:rPr>
            </w:pPr>
            <w:r w:rsidRPr="00A85981">
              <w:rPr>
                <w:rFonts w:ascii="Times New Roman" w:hAnsi="Times New Roman"/>
                <w:b/>
                <w:bCs/>
                <w:color w:val="FFFFFF"/>
              </w:rPr>
              <w:t>201</w:t>
            </w:r>
            <w:r>
              <w:rPr>
                <w:rFonts w:ascii="Times New Roman" w:hAnsi="Times New Roman"/>
                <w:b/>
                <w:bCs/>
                <w:color w:val="FFFFFF"/>
              </w:rPr>
              <w:t>2</w:t>
            </w:r>
          </w:p>
        </w:tc>
        <w:tc>
          <w:tcPr>
            <w:tcW w:w="952" w:type="dxa"/>
            <w:tcBorders>
              <w:top w:val="nil"/>
              <w:left w:val="nil"/>
              <w:bottom w:val="nil"/>
              <w:right w:val="nil"/>
            </w:tcBorders>
            <w:shd w:val="clear" w:color="000000" w:fill="000000"/>
            <w:noWrap/>
            <w:textDirection w:val="lrTb"/>
            <w:vAlign w:val="bottom"/>
            <w:hideMark/>
          </w:tcPr>
          <w:p w:rsidR="00ED7170" w:rsidRPr="00A85981" w:rsidP="00ED7170">
            <w:pPr>
              <w:bidi w:val="0"/>
              <w:jc w:val="center"/>
              <w:rPr>
                <w:rFonts w:ascii="Times New Roman" w:hAnsi="Times New Roman"/>
                <w:b/>
                <w:bCs/>
                <w:color w:val="FFFFFF"/>
              </w:rPr>
            </w:pPr>
            <w:r w:rsidRPr="00A85981">
              <w:rPr>
                <w:rFonts w:ascii="Times New Roman" w:hAnsi="Times New Roman"/>
                <w:b/>
                <w:bCs/>
                <w:color w:val="FFFFFF"/>
              </w:rPr>
              <w:t>201</w:t>
            </w:r>
            <w:r>
              <w:rPr>
                <w:rFonts w:ascii="Times New Roman" w:hAnsi="Times New Roman"/>
                <w:b/>
                <w:bCs/>
                <w:color w:val="FFFFFF"/>
              </w:rPr>
              <w:t>3</w:t>
            </w:r>
          </w:p>
        </w:tc>
        <w:tc>
          <w:tcPr>
            <w:tcW w:w="953" w:type="dxa"/>
            <w:tcBorders>
              <w:top w:val="nil"/>
              <w:left w:val="nil"/>
              <w:bottom w:val="nil"/>
              <w:right w:val="nil"/>
            </w:tcBorders>
            <w:shd w:val="clear" w:color="000000" w:fill="000000"/>
            <w:noWrap/>
            <w:textDirection w:val="lrTb"/>
            <w:vAlign w:val="bottom"/>
            <w:hideMark/>
          </w:tcPr>
          <w:p w:rsidR="00ED7170" w:rsidRPr="00A85981" w:rsidP="00ED7170">
            <w:pPr>
              <w:bidi w:val="0"/>
              <w:jc w:val="center"/>
              <w:rPr>
                <w:rFonts w:ascii="Times New Roman" w:hAnsi="Times New Roman"/>
                <w:b/>
                <w:bCs/>
                <w:color w:val="FFFFFF"/>
              </w:rPr>
            </w:pPr>
            <w:r w:rsidRPr="00A85981">
              <w:rPr>
                <w:rFonts w:ascii="Times New Roman" w:hAnsi="Times New Roman"/>
                <w:b/>
                <w:bCs/>
                <w:color w:val="FFFFFF"/>
              </w:rPr>
              <w:t>201</w:t>
            </w:r>
            <w:r>
              <w:rPr>
                <w:rFonts w:ascii="Times New Roman" w:hAnsi="Times New Roman"/>
                <w:b/>
                <w:bCs/>
                <w:color w:val="FFFFFF"/>
              </w:rPr>
              <w:t>4</w:t>
            </w:r>
          </w:p>
        </w:tc>
      </w:tr>
      <w:tr>
        <w:tblPrEx>
          <w:tblW w:w="9212" w:type="dxa"/>
          <w:jc w:val="center"/>
          <w:tblLayout w:type="fixed"/>
          <w:tblCellMar>
            <w:left w:w="70" w:type="dxa"/>
            <w:right w:w="70" w:type="dxa"/>
          </w:tblCellMar>
          <w:tblLook w:val="04A0"/>
        </w:tblPrEx>
        <w:trPr>
          <w:trHeight w:val="315"/>
          <w:jc w:val="center"/>
        </w:trPr>
        <w:tc>
          <w:tcPr>
            <w:tcW w:w="753" w:type="dxa"/>
            <w:tcBorders>
              <w:top w:val="single" w:sz="4" w:space="0" w:color="auto"/>
              <w:left w:val="single" w:sz="4" w:space="0" w:color="auto"/>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b/>
                <w:bCs/>
                <w:color w:val="000000"/>
              </w:rPr>
            </w:pPr>
            <w:r w:rsidRPr="00A85981">
              <w:rPr>
                <w:rFonts w:ascii="Times New Roman" w:hAnsi="Times New Roman"/>
                <w:b/>
                <w:bCs/>
                <w:color w:val="000000"/>
              </w:rPr>
              <w:t>600</w:t>
            </w:r>
          </w:p>
        </w:tc>
        <w:tc>
          <w:tcPr>
            <w:tcW w:w="4650" w:type="dxa"/>
            <w:tcBorders>
              <w:top w:val="single" w:sz="4" w:space="0" w:color="auto"/>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b/>
                <w:bCs/>
                <w:color w:val="000000"/>
              </w:rPr>
            </w:pPr>
            <w:r w:rsidRPr="00A85981">
              <w:rPr>
                <w:rFonts w:ascii="Times New Roman" w:hAnsi="Times New Roman"/>
                <w:b/>
                <w:bCs/>
                <w:color w:val="000000"/>
              </w:rPr>
              <w:t>Bežné výdavky</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b/>
                <w:bCs/>
                <w:color w:val="000000"/>
              </w:rPr>
            </w:pPr>
            <w:r w:rsidRPr="00A85981">
              <w:rPr>
                <w:rFonts w:ascii="Times New Roman" w:hAnsi="Times New Roman"/>
                <w:b/>
                <w:bCs/>
                <w:color w:val="000000"/>
              </w:rPr>
              <w:t>0</w:t>
            </w:r>
          </w:p>
        </w:tc>
        <w:tc>
          <w:tcPr>
            <w:tcW w:w="952" w:type="dxa"/>
            <w:tcBorders>
              <w:top w:val="single" w:sz="4" w:space="0" w:color="auto"/>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b/>
                <w:bCs/>
                <w:color w:val="000000"/>
              </w:rPr>
            </w:pPr>
            <w:r w:rsidRPr="00A85981">
              <w:rPr>
                <w:rFonts w:ascii="Times New Roman" w:hAnsi="Times New Roman"/>
                <w:b/>
                <w:bCs/>
                <w:color w:val="000000"/>
              </w:rPr>
              <w:t>0</w:t>
            </w:r>
          </w:p>
        </w:tc>
        <w:tc>
          <w:tcPr>
            <w:tcW w:w="953" w:type="dxa"/>
            <w:tcBorders>
              <w:top w:val="single" w:sz="4" w:space="0" w:color="auto"/>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b/>
                <w:bCs/>
                <w:color w:val="000000"/>
              </w:rPr>
            </w:pPr>
            <w:r w:rsidRPr="00A85981">
              <w:rPr>
                <w:rFonts w:ascii="Times New Roman" w:hAnsi="Times New Roman"/>
                <w:b/>
                <w:b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i/>
                <w:iCs/>
                <w:color w:val="000000"/>
              </w:rPr>
            </w:pPr>
            <w:r w:rsidRPr="00A85981">
              <w:rPr>
                <w:rFonts w:ascii="Times New Roman" w:hAnsi="Times New Roman"/>
                <w:i/>
                <w:iCs/>
                <w:color w:val="000000"/>
              </w:rPr>
              <w:t>640</w:t>
            </w:r>
          </w:p>
        </w:tc>
        <w:tc>
          <w:tcPr>
            <w:tcW w:w="4650"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i/>
                <w:iCs/>
                <w:color w:val="000000"/>
              </w:rPr>
            </w:pPr>
            <w:r w:rsidRPr="00A85981">
              <w:rPr>
                <w:rFonts w:ascii="Times New Roman" w:hAnsi="Times New Roman"/>
                <w:i/>
                <w:iCs/>
                <w:color w:val="000000"/>
              </w:rPr>
              <w:t>Bežné transfery</w:t>
            </w:r>
          </w:p>
        </w:tc>
        <w:tc>
          <w:tcPr>
            <w:tcW w:w="952" w:type="dxa"/>
            <w:tcBorders>
              <w:top w:val="nil"/>
              <w:left w:val="nil"/>
              <w:bottom w:val="single" w:sz="4" w:space="0" w:color="auto"/>
              <w:right w:val="single" w:sz="4" w:space="0" w:color="auto"/>
            </w:tcBorders>
            <w:noWrap/>
            <w:textDirection w:val="lrTb"/>
            <w:vAlign w:val="bottom"/>
            <w:hideMark/>
          </w:tcPr>
          <w:p w:rsidR="00ED7170" w:rsidRPr="00515A87" w:rsidP="00ED7170">
            <w:pPr>
              <w:bidi w:val="0"/>
              <w:jc w:val="right"/>
              <w:rPr>
                <w:rFonts w:ascii="Times New Roman" w:hAnsi="Times New Roman"/>
                <w:iCs/>
                <w:color w:val="000000"/>
              </w:rPr>
            </w:pPr>
            <w:r w:rsidRPr="00515A87">
              <w:rPr>
                <w:rFonts w:ascii="Times New Roman" w:hAnsi="Times New Roman"/>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ED7170" w:rsidRPr="00515A87" w:rsidP="00ED7170">
            <w:pPr>
              <w:bidi w:val="0"/>
              <w:jc w:val="right"/>
              <w:rPr>
                <w:rFonts w:ascii="Times New Roman" w:hAnsi="Times New Roman"/>
                <w:iCs/>
                <w:color w:val="000000"/>
              </w:rPr>
            </w:pPr>
            <w:r w:rsidRPr="00515A87">
              <w:rPr>
                <w:rFonts w:ascii="Times New Roman" w:hAnsi="Times New Roman"/>
                <w:iCs/>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ED7170" w:rsidRPr="00515A87" w:rsidP="00ED7170">
            <w:pPr>
              <w:bidi w:val="0"/>
              <w:jc w:val="right"/>
              <w:rPr>
                <w:rFonts w:ascii="Times New Roman" w:hAnsi="Times New Roman"/>
                <w:iCs/>
                <w:color w:val="000000"/>
              </w:rPr>
            </w:pPr>
            <w:r w:rsidRPr="00515A87">
              <w:rPr>
                <w:rFonts w:ascii="Times New Roman" w:hAnsi="Times New Roman"/>
                <w:iCs/>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ED7170" w:rsidRPr="00515A87" w:rsidP="00ED7170">
            <w:pPr>
              <w:bidi w:val="0"/>
              <w:jc w:val="right"/>
              <w:rPr>
                <w:rFonts w:ascii="Times New Roman" w:hAnsi="Times New Roman"/>
                <w:iCs/>
                <w:color w:val="000000"/>
              </w:rPr>
            </w:pPr>
            <w:r w:rsidRPr="00515A87">
              <w:rPr>
                <w:rFonts w:ascii="Times New Roman" w:hAnsi="Times New Roman"/>
                <w:iCs/>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641</w:t>
            </w:r>
          </w:p>
        </w:tc>
        <w:tc>
          <w:tcPr>
            <w:tcW w:w="4650"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Transfery v rámci verejnej správy</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 </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 </w:t>
            </w:r>
          </w:p>
        </w:tc>
        <w:tc>
          <w:tcPr>
            <w:tcW w:w="953"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 </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single" w:sz="4" w:space="0" w:color="auto"/>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642</w:t>
            </w:r>
          </w:p>
        </w:tc>
        <w:tc>
          <w:tcPr>
            <w:tcW w:w="4650" w:type="dxa"/>
            <w:tcBorders>
              <w:top w:val="nil"/>
              <w:left w:val="nil"/>
              <w:bottom w:val="single" w:sz="4" w:space="0" w:color="auto"/>
              <w:right w:val="single" w:sz="4" w:space="0" w:color="auto"/>
            </w:tcBorders>
            <w:noWrap/>
            <w:textDirection w:val="lrTb"/>
            <w:vAlign w:val="bottom"/>
            <w:hideMark/>
          </w:tcPr>
          <w:p w:rsidR="00ED7170" w:rsidRPr="00A85981" w:rsidP="00ED7170">
            <w:pPr>
              <w:bidi w:val="0"/>
              <w:rPr>
                <w:rFonts w:ascii="Times New Roman" w:hAnsi="Times New Roman"/>
                <w:color w:val="000000"/>
              </w:rPr>
            </w:pPr>
            <w:r w:rsidRPr="00A85981">
              <w:rPr>
                <w:rFonts w:ascii="Times New Roman" w:hAnsi="Times New Roman"/>
                <w:color w:val="000000"/>
              </w:rPr>
              <w:t>Transfery jednotlivcom a neziskovým právnickým osobám</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0</w:t>
            </w:r>
          </w:p>
        </w:tc>
        <w:tc>
          <w:tcPr>
            <w:tcW w:w="952" w:type="dxa"/>
            <w:tcBorders>
              <w:top w:val="nil"/>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0</w:t>
            </w:r>
          </w:p>
        </w:tc>
        <w:tc>
          <w:tcPr>
            <w:tcW w:w="953" w:type="dxa"/>
            <w:tcBorders>
              <w:top w:val="nil"/>
              <w:left w:val="nil"/>
              <w:bottom w:val="single" w:sz="4" w:space="0" w:color="auto"/>
              <w:right w:val="single" w:sz="4" w:space="0" w:color="auto"/>
            </w:tcBorders>
            <w:noWrap/>
            <w:textDirection w:val="lrTb"/>
            <w:vAlign w:val="bottom"/>
            <w:hideMark/>
          </w:tcPr>
          <w:p w:rsidR="00ED7170" w:rsidRPr="00A85981" w:rsidP="00ED7170">
            <w:pPr>
              <w:bidi w:val="0"/>
              <w:jc w:val="right"/>
              <w:rPr>
                <w:rFonts w:ascii="Times New Roman" w:hAnsi="Times New Roman"/>
                <w:color w:val="000000"/>
              </w:rPr>
            </w:pPr>
            <w:r w:rsidRPr="00A85981">
              <w:rPr>
                <w:rFonts w:ascii="Times New Roman" w:hAnsi="Times New Roman"/>
                <w:color w:val="000000"/>
              </w:rPr>
              <w:t>0</w:t>
            </w:r>
          </w:p>
        </w:tc>
      </w:tr>
      <w:tr>
        <w:tblPrEx>
          <w:tblW w:w="9212" w:type="dxa"/>
          <w:jc w:val="center"/>
          <w:tblLayout w:type="fixed"/>
          <w:tblCellMar>
            <w:left w:w="70" w:type="dxa"/>
            <w:right w:w="70" w:type="dxa"/>
          </w:tblCellMar>
          <w:tblLook w:val="04A0"/>
        </w:tblPrEx>
        <w:trPr>
          <w:trHeight w:val="315"/>
          <w:jc w:val="center"/>
        </w:trPr>
        <w:tc>
          <w:tcPr>
            <w:tcW w:w="753"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c>
          <w:tcPr>
            <w:tcW w:w="4650"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c>
          <w:tcPr>
            <w:tcW w:w="952"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c>
          <w:tcPr>
            <w:tcW w:w="953" w:type="dxa"/>
            <w:tcBorders>
              <w:top w:val="nil"/>
              <w:left w:val="nil"/>
              <w:bottom w:val="nil"/>
              <w:right w:val="nil"/>
            </w:tcBorders>
            <w:noWrap/>
            <w:textDirection w:val="lrTb"/>
            <w:vAlign w:val="bottom"/>
            <w:hideMark/>
          </w:tcPr>
          <w:p w:rsidR="00ED7170" w:rsidRPr="00A85981" w:rsidP="00ED7170">
            <w:pPr>
              <w:bidi w:val="0"/>
              <w:rPr>
                <w:rFonts w:ascii="Times New Roman" w:hAnsi="Times New Roman"/>
                <w:color w:val="000000"/>
              </w:rPr>
            </w:pPr>
          </w:p>
        </w:tc>
      </w:tr>
    </w:tbl>
    <w:p w:rsidR="00ED7170" w:rsidRPr="00323053" w:rsidP="00ED7170">
      <w:pPr>
        <w:autoSpaceDE w:val="0"/>
        <w:autoSpaceDN w:val="0"/>
        <w:bidi w:val="0"/>
        <w:adjustRightInd w:val="0"/>
        <w:jc w:val="both"/>
        <w:rPr>
          <w:rFonts w:ascii="Times New Roman" w:hAnsi="Times New Roman"/>
          <w:bCs/>
        </w:rPr>
      </w:pPr>
    </w:p>
    <w:p w:rsidR="00ED7170" w:rsidRPr="00323053" w:rsidP="00ED7170">
      <w:pPr>
        <w:autoSpaceDE w:val="0"/>
        <w:autoSpaceDN w:val="0"/>
        <w:bidi w:val="0"/>
        <w:adjustRightInd w:val="0"/>
        <w:jc w:val="both"/>
        <w:rPr>
          <w:rFonts w:ascii="Times New Roman" w:hAnsi="Times New Roman"/>
          <w:b/>
        </w:rPr>
      </w:pPr>
    </w:p>
    <w:p w:rsidR="00ED7170" w:rsidRPr="00323053" w:rsidP="00ED7170">
      <w:pPr>
        <w:autoSpaceDE w:val="0"/>
        <w:autoSpaceDN w:val="0"/>
        <w:bidi w:val="0"/>
        <w:adjustRightInd w:val="0"/>
        <w:jc w:val="both"/>
        <w:rPr>
          <w:rFonts w:ascii="Times New Roman" w:hAnsi="Times New Roman"/>
          <w:b/>
        </w:rPr>
      </w:pPr>
      <w:r w:rsidRPr="00323053">
        <w:rPr>
          <w:rFonts w:ascii="Times New Roman" w:hAnsi="Times New Roman"/>
          <w:b/>
        </w:rPr>
        <w:t>Vplyv na zamestnanosť</w:t>
      </w:r>
    </w:p>
    <w:p w:rsidR="00ED7170" w:rsidRPr="00323053" w:rsidP="00ED7170">
      <w:pPr>
        <w:autoSpaceDE w:val="0"/>
        <w:autoSpaceDN w:val="0"/>
        <w:bidi w:val="0"/>
        <w:adjustRightInd w:val="0"/>
        <w:jc w:val="both"/>
        <w:rPr>
          <w:rFonts w:ascii="Times New Roman" w:hAnsi="Times New Roman"/>
        </w:rPr>
      </w:pPr>
    </w:p>
    <w:p w:rsidR="00ED7170" w:rsidRPr="00323053" w:rsidP="00ED7170">
      <w:pPr>
        <w:bidi w:val="0"/>
        <w:jc w:val="both"/>
        <w:rPr>
          <w:rFonts w:ascii="Times New Roman" w:hAnsi="Times New Roman"/>
        </w:rPr>
      </w:pPr>
      <w:r w:rsidRPr="00323053">
        <w:rPr>
          <w:rFonts w:ascii="Times New Roman" w:hAnsi="Times New Roman"/>
        </w:rPr>
        <w:t xml:space="preserve">Navrhované opatrenia nemajú vplyv na zamestnanosť vo verejnej správe. </w:t>
      </w:r>
    </w:p>
    <w:p w:rsidR="00ED7170" w:rsidRPr="00323053" w:rsidP="00ED7170">
      <w:pPr>
        <w:autoSpaceDE w:val="0"/>
        <w:autoSpaceDN w:val="0"/>
        <w:bidi w:val="0"/>
        <w:adjustRightInd w:val="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rPr>
      </w:pPr>
    </w:p>
    <w:p w:rsidR="00ED7170" w:rsidRPr="00323053" w:rsidP="00ED7170">
      <w:pPr>
        <w:autoSpaceDE w:val="0"/>
        <w:autoSpaceDN w:val="0"/>
        <w:bidi w:val="0"/>
        <w:adjustRightInd w:val="0"/>
        <w:jc w:val="both"/>
        <w:rPr>
          <w:rFonts w:ascii="Times New Roman" w:hAnsi="Times New Roman"/>
        </w:rPr>
      </w:pPr>
    </w:p>
    <w:p w:rsidR="00ED7170" w:rsidRPr="00323053" w:rsidP="00ED7170">
      <w:pPr>
        <w:bidi w:val="0"/>
        <w:rPr>
          <w:rFonts w:ascii="Times New Roman" w:hAnsi="Times New Roman"/>
        </w:rPr>
      </w:pPr>
    </w:p>
    <w:p w:rsidR="00ED7170" w:rsidRPr="00323053" w:rsidP="00ED7170">
      <w:pPr>
        <w:bidi w:val="0"/>
        <w:jc w:val="both"/>
        <w:rPr>
          <w:rFonts w:ascii="Times New Roman" w:hAnsi="Times New Roman"/>
        </w:rPr>
      </w:pPr>
    </w:p>
    <w:p w:rsidR="009C0126" w:rsidP="00ED7170">
      <w:pPr>
        <w:bidi w:val="0"/>
        <w:ind w:left="7080" w:firstLine="708"/>
        <w:jc w:val="center"/>
        <w:rPr>
          <w:rFonts w:ascii="Times New Roman" w:hAnsi="Times New Roman"/>
          <w:b/>
          <w:bCs/>
          <w:color w:val="000000"/>
        </w:rPr>
      </w:pPr>
    </w:p>
    <w:p w:rsidR="009C0126" w:rsidP="00ED7170">
      <w:pPr>
        <w:bidi w:val="0"/>
        <w:ind w:left="7080" w:firstLine="708"/>
        <w:jc w:val="center"/>
        <w:rPr>
          <w:rFonts w:ascii="Times New Roman" w:hAnsi="Times New Roman"/>
          <w:b/>
          <w:bCs/>
          <w:color w:val="000000"/>
        </w:rPr>
      </w:pPr>
    </w:p>
    <w:p w:rsidR="009C0126" w:rsidP="00ED7170">
      <w:pPr>
        <w:bidi w:val="0"/>
        <w:ind w:left="7080" w:firstLine="708"/>
        <w:jc w:val="center"/>
        <w:rPr>
          <w:rFonts w:ascii="Times New Roman" w:hAnsi="Times New Roman"/>
          <w:b/>
          <w:bCs/>
          <w:color w:val="000000"/>
        </w:rPr>
      </w:pPr>
    </w:p>
    <w:p w:rsidR="009C0126" w:rsidP="00ED7170">
      <w:pPr>
        <w:bidi w:val="0"/>
        <w:ind w:left="7080" w:firstLine="708"/>
        <w:jc w:val="center"/>
        <w:rPr>
          <w:rFonts w:ascii="Times New Roman" w:hAnsi="Times New Roman"/>
          <w:b/>
          <w:bCs/>
          <w:color w:val="000000"/>
        </w:rPr>
      </w:pPr>
    </w:p>
    <w:p w:rsidR="009C0126" w:rsidP="00ED7170">
      <w:pPr>
        <w:bidi w:val="0"/>
        <w:ind w:left="7080" w:firstLine="708"/>
        <w:jc w:val="center"/>
        <w:rPr>
          <w:rFonts w:ascii="Times New Roman" w:hAnsi="Times New Roman"/>
          <w:b/>
          <w:bCs/>
          <w:color w:val="000000"/>
        </w:rPr>
      </w:pPr>
    </w:p>
    <w:p w:rsidR="009C0126" w:rsidP="00ED7170">
      <w:pPr>
        <w:bidi w:val="0"/>
        <w:ind w:left="7080" w:firstLine="708"/>
        <w:jc w:val="center"/>
        <w:rPr>
          <w:rFonts w:ascii="Times New Roman" w:hAnsi="Times New Roman"/>
          <w:b/>
          <w:bCs/>
          <w:color w:val="000000"/>
        </w:rPr>
      </w:pPr>
    </w:p>
    <w:p w:rsidR="00ED7170" w:rsidRPr="00ED7170" w:rsidP="00ED7170">
      <w:pPr>
        <w:bidi w:val="0"/>
        <w:ind w:left="7080" w:firstLine="708"/>
        <w:jc w:val="center"/>
        <w:rPr>
          <w:rFonts w:ascii="Times New Roman" w:hAnsi="Times New Roman"/>
          <w:bCs/>
          <w:color w:val="000000"/>
        </w:rPr>
      </w:pPr>
      <w:r>
        <w:rPr>
          <w:rFonts w:ascii="Times New Roman" w:hAnsi="Times New Roman"/>
          <w:b/>
          <w:bCs/>
          <w:color w:val="000000"/>
        </w:rPr>
        <w:t xml:space="preserve"> </w:t>
      </w:r>
      <w:r w:rsidRPr="00ED7170">
        <w:rPr>
          <w:rFonts w:ascii="Times New Roman" w:hAnsi="Times New Roman"/>
          <w:bCs/>
          <w:color w:val="000000"/>
        </w:rPr>
        <w:t>Príloha č. 2</w:t>
      </w:r>
    </w:p>
    <w:p w:rsidR="00ED7170" w:rsidRPr="00821B72" w:rsidP="00ED7170">
      <w:pPr>
        <w:bidi w:val="0"/>
        <w:jc w:val="center"/>
        <w:rPr>
          <w:rFonts w:ascii="Times New Roman" w:hAnsi="Times New Roman"/>
          <w:b/>
          <w:bCs/>
          <w:color w:val="000000"/>
        </w:rPr>
      </w:pPr>
      <w:r w:rsidRPr="00821B72">
        <w:rPr>
          <w:rFonts w:ascii="Times New Roman" w:hAnsi="Times New Roman"/>
          <w:b/>
          <w:bCs/>
          <w:color w:val="000000"/>
        </w:rPr>
        <w:t>Vplyvy na rozpočet verejnej správy,</w:t>
      </w:r>
    </w:p>
    <w:p w:rsidR="00ED7170" w:rsidRPr="00821B72" w:rsidP="00ED7170">
      <w:pPr>
        <w:bidi w:val="0"/>
        <w:jc w:val="center"/>
        <w:rPr>
          <w:rFonts w:ascii="Times New Roman" w:hAnsi="Times New Roman"/>
          <w:b/>
          <w:bCs/>
          <w:color w:val="000000"/>
        </w:rPr>
      </w:pPr>
      <w:r w:rsidRPr="00821B72">
        <w:rPr>
          <w:rFonts w:ascii="Times New Roman" w:hAnsi="Times New Roman"/>
          <w:b/>
          <w:bCs/>
          <w:color w:val="000000"/>
        </w:rPr>
        <w:t>na zamestnanosť vo verejnej správe a financovanie návrhu</w:t>
      </w:r>
      <w:r>
        <w:rPr>
          <w:rFonts w:ascii="Times New Roman" w:hAnsi="Times New Roman"/>
          <w:b/>
          <w:bCs/>
          <w:color w:val="000000"/>
        </w:rPr>
        <w:t xml:space="preserve"> zákona, ktorým sa mení a dopĺňa zákon č. 564/2004 Z. z. o rozpočtovom určení výnosu dane z príjmov územnej samosprávy a o zmene a doplnení niektorých zákonov v znení neskorších predpisov</w:t>
      </w:r>
    </w:p>
    <w:p w:rsidR="00ED7170" w:rsidRPr="00821B72" w:rsidP="00ED7170">
      <w:pPr>
        <w:bidi w:val="0"/>
        <w:rPr>
          <w:rFonts w:ascii="Times New Roman" w:hAnsi="Times New Roman"/>
          <w:b/>
        </w:rPr>
      </w:pPr>
    </w:p>
    <w:p w:rsidR="00ED7170" w:rsidRPr="00821B72" w:rsidP="00ED7170">
      <w:pPr>
        <w:bidi w:val="0"/>
        <w:rPr>
          <w:rFonts w:ascii="Times New Roman" w:hAnsi="Times New Roman"/>
          <w:b/>
        </w:rPr>
      </w:pPr>
      <w:r w:rsidRPr="00821B72">
        <w:rPr>
          <w:rFonts w:ascii="Times New Roman" w:hAnsi="Times New Roman"/>
          <w:b/>
        </w:rPr>
        <w:t>2.1. Zhrnutie vplyvov na rozpočet verejnej správy v návrhu</w:t>
      </w:r>
    </w:p>
    <w:p w:rsidR="00ED7170" w:rsidRPr="00821B72" w:rsidP="00ED7170">
      <w:pPr>
        <w:bidi w:val="0"/>
        <w:jc w:val="right"/>
        <w:rPr>
          <w:rFonts w:ascii="Times New Roman" w:hAnsi="Times New Roman"/>
        </w:rPr>
      </w:pPr>
      <w:r w:rsidRPr="00821B72">
        <w:rPr>
          <w:rFonts w:ascii="Times New Roman" w:hAnsi="Times New Roman"/>
        </w:rPr>
        <w:t xml:space="preserve">Tabuľka č. 1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775"/>
        <w:gridCol w:w="657"/>
        <w:gridCol w:w="1540"/>
        <w:gridCol w:w="1120"/>
        <w:gridCol w:w="112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27"/>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rPr>
                <w:rFonts w:ascii="Times New Roman" w:hAnsi="Times New Roman"/>
                <w:b/>
                <w:bCs/>
                <w:color w:val="FFFFFF"/>
              </w:rPr>
            </w:pPr>
            <w:r w:rsidRPr="00821B72">
              <w:rPr>
                <w:rFonts w:ascii="Times New Roman" w:hAnsi="Times New Roman"/>
                <w:b/>
                <w:bCs/>
                <w:color w:val="FFFFFF"/>
              </w:rPr>
              <w:t xml:space="preserve">Vplyvy na </w:t>
            </w:r>
            <w:r w:rsidRPr="00821B72">
              <w:rPr>
                <w:rFonts w:ascii="Times New Roman" w:hAnsi="Times New Roman"/>
                <w:b/>
                <w:bCs/>
              </w:rPr>
              <w:t>rozpočet verejnej správy</w:t>
            </w:r>
            <w:r>
              <w:rPr>
                <w:rFonts w:ascii="Times New Roman" w:hAnsi="Times New Roman"/>
                <w:b/>
                <w:bCs/>
              </w:rPr>
              <w:t xml:space="preserve"> (</w:t>
            </w:r>
            <w:r w:rsidRPr="00821B72">
              <w:rPr>
                <w:rFonts w:ascii="Times New Roman" w:hAnsi="Times New Roman"/>
                <w:b/>
                <w:bCs/>
              </w:rPr>
              <w:t>v tis. eur)</w:t>
            </w:r>
          </w:p>
        </w:tc>
        <w:tc>
          <w:tcPr>
            <w:tcW w:w="4544" w:type="dxa"/>
            <w:gridSpan w:val="4"/>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rPr>
                <w:rFonts w:ascii="Times New Roman" w:hAnsi="Times New Roman"/>
                <w:b/>
                <w:bCs/>
                <w:color w:val="FFFFFF"/>
              </w:rPr>
            </w:pPr>
            <w:r w:rsidRPr="00821B72">
              <w:rPr>
                <w:rFonts w:ascii="Times New Roman" w:hAnsi="Times New Roman"/>
                <w:b/>
                <w:bCs/>
                <w:color w:val="FFFFFF"/>
              </w:rPr>
              <w:t xml:space="preserve">Vplyv na rozpočet verejnej správy </w:t>
            </w:r>
            <w:r w:rsidRPr="00821B72">
              <w:rPr>
                <w:rFonts w:ascii="Times New Roman" w:hAnsi="Times New Roman"/>
                <w:b/>
                <w:bCs/>
              </w:rPr>
              <w:t>(</w:t>
            </w:r>
            <w:r>
              <w:rPr>
                <w:rFonts w:ascii="Times New Roman" w:hAnsi="Times New Roman"/>
                <w:b/>
                <w:bCs/>
              </w:rPr>
              <w:t xml:space="preserve">cash) </w:t>
            </w:r>
          </w:p>
        </w:tc>
      </w:tr>
      <w:tr>
        <w:tblPrEx>
          <w:tblW w:w="0" w:type="auto"/>
          <w:jc w:val="center"/>
          <w:tblCellMar>
            <w:left w:w="70" w:type="dxa"/>
            <w:right w:w="70" w:type="dxa"/>
          </w:tblCellMar>
        </w:tblPrEx>
        <w:trPr>
          <w:trHeight w:val="227"/>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tcPr>
          <w:p w:rsidR="00ED7170" w:rsidRPr="00821B72" w:rsidP="00ED7170">
            <w:pPr>
              <w:bidi w:val="0"/>
              <w:jc w:val="center"/>
              <w:rPr>
                <w:rFonts w:ascii="Times New Roman" w:hAnsi="Times New Roman"/>
                <w:b/>
                <w:bCs/>
                <w:color w:val="FFFFFF"/>
              </w:rPr>
            </w:pPr>
          </w:p>
        </w:tc>
        <w:tc>
          <w:tcPr>
            <w:tcW w:w="0" w:type="auto"/>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jc w:val="center"/>
              <w:rPr>
                <w:rFonts w:ascii="Times New Roman" w:hAnsi="Times New Roman"/>
                <w:b/>
                <w:bCs/>
                <w:color w:val="FFFFFF"/>
              </w:rPr>
            </w:pPr>
            <w:r w:rsidRPr="00821B72">
              <w:rPr>
                <w:rFonts w:ascii="Times New Roman" w:hAnsi="Times New Roman"/>
                <w:b/>
                <w:bCs/>
                <w:color w:val="FFFFFF"/>
              </w:rPr>
              <w:t>2011</w:t>
            </w:r>
          </w:p>
        </w:tc>
        <w:tc>
          <w:tcPr>
            <w:tcW w:w="1401" w:type="dxa"/>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jc w:val="center"/>
              <w:rPr>
                <w:rFonts w:ascii="Times New Roman" w:hAnsi="Times New Roman"/>
                <w:b/>
                <w:bCs/>
                <w:color w:val="FFFFFF"/>
              </w:rPr>
            </w:pPr>
            <w:r w:rsidRPr="00821B72">
              <w:rPr>
                <w:rFonts w:ascii="Times New Roman" w:hAnsi="Times New Roman"/>
                <w:b/>
                <w:bCs/>
                <w:color w:val="FFFFFF"/>
              </w:rPr>
              <w:t>2012</w:t>
            </w:r>
          </w:p>
        </w:tc>
        <w:tc>
          <w:tcPr>
            <w:tcW w:w="0" w:type="auto"/>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jc w:val="center"/>
              <w:rPr>
                <w:rFonts w:ascii="Times New Roman" w:hAnsi="Times New Roman"/>
                <w:b/>
                <w:bCs/>
                <w:color w:val="FFFFFF"/>
              </w:rPr>
            </w:pPr>
            <w:r w:rsidRPr="00821B72">
              <w:rPr>
                <w:rFonts w:ascii="Times New Roman" w:hAnsi="Times New Roman"/>
                <w:b/>
                <w:bCs/>
                <w:color w:val="FFFFFF"/>
              </w:rPr>
              <w:t>2013</w:t>
            </w:r>
          </w:p>
        </w:tc>
        <w:tc>
          <w:tcPr>
            <w:tcW w:w="0" w:type="auto"/>
            <w:tcBorders>
              <w:top w:val="single" w:sz="4" w:space="0" w:color="auto"/>
              <w:left w:val="single" w:sz="4" w:space="0" w:color="auto"/>
              <w:bottom w:val="single" w:sz="4" w:space="0" w:color="auto"/>
              <w:right w:val="single" w:sz="4" w:space="0" w:color="auto"/>
            </w:tcBorders>
            <w:shd w:val="clear" w:color="auto" w:fill="000000"/>
            <w:textDirection w:val="lrTb"/>
            <w:vAlign w:val="center"/>
          </w:tcPr>
          <w:p w:rsidR="00ED7170" w:rsidRPr="00821B72" w:rsidP="00ED7170">
            <w:pPr>
              <w:bidi w:val="0"/>
              <w:jc w:val="center"/>
              <w:rPr>
                <w:rFonts w:ascii="Times New Roman" w:hAnsi="Times New Roman"/>
                <w:b/>
                <w:bCs/>
                <w:color w:val="FFFFFF"/>
              </w:rPr>
            </w:pPr>
            <w:r w:rsidRPr="00821B72">
              <w:rPr>
                <w:rFonts w:ascii="Times New Roman" w:hAnsi="Times New Roman"/>
                <w:b/>
                <w:bCs/>
                <w:color w:val="FFFFFF"/>
              </w:rPr>
              <w:t>2014</w:t>
            </w:r>
          </w:p>
        </w:tc>
      </w:tr>
      <w:tr>
        <w:tblPrEx>
          <w:tblW w:w="0" w:type="auto"/>
          <w:jc w:val="center"/>
          <w:tblCellMar>
            <w:left w:w="70" w:type="dxa"/>
            <w:right w:w="70" w:type="dxa"/>
          </w:tblCellMar>
        </w:tblPrEx>
        <w:trPr>
          <w:trHeight w:val="227"/>
          <w:jc w:val="center"/>
        </w:trPr>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rPr>
                <w:rFonts w:ascii="Times New Roman" w:hAnsi="Times New Roman"/>
              </w:rPr>
            </w:pPr>
            <w:r w:rsidRPr="00821B72">
              <w:rPr>
                <w:rFonts w:ascii="Times New Roman" w:hAnsi="Times New Roman"/>
                <w:b/>
                <w:bCs/>
              </w:rPr>
              <w:t>Príjmy verejnej správy celkom</w:t>
            </w:r>
          </w:p>
        </w:tc>
        <w:tc>
          <w:tcPr>
            <w:tcW w:w="0" w:type="auto"/>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140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rPr>
              <w:t>0</w:t>
            </w:r>
          </w:p>
        </w:tc>
        <w:tc>
          <w:tcPr>
            <w:tcW w:w="0" w:type="auto"/>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rPr>
              <w:t>0</w:t>
            </w:r>
          </w:p>
        </w:tc>
        <w:tc>
          <w:tcPr>
            <w:tcW w:w="0" w:type="auto"/>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rPr>
            </w:pPr>
            <w:r w:rsidRPr="00821B72">
              <w:rPr>
                <w:rFonts w:ascii="Times New Roman" w:hAnsi="Times New Roman"/>
              </w:rPr>
              <w:t>v tom: za každý subjekt verejnej správy zvlášť</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xml:space="preserve">z toho:  </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vplyv na ŠR</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+123 371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+131 548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+138 499</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vplyv na územnú samosprávu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-123 371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-131 548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-138 499</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xml:space="preserve">z toho:  </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widowControl w:val="0"/>
              <w:numPr>
                <w:numId w:val="7"/>
              </w:numPr>
              <w:bidi w:val="0"/>
              <w:adjustRightInd w:val="0"/>
              <w:spacing w:after="200" w:line="276" w:lineRule="auto"/>
              <w:ind w:left="163"/>
              <w:rPr>
                <w:rFonts w:ascii="Times New Roman" w:hAnsi="Times New Roman"/>
                <w:b/>
                <w:bCs/>
                <w:i/>
                <w:iCs/>
              </w:rPr>
            </w:pPr>
            <w:r w:rsidRPr="00821B72">
              <w:rPr>
                <w:rFonts w:ascii="Times New Roman" w:hAnsi="Times New Roman"/>
                <w:b/>
                <w:bCs/>
                <w:i/>
                <w:iCs/>
              </w:rPr>
              <w:t>- obce</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-93 003</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-99 167</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-104 407</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VÚC</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-30 368</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-32 381</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-34 092</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rPr>
                <w:rFonts w:ascii="Times New Roman" w:hAnsi="Times New Roman"/>
                <w:b/>
                <w:bCs/>
              </w:rPr>
            </w:pPr>
            <w:r w:rsidRPr="00821B72">
              <w:rPr>
                <w:rFonts w:ascii="Times New Roman" w:hAnsi="Times New Roman"/>
                <w:b/>
                <w:bCs/>
              </w:rPr>
              <w:t>Výdavky verejnej správy celkom</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140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rPr>
            </w:pPr>
            <w:r w:rsidRPr="00821B72">
              <w:rPr>
                <w:rFonts w:ascii="Times New Roman" w:hAnsi="Times New Roman"/>
              </w:rPr>
              <w:t>v tom: ERDF</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r w:rsidRPr="00821B72">
              <w:rPr>
                <w:rFonts w:ascii="Times New Roman" w:hAnsi="Times New Roman"/>
                <w:b/>
                <w:i/>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rPr>
            </w:pPr>
            <w:r w:rsidRPr="00821B72">
              <w:rPr>
                <w:rFonts w:ascii="Times New Roman" w:hAnsi="Times New Roman"/>
              </w:rPr>
              <w:t xml:space="preserve">            ŠR</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i/>
              </w:rPr>
            </w:pP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rPr>
            </w:pPr>
            <w:r w:rsidRPr="00821B72">
              <w:rPr>
                <w:rFonts w:ascii="Times New Roman" w:hAnsi="Times New Roman"/>
                <w:b/>
                <w:bCs/>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rPr>
            </w:pPr>
            <w:r w:rsidRPr="00821B72">
              <w:rPr>
                <w:rFonts w:ascii="Times New Roman" w:hAnsi="Times New Roman"/>
                <w:b/>
                <w:bCs/>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rPr>
            </w:pPr>
            <w:r w:rsidRPr="00821B72">
              <w:rPr>
                <w:rFonts w:ascii="Times New Roman" w:hAnsi="Times New Roman"/>
                <w:b/>
                <w:bCs/>
                <w:i/>
              </w:rPr>
              <w:t xml:space="preserve">0   </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xml:space="preserve">z toho: </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vplyv na ŠR</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b/>
                <w:bCs/>
                <w:i/>
                <w:iCs/>
              </w:rPr>
            </w:pPr>
            <w:r w:rsidRPr="00821B72">
              <w:rPr>
                <w:rFonts w:ascii="Times New Roman" w:hAnsi="Times New Roman"/>
                <w:b/>
                <w:bCs/>
                <w:i/>
                <w:iCs/>
              </w:rPr>
              <w:t>- vplyv na územnú samosprávu</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b/>
                <w:bCs/>
                <w:i/>
                <w:iCs/>
              </w:rPr>
            </w:pPr>
            <w:r w:rsidRPr="00821B72">
              <w:rPr>
                <w:rFonts w:ascii="Times New Roman" w:hAnsi="Times New Roman"/>
                <w:b/>
                <w:bCs/>
                <w:i/>
                <w:iCs/>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rPr>
                <w:rFonts w:ascii="Times New Roman" w:hAnsi="Times New Roman"/>
                <w:b/>
                <w:bCs/>
              </w:rPr>
            </w:pPr>
            <w:r w:rsidRPr="00821B72">
              <w:rPr>
                <w:rFonts w:ascii="Times New Roman" w:hAnsi="Times New Roman"/>
                <w:b/>
                <w:bCs/>
              </w:rPr>
              <w:t xml:space="preserve">Celková zamestnanosť </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140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rPr>
                <w:rFonts w:ascii="Times New Roman" w:hAnsi="Times New Roman"/>
              </w:rPr>
            </w:pPr>
            <w:r w:rsidRPr="00821B72">
              <w:rPr>
                <w:rFonts w:ascii="Times New Roman" w:hAnsi="Times New Roman"/>
                <w:b/>
                <w:i/>
              </w:rPr>
              <w:t>- z toho vplyv na ŠR</w:t>
            </w:r>
            <w:r w:rsidRPr="00821B72">
              <w:rPr>
                <w:rFonts w:ascii="Times New Roman" w:hAnsi="Times New Roman"/>
              </w:rPr>
              <w:t xml:space="preserve"> </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rPr>
            </w:pPr>
            <w:r w:rsidRPr="00821B72">
              <w:rPr>
                <w:rFonts w:ascii="Times New Roman" w:hAnsi="Times New Roman"/>
              </w:rPr>
              <w:t>0</w:t>
            </w:r>
          </w:p>
        </w:tc>
        <w:tc>
          <w:tcPr>
            <w:tcW w:w="1401" w:type="dxa"/>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rPr>
            </w:pPr>
            <w:r w:rsidRPr="00821B7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rPr>
            </w:pPr>
            <w:r w:rsidRPr="00821B72">
              <w:rPr>
                <w:rFonts w:ascii="Times New Roman" w:hAnsi="Times New Roman"/>
              </w:rPr>
              <w:t>0</w:t>
            </w:r>
          </w:p>
        </w:tc>
        <w:tc>
          <w:tcPr>
            <w:tcW w:w="0" w:type="auto"/>
            <w:tcBorders>
              <w:top w:val="single" w:sz="4" w:space="0" w:color="auto"/>
              <w:left w:val="single" w:sz="4" w:space="0" w:color="auto"/>
              <w:bottom w:val="single" w:sz="4" w:space="0" w:color="auto"/>
              <w:right w:val="single" w:sz="4" w:space="0" w:color="auto"/>
            </w:tcBorders>
            <w:noWrap/>
            <w:textDirection w:val="lrTb"/>
            <w:vAlign w:val="center"/>
          </w:tcPr>
          <w:p w:rsidR="00ED7170" w:rsidRPr="00821B72" w:rsidP="00ED7170">
            <w:pPr>
              <w:bidi w:val="0"/>
              <w:jc w:val="right"/>
              <w:rPr>
                <w:rFonts w:ascii="Times New Roman" w:hAnsi="Times New Roman"/>
              </w:rPr>
            </w:pPr>
            <w:r w:rsidRPr="00821B72">
              <w:rPr>
                <w:rFonts w:ascii="Times New Roman" w:hAnsi="Times New Roman"/>
              </w:rPr>
              <w:t>0</w:t>
            </w:r>
          </w:p>
        </w:tc>
      </w:tr>
      <w:tr>
        <w:tblPrEx>
          <w:tblW w:w="0" w:type="auto"/>
          <w:jc w:val="center"/>
          <w:tblCellMar>
            <w:left w:w="70" w:type="dxa"/>
            <w:right w:w="70" w:type="dxa"/>
          </w:tblCellMar>
        </w:tblPrEx>
        <w:trPr>
          <w:cantSplit/>
          <w:trHeight w:hRule="exact" w:val="284"/>
          <w:jc w:val="center"/>
        </w:trPr>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rPr>
                <w:rFonts w:ascii="Times New Roman" w:hAnsi="Times New Roman"/>
                <w:b/>
                <w:bCs/>
              </w:rPr>
            </w:pPr>
            <w:r w:rsidRPr="00821B72">
              <w:rPr>
                <w:rFonts w:ascii="Times New Roman" w:hAnsi="Times New Roman"/>
                <w:b/>
                <w:bCs/>
              </w:rPr>
              <w:t>Financovanie zabezpečené v rozpočte</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140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c>
          <w:tcPr>
            <w:tcW w:w="0" w:type="auto"/>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ED7170" w:rsidRPr="00821B72" w:rsidP="00ED7170">
            <w:pPr>
              <w:bidi w:val="0"/>
              <w:jc w:val="right"/>
              <w:rPr>
                <w:rFonts w:ascii="Times New Roman" w:hAnsi="Times New Roman"/>
                <w:b/>
                <w:bCs/>
              </w:rPr>
            </w:pPr>
            <w:r w:rsidRPr="00821B72">
              <w:rPr>
                <w:rFonts w:ascii="Times New Roman" w:hAnsi="Times New Roman"/>
                <w:b/>
                <w:bCs/>
              </w:rPr>
              <w:t>0</w:t>
            </w:r>
          </w:p>
        </w:tc>
      </w:tr>
    </w:tbl>
    <w:p w:rsidR="00ED7170" w:rsidRPr="00C01012" w:rsidP="00ED7170">
      <w:pPr>
        <w:bidi w:val="0"/>
        <w:jc w:val="both"/>
        <w:rPr>
          <w:rFonts w:ascii="Times New Roman" w:hAnsi="Times New Roman"/>
          <w:b/>
          <w:bCs/>
          <w:color w:val="000000"/>
        </w:rPr>
      </w:pPr>
    </w:p>
    <w:p w:rsidR="00ED7170"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P="00ED7170">
      <w:pPr>
        <w:bidi w:val="0"/>
        <w:jc w:val="both"/>
        <w:rPr>
          <w:rFonts w:ascii="Times New Roman" w:hAnsi="Times New Roman"/>
          <w:b/>
          <w:bCs/>
          <w:color w:val="000000"/>
        </w:rPr>
      </w:pPr>
    </w:p>
    <w:p w:rsidR="007E6E09" w:rsidRPr="00C01012" w:rsidP="00ED7170">
      <w:pPr>
        <w:bidi w:val="0"/>
        <w:jc w:val="both"/>
        <w:rPr>
          <w:rFonts w:ascii="Times New Roman" w:hAnsi="Times New Roman"/>
          <w:b/>
          <w:bCs/>
          <w:color w:val="000000"/>
        </w:rPr>
      </w:pPr>
    </w:p>
    <w:p w:rsidR="00ED7170" w:rsidP="00B962A2">
      <w:pPr>
        <w:bidi w:val="0"/>
        <w:jc w:val="both"/>
        <w:rPr>
          <w:rFonts w:ascii="Times New Roman" w:hAnsi="Times New Roman"/>
        </w:rPr>
      </w:pPr>
    </w:p>
    <w:p w:rsidR="007E6E09" w:rsidRPr="005B416D" w:rsidP="007E6E09">
      <w:pPr>
        <w:bidi w:val="0"/>
        <w:jc w:val="center"/>
        <w:rPr>
          <w:rFonts w:ascii="Arial Narrow" w:hAnsi="Arial Narrow" w:cs="Arial"/>
          <w:b/>
          <w:bCs/>
          <w:sz w:val="22"/>
          <w:szCs w:val="22"/>
        </w:rPr>
      </w:pPr>
      <w:r w:rsidRPr="005B416D">
        <w:rPr>
          <w:rFonts w:ascii="Arial Narrow" w:hAnsi="Arial Narrow" w:cs="Arial"/>
          <w:b/>
          <w:bCs/>
          <w:sz w:val="22"/>
          <w:szCs w:val="22"/>
        </w:rPr>
        <w:t>DOLOŽKA ZLUČITEĽNOSTI</w:t>
      </w:r>
    </w:p>
    <w:p w:rsidR="007E6E09" w:rsidRPr="005B416D" w:rsidP="007E6E09">
      <w:pPr>
        <w:pBdr>
          <w:bottom w:val="single" w:sz="6" w:space="1" w:color="auto"/>
        </w:pBdr>
        <w:bidi w:val="0"/>
        <w:jc w:val="center"/>
        <w:rPr>
          <w:rFonts w:ascii="Arial Narrow" w:hAnsi="Arial Narrow" w:cs="Arial"/>
          <w:b/>
          <w:bCs/>
          <w:sz w:val="22"/>
          <w:szCs w:val="22"/>
        </w:rPr>
      </w:pPr>
      <w:r w:rsidRPr="005B416D">
        <w:rPr>
          <w:rFonts w:ascii="Arial Narrow" w:hAnsi="Arial Narrow" w:cs="Arial"/>
          <w:b/>
          <w:bCs/>
          <w:sz w:val="22"/>
          <w:szCs w:val="22"/>
        </w:rPr>
        <w:t xml:space="preserve">návrhu zákona, </w:t>
      </w:r>
      <w:r w:rsidRPr="005B416D">
        <w:rPr>
          <w:rFonts w:ascii="Arial Narrow" w:hAnsi="Arial Narrow" w:cs="Arial"/>
          <w:b/>
          <w:sz w:val="22"/>
          <w:szCs w:val="22"/>
        </w:rPr>
        <w:t xml:space="preserve">ktorým sa mení a dopĺňa zákon č. 595/2003 Z. z. o dani z príjmov v znení neskorších predpisov </w:t>
      </w:r>
      <w:r w:rsidRPr="005B416D">
        <w:rPr>
          <w:rFonts w:ascii="Arial Narrow" w:hAnsi="Arial Narrow" w:cs="Arial"/>
          <w:b/>
          <w:bCs/>
          <w:sz w:val="22"/>
          <w:szCs w:val="22"/>
        </w:rPr>
        <w:t>s právom Európskej únie</w:t>
      </w:r>
    </w:p>
    <w:p w:rsidR="007E6E09" w:rsidRPr="005B416D" w:rsidP="007E6E09">
      <w:pPr>
        <w:bidi w:val="0"/>
        <w:rPr>
          <w:rFonts w:ascii="Arial Narrow" w:hAnsi="Arial Narrow" w:cs="Arial"/>
          <w:b/>
          <w:bCs/>
          <w:sz w:val="22"/>
          <w:szCs w:val="22"/>
        </w:rPr>
      </w:pPr>
    </w:p>
    <w:p w:rsidR="007E6E09" w:rsidRPr="005B416D" w:rsidP="007E6E09">
      <w:pPr>
        <w:numPr>
          <w:numId w:val="8"/>
        </w:numPr>
        <w:bidi w:val="0"/>
        <w:spacing w:after="120"/>
        <w:jc w:val="both"/>
        <w:rPr>
          <w:rFonts w:ascii="Arial Narrow" w:hAnsi="Arial Narrow" w:cs="Arial"/>
          <w:sz w:val="22"/>
          <w:szCs w:val="22"/>
        </w:rPr>
      </w:pPr>
      <w:r w:rsidRPr="005B416D">
        <w:rPr>
          <w:rFonts w:ascii="Arial Narrow" w:hAnsi="Arial Narrow" w:cs="Arial"/>
          <w:b/>
          <w:bCs/>
          <w:sz w:val="22"/>
          <w:szCs w:val="22"/>
        </w:rPr>
        <w:t>Predkladateľ zákona:</w:t>
      </w:r>
    </w:p>
    <w:p w:rsidR="007E6E09" w:rsidRPr="005B416D" w:rsidP="007E6E09">
      <w:pPr>
        <w:bidi w:val="0"/>
        <w:ind w:firstLine="425"/>
        <w:jc w:val="both"/>
        <w:rPr>
          <w:rFonts w:ascii="Arial Narrow" w:hAnsi="Arial Narrow" w:cs="Arial"/>
          <w:sz w:val="22"/>
          <w:szCs w:val="22"/>
        </w:rPr>
      </w:pPr>
      <w:r w:rsidRPr="005B416D">
        <w:rPr>
          <w:rFonts w:ascii="Arial Narrow" w:hAnsi="Arial Narrow" w:cs="Arial"/>
          <w:sz w:val="22"/>
          <w:szCs w:val="22"/>
        </w:rPr>
        <w:t xml:space="preserve">Vláda Slovenskej republiky. </w:t>
      </w:r>
    </w:p>
    <w:p w:rsidR="007E6E09" w:rsidRPr="005B416D" w:rsidP="007E6E09">
      <w:pPr>
        <w:bidi w:val="0"/>
        <w:jc w:val="both"/>
        <w:rPr>
          <w:rFonts w:ascii="Arial Narrow" w:hAnsi="Arial Narrow" w:cs="Arial"/>
          <w:b/>
          <w:bCs/>
          <w:sz w:val="22"/>
          <w:szCs w:val="22"/>
        </w:rPr>
      </w:pPr>
    </w:p>
    <w:p w:rsidR="007E6E09" w:rsidRPr="005B416D" w:rsidP="007E6E09">
      <w:pPr>
        <w:numPr>
          <w:numId w:val="8"/>
        </w:numPr>
        <w:bidi w:val="0"/>
        <w:spacing w:after="120"/>
        <w:jc w:val="both"/>
        <w:rPr>
          <w:rFonts w:ascii="Arial Narrow" w:hAnsi="Arial Narrow" w:cs="Arial"/>
          <w:b/>
          <w:bCs/>
          <w:sz w:val="22"/>
          <w:szCs w:val="22"/>
        </w:rPr>
      </w:pPr>
      <w:r w:rsidRPr="005B416D">
        <w:rPr>
          <w:rFonts w:ascii="Arial Narrow" w:hAnsi="Arial Narrow" w:cs="Arial"/>
          <w:b/>
          <w:bCs/>
          <w:sz w:val="22"/>
          <w:szCs w:val="22"/>
        </w:rPr>
        <w:t>Názov návrhu zákona:</w:t>
      </w:r>
    </w:p>
    <w:p w:rsidR="007E6E09" w:rsidRPr="005B416D" w:rsidP="007E6E09">
      <w:pPr>
        <w:bidi w:val="0"/>
        <w:ind w:left="425"/>
        <w:jc w:val="both"/>
        <w:rPr>
          <w:rFonts w:ascii="Arial Narrow" w:hAnsi="Arial Narrow" w:cs="Arial"/>
          <w:b/>
          <w:bCs/>
          <w:sz w:val="22"/>
          <w:szCs w:val="22"/>
        </w:rPr>
      </w:pPr>
      <w:r w:rsidRPr="005B416D">
        <w:rPr>
          <w:rFonts w:ascii="Arial Narrow" w:hAnsi="Arial Narrow" w:cs="Arial"/>
          <w:sz w:val="22"/>
          <w:szCs w:val="22"/>
        </w:rPr>
        <w:t>Návrh zákona, ktorým sa mení a dopĺňa zákon č. 595/2003 Z. z. o dani z príjmov v znení neskorších predpisov.</w:t>
      </w:r>
    </w:p>
    <w:p w:rsidR="007E6E09" w:rsidRPr="005B416D" w:rsidP="007E6E09">
      <w:pPr>
        <w:bidi w:val="0"/>
        <w:jc w:val="both"/>
        <w:rPr>
          <w:rFonts w:ascii="Arial Narrow" w:hAnsi="Arial Narrow" w:cs="Arial"/>
          <w:b/>
          <w:bCs/>
          <w:sz w:val="22"/>
          <w:szCs w:val="22"/>
        </w:rPr>
      </w:pPr>
    </w:p>
    <w:p w:rsidR="007E6E09" w:rsidRPr="005B416D" w:rsidP="007E6E09">
      <w:pPr>
        <w:numPr>
          <w:numId w:val="8"/>
        </w:numPr>
        <w:bidi w:val="0"/>
        <w:spacing w:after="120"/>
        <w:jc w:val="both"/>
        <w:rPr>
          <w:rFonts w:ascii="Arial Narrow" w:hAnsi="Arial Narrow" w:cs="Arial"/>
          <w:b/>
          <w:bCs/>
          <w:sz w:val="22"/>
          <w:szCs w:val="22"/>
        </w:rPr>
      </w:pPr>
      <w:r w:rsidRPr="005B416D">
        <w:rPr>
          <w:rFonts w:ascii="Arial Narrow" w:hAnsi="Arial Narrow" w:cs="Arial"/>
          <w:b/>
          <w:bCs/>
          <w:sz w:val="22"/>
          <w:szCs w:val="22"/>
        </w:rPr>
        <w:t xml:space="preserve">Problematika návrhu zákona: </w:t>
      </w:r>
    </w:p>
    <w:p w:rsidR="007E6E09" w:rsidRPr="005B416D" w:rsidP="007E6E09">
      <w:pPr>
        <w:numPr>
          <w:ilvl w:val="1"/>
          <w:numId w:val="8"/>
        </w:numPr>
        <w:bidi w:val="0"/>
        <w:spacing w:after="120"/>
        <w:rPr>
          <w:rFonts w:ascii="Arial Narrow" w:hAnsi="Arial Narrow" w:cs="Arial"/>
          <w:sz w:val="22"/>
          <w:szCs w:val="22"/>
          <w:lang w:eastAsia="cs-CZ"/>
        </w:rPr>
      </w:pPr>
      <w:r w:rsidRPr="005B416D">
        <w:rPr>
          <w:rFonts w:ascii="Arial Narrow" w:hAnsi="Arial Narrow" w:cs="Arial"/>
          <w:sz w:val="22"/>
          <w:szCs w:val="22"/>
          <w:lang w:eastAsia="cs-CZ"/>
        </w:rPr>
        <w:t>je upravená v práve Európsk</w:t>
      </w:r>
      <w:r>
        <w:rPr>
          <w:rFonts w:ascii="Arial Narrow" w:hAnsi="Arial Narrow" w:cs="Arial"/>
          <w:sz w:val="22"/>
          <w:szCs w:val="22"/>
          <w:lang w:eastAsia="cs-CZ"/>
        </w:rPr>
        <w:t>ej únie</w:t>
      </w:r>
      <w:r w:rsidRPr="005B416D">
        <w:rPr>
          <w:rFonts w:ascii="Arial Narrow" w:hAnsi="Arial Narrow" w:cs="Arial"/>
          <w:sz w:val="22"/>
          <w:szCs w:val="22"/>
          <w:lang w:eastAsia="cs-CZ"/>
        </w:rPr>
        <w:t>:</w:t>
      </w:r>
    </w:p>
    <w:p w:rsidR="007E6E09" w:rsidRPr="005B416D" w:rsidP="007E6E09">
      <w:pPr>
        <w:bidi w:val="0"/>
        <w:spacing w:after="120"/>
        <w:ind w:left="900" w:hanging="425"/>
        <w:rPr>
          <w:rFonts w:ascii="Arial Narrow" w:hAnsi="Arial Narrow" w:cs="Arial"/>
          <w:b/>
          <w:bCs/>
          <w:iCs/>
          <w:sz w:val="22"/>
          <w:szCs w:val="22"/>
          <w:lang w:eastAsia="cs-CZ"/>
        </w:rPr>
      </w:pPr>
      <w:r w:rsidRPr="005B416D">
        <w:rPr>
          <w:rFonts w:ascii="Arial Narrow" w:hAnsi="Arial Narrow" w:cs="Arial"/>
          <w:b/>
          <w:bCs/>
          <w:iCs/>
          <w:sz w:val="22"/>
          <w:szCs w:val="22"/>
          <w:lang w:eastAsia="cs-CZ"/>
        </w:rPr>
        <w:t xml:space="preserve">Primárne právo: </w:t>
      </w:r>
    </w:p>
    <w:p w:rsidR="007E6E09" w:rsidRPr="005B416D" w:rsidP="007E6E09">
      <w:pPr>
        <w:numPr>
          <w:numId w:val="9"/>
        </w:numPr>
        <w:bidi w:val="0"/>
        <w:spacing w:after="120"/>
        <w:rPr>
          <w:rFonts w:ascii="Arial Narrow" w:hAnsi="Arial Narrow" w:cs="Arial"/>
          <w:sz w:val="22"/>
          <w:szCs w:val="22"/>
          <w:lang w:eastAsia="cs-CZ"/>
        </w:rPr>
      </w:pPr>
      <w:r w:rsidRPr="005B416D">
        <w:rPr>
          <w:rFonts w:ascii="Arial Narrow" w:hAnsi="Arial Narrow" w:cs="Arial"/>
          <w:sz w:val="22"/>
          <w:szCs w:val="22"/>
          <w:lang w:eastAsia="cs-CZ"/>
        </w:rPr>
        <w:t xml:space="preserve">čl. </w:t>
      </w:r>
      <w:r>
        <w:rPr>
          <w:rFonts w:ascii="Arial Narrow" w:hAnsi="Arial Narrow" w:cs="Arial"/>
          <w:sz w:val="22"/>
          <w:szCs w:val="22"/>
          <w:lang w:eastAsia="cs-CZ"/>
        </w:rPr>
        <w:t>11</w:t>
      </w:r>
      <w:r w:rsidRPr="005B416D">
        <w:rPr>
          <w:rFonts w:ascii="Arial Narrow" w:hAnsi="Arial Narrow" w:cs="Arial"/>
          <w:sz w:val="22"/>
          <w:szCs w:val="22"/>
          <w:lang w:eastAsia="cs-CZ"/>
        </w:rPr>
        <w:t xml:space="preserve">0 až </w:t>
      </w:r>
      <w:r>
        <w:rPr>
          <w:rFonts w:ascii="Arial Narrow" w:hAnsi="Arial Narrow" w:cs="Arial"/>
          <w:sz w:val="22"/>
          <w:szCs w:val="22"/>
          <w:lang w:eastAsia="cs-CZ"/>
        </w:rPr>
        <w:t>112</w:t>
      </w:r>
      <w:r w:rsidRPr="005B416D">
        <w:rPr>
          <w:rFonts w:ascii="Arial Narrow" w:hAnsi="Arial Narrow" w:cs="Arial"/>
          <w:sz w:val="22"/>
          <w:szCs w:val="22"/>
          <w:lang w:eastAsia="cs-CZ"/>
        </w:rPr>
        <w:t xml:space="preserve"> Zmluvy o</w:t>
      </w:r>
      <w:r>
        <w:rPr>
          <w:rFonts w:ascii="Arial Narrow" w:hAnsi="Arial Narrow" w:cs="Arial"/>
          <w:sz w:val="22"/>
          <w:szCs w:val="22"/>
          <w:lang w:eastAsia="cs-CZ"/>
        </w:rPr>
        <w:t xml:space="preserve"> fungovaní </w:t>
      </w:r>
      <w:r w:rsidRPr="005B416D">
        <w:rPr>
          <w:rFonts w:ascii="Arial Narrow" w:hAnsi="Arial Narrow" w:cs="Arial"/>
          <w:sz w:val="22"/>
          <w:szCs w:val="22"/>
          <w:lang w:eastAsia="cs-CZ"/>
        </w:rPr>
        <w:t>Európske</w:t>
      </w:r>
      <w:r>
        <w:rPr>
          <w:rFonts w:ascii="Arial Narrow" w:hAnsi="Arial Narrow" w:cs="Arial"/>
          <w:sz w:val="22"/>
          <w:szCs w:val="22"/>
          <w:lang w:eastAsia="cs-CZ"/>
        </w:rPr>
        <w:t>j únie.</w:t>
      </w:r>
      <w:r w:rsidRPr="005B416D">
        <w:rPr>
          <w:rFonts w:ascii="Arial Narrow" w:hAnsi="Arial Narrow" w:cs="Arial"/>
          <w:sz w:val="22"/>
          <w:szCs w:val="22"/>
          <w:lang w:eastAsia="cs-CZ"/>
        </w:rPr>
        <w:t xml:space="preserve"> </w:t>
      </w:r>
    </w:p>
    <w:p w:rsidR="007E6E09" w:rsidRPr="00807931" w:rsidP="007E6E09">
      <w:pPr>
        <w:numPr>
          <w:ilvl w:val="1"/>
          <w:numId w:val="8"/>
        </w:numPr>
        <w:bidi w:val="0"/>
        <w:spacing w:after="120"/>
        <w:rPr>
          <w:rFonts w:ascii="Arial Narrow" w:hAnsi="Arial Narrow" w:cs="Arial"/>
          <w:sz w:val="22"/>
          <w:szCs w:val="22"/>
          <w:lang w:eastAsia="cs-CZ"/>
        </w:rPr>
      </w:pPr>
      <w:r>
        <w:rPr>
          <w:rFonts w:ascii="Arial Narrow" w:hAnsi="Arial Narrow" w:cs="Arial"/>
          <w:sz w:val="22"/>
          <w:szCs w:val="22"/>
          <w:lang w:eastAsia="cs-CZ"/>
        </w:rPr>
        <w:t xml:space="preserve">nie </w:t>
      </w:r>
      <w:r w:rsidRPr="00807931">
        <w:rPr>
          <w:rFonts w:ascii="Arial Narrow" w:hAnsi="Arial Narrow" w:cs="Arial"/>
          <w:sz w:val="22"/>
          <w:szCs w:val="22"/>
          <w:lang w:eastAsia="cs-CZ"/>
        </w:rPr>
        <w:t>je obsiahnutá v judikatúre Súdneho dvora Európskej únie</w:t>
      </w:r>
      <w:r>
        <w:rPr>
          <w:rFonts w:ascii="Arial Narrow" w:hAnsi="Arial Narrow" w:cs="Arial"/>
          <w:sz w:val="22"/>
          <w:szCs w:val="22"/>
          <w:lang w:eastAsia="cs-CZ"/>
        </w:rPr>
        <w:t>.</w:t>
      </w:r>
    </w:p>
    <w:p w:rsidR="007E6E09" w:rsidRPr="005B416D" w:rsidP="007E6E09">
      <w:pPr>
        <w:bidi w:val="0"/>
        <w:ind w:left="425"/>
        <w:rPr>
          <w:rFonts w:ascii="Arial Narrow" w:hAnsi="Arial Narrow" w:cs="Arial"/>
          <w:sz w:val="22"/>
          <w:szCs w:val="22"/>
          <w:lang w:eastAsia="cs-CZ"/>
        </w:rPr>
      </w:pPr>
    </w:p>
    <w:p w:rsidR="007E6E09" w:rsidRPr="005B416D" w:rsidP="007E6E09">
      <w:pPr>
        <w:numPr>
          <w:numId w:val="8"/>
        </w:numPr>
        <w:bidi w:val="0"/>
        <w:spacing w:after="120"/>
        <w:jc w:val="both"/>
        <w:rPr>
          <w:rFonts w:ascii="Arial Narrow" w:hAnsi="Arial Narrow" w:cs="Arial"/>
          <w:b/>
          <w:bCs/>
          <w:sz w:val="22"/>
          <w:szCs w:val="22"/>
        </w:rPr>
      </w:pPr>
      <w:r w:rsidRPr="005B416D">
        <w:rPr>
          <w:rFonts w:ascii="Arial Narrow" w:hAnsi="Arial Narrow" w:cs="Arial"/>
          <w:b/>
          <w:bCs/>
          <w:sz w:val="22"/>
          <w:szCs w:val="22"/>
        </w:rPr>
        <w:t>Záväzky Slovenskej republiky vo vzťahu k Európskej únii:</w:t>
      </w:r>
    </w:p>
    <w:p w:rsidR="007E6E09" w:rsidP="007E6E09">
      <w:pPr>
        <w:numPr>
          <w:numId w:val="10"/>
        </w:numPr>
        <w:tabs>
          <w:tab w:val="left" w:pos="425"/>
          <w:tab w:val="clear" w:pos="720"/>
        </w:tabs>
        <w:bidi w:val="0"/>
        <w:spacing w:after="120"/>
        <w:ind w:left="425" w:hanging="425"/>
        <w:jc w:val="both"/>
        <w:rPr>
          <w:rFonts w:ascii="Arial Narrow" w:hAnsi="Arial Narrow" w:cs="Arial"/>
          <w:sz w:val="22"/>
          <w:szCs w:val="22"/>
          <w:lang w:eastAsia="cs-CZ"/>
        </w:rPr>
      </w:pPr>
      <w:r w:rsidRPr="005B416D">
        <w:rPr>
          <w:rFonts w:ascii="Arial Narrow" w:hAnsi="Arial Narrow" w:cs="Arial"/>
          <w:sz w:val="22"/>
          <w:szCs w:val="22"/>
          <w:lang w:eastAsia="cs-CZ"/>
        </w:rPr>
        <w:t>Lehota na prebratie smernice</w:t>
      </w:r>
      <w:r>
        <w:rPr>
          <w:rFonts w:ascii="Arial Narrow" w:hAnsi="Arial Narrow" w:cs="Arial"/>
          <w:sz w:val="22"/>
          <w:szCs w:val="22"/>
          <w:lang w:eastAsia="cs-CZ"/>
        </w:rPr>
        <w:t>: bezpredmetné.</w:t>
      </w:r>
    </w:p>
    <w:p w:rsidR="007E6E09" w:rsidRPr="00C003B1" w:rsidP="007E6E09">
      <w:pPr>
        <w:numPr>
          <w:numId w:val="10"/>
        </w:numPr>
        <w:tabs>
          <w:tab w:val="left" w:pos="425"/>
          <w:tab w:val="clear" w:pos="720"/>
        </w:tabs>
        <w:bidi w:val="0"/>
        <w:spacing w:after="120"/>
        <w:ind w:left="425" w:hanging="425"/>
        <w:jc w:val="both"/>
        <w:rPr>
          <w:rFonts w:ascii="Arial Narrow" w:hAnsi="Arial Narrow" w:cs="Arial"/>
          <w:sz w:val="22"/>
          <w:szCs w:val="22"/>
          <w:lang w:eastAsia="cs-CZ"/>
        </w:rPr>
      </w:pPr>
      <w:r w:rsidRPr="005B416D">
        <w:rPr>
          <w:rFonts w:ascii="Arial Narrow" w:hAnsi="Arial Narrow" w:cs="Arial"/>
          <w:sz w:val="22"/>
          <w:szCs w:val="22"/>
          <w:lang w:eastAsia="cs-CZ"/>
        </w:rPr>
        <w:t xml:space="preserve">Lehota </w:t>
      </w:r>
      <w:r>
        <w:rPr>
          <w:rFonts w:ascii="Arial Narrow" w:hAnsi="Arial Narrow" w:cs="Arial"/>
          <w:sz w:val="22"/>
          <w:szCs w:val="22"/>
          <w:lang w:eastAsia="cs-CZ"/>
        </w:rPr>
        <w:t xml:space="preserve">určená na predloženie návrhu právneho predpisu na rokovanie vlády </w:t>
      </w:r>
      <w:r w:rsidRPr="00C003B1">
        <w:rPr>
          <w:rFonts w:ascii="Arial Narrow" w:hAnsi="Arial Narrow" w:cs="Arial"/>
          <w:sz w:val="22"/>
          <w:szCs w:val="22"/>
          <w:lang w:eastAsia="cs-CZ"/>
        </w:rPr>
        <w:t xml:space="preserve">podľa určenia gestorských ústredných orgánov štátnej správy zodpovedných za </w:t>
      </w:r>
      <w:r>
        <w:rPr>
          <w:rFonts w:ascii="Arial Narrow" w:hAnsi="Arial Narrow" w:cs="Arial"/>
          <w:sz w:val="22"/>
          <w:szCs w:val="22"/>
          <w:lang w:eastAsia="cs-CZ"/>
        </w:rPr>
        <w:t>transpozíciu</w:t>
      </w:r>
      <w:r w:rsidRPr="00C003B1">
        <w:rPr>
          <w:rFonts w:ascii="Arial Narrow" w:hAnsi="Arial Narrow" w:cs="Arial"/>
          <w:sz w:val="22"/>
          <w:szCs w:val="22"/>
          <w:lang w:eastAsia="cs-CZ"/>
        </w:rPr>
        <w:t xml:space="preserve"> smerníc a vypracovanie tabuliek zhody k návrhom všeobecne záväzných právnych predpisov: bezpredmetné.</w:t>
      </w:r>
    </w:p>
    <w:p w:rsidR="007E6E09" w:rsidRPr="005B416D" w:rsidP="007E6E09">
      <w:pPr>
        <w:numPr>
          <w:numId w:val="10"/>
        </w:numPr>
        <w:tabs>
          <w:tab w:val="left" w:pos="425"/>
          <w:tab w:val="clear" w:pos="720"/>
        </w:tabs>
        <w:bidi w:val="0"/>
        <w:spacing w:after="120"/>
        <w:ind w:left="425" w:hanging="425"/>
        <w:jc w:val="both"/>
        <w:rPr>
          <w:rFonts w:ascii="Arial Narrow" w:hAnsi="Arial Narrow" w:cs="Arial"/>
          <w:sz w:val="22"/>
          <w:szCs w:val="22"/>
          <w:lang w:eastAsia="cs-CZ"/>
        </w:rPr>
      </w:pPr>
      <w:r w:rsidRPr="005B416D">
        <w:rPr>
          <w:rFonts w:ascii="Arial Narrow" w:hAnsi="Arial Narrow" w:cs="Arial"/>
          <w:sz w:val="22"/>
          <w:szCs w:val="22"/>
          <w:lang w:eastAsia="cs-CZ"/>
        </w:rPr>
        <w:t xml:space="preserve">Proti SR </w:t>
      </w:r>
      <w:r>
        <w:rPr>
          <w:rFonts w:ascii="Arial Narrow" w:hAnsi="Arial Narrow" w:cs="Arial"/>
          <w:sz w:val="22"/>
          <w:szCs w:val="22"/>
          <w:lang w:eastAsia="cs-CZ"/>
        </w:rPr>
        <w:t>nebolo</w:t>
      </w:r>
      <w:r w:rsidRPr="005B416D">
        <w:rPr>
          <w:rFonts w:ascii="Arial Narrow" w:hAnsi="Arial Narrow" w:cs="Arial"/>
          <w:sz w:val="22"/>
          <w:szCs w:val="22"/>
          <w:lang w:eastAsia="cs-CZ"/>
        </w:rPr>
        <w:t xml:space="preserve"> začaté konani</w:t>
      </w:r>
      <w:r>
        <w:rPr>
          <w:rFonts w:ascii="Arial Narrow" w:hAnsi="Arial Narrow" w:cs="Arial"/>
          <w:sz w:val="22"/>
          <w:szCs w:val="22"/>
          <w:lang w:eastAsia="cs-CZ"/>
        </w:rPr>
        <w:t>e</w:t>
      </w:r>
      <w:r w:rsidRPr="005B416D">
        <w:rPr>
          <w:rFonts w:ascii="Arial Narrow" w:hAnsi="Arial Narrow" w:cs="Arial"/>
          <w:sz w:val="22"/>
          <w:szCs w:val="22"/>
          <w:lang w:eastAsia="cs-CZ"/>
        </w:rPr>
        <w:t xml:space="preserve"> o porušení Zmluvy o</w:t>
      </w:r>
      <w:r>
        <w:rPr>
          <w:rFonts w:ascii="Arial Narrow" w:hAnsi="Arial Narrow" w:cs="Arial"/>
          <w:sz w:val="22"/>
          <w:szCs w:val="22"/>
          <w:lang w:eastAsia="cs-CZ"/>
        </w:rPr>
        <w:t xml:space="preserve"> fungovaní </w:t>
      </w:r>
      <w:r w:rsidRPr="005B416D">
        <w:rPr>
          <w:rFonts w:ascii="Arial Narrow" w:hAnsi="Arial Narrow" w:cs="Arial"/>
          <w:sz w:val="22"/>
          <w:szCs w:val="22"/>
          <w:lang w:eastAsia="cs-CZ"/>
        </w:rPr>
        <w:t>Európsk</w:t>
      </w:r>
      <w:r>
        <w:rPr>
          <w:rFonts w:ascii="Arial Narrow" w:hAnsi="Arial Narrow" w:cs="Arial"/>
          <w:sz w:val="22"/>
          <w:szCs w:val="22"/>
          <w:lang w:eastAsia="cs-CZ"/>
        </w:rPr>
        <w:t>ej únie</w:t>
      </w:r>
      <w:r w:rsidRPr="005B416D">
        <w:rPr>
          <w:rFonts w:ascii="Arial Narrow" w:hAnsi="Arial Narrow" w:cs="Arial"/>
          <w:sz w:val="22"/>
          <w:szCs w:val="22"/>
          <w:lang w:eastAsia="cs-CZ"/>
        </w:rPr>
        <w:t xml:space="preserve"> podľa čl. 2</w:t>
      </w:r>
      <w:r>
        <w:rPr>
          <w:rFonts w:ascii="Arial Narrow" w:hAnsi="Arial Narrow" w:cs="Arial"/>
          <w:sz w:val="22"/>
          <w:szCs w:val="22"/>
          <w:lang w:eastAsia="cs-CZ"/>
        </w:rPr>
        <w:t>58</w:t>
      </w:r>
      <w:r w:rsidRPr="005B416D">
        <w:rPr>
          <w:rFonts w:ascii="Arial Narrow" w:hAnsi="Arial Narrow" w:cs="Arial"/>
          <w:sz w:val="22"/>
          <w:szCs w:val="22"/>
          <w:lang w:eastAsia="cs-CZ"/>
        </w:rPr>
        <w:t xml:space="preserve"> až 2</w:t>
      </w:r>
      <w:r>
        <w:rPr>
          <w:rFonts w:ascii="Arial Narrow" w:hAnsi="Arial Narrow" w:cs="Arial"/>
          <w:sz w:val="22"/>
          <w:szCs w:val="22"/>
          <w:lang w:eastAsia="cs-CZ"/>
        </w:rPr>
        <w:t>60</w:t>
      </w:r>
      <w:r w:rsidRPr="005B416D">
        <w:rPr>
          <w:rFonts w:ascii="Arial Narrow" w:hAnsi="Arial Narrow" w:cs="Arial"/>
          <w:sz w:val="22"/>
          <w:szCs w:val="22"/>
          <w:lang w:eastAsia="cs-CZ"/>
        </w:rPr>
        <w:t xml:space="preserve"> Zmluvy o</w:t>
      </w:r>
      <w:r>
        <w:rPr>
          <w:rFonts w:ascii="Arial Narrow" w:hAnsi="Arial Narrow" w:cs="Arial"/>
          <w:sz w:val="22"/>
          <w:szCs w:val="22"/>
          <w:lang w:eastAsia="cs-CZ"/>
        </w:rPr>
        <w:t xml:space="preserve"> fungovaní </w:t>
      </w:r>
      <w:r w:rsidRPr="005B416D">
        <w:rPr>
          <w:rFonts w:ascii="Arial Narrow" w:hAnsi="Arial Narrow" w:cs="Arial"/>
          <w:sz w:val="22"/>
          <w:szCs w:val="22"/>
          <w:lang w:eastAsia="cs-CZ"/>
        </w:rPr>
        <w:t>Európsk</w:t>
      </w:r>
      <w:r>
        <w:rPr>
          <w:rFonts w:ascii="Arial Narrow" w:hAnsi="Arial Narrow" w:cs="Arial"/>
          <w:sz w:val="22"/>
          <w:szCs w:val="22"/>
          <w:lang w:eastAsia="cs-CZ"/>
        </w:rPr>
        <w:t>ej únie</w:t>
      </w:r>
      <w:r w:rsidRPr="005B416D">
        <w:rPr>
          <w:rFonts w:ascii="Arial Narrow" w:hAnsi="Arial Narrow" w:cs="Arial"/>
          <w:sz w:val="22"/>
          <w:szCs w:val="22"/>
          <w:lang w:eastAsia="cs-CZ"/>
        </w:rPr>
        <w:t>.</w:t>
      </w:r>
    </w:p>
    <w:p w:rsidR="007E6E09" w:rsidP="007E6E09">
      <w:pPr>
        <w:numPr>
          <w:numId w:val="10"/>
        </w:numPr>
        <w:tabs>
          <w:tab w:val="left" w:pos="425"/>
          <w:tab w:val="clear" w:pos="720"/>
        </w:tabs>
        <w:bidi w:val="0"/>
        <w:ind w:left="425" w:hanging="425"/>
        <w:jc w:val="both"/>
        <w:rPr>
          <w:rFonts w:ascii="Arial Narrow" w:hAnsi="Arial Narrow" w:cs="Arial"/>
          <w:sz w:val="22"/>
          <w:szCs w:val="22"/>
          <w:lang w:eastAsia="cs-CZ"/>
        </w:rPr>
      </w:pPr>
      <w:r>
        <w:rPr>
          <w:rFonts w:ascii="Arial Narrow" w:hAnsi="Arial Narrow" w:cs="Arial"/>
          <w:sz w:val="22"/>
          <w:szCs w:val="22"/>
          <w:lang w:eastAsia="cs-CZ"/>
        </w:rPr>
        <w:t>Bezpredmetné.</w:t>
      </w:r>
    </w:p>
    <w:p w:rsidR="007E6E09" w:rsidP="007E6E09">
      <w:pPr>
        <w:tabs>
          <w:tab w:val="left" w:pos="425"/>
        </w:tabs>
        <w:bidi w:val="0"/>
        <w:ind w:left="425"/>
        <w:jc w:val="both"/>
        <w:rPr>
          <w:rFonts w:ascii="Arial Narrow" w:hAnsi="Arial Narrow" w:cs="Arial"/>
          <w:sz w:val="22"/>
          <w:szCs w:val="22"/>
          <w:lang w:eastAsia="cs-CZ"/>
        </w:rPr>
      </w:pPr>
    </w:p>
    <w:p w:rsidR="007E6E09" w:rsidRPr="005B416D" w:rsidP="007E6E09">
      <w:pPr>
        <w:numPr>
          <w:numId w:val="8"/>
        </w:numPr>
        <w:bidi w:val="0"/>
        <w:spacing w:after="120"/>
        <w:jc w:val="both"/>
        <w:rPr>
          <w:rFonts w:ascii="Arial Narrow" w:hAnsi="Arial Narrow" w:cs="Arial"/>
          <w:b/>
          <w:bCs/>
          <w:sz w:val="22"/>
          <w:szCs w:val="22"/>
        </w:rPr>
      </w:pPr>
      <w:r w:rsidRPr="005B416D">
        <w:rPr>
          <w:rFonts w:ascii="Arial Narrow" w:hAnsi="Arial Narrow" w:cs="Arial"/>
          <w:b/>
          <w:bCs/>
          <w:sz w:val="22"/>
          <w:szCs w:val="22"/>
        </w:rPr>
        <w:t>Stupeň zlučiteľnosti návrhu zákona s právom Európskej únie:</w:t>
      </w:r>
    </w:p>
    <w:p w:rsidR="007E6E09" w:rsidRPr="005B416D" w:rsidP="007E6E09">
      <w:pPr>
        <w:bidi w:val="0"/>
        <w:spacing w:after="120"/>
        <w:ind w:left="425" w:hanging="425"/>
        <w:jc w:val="both"/>
        <w:rPr>
          <w:rFonts w:ascii="Arial Narrow" w:hAnsi="Arial Narrow" w:cs="Arial"/>
          <w:sz w:val="22"/>
          <w:szCs w:val="22"/>
        </w:rPr>
      </w:pPr>
      <w:r w:rsidRPr="005B416D">
        <w:rPr>
          <w:rFonts w:ascii="Arial Narrow" w:hAnsi="Arial Narrow" w:cs="Arial"/>
          <w:sz w:val="22"/>
          <w:szCs w:val="22"/>
        </w:rPr>
        <w:tab/>
        <w:t>Úplný.</w:t>
      </w:r>
    </w:p>
    <w:p w:rsidR="007E6E09" w:rsidRPr="005B416D" w:rsidP="007E6E09">
      <w:pPr>
        <w:numPr>
          <w:numId w:val="8"/>
        </w:numPr>
        <w:bidi w:val="0"/>
        <w:spacing w:after="120"/>
        <w:jc w:val="both"/>
        <w:rPr>
          <w:rFonts w:ascii="Arial Narrow" w:hAnsi="Arial Narrow" w:cs="Arial"/>
          <w:b/>
          <w:bCs/>
          <w:sz w:val="22"/>
          <w:szCs w:val="22"/>
        </w:rPr>
      </w:pPr>
      <w:r w:rsidRPr="005B416D">
        <w:rPr>
          <w:rFonts w:ascii="Arial Narrow" w:hAnsi="Arial Narrow" w:cs="Arial"/>
          <w:b/>
          <w:bCs/>
          <w:sz w:val="22"/>
          <w:szCs w:val="22"/>
        </w:rPr>
        <w:t xml:space="preserve">Gestor a spolupracujúce rezorty: </w:t>
      </w:r>
    </w:p>
    <w:p w:rsidR="007E6E09" w:rsidRPr="005B416D" w:rsidP="007E6E09">
      <w:pPr>
        <w:bidi w:val="0"/>
        <w:spacing w:after="120"/>
        <w:ind w:left="360"/>
        <w:jc w:val="both"/>
        <w:rPr>
          <w:rFonts w:ascii="Arial Narrow" w:hAnsi="Arial Narrow" w:cs="Arial"/>
          <w:b/>
          <w:bCs/>
          <w:sz w:val="22"/>
          <w:szCs w:val="22"/>
        </w:rPr>
      </w:pPr>
      <w:r>
        <w:rPr>
          <w:rFonts w:ascii="Arial Narrow" w:hAnsi="Arial Narrow" w:cs="Arial"/>
          <w:sz w:val="22"/>
          <w:szCs w:val="22"/>
        </w:rPr>
        <w:t xml:space="preserve"> Bezpredmetné</w:t>
      </w:r>
      <w:r w:rsidRPr="005B416D">
        <w:rPr>
          <w:rFonts w:ascii="Arial Narrow" w:hAnsi="Arial Narrow" w:cs="Arial"/>
          <w:sz w:val="22"/>
          <w:szCs w:val="22"/>
        </w:rPr>
        <w:t>.</w:t>
      </w: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7E6E09"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ED7170" w:rsidP="00B962A2">
      <w:pPr>
        <w:bidi w:val="0"/>
        <w:jc w:val="both"/>
        <w:rPr>
          <w:rFonts w:ascii="Times New Roman" w:hAnsi="Times New Roman"/>
        </w:rPr>
      </w:pPr>
    </w:p>
    <w:p w:rsidR="00F950BC" w:rsidRPr="000862AD" w:rsidP="00F950BC">
      <w:pPr>
        <w:bidi w:val="0"/>
        <w:rPr>
          <w:rFonts w:ascii="Times New Roman" w:hAnsi="Times New Roman"/>
          <w:b/>
          <w:u w:val="single"/>
        </w:rPr>
      </w:pPr>
      <w:r w:rsidRPr="000862AD">
        <w:rPr>
          <w:rFonts w:ascii="Times New Roman" w:hAnsi="Times New Roman"/>
          <w:b/>
          <w:u w:val="single"/>
        </w:rPr>
        <w:t xml:space="preserve">Osobitná časť </w:t>
      </w:r>
    </w:p>
    <w:p w:rsidR="00F950BC" w:rsidRPr="000862AD" w:rsidP="00F950BC">
      <w:pPr>
        <w:bidi w:val="0"/>
        <w:rPr>
          <w:rFonts w:ascii="Times New Roman" w:hAnsi="Times New Roman"/>
        </w:rPr>
      </w:pPr>
    </w:p>
    <w:p w:rsidR="00F950BC" w:rsidRPr="000862AD" w:rsidP="00F950BC">
      <w:pPr>
        <w:bidi w:val="0"/>
        <w:rPr>
          <w:rFonts w:ascii="Times New Roman" w:hAnsi="Times New Roman"/>
          <w:b/>
        </w:rPr>
      </w:pPr>
      <w:r w:rsidRPr="000862AD">
        <w:rPr>
          <w:rFonts w:ascii="Times New Roman" w:hAnsi="Times New Roman"/>
          <w:b/>
        </w:rPr>
        <w:t>K Čl. I</w:t>
      </w:r>
    </w:p>
    <w:p w:rsidR="009901D6">
      <w:pPr>
        <w:bidi w:val="0"/>
        <w:rPr>
          <w:rFonts w:ascii="Times New Roman" w:hAnsi="Times New Roman"/>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K bodu 1 - § 2 písm. s) uvádzacia veta a prvý bod a § 25 ods. 6</w:t>
      </w:r>
    </w:p>
    <w:p w:rsidR="00F950BC" w:rsidRPr="00337AEF" w:rsidP="00F950BC">
      <w:pPr>
        <w:pStyle w:val="ListParagraph"/>
        <w:bidi w:val="0"/>
        <w:ind w:left="0"/>
        <w:jc w:val="both"/>
        <w:rPr>
          <w:rFonts w:ascii="Times New Roman" w:hAnsi="Times New Roman"/>
          <w:sz w:val="24"/>
          <w:szCs w:val="24"/>
        </w:rPr>
      </w:pPr>
      <w:r w:rsidRPr="00337AEF">
        <w:rPr>
          <w:rFonts w:ascii="Times New Roman" w:hAnsi="Times New Roman"/>
          <w:sz w:val="24"/>
          <w:szCs w:val="24"/>
        </w:rPr>
        <w:t>Navrhovanou úpravou sa na účely zákona</w:t>
      </w:r>
      <w:r w:rsidR="00746237">
        <w:rPr>
          <w:rFonts w:ascii="Times New Roman" w:hAnsi="Times New Roman"/>
          <w:sz w:val="24"/>
          <w:szCs w:val="24"/>
        </w:rPr>
        <w:t xml:space="preserve"> o dani z</w:t>
      </w:r>
      <w:r w:rsidR="00F163BE">
        <w:rPr>
          <w:rFonts w:ascii="Times New Roman" w:hAnsi="Times New Roman"/>
          <w:sz w:val="24"/>
          <w:szCs w:val="24"/>
        </w:rPr>
        <w:t> </w:t>
      </w:r>
      <w:r w:rsidR="00746237">
        <w:rPr>
          <w:rFonts w:ascii="Times New Roman" w:hAnsi="Times New Roman"/>
          <w:sz w:val="24"/>
          <w:szCs w:val="24"/>
        </w:rPr>
        <w:t>príjmov</w:t>
      </w:r>
      <w:r w:rsidR="00F163BE">
        <w:rPr>
          <w:rFonts w:ascii="Times New Roman" w:hAnsi="Times New Roman"/>
          <w:sz w:val="24"/>
          <w:szCs w:val="24"/>
        </w:rPr>
        <w:t xml:space="preserve"> (ďalej len „zákon“)</w:t>
      </w:r>
      <w:r w:rsidRPr="00337AEF">
        <w:rPr>
          <w:rFonts w:ascii="Times New Roman" w:hAnsi="Times New Roman"/>
          <w:sz w:val="24"/>
          <w:szCs w:val="24"/>
        </w:rPr>
        <w:t xml:space="preserve"> vymedzuje rozdiel medzi „nájomcom“ hmotného majetku obstarávaného formou finančného prenájmu a nájomcom pri tzv. operatívnom prenájme. </w:t>
      </w:r>
    </w:p>
    <w:p w:rsidR="00F950BC" w:rsidRPr="00337AEF" w:rsidP="00F950BC">
      <w:pPr>
        <w:pStyle w:val="ListParagraph"/>
        <w:bidi w:val="0"/>
        <w:ind w:left="0"/>
        <w:jc w:val="both"/>
        <w:rPr>
          <w:rFonts w:ascii="Times New Roman" w:hAnsi="Times New Roman"/>
          <w:b/>
          <w:sz w:val="24"/>
          <w:szCs w:val="24"/>
          <w:u w:val="single"/>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K bodu 2 - § 2 písm. s) druhý bod</w:t>
      </w:r>
    </w:p>
    <w:p w:rsidR="00F950BC" w:rsidP="00F950BC">
      <w:pPr>
        <w:bidi w:val="0"/>
        <w:jc w:val="both"/>
        <w:rPr>
          <w:rFonts w:ascii="Times New Roman" w:hAnsi="Times New Roman"/>
        </w:rPr>
      </w:pPr>
      <w:r w:rsidRPr="00337AEF">
        <w:rPr>
          <w:rFonts w:ascii="Times New Roman" w:hAnsi="Times New Roman"/>
        </w:rPr>
        <w:t>Úprava sa navrhuje v nadväznosti na zmenu spôsobu uplatňovania</w:t>
      </w:r>
      <w:r w:rsidR="00746237">
        <w:rPr>
          <w:rFonts w:ascii="Times New Roman" w:hAnsi="Times New Roman"/>
        </w:rPr>
        <w:t xml:space="preserve"> daňových</w:t>
      </w:r>
      <w:r w:rsidRPr="00337AEF">
        <w:rPr>
          <w:rFonts w:ascii="Times New Roman" w:hAnsi="Times New Roman"/>
        </w:rPr>
        <w:t xml:space="preserve"> odpisov podľa § </w:t>
      </w:r>
      <w:smartTag w:uri="urn:schemas-microsoft-com:office:smarttags" w:element="metricconverter">
        <w:smartTagPr>
          <w:attr w:name="ProductID" w:val="27 a"/>
        </w:smartTagPr>
        <w:r w:rsidRPr="00337AEF">
          <w:rPr>
            <w:rFonts w:ascii="Times New Roman" w:hAnsi="Times New Roman"/>
          </w:rPr>
          <w:t>27 a</w:t>
        </w:r>
      </w:smartTag>
      <w:r w:rsidRPr="00337AEF">
        <w:rPr>
          <w:rFonts w:ascii="Times New Roman" w:hAnsi="Times New Roman"/>
        </w:rPr>
        <w:t xml:space="preserve"> § 28 zákona, pričom dôjde k  zjednoteniu podmienok odpisovania hmotného majetku  bez ohľadu na spôsob jeho obstarania. Rovnako v prípade postúpenia predmetu finančného prenájmu sa bude u nového nájomcu postupovať ako v prípade kúpy majetku. To znamená, že hmotný majetok obstaraný na základe finančného prenájmu u nového nájomcu musí spĺňať podmienku doby trvania nájmu minimálne 60 % doby odpisovania. Na základe splnenia podmienky doby trvania nájmu nový nájomca zaradí predmet finančného prenájmu ako novoobstaraný majetok a odpisuje ho počas doby odpisovania stanovenej v § 26 zákona. </w:t>
      </w:r>
    </w:p>
    <w:p w:rsidR="00F950BC" w:rsidRPr="00337AEF" w:rsidP="00F950BC">
      <w:pPr>
        <w:bidi w:val="0"/>
        <w:jc w:val="both"/>
        <w:rPr>
          <w:rFonts w:ascii="Times New Roman" w:hAnsi="Times New Roman"/>
        </w:rPr>
      </w:pPr>
    </w:p>
    <w:p w:rsidR="00F950BC" w:rsidRPr="00337AEF" w:rsidP="00F950BC">
      <w:pPr>
        <w:bidi w:val="0"/>
        <w:jc w:val="both"/>
        <w:rPr>
          <w:rFonts w:ascii="Times New Roman" w:hAnsi="Times New Roman"/>
          <w:b/>
        </w:rPr>
      </w:pPr>
      <w:r w:rsidRPr="00337AEF">
        <w:rPr>
          <w:rFonts w:ascii="Times New Roman" w:hAnsi="Times New Roman"/>
          <w:b/>
        </w:rPr>
        <w:t xml:space="preserve">K bodu 3 - § 4 ods. 1 a 2 </w:t>
      </w:r>
    </w:p>
    <w:p w:rsidR="00F950BC" w:rsidRPr="00337AEF" w:rsidP="00F950BC">
      <w:pPr>
        <w:pStyle w:val="ListParagraph"/>
        <w:tabs>
          <w:tab w:val="left" w:pos="0"/>
        </w:tabs>
        <w:bidi w:val="0"/>
        <w:ind w:left="0"/>
        <w:jc w:val="both"/>
        <w:rPr>
          <w:rFonts w:ascii="Times New Roman" w:hAnsi="Times New Roman"/>
          <w:sz w:val="24"/>
          <w:szCs w:val="24"/>
        </w:rPr>
      </w:pPr>
      <w:r w:rsidRPr="00337AEF">
        <w:rPr>
          <w:rFonts w:ascii="Times New Roman" w:hAnsi="Times New Roman"/>
          <w:sz w:val="24"/>
          <w:szCs w:val="24"/>
        </w:rPr>
        <w:t xml:space="preserve">V súvislosti s možnosťou uplatnenia nezdaniteľných častí základu dane daňovníka len z tzv. </w:t>
      </w:r>
      <w:r>
        <w:rPr>
          <w:rFonts w:ascii="Times New Roman" w:hAnsi="Times New Roman"/>
          <w:sz w:val="24"/>
          <w:szCs w:val="24"/>
        </w:rPr>
        <w:t>„</w:t>
      </w:r>
      <w:r w:rsidRPr="00337AEF">
        <w:rPr>
          <w:rFonts w:ascii="Times New Roman" w:hAnsi="Times New Roman"/>
          <w:sz w:val="24"/>
          <w:szCs w:val="24"/>
        </w:rPr>
        <w:t>aktívnych príjmov“ uvedenou v zákone s účinnosťou od 1.1.2011 sa spresňuje výpočet základu dane a upravuje sa možnosť vzniku daňovej straty len z príjmov z podnikania alebo z inej samostatnej zárobkovej činnosti, ktorá sa bude uplatňovať v nasledujúcich zdaňovacích obdobiach podľa § 30 zákona</w:t>
      </w:r>
      <w:r w:rsidR="00F163BE">
        <w:rPr>
          <w:rFonts w:ascii="Times New Roman" w:hAnsi="Times New Roman"/>
          <w:sz w:val="24"/>
          <w:szCs w:val="24"/>
        </w:rPr>
        <w:t xml:space="preserve"> o dani z príjmov</w:t>
      </w:r>
      <w:r w:rsidRPr="00337AEF">
        <w:rPr>
          <w:rFonts w:ascii="Times New Roman" w:hAnsi="Times New Roman"/>
          <w:sz w:val="24"/>
          <w:szCs w:val="24"/>
        </w:rPr>
        <w:t>, a to od základu dane (čiastkového základu dane)  z príjmov z podnikania alebo z inej samostatnej zárobkovej činnosti (§ 6 ods. 1 a 2 zákona).</w:t>
      </w:r>
    </w:p>
    <w:p w:rsidR="00F950BC" w:rsidRPr="00337AEF" w:rsidP="00F950BC">
      <w:pPr>
        <w:bidi w:val="0"/>
        <w:ind w:hanging="6"/>
        <w:jc w:val="both"/>
        <w:rPr>
          <w:rFonts w:ascii="Times New Roman" w:hAnsi="Times New Roman"/>
        </w:rPr>
      </w:pPr>
    </w:p>
    <w:p w:rsidR="00F950BC" w:rsidRPr="00337AEF" w:rsidP="00F950BC">
      <w:pPr>
        <w:bidi w:val="0"/>
        <w:jc w:val="both"/>
        <w:rPr>
          <w:rStyle w:val="PlaceholderText"/>
          <w:color w:val="000000"/>
        </w:rPr>
      </w:pPr>
      <w:r w:rsidRPr="00337AEF">
        <w:rPr>
          <w:rStyle w:val="PlaceholderText"/>
          <w:b/>
          <w:color w:val="000000"/>
        </w:rPr>
        <w:t>K bodu 4 - § 6 ods. 6</w:t>
      </w:r>
    </w:p>
    <w:p w:rsidR="00F950BC" w:rsidRPr="00337AEF" w:rsidP="00F950BC">
      <w:pPr>
        <w:pStyle w:val="ListParagraph"/>
        <w:tabs>
          <w:tab w:val="left" w:pos="0"/>
        </w:tabs>
        <w:bidi w:val="0"/>
        <w:ind w:left="0"/>
        <w:jc w:val="both"/>
        <w:rPr>
          <w:rFonts w:ascii="Times New Roman" w:hAnsi="Times New Roman"/>
          <w:sz w:val="24"/>
          <w:szCs w:val="24"/>
        </w:rPr>
      </w:pPr>
      <w:r w:rsidRPr="00337AEF">
        <w:rPr>
          <w:rFonts w:ascii="Times New Roman" w:hAnsi="Times New Roman"/>
          <w:sz w:val="24"/>
          <w:szCs w:val="24"/>
        </w:rPr>
        <w:t>Navrhovaná úprava nadväzuje na možnosť uplatnenia nezdaniteľných častí základu dane daňovníka len od tzv. „aktívnych príjmov“ s účinnosťou od 1.1.2011, v súvislosti s ktorou je potrebné rozdeliť samostatne výpočet základu dane (čiastkového základu dane) z príjmov z podnikania alebo z inej samostatnej zárobkovej činnosti (§ 6 ods. 1 a 2 zákona</w:t>
      </w:r>
      <w:r w:rsidR="00F163BE">
        <w:rPr>
          <w:rFonts w:ascii="Times New Roman" w:hAnsi="Times New Roman"/>
          <w:sz w:val="24"/>
          <w:szCs w:val="24"/>
        </w:rPr>
        <w:t xml:space="preserve"> o dani z príjmov</w:t>
      </w:r>
      <w:r w:rsidRPr="00337AEF">
        <w:rPr>
          <w:rFonts w:ascii="Times New Roman" w:hAnsi="Times New Roman"/>
          <w:sz w:val="24"/>
          <w:szCs w:val="24"/>
        </w:rPr>
        <w:t>) a samostatne výpočet základu dane (čiastkového základu dane) z príjmov z prenájmu  nehnuteľnosti (§ 6 ods. 3 zákona), od ktorých túto nezdaniteľnú časť nie je možné odpočítať. Daňovú stratu po 1.1.2012 bude možné vykázať len z príjmov z podnikania alebo z inej samostatnej zárobkovej činnosti, ktorá sa bude uplatňovať až v nasledujúcich zdaňovacích obdobiach podľa § 30 zákona a znova len od základu dane z príjmov z podnikania alebo z inej samostatnej zárobkovej činnosti.  Zrušenie možnosti vykazovať daňovú stratu z príjmov z prenájmu aj pre prípady</w:t>
      </w:r>
      <w:r w:rsidR="00637C19">
        <w:rPr>
          <w:rFonts w:ascii="Times New Roman" w:hAnsi="Times New Roman"/>
          <w:sz w:val="24"/>
          <w:szCs w:val="24"/>
        </w:rPr>
        <w:t>,</w:t>
      </w:r>
      <w:r w:rsidRPr="00337AEF">
        <w:rPr>
          <w:rFonts w:ascii="Times New Roman" w:hAnsi="Times New Roman"/>
          <w:sz w:val="24"/>
          <w:szCs w:val="24"/>
        </w:rPr>
        <w:t xml:space="preserve"> kedy daňovník pri týchto príjmoch bude uplatňovať preukázateľné výdavky súvisí predovšetkým s konsolidáciou verejných financií, ktorej jedným z cieľov bola podpora aktívne vykonávanej činnosti. Daňovú stratu z príjmov z prenájmu nebude možné </w:t>
      </w:r>
      <w:r>
        <w:rPr>
          <w:rFonts w:ascii="Times New Roman" w:hAnsi="Times New Roman"/>
          <w:sz w:val="24"/>
          <w:szCs w:val="24"/>
        </w:rPr>
        <w:t xml:space="preserve">po prvýkrát </w:t>
      </w:r>
      <w:r w:rsidRPr="00337AEF">
        <w:rPr>
          <w:rFonts w:ascii="Times New Roman" w:hAnsi="Times New Roman"/>
          <w:sz w:val="24"/>
          <w:szCs w:val="24"/>
        </w:rPr>
        <w:t xml:space="preserve">vykázať </w:t>
      </w:r>
      <w:r>
        <w:rPr>
          <w:rFonts w:ascii="Times New Roman" w:hAnsi="Times New Roman"/>
          <w:sz w:val="24"/>
          <w:szCs w:val="24"/>
        </w:rPr>
        <w:t xml:space="preserve">a umorovať </w:t>
      </w:r>
      <w:r w:rsidRPr="00337AEF">
        <w:rPr>
          <w:rFonts w:ascii="Times New Roman" w:hAnsi="Times New Roman"/>
          <w:sz w:val="24"/>
          <w:szCs w:val="24"/>
        </w:rPr>
        <w:t xml:space="preserve">za zdaňovacie obdobie </w:t>
      </w:r>
      <w:r>
        <w:rPr>
          <w:rFonts w:ascii="Times New Roman" w:hAnsi="Times New Roman"/>
          <w:sz w:val="24"/>
          <w:szCs w:val="24"/>
        </w:rPr>
        <w:t>roku 2012</w:t>
      </w:r>
      <w:r w:rsidRPr="00337AEF">
        <w:rPr>
          <w:rFonts w:ascii="Times New Roman" w:hAnsi="Times New Roman"/>
          <w:sz w:val="24"/>
          <w:szCs w:val="24"/>
        </w:rPr>
        <w:t>.</w:t>
      </w:r>
    </w:p>
    <w:p w:rsidR="00F950BC" w:rsidP="00F950BC">
      <w:pPr>
        <w:pStyle w:val="ListParagraph"/>
        <w:tabs>
          <w:tab w:val="left" w:pos="0"/>
        </w:tabs>
        <w:bidi w:val="0"/>
        <w:ind w:left="0"/>
        <w:jc w:val="both"/>
        <w:rPr>
          <w:rFonts w:ascii="Times New Roman" w:hAnsi="Times New Roman"/>
          <w:sz w:val="24"/>
          <w:szCs w:val="24"/>
        </w:rPr>
      </w:pPr>
    </w:p>
    <w:p w:rsidR="00667CBB" w:rsidP="00F950BC">
      <w:pPr>
        <w:pStyle w:val="ListParagraph"/>
        <w:tabs>
          <w:tab w:val="left" w:pos="0"/>
        </w:tabs>
        <w:bidi w:val="0"/>
        <w:ind w:left="0"/>
        <w:jc w:val="both"/>
        <w:rPr>
          <w:rFonts w:ascii="Times New Roman" w:hAnsi="Times New Roman"/>
          <w:b/>
          <w:sz w:val="24"/>
          <w:szCs w:val="24"/>
        </w:rPr>
      </w:pPr>
      <w:r w:rsidRPr="00667CBB">
        <w:rPr>
          <w:rFonts w:ascii="Times New Roman" w:hAnsi="Times New Roman"/>
          <w:b/>
          <w:sz w:val="24"/>
          <w:szCs w:val="24"/>
        </w:rPr>
        <w:t>K bodom 5 a</w:t>
      </w:r>
      <w:r>
        <w:rPr>
          <w:rFonts w:ascii="Times New Roman" w:hAnsi="Times New Roman"/>
          <w:b/>
          <w:sz w:val="24"/>
          <w:szCs w:val="24"/>
        </w:rPr>
        <w:t> </w:t>
      </w:r>
      <w:r w:rsidRPr="00667CBB">
        <w:rPr>
          <w:rFonts w:ascii="Times New Roman" w:hAnsi="Times New Roman"/>
          <w:b/>
          <w:sz w:val="24"/>
          <w:szCs w:val="24"/>
        </w:rPr>
        <w:t>6</w:t>
      </w:r>
      <w:r>
        <w:rPr>
          <w:rFonts w:ascii="Times New Roman" w:hAnsi="Times New Roman"/>
          <w:b/>
          <w:sz w:val="24"/>
          <w:szCs w:val="24"/>
        </w:rPr>
        <w:t xml:space="preserve"> - § 13 ods. 1 písm. b) a e)</w:t>
      </w:r>
    </w:p>
    <w:p w:rsidR="00667CBB" w:rsidP="00667CBB">
      <w:pPr>
        <w:bidi w:val="0"/>
        <w:jc w:val="both"/>
        <w:rPr>
          <w:rFonts w:ascii="Times New Roman" w:hAnsi="Times New Roman"/>
        </w:rPr>
      </w:pPr>
      <w:r>
        <w:rPr>
          <w:rFonts w:ascii="Times New Roman" w:hAnsi="Times New Roman"/>
        </w:rPr>
        <w:t>Navrhovanou úpravou sa zavádza oslobodenie príjmov rozpočtovej organizácie z prenájmu majetku, ak zriaďovateľom rozpočtovej organizácie je obec alebo vyšší územný celok, čím dochádza k zjednoteniu spôsobu zdaňovania príjmov plynúcich z prenájmu majetku všetkých rozpočtových organizácií. Zároveň sa navrhuje oslobodenie príjmov obcí a vyšších územných celkov z prenájmu majetku.</w:t>
      </w:r>
    </w:p>
    <w:p w:rsidR="00667CBB" w:rsidRPr="00667CBB" w:rsidP="00F950BC">
      <w:pPr>
        <w:pStyle w:val="ListParagraph"/>
        <w:tabs>
          <w:tab w:val="left" w:pos="0"/>
        </w:tabs>
        <w:bidi w:val="0"/>
        <w:ind w:left="0"/>
        <w:jc w:val="both"/>
        <w:rPr>
          <w:rFonts w:ascii="Times New Roman" w:hAnsi="Times New Roman"/>
          <w:b/>
          <w:sz w:val="24"/>
          <w:szCs w:val="24"/>
        </w:rPr>
      </w:pPr>
    </w:p>
    <w:p w:rsidR="00F950BC" w:rsidRPr="00337AEF" w:rsidP="00F950BC">
      <w:pPr>
        <w:bidi w:val="0"/>
        <w:jc w:val="both"/>
        <w:rPr>
          <w:rFonts w:ascii="Times New Roman" w:hAnsi="Times New Roman"/>
          <w:b/>
        </w:rPr>
      </w:pPr>
      <w:r w:rsidRPr="00337AEF">
        <w:rPr>
          <w:rFonts w:ascii="Times New Roman" w:hAnsi="Times New Roman"/>
          <w:b/>
        </w:rPr>
        <w:t xml:space="preserve">K bodu </w:t>
      </w:r>
      <w:r w:rsidR="00667CBB">
        <w:rPr>
          <w:rFonts w:ascii="Times New Roman" w:hAnsi="Times New Roman"/>
          <w:b/>
        </w:rPr>
        <w:t>7</w:t>
      </w:r>
      <w:r w:rsidRPr="00337AEF">
        <w:rPr>
          <w:rFonts w:ascii="Times New Roman" w:hAnsi="Times New Roman"/>
          <w:b/>
        </w:rPr>
        <w:t xml:space="preserve"> -  § 15</w:t>
      </w:r>
    </w:p>
    <w:p w:rsidR="00F950BC" w:rsidRPr="00337AEF" w:rsidP="00F950BC">
      <w:pPr>
        <w:pStyle w:val="ListParagraph"/>
        <w:tabs>
          <w:tab w:val="left" w:pos="0"/>
        </w:tabs>
        <w:bidi w:val="0"/>
        <w:ind w:left="0"/>
        <w:jc w:val="both"/>
        <w:rPr>
          <w:rFonts w:ascii="Times New Roman" w:hAnsi="Times New Roman"/>
          <w:sz w:val="24"/>
          <w:szCs w:val="24"/>
        </w:rPr>
      </w:pPr>
      <w:r w:rsidRPr="00337AEF">
        <w:rPr>
          <w:rFonts w:ascii="Times New Roman" w:hAnsi="Times New Roman"/>
          <w:sz w:val="24"/>
          <w:szCs w:val="24"/>
        </w:rPr>
        <w:t>V súvislosti s možnosťou uplatnenia nezdaniteľných častí len z tzv. aktívnych príjmov upravenou zákonom s účinnosťou od 1. 1. 2011, sa spresňuje aj ustanovenie výpočtu sadzby dane zo základu dane z príjmov fyzických osôb.</w:t>
      </w:r>
    </w:p>
    <w:p w:rsidR="00F950BC" w:rsidRPr="00337AEF" w:rsidP="00F950BC">
      <w:pPr>
        <w:pStyle w:val="ListParagraph"/>
        <w:bidi w:val="0"/>
        <w:ind w:left="0"/>
        <w:jc w:val="both"/>
        <w:rPr>
          <w:rFonts w:ascii="Times New Roman" w:hAnsi="Times New Roman"/>
          <w:b/>
          <w:sz w:val="24"/>
          <w:szCs w:val="24"/>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 xml:space="preserve">K bodu </w:t>
      </w:r>
      <w:r w:rsidR="00667CBB">
        <w:rPr>
          <w:rFonts w:ascii="Times New Roman" w:hAnsi="Times New Roman"/>
          <w:b/>
          <w:sz w:val="24"/>
          <w:szCs w:val="24"/>
        </w:rPr>
        <w:t>8</w:t>
      </w:r>
      <w:r w:rsidRPr="00337AEF">
        <w:rPr>
          <w:rFonts w:ascii="Times New Roman" w:hAnsi="Times New Roman"/>
          <w:b/>
          <w:sz w:val="24"/>
          <w:szCs w:val="24"/>
        </w:rPr>
        <w:t xml:space="preserve"> - § 17 ods. 24</w:t>
      </w:r>
    </w:p>
    <w:p w:rsidR="00F950BC" w:rsidRPr="00337AEF" w:rsidP="00F950BC">
      <w:pPr>
        <w:bidi w:val="0"/>
        <w:jc w:val="both"/>
        <w:rPr>
          <w:rFonts w:ascii="Times New Roman" w:hAnsi="Times New Roman"/>
        </w:rPr>
      </w:pPr>
      <w:r w:rsidRPr="00337AEF">
        <w:rPr>
          <w:rFonts w:ascii="Times New Roman" w:hAnsi="Times New Roman"/>
        </w:rPr>
        <w:t xml:space="preserve">Úprava súvisí so zjednotením odpisovania hmotného majetku nadobudnutého formou finančného prenájmu s ostatnými formami obstarania hmotného majetku. </w:t>
      </w:r>
    </w:p>
    <w:p w:rsidR="00F950BC" w:rsidRPr="00337AEF" w:rsidP="00F950BC">
      <w:pPr>
        <w:bidi w:val="0"/>
        <w:jc w:val="both"/>
        <w:rPr>
          <w:rFonts w:ascii="Times New Roman" w:hAnsi="Times New Roman"/>
        </w:rPr>
      </w:pPr>
      <w:r w:rsidRPr="00337AEF">
        <w:rPr>
          <w:rFonts w:ascii="Times New Roman" w:hAnsi="Times New Roman"/>
        </w:rPr>
        <w:t xml:space="preserve">Ustanovenie písm. a) ukladá daňovníkovi, ktorý obstaráva hmotný majetok formou finančného prenájmu a účtuje v sústave podvojného účtovníctva povinnosť upraviť základ dane pri predčasnom ukončení finančného prenájmu len o rozdiel medzi účtovnou zostatkovou cenou, ktorá je súčasťou výsledku hospodárenia a daňovou zostatkovou cenou, ktorú možno zahrnúť do základu dane. U daňovníka účtujúceho v sústave jednoduchého účtovníctva alebo ktorý vedie evidenciu podľa § 6 ods. 11 alebo ods. 14 zákona bude mať úprava základu dane rovnaký dopad ako u daňovníka účtujúceho v sústave podvojného účtovníctva. </w:t>
      </w:r>
    </w:p>
    <w:p w:rsidR="00F950BC" w:rsidRPr="00337AEF" w:rsidP="00F950BC">
      <w:pPr>
        <w:bidi w:val="0"/>
        <w:jc w:val="both"/>
        <w:rPr>
          <w:rFonts w:ascii="Times New Roman" w:hAnsi="Times New Roman"/>
        </w:rPr>
      </w:pPr>
      <w:r w:rsidRPr="00337AEF">
        <w:rPr>
          <w:rFonts w:ascii="Times New Roman" w:hAnsi="Times New Roman"/>
        </w:rPr>
        <w:t>Ustanovenie písm. b) vymedzuje úpravu základu dane v prípade predčasného odkúpenia predmetu finančného prenájmu za kúpnu cenu nižšiu ako je zostatková cena, ktorú by mala prenajatá vec pri odpisovaní podľa § 27 alebo § 28 zákona. V tomto prípade daňovník, ktorý obstaráva hmotný majetok formou finančného prenájmu zvýši základ dane o sumu už uplatnených úrokov v daňových výdavkoch. Zároveň tento rozdiel pripočíta k vstupnej cene obstarávaného majetku a majetok odpisuje z tejto zvýšenej vstupnej ceny, t. j. rozdiel zahrnie do daňových výdavkov postupne prostredníctvom odpisov.</w:t>
      </w:r>
    </w:p>
    <w:p w:rsidR="00F950BC" w:rsidP="00F950BC">
      <w:pPr>
        <w:bidi w:val="0"/>
        <w:jc w:val="both"/>
        <w:rPr>
          <w:rFonts w:ascii="Times New Roman" w:hAnsi="Times New Roman"/>
        </w:rPr>
      </w:pPr>
      <w:r w:rsidRPr="00337AEF">
        <w:rPr>
          <w:rFonts w:ascii="Times New Roman" w:hAnsi="Times New Roman"/>
        </w:rPr>
        <w:t xml:space="preserve">Ustanovenie písm. c) obsahuje úpravu základu dane v prípade skončenia tzv. operatívneho nájmu a následnej kúpy predtým prenajímanej veci za kúpnu cenu nižšiu ako jej daňová zostatková cena. V tomto prípade sa základ dane zvýši o rozdiel medzi uplatneným nájomným a výškou odpisov, ktoré by mohol uplatniť vlastník – prenajímateľ počas doby trvania nájomnej zmluvy podľa § 27 alebo </w:t>
      </w:r>
      <w:r w:rsidR="00637C19">
        <w:rPr>
          <w:rFonts w:ascii="Times New Roman" w:hAnsi="Times New Roman"/>
        </w:rPr>
        <w:t xml:space="preserve">§ </w:t>
      </w:r>
      <w:r w:rsidRPr="00337AEF">
        <w:rPr>
          <w:rFonts w:ascii="Times New Roman" w:hAnsi="Times New Roman"/>
        </w:rPr>
        <w:t xml:space="preserve">28 zákona. </w:t>
      </w:r>
    </w:p>
    <w:p w:rsidR="00F950BC" w:rsidRPr="00337AEF" w:rsidP="00F950BC">
      <w:pPr>
        <w:bidi w:val="0"/>
        <w:jc w:val="both"/>
        <w:rPr>
          <w:rFonts w:ascii="Times New Roman" w:hAnsi="Times New Roman"/>
        </w:rPr>
      </w:pPr>
    </w:p>
    <w:p w:rsidR="00F950BC" w:rsidRPr="00337AEF" w:rsidP="00F950BC">
      <w:pPr>
        <w:bidi w:val="0"/>
        <w:jc w:val="both"/>
        <w:rPr>
          <w:rFonts w:ascii="Times New Roman" w:hAnsi="Times New Roman"/>
          <w:b/>
        </w:rPr>
      </w:pPr>
      <w:r w:rsidRPr="00337AEF">
        <w:rPr>
          <w:rFonts w:ascii="Times New Roman" w:hAnsi="Times New Roman"/>
          <w:b/>
        </w:rPr>
        <w:t xml:space="preserve">K bodu </w:t>
      </w:r>
      <w:r w:rsidR="00667CBB">
        <w:rPr>
          <w:rFonts w:ascii="Times New Roman" w:hAnsi="Times New Roman"/>
          <w:b/>
        </w:rPr>
        <w:t>9</w:t>
      </w:r>
      <w:r w:rsidRPr="00337AEF">
        <w:rPr>
          <w:rFonts w:ascii="Times New Roman" w:hAnsi="Times New Roman"/>
          <w:b/>
        </w:rPr>
        <w:t xml:space="preserve"> - § 22 ods. 6 písm. f) </w:t>
      </w:r>
    </w:p>
    <w:p w:rsidR="00F950BC" w:rsidP="00F950BC">
      <w:pPr>
        <w:bidi w:val="0"/>
        <w:jc w:val="both"/>
        <w:rPr>
          <w:rFonts w:ascii="Times New Roman" w:hAnsi="Times New Roman"/>
        </w:rPr>
      </w:pPr>
      <w:r w:rsidRPr="00337AEF">
        <w:rPr>
          <w:rFonts w:ascii="Times New Roman" w:hAnsi="Times New Roman"/>
        </w:rPr>
        <w:t>Úprava je vykonaná z dôvodu zavedenia rovnakého spôsobu odpisovania hmotného majetku obstaraného formou finančného prenájmu s ostatnými formami nadobudnutia hmotného majetku. Technické zhodnotenie hmotného majetku obstarávaného formou finančného prenájmu sa nepovažuje za iný majetok odpisovaný, ale bude súčasťou vstupnej ceny hmotného majetku, resp. pri zrýchlenom spôsobe odpisovania sa zvyšuje jeho zostatková cena, a to v tom zdaňovacom období, v ktorom bolo technické zhodnotenie hmotného majetku dokončené a zaradené do užívania.</w:t>
      </w: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 xml:space="preserve">K bodu </w:t>
      </w:r>
      <w:r w:rsidR="00667CBB">
        <w:rPr>
          <w:rFonts w:ascii="Times New Roman" w:hAnsi="Times New Roman"/>
          <w:b/>
          <w:sz w:val="24"/>
          <w:szCs w:val="24"/>
        </w:rPr>
        <w:t>10</w:t>
      </w:r>
      <w:r w:rsidRPr="00337AEF">
        <w:rPr>
          <w:rFonts w:ascii="Times New Roman" w:hAnsi="Times New Roman"/>
          <w:b/>
          <w:sz w:val="24"/>
          <w:szCs w:val="24"/>
        </w:rPr>
        <w:t xml:space="preserve"> - § 22 ods. 11 a 12</w:t>
      </w:r>
    </w:p>
    <w:p w:rsidR="00F950BC" w:rsidP="00F950BC">
      <w:pPr>
        <w:bidi w:val="0"/>
        <w:jc w:val="both"/>
        <w:rPr>
          <w:rFonts w:ascii="Times New Roman" w:hAnsi="Times New Roman"/>
        </w:rPr>
      </w:pPr>
      <w:r w:rsidRPr="00337AEF">
        <w:rPr>
          <w:rFonts w:ascii="Times New Roman" w:hAnsi="Times New Roman"/>
        </w:rPr>
        <w:t>Úprava sa navrhuje v nadväznosti na zjednotenie podmienok odpisovania hmotného majetku obstaraného formou finančného prenájmu s ostatnými formami obstarania hmotného majetku.</w:t>
      </w:r>
    </w:p>
    <w:p w:rsidR="00F950BC" w:rsidP="00F950BC">
      <w:pPr>
        <w:bidi w:val="0"/>
        <w:jc w:val="both"/>
        <w:rPr>
          <w:rFonts w:ascii="Times New Roman" w:hAnsi="Times New Roman"/>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 xml:space="preserve">K bodu </w:t>
      </w:r>
      <w:r w:rsidR="00667CBB">
        <w:rPr>
          <w:rFonts w:ascii="Times New Roman" w:hAnsi="Times New Roman"/>
          <w:b/>
          <w:sz w:val="24"/>
          <w:szCs w:val="24"/>
        </w:rPr>
        <w:t>11</w:t>
      </w:r>
      <w:r w:rsidRPr="00337AEF">
        <w:rPr>
          <w:rFonts w:ascii="Times New Roman" w:hAnsi="Times New Roman"/>
          <w:b/>
          <w:sz w:val="24"/>
          <w:szCs w:val="24"/>
        </w:rPr>
        <w:t xml:space="preserve"> - § 25 ods. 3</w:t>
      </w:r>
    </w:p>
    <w:p w:rsidR="00F950BC" w:rsidP="00F950BC">
      <w:pPr>
        <w:bidi w:val="0"/>
        <w:jc w:val="both"/>
        <w:rPr>
          <w:rFonts w:ascii="Times New Roman" w:hAnsi="Times New Roman"/>
        </w:rPr>
      </w:pPr>
      <w:r w:rsidRPr="00337AEF">
        <w:rPr>
          <w:rFonts w:ascii="Times New Roman" w:hAnsi="Times New Roman"/>
        </w:rPr>
        <w:t>Úprava je vykonaná v nadväznosti na odlišné stanovenie zostatkovej ceny hmotného majetku po prvom roku odpisovania pri použití zrýchleného spôsobu odpisovania podľa § 28 ods. 2 písm. a) zákona oproti stanoveniu zostatkovej ceny hmotného majetku v ostatných prípadoch.</w:t>
      </w:r>
    </w:p>
    <w:p w:rsidR="00F950BC" w:rsidRPr="00337AEF" w:rsidP="00F950BC">
      <w:pPr>
        <w:bidi w:val="0"/>
        <w:jc w:val="both"/>
        <w:rPr>
          <w:rFonts w:ascii="Times New Roman" w:hAnsi="Times New Roman"/>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K bodom 1</w:t>
      </w:r>
      <w:r w:rsidR="00667CBB">
        <w:rPr>
          <w:rFonts w:ascii="Times New Roman" w:hAnsi="Times New Roman"/>
          <w:b/>
          <w:sz w:val="24"/>
          <w:szCs w:val="24"/>
        </w:rPr>
        <w:t>2</w:t>
      </w:r>
      <w:r w:rsidRPr="00337AEF">
        <w:rPr>
          <w:rFonts w:ascii="Times New Roman" w:hAnsi="Times New Roman"/>
          <w:b/>
          <w:sz w:val="24"/>
          <w:szCs w:val="24"/>
        </w:rPr>
        <w:t xml:space="preserve"> až </w:t>
      </w:r>
      <w:r>
        <w:rPr>
          <w:rFonts w:ascii="Times New Roman" w:hAnsi="Times New Roman"/>
          <w:b/>
          <w:sz w:val="24"/>
          <w:szCs w:val="24"/>
        </w:rPr>
        <w:t>1</w:t>
      </w:r>
      <w:r w:rsidR="00667CBB">
        <w:rPr>
          <w:rFonts w:ascii="Times New Roman" w:hAnsi="Times New Roman"/>
          <w:b/>
          <w:sz w:val="24"/>
          <w:szCs w:val="24"/>
        </w:rPr>
        <w:t>5</w:t>
      </w:r>
      <w:r w:rsidRPr="00337AEF">
        <w:rPr>
          <w:rFonts w:ascii="Times New Roman" w:hAnsi="Times New Roman"/>
          <w:b/>
          <w:sz w:val="24"/>
          <w:szCs w:val="24"/>
        </w:rPr>
        <w:t xml:space="preserve"> - § 26 ods. 2, ods. 8 až 10</w:t>
      </w:r>
    </w:p>
    <w:p w:rsidR="00F950BC" w:rsidP="00F950BC">
      <w:pPr>
        <w:bidi w:val="0"/>
        <w:jc w:val="both"/>
        <w:rPr>
          <w:rFonts w:ascii="Times New Roman" w:hAnsi="Times New Roman"/>
        </w:rPr>
      </w:pPr>
      <w:r w:rsidRPr="00337AEF">
        <w:rPr>
          <w:rFonts w:ascii="Times New Roman" w:hAnsi="Times New Roman"/>
        </w:rPr>
        <w:t>Úprava je vykonaná z dôvodu zjednotenia spôsobu odpisovania hmotného majetku obstaraného formou finančného prenájmu s ostatnými formami obstarania hmotného majetku. Hmotný majetok obstaraný formou finančného prenájmu sa odpisuje počas doby odpisovania stanovenej zákonom a nie počas doby trvania prenájmu. Tento majetok sa na daňové účely odpisuje do výšky vstupnej ceny stanovenej podľa zákona, ktorou je obstarávacia cena vymedzená zákonom o účtovníctve.</w:t>
      </w:r>
    </w:p>
    <w:p w:rsidR="00F950BC" w:rsidRPr="00337AEF" w:rsidP="00F950BC">
      <w:pPr>
        <w:bidi w:val="0"/>
        <w:jc w:val="both"/>
        <w:rPr>
          <w:rFonts w:ascii="Times New Roman" w:hAnsi="Times New Roman"/>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 xml:space="preserve">K bodom </w:t>
      </w:r>
      <w:r>
        <w:rPr>
          <w:rFonts w:ascii="Times New Roman" w:hAnsi="Times New Roman"/>
          <w:b/>
          <w:sz w:val="24"/>
          <w:szCs w:val="24"/>
        </w:rPr>
        <w:t>1</w:t>
      </w:r>
      <w:r w:rsidR="00667CBB">
        <w:rPr>
          <w:rFonts w:ascii="Times New Roman" w:hAnsi="Times New Roman"/>
          <w:b/>
          <w:sz w:val="24"/>
          <w:szCs w:val="24"/>
        </w:rPr>
        <w:t>6</w:t>
      </w:r>
      <w:r w:rsidRPr="00337AEF">
        <w:rPr>
          <w:rFonts w:ascii="Times New Roman" w:hAnsi="Times New Roman"/>
          <w:b/>
          <w:sz w:val="24"/>
          <w:szCs w:val="24"/>
        </w:rPr>
        <w:t xml:space="preserve"> a</w:t>
      </w:r>
      <w:r>
        <w:rPr>
          <w:rFonts w:ascii="Times New Roman" w:hAnsi="Times New Roman"/>
          <w:b/>
          <w:sz w:val="24"/>
          <w:szCs w:val="24"/>
        </w:rPr>
        <w:t> 1</w:t>
      </w:r>
      <w:r w:rsidR="00667CBB">
        <w:rPr>
          <w:rFonts w:ascii="Times New Roman" w:hAnsi="Times New Roman"/>
          <w:b/>
          <w:sz w:val="24"/>
          <w:szCs w:val="24"/>
        </w:rPr>
        <w:t>7</w:t>
      </w:r>
      <w:r>
        <w:rPr>
          <w:rFonts w:ascii="Times New Roman" w:hAnsi="Times New Roman"/>
          <w:b/>
          <w:sz w:val="24"/>
          <w:szCs w:val="24"/>
        </w:rPr>
        <w:t xml:space="preserve"> </w:t>
      </w:r>
      <w:r w:rsidRPr="00337AEF">
        <w:rPr>
          <w:rFonts w:ascii="Times New Roman" w:hAnsi="Times New Roman"/>
          <w:b/>
          <w:sz w:val="24"/>
          <w:szCs w:val="24"/>
        </w:rPr>
        <w:t>- § 27 ods. 2 a 3</w:t>
      </w:r>
    </w:p>
    <w:p w:rsidR="00F950BC" w:rsidRPr="00337AEF" w:rsidP="00F950BC">
      <w:pPr>
        <w:pStyle w:val="ListParagraph"/>
        <w:tabs>
          <w:tab w:val="left" w:pos="284"/>
        </w:tabs>
        <w:bidi w:val="0"/>
        <w:ind w:left="0"/>
        <w:jc w:val="both"/>
        <w:rPr>
          <w:rFonts w:ascii="Times New Roman" w:hAnsi="Times New Roman"/>
          <w:sz w:val="24"/>
          <w:szCs w:val="24"/>
        </w:rPr>
      </w:pPr>
      <w:r w:rsidRPr="00337AEF">
        <w:rPr>
          <w:rFonts w:ascii="Times New Roman" w:hAnsi="Times New Roman"/>
          <w:sz w:val="24"/>
          <w:szCs w:val="24"/>
        </w:rPr>
        <w:t xml:space="preserve">Úpravou sa zavádza nový spôsob uplatňovania odpisov do daňových výdavkov v prvom roku odpisovania v závislosti od počtu mesiacov, v ktorých sa majetok účtuje alebo eviduje. Podľa doteraz platného spôsobu odpisovania mal daňovník v roku zaradenia hmotného majetku do užívania nárok na uplatnenie celého ročného odpisu do daňových výdavkov bez ohľadu na dátum zaradenia tohto majetku do užívania. Podľa navrhovaného spôsobu môže daňovník v roku zaradenia majetku do užívania uplatniť z ročného odpisu len alikvotnú časť pripadajúcu na počet mesiacov, v ktorých sa o majetku účtuje alebo v ktorých sa majetok eviduje. Zvyšnú časť ročného odpisu neuplatneného do daňových výdavkov v roku zaradenia hmotného majetku do užívania bude môcť daňovník uplatniť v  zdaňovacom období nasledujúcom po zdaňovacom období, v ktorom  uplynula doba odpisovania hmotného majetku. </w:t>
      </w:r>
      <w:r>
        <w:rPr>
          <w:rFonts w:ascii="Times New Roman" w:hAnsi="Times New Roman"/>
          <w:sz w:val="24"/>
          <w:szCs w:val="24"/>
        </w:rPr>
        <w:t>V roku zaradenia hmotného majetku do užívania sa pri výpočte pomernej časti ročného odpisu z nezaokrúhleného ročného odpisu stanoveného podľa odseku 1 vypočíta mesačný odpis, ktorý sa prenásobí počtom mesiacov počnúc mesiacom zaradenia hmotného majetku do užívania. Až takto vypočítaná alikvótna časť ročného odpisu sa zaokrúhľuje na celé eurá nahor.</w:t>
      </w:r>
    </w:p>
    <w:p w:rsidR="00F950BC" w:rsidRPr="00337AEF" w:rsidP="00F950BC">
      <w:pPr>
        <w:pStyle w:val="ListParagraph"/>
        <w:tabs>
          <w:tab w:val="left" w:pos="284"/>
        </w:tabs>
        <w:bidi w:val="0"/>
        <w:ind w:left="0"/>
        <w:jc w:val="both"/>
        <w:rPr>
          <w:rFonts w:ascii="Times New Roman" w:hAnsi="Times New Roman"/>
          <w:sz w:val="24"/>
          <w:szCs w:val="24"/>
        </w:rPr>
      </w:pPr>
    </w:p>
    <w:p w:rsidR="00F950BC" w:rsidRPr="00337AEF" w:rsidP="00F950BC">
      <w:pPr>
        <w:pStyle w:val="ListParagraph"/>
        <w:bidi w:val="0"/>
        <w:ind w:left="0"/>
        <w:jc w:val="both"/>
        <w:rPr>
          <w:rFonts w:ascii="Times New Roman" w:hAnsi="Times New Roman"/>
          <w:b/>
          <w:sz w:val="24"/>
          <w:szCs w:val="24"/>
        </w:rPr>
      </w:pPr>
      <w:r w:rsidRPr="00337AEF">
        <w:rPr>
          <w:rFonts w:ascii="Times New Roman" w:hAnsi="Times New Roman"/>
          <w:b/>
          <w:sz w:val="24"/>
          <w:szCs w:val="24"/>
        </w:rPr>
        <w:t xml:space="preserve">K bodu </w:t>
      </w:r>
      <w:r>
        <w:rPr>
          <w:rFonts w:ascii="Times New Roman" w:hAnsi="Times New Roman"/>
          <w:b/>
          <w:sz w:val="24"/>
          <w:szCs w:val="24"/>
        </w:rPr>
        <w:t>1</w:t>
      </w:r>
      <w:r w:rsidR="00844FC6">
        <w:rPr>
          <w:rFonts w:ascii="Times New Roman" w:hAnsi="Times New Roman"/>
          <w:b/>
          <w:sz w:val="24"/>
          <w:szCs w:val="24"/>
        </w:rPr>
        <w:t>8</w:t>
      </w:r>
      <w:r w:rsidRPr="00337AEF">
        <w:rPr>
          <w:rFonts w:ascii="Times New Roman" w:hAnsi="Times New Roman"/>
          <w:b/>
          <w:sz w:val="24"/>
          <w:szCs w:val="24"/>
        </w:rPr>
        <w:t xml:space="preserve"> - § 28 ods. 2 </w:t>
      </w:r>
    </w:p>
    <w:p w:rsidR="00F950BC" w:rsidP="00F950BC">
      <w:pPr>
        <w:pStyle w:val="ListParagraph"/>
        <w:tabs>
          <w:tab w:val="left" w:pos="0"/>
        </w:tabs>
        <w:bidi w:val="0"/>
        <w:ind w:left="0"/>
        <w:jc w:val="both"/>
        <w:rPr>
          <w:rFonts w:ascii="Times New Roman" w:hAnsi="Times New Roman"/>
          <w:sz w:val="24"/>
          <w:szCs w:val="24"/>
        </w:rPr>
      </w:pPr>
      <w:r w:rsidRPr="00337AEF">
        <w:rPr>
          <w:rFonts w:ascii="Times New Roman" w:hAnsi="Times New Roman"/>
          <w:sz w:val="24"/>
          <w:szCs w:val="24"/>
        </w:rPr>
        <w:t xml:space="preserve">Úpravou sa zavádza nový spôsob uplatňovania odpisov hmotného majetku do daňových výdavkov v prvom roku odpisovania v závislosti od počtu mesiacov, v ktorých sa majetok účtuje alebo eviduje. Podľa doteraz platného spôsobu odpisovania mal daňovník v roku zaradenia hmotného majetku do užívania nárok na uplatnenie celého ročného odpisu do daňových výdavkov bez ohľadu na dátum zaradenia tohto majetku do užívania. Podľa navrhovaného spôsobu môže daňovník v roku zaradenia majetku do užívania uplatniť z ročného odpisu len alikvotnú časť pripadajúcu na počet mesiacov, v ktorých sa o majetku účtuje, alebo v ktorých sa majetok eviduje. </w:t>
      </w:r>
      <w:r w:rsidR="0005569A">
        <w:rPr>
          <w:rFonts w:ascii="Times New Roman" w:hAnsi="Times New Roman"/>
          <w:sz w:val="24"/>
          <w:szCs w:val="24"/>
        </w:rPr>
        <w:t>Pre účely výpočtu</w:t>
      </w:r>
      <w:r w:rsidR="003A43DB">
        <w:rPr>
          <w:rFonts w:ascii="Times New Roman" w:hAnsi="Times New Roman"/>
          <w:sz w:val="24"/>
          <w:szCs w:val="24"/>
        </w:rPr>
        <w:t xml:space="preserve"> odpisov v</w:t>
      </w:r>
      <w:r w:rsidR="0005569A">
        <w:rPr>
          <w:rFonts w:ascii="Times New Roman" w:hAnsi="Times New Roman"/>
          <w:sz w:val="24"/>
          <w:szCs w:val="24"/>
        </w:rPr>
        <w:t xml:space="preserve"> druhom roku odpisovania sa zostatková cena stanoví ako rozdiel medzi vstupnou cenou a podielom vstupnej ceny a priradeného koeficientu pre prvý rok odpisovania. Pri výpočte odpisov v ďalších rokoch odpisovania sa zostatková cena stanovená na účely výpočtu odpisov v druhom roku odpisovania zníži o daňové odpisy hmotného majetku, ktoré sú zahrnuté do daňových výdavkov počnúc druhým rokom odpisovania. </w:t>
      </w:r>
    </w:p>
    <w:p w:rsidR="007931AC" w:rsidRPr="00337AEF" w:rsidP="00F950BC">
      <w:pPr>
        <w:pStyle w:val="ListParagraph"/>
        <w:tabs>
          <w:tab w:val="left" w:pos="0"/>
        </w:tabs>
        <w:bidi w:val="0"/>
        <w:ind w:left="0"/>
        <w:jc w:val="both"/>
        <w:rPr>
          <w:rFonts w:ascii="Times New Roman" w:hAnsi="Times New Roman"/>
          <w:sz w:val="24"/>
          <w:szCs w:val="24"/>
        </w:rPr>
      </w:pPr>
    </w:p>
    <w:p w:rsidR="00F950BC" w:rsidRPr="00337AEF" w:rsidP="00F950BC">
      <w:pPr>
        <w:pStyle w:val="ListParagraph"/>
        <w:tabs>
          <w:tab w:val="left" w:pos="0"/>
        </w:tabs>
        <w:bidi w:val="0"/>
        <w:ind w:left="0"/>
        <w:jc w:val="both"/>
        <w:rPr>
          <w:rFonts w:ascii="Times New Roman" w:hAnsi="Times New Roman"/>
          <w:b/>
          <w:sz w:val="24"/>
          <w:szCs w:val="24"/>
        </w:rPr>
      </w:pPr>
      <w:r w:rsidRPr="00337AEF">
        <w:rPr>
          <w:rFonts w:ascii="Times New Roman" w:hAnsi="Times New Roman"/>
          <w:b/>
          <w:sz w:val="24"/>
          <w:szCs w:val="24"/>
        </w:rPr>
        <w:t xml:space="preserve">K bodu </w:t>
      </w:r>
      <w:r>
        <w:rPr>
          <w:rFonts w:ascii="Times New Roman" w:hAnsi="Times New Roman"/>
          <w:b/>
          <w:sz w:val="24"/>
          <w:szCs w:val="24"/>
        </w:rPr>
        <w:t>1</w:t>
      </w:r>
      <w:r w:rsidR="00844FC6">
        <w:rPr>
          <w:rFonts w:ascii="Times New Roman" w:hAnsi="Times New Roman"/>
          <w:b/>
          <w:sz w:val="24"/>
          <w:szCs w:val="24"/>
        </w:rPr>
        <w:t>9</w:t>
      </w:r>
      <w:r w:rsidRPr="00337AEF">
        <w:rPr>
          <w:rFonts w:ascii="Times New Roman" w:hAnsi="Times New Roman"/>
          <w:b/>
          <w:sz w:val="24"/>
          <w:szCs w:val="24"/>
        </w:rPr>
        <w:t xml:space="preserve"> - § 28 ods. 4</w:t>
      </w:r>
    </w:p>
    <w:p w:rsidR="00F950BC" w:rsidRPr="00337AEF" w:rsidP="00F950BC">
      <w:pPr>
        <w:pStyle w:val="ListParagraph"/>
        <w:tabs>
          <w:tab w:val="left" w:pos="0"/>
        </w:tabs>
        <w:bidi w:val="0"/>
        <w:ind w:left="0"/>
        <w:jc w:val="both"/>
        <w:rPr>
          <w:rFonts w:ascii="Times New Roman" w:hAnsi="Times New Roman"/>
          <w:sz w:val="24"/>
          <w:szCs w:val="24"/>
        </w:rPr>
      </w:pPr>
      <w:r w:rsidRPr="00337AEF">
        <w:rPr>
          <w:rFonts w:ascii="Times New Roman" w:hAnsi="Times New Roman"/>
          <w:sz w:val="24"/>
          <w:szCs w:val="24"/>
        </w:rPr>
        <w:t>Navrhovanou úpravou sa stanovuje zahrnutie zvyšnej časti ročného odpisu neuplatneného do daňových výdavkov v roku zaradenia hmotného majetku do užívania podľa § 28 ods. 2 písm. a) zákona v nadväznosti na vykonanie, resp. nevykonanie technického zhodnotenia tohto majetku.</w:t>
      </w:r>
    </w:p>
    <w:p w:rsidR="00F950BC" w:rsidRPr="00337AEF" w:rsidP="00F950BC">
      <w:pPr>
        <w:pStyle w:val="ListParagraph"/>
        <w:tabs>
          <w:tab w:val="left" w:pos="0"/>
        </w:tabs>
        <w:bidi w:val="0"/>
        <w:ind w:left="0"/>
        <w:jc w:val="both"/>
        <w:rPr>
          <w:rFonts w:ascii="Times New Roman" w:hAnsi="Times New Roman"/>
          <w:sz w:val="24"/>
          <w:szCs w:val="24"/>
        </w:rPr>
      </w:pPr>
    </w:p>
    <w:p w:rsidR="00F950BC" w:rsidRPr="00337AEF" w:rsidP="00F950BC">
      <w:pPr>
        <w:bidi w:val="0"/>
        <w:jc w:val="both"/>
        <w:rPr>
          <w:rStyle w:val="PlaceholderText"/>
          <w:b/>
          <w:color w:val="000000"/>
        </w:rPr>
      </w:pPr>
      <w:r w:rsidRPr="00337AEF">
        <w:rPr>
          <w:rStyle w:val="PlaceholderText"/>
          <w:b/>
          <w:color w:val="000000"/>
        </w:rPr>
        <w:t xml:space="preserve">K bodu </w:t>
      </w:r>
      <w:r w:rsidR="00844FC6">
        <w:rPr>
          <w:rStyle w:val="PlaceholderText"/>
          <w:b/>
          <w:color w:val="000000"/>
        </w:rPr>
        <w:t>20</w:t>
      </w:r>
      <w:r w:rsidRPr="00337AEF">
        <w:rPr>
          <w:rStyle w:val="PlaceholderText"/>
          <w:b/>
          <w:color w:val="000000"/>
        </w:rPr>
        <w:t xml:space="preserve"> - § 30 ods. 1</w:t>
      </w:r>
    </w:p>
    <w:p w:rsidR="00F950BC" w:rsidP="00F950BC">
      <w:pPr>
        <w:bidi w:val="0"/>
        <w:jc w:val="both"/>
        <w:rPr>
          <w:rFonts w:ascii="Times New Roman" w:hAnsi="Times New Roman"/>
        </w:rPr>
      </w:pPr>
      <w:r w:rsidRPr="00337AEF">
        <w:rPr>
          <w:rFonts w:ascii="Times New Roman" w:hAnsi="Times New Roman"/>
        </w:rPr>
        <w:t>S účinnosťou od 1.1.2012 sa navrhuje úprava daňovej straty, ktorú bude možné vykázať len z príjmov  z podnikania alebo z inej samostatnej zárobkovej činnosti, pričom túto bude možné ďalej uplatňovať len od základu dane z týchto príjmov v nasledujúcich zdaňovacích obdobiach podľa § 30 zákona. Touto úpravou dôjde k rovnakému uplatňovaniu daňovej straty vzniknutej u daňovníka fyzickej osoby so stratou vzniknutou  u daňovníka právnickej osoby.</w:t>
      </w:r>
    </w:p>
    <w:p w:rsidR="00844FC6" w:rsidP="00F950BC">
      <w:pPr>
        <w:bidi w:val="0"/>
        <w:jc w:val="both"/>
        <w:rPr>
          <w:rFonts w:ascii="Times New Roman" w:hAnsi="Times New Roman"/>
        </w:rPr>
      </w:pPr>
    </w:p>
    <w:p w:rsidR="007E6E09" w:rsidP="00F950BC">
      <w:pPr>
        <w:bidi w:val="0"/>
        <w:jc w:val="both"/>
        <w:rPr>
          <w:rFonts w:ascii="Times New Roman" w:hAnsi="Times New Roman"/>
          <w:b/>
        </w:rPr>
      </w:pPr>
    </w:p>
    <w:p w:rsidR="007E6E09" w:rsidP="00F950BC">
      <w:pPr>
        <w:bidi w:val="0"/>
        <w:jc w:val="both"/>
        <w:rPr>
          <w:rFonts w:ascii="Times New Roman" w:hAnsi="Times New Roman"/>
          <w:b/>
        </w:rPr>
      </w:pPr>
    </w:p>
    <w:p w:rsidR="007E6E09" w:rsidP="00F950BC">
      <w:pPr>
        <w:bidi w:val="0"/>
        <w:jc w:val="both"/>
        <w:rPr>
          <w:rFonts w:ascii="Times New Roman" w:hAnsi="Times New Roman"/>
          <w:b/>
        </w:rPr>
      </w:pPr>
    </w:p>
    <w:p w:rsidR="00844FC6" w:rsidP="00F950BC">
      <w:pPr>
        <w:bidi w:val="0"/>
        <w:jc w:val="both"/>
        <w:rPr>
          <w:rFonts w:ascii="Times New Roman" w:hAnsi="Times New Roman"/>
          <w:b/>
        </w:rPr>
      </w:pPr>
      <w:r w:rsidRPr="00844FC6">
        <w:rPr>
          <w:rFonts w:ascii="Times New Roman" w:hAnsi="Times New Roman"/>
          <w:b/>
        </w:rPr>
        <w:t>K bodu 21 - § 49 ods. 2</w:t>
      </w:r>
    </w:p>
    <w:p w:rsidR="00844FC6" w:rsidP="00844FC6">
      <w:pPr>
        <w:bidi w:val="0"/>
        <w:jc w:val="both"/>
        <w:rPr>
          <w:rFonts w:ascii="Times New Roman" w:hAnsi="Times New Roman"/>
        </w:rPr>
      </w:pPr>
      <w:r w:rsidRPr="00844FC6">
        <w:rPr>
          <w:rFonts w:ascii="Times New Roman" w:hAnsi="Times New Roman"/>
        </w:rPr>
        <w:t>Ustanovenie sa spresňuje, aby bolo jednoznačné, že do termínu na podanie hlásenia je povinný zamestnávateľ, ktorý je platiteľom dane, preddavky na daň a daň vybratú od svojich zamestnancov odviesť správcovi dane.</w:t>
      </w:r>
    </w:p>
    <w:p w:rsidR="00844FC6" w:rsidRPr="00844FC6" w:rsidP="00F950BC">
      <w:pPr>
        <w:bidi w:val="0"/>
        <w:jc w:val="both"/>
        <w:rPr>
          <w:rFonts w:ascii="Times New Roman" w:hAnsi="Times New Roman"/>
          <w:b/>
        </w:rPr>
      </w:pPr>
    </w:p>
    <w:p w:rsidR="00F950BC" w:rsidP="00F950BC">
      <w:pPr>
        <w:bidi w:val="0"/>
        <w:jc w:val="both"/>
        <w:rPr>
          <w:rFonts w:ascii="Times New Roman" w:hAnsi="Times New Roman"/>
          <w:b/>
        </w:rPr>
      </w:pPr>
      <w:r w:rsidRPr="00844FC6" w:rsidR="00844FC6">
        <w:rPr>
          <w:rFonts w:ascii="Times New Roman" w:hAnsi="Times New Roman"/>
          <w:b/>
        </w:rPr>
        <w:t>K bodu 22 - § 49 ods. 11</w:t>
      </w:r>
    </w:p>
    <w:p w:rsidR="00844FC6" w:rsidRPr="00844FC6" w:rsidP="00844FC6">
      <w:pPr>
        <w:bidi w:val="0"/>
        <w:rPr>
          <w:rFonts w:ascii="Times New Roman" w:hAnsi="Times New Roman"/>
        </w:rPr>
      </w:pPr>
      <w:r w:rsidRPr="00844FC6">
        <w:rPr>
          <w:rFonts w:ascii="Times New Roman" w:hAnsi="Times New Roman"/>
        </w:rPr>
        <w:t>Ide o legislatívno-technické spresnenie.</w:t>
      </w:r>
    </w:p>
    <w:p w:rsidR="00844FC6" w:rsidP="00F950BC">
      <w:pPr>
        <w:bidi w:val="0"/>
        <w:jc w:val="both"/>
        <w:rPr>
          <w:rFonts w:ascii="Times New Roman" w:hAnsi="Times New Roman"/>
          <w:b/>
        </w:rPr>
      </w:pPr>
    </w:p>
    <w:p w:rsidR="00844FC6" w:rsidP="00F950BC">
      <w:pPr>
        <w:bidi w:val="0"/>
        <w:jc w:val="both"/>
        <w:rPr>
          <w:rFonts w:ascii="Times New Roman" w:hAnsi="Times New Roman"/>
          <w:b/>
        </w:rPr>
      </w:pPr>
      <w:r>
        <w:rPr>
          <w:rFonts w:ascii="Times New Roman" w:hAnsi="Times New Roman"/>
          <w:b/>
        </w:rPr>
        <w:t>K bodu 23 – poznámka pod čiarou 136c)</w:t>
      </w:r>
    </w:p>
    <w:p w:rsidR="00844FC6" w:rsidRPr="00844FC6" w:rsidP="00844FC6">
      <w:pPr>
        <w:bidi w:val="0"/>
        <w:rPr>
          <w:rFonts w:ascii="Times New Roman" w:hAnsi="Times New Roman"/>
        </w:rPr>
      </w:pPr>
      <w:r w:rsidRPr="00844FC6">
        <w:rPr>
          <w:rFonts w:ascii="Times New Roman" w:hAnsi="Times New Roman"/>
        </w:rPr>
        <w:t>Ide o legislatívno-technické spresnenie.</w:t>
      </w:r>
    </w:p>
    <w:p w:rsidR="00844FC6" w:rsidRPr="00844FC6" w:rsidP="00F950BC">
      <w:pPr>
        <w:bidi w:val="0"/>
        <w:jc w:val="both"/>
        <w:rPr>
          <w:rFonts w:ascii="Times New Roman" w:hAnsi="Times New Roman"/>
          <w:b/>
        </w:rPr>
      </w:pPr>
    </w:p>
    <w:p w:rsidR="009A5FF1" w:rsidP="00F950BC">
      <w:pPr>
        <w:bidi w:val="0"/>
        <w:jc w:val="both"/>
        <w:rPr>
          <w:rStyle w:val="PlaceholderText"/>
          <w:b/>
          <w:color w:val="000000"/>
        </w:rPr>
      </w:pPr>
      <w:r w:rsidR="00844FC6">
        <w:rPr>
          <w:rStyle w:val="PlaceholderText"/>
          <w:b/>
          <w:color w:val="000000"/>
        </w:rPr>
        <w:t>K bodu 24</w:t>
      </w:r>
      <w:r>
        <w:rPr>
          <w:rStyle w:val="PlaceholderText"/>
          <w:b/>
          <w:color w:val="000000"/>
        </w:rPr>
        <w:t xml:space="preserve"> - § 49a ods. 1</w:t>
      </w:r>
      <w:r w:rsidR="0009793D">
        <w:rPr>
          <w:rStyle w:val="PlaceholderText"/>
          <w:b/>
          <w:color w:val="000000"/>
        </w:rPr>
        <w:t>0</w:t>
      </w:r>
    </w:p>
    <w:p w:rsidR="009A5FF1" w:rsidRPr="009A5FF1" w:rsidP="0009793D">
      <w:pPr>
        <w:bidi w:val="0"/>
        <w:jc w:val="both"/>
        <w:rPr>
          <w:rFonts w:ascii="Times New Roman" w:hAnsi="Times New Roman"/>
        </w:rPr>
      </w:pPr>
      <w:r w:rsidRPr="009A5FF1">
        <w:rPr>
          <w:rFonts w:ascii="Times New Roman" w:hAnsi="Times New Roman"/>
        </w:rPr>
        <w:t>Ustanovenie sa dopĺňa z dôvodu právnej istoty, aby s</w:t>
      </w:r>
      <w:r w:rsidR="00F46346">
        <w:rPr>
          <w:rFonts w:ascii="Times New Roman" w:hAnsi="Times New Roman"/>
        </w:rPr>
        <w:t>i</w:t>
      </w:r>
      <w:r w:rsidRPr="009A5FF1">
        <w:rPr>
          <w:rFonts w:ascii="Times New Roman" w:hAnsi="Times New Roman"/>
        </w:rPr>
        <w:t xml:space="preserve"> daňovníci, fyzické osoby, ktoré získavajú oprávnenie na podnikanie podľa živnostenského zákona na jednotnom kontaktom mieste (JKM), mohli na tomto mieste plniť aj svoje registračné povinnosti k dani z príjmov a následne si tam plniť aj všetky oznamovacie povinnosti. </w:t>
      </w:r>
      <w:r w:rsidR="0009793D">
        <w:rPr>
          <w:rFonts w:ascii="Times New Roman" w:hAnsi="Times New Roman"/>
        </w:rPr>
        <w:t xml:space="preserve">Fyzické osoby iné ako tie, ktoré získajú oprávnenie na podnikanie podľa živnostenského zákona na JKM, rovnako ako aj právnické osoby sa môžu rozhodnúť, či svoje registračné a oznamovacie povinnosti k dani z príjmov budú plniť u správcu dane alebo na JKM. </w:t>
      </w:r>
    </w:p>
    <w:p w:rsidR="009A5FF1" w:rsidRPr="009A5FF1" w:rsidP="009A5FF1">
      <w:pPr>
        <w:bidi w:val="0"/>
        <w:rPr>
          <w:rFonts w:ascii="Times New Roman" w:hAnsi="Times New Roman"/>
          <w:color w:val="1F497D"/>
        </w:rPr>
      </w:pPr>
    </w:p>
    <w:p w:rsidR="00DD781E" w:rsidP="00F950BC">
      <w:pPr>
        <w:bidi w:val="0"/>
        <w:jc w:val="both"/>
        <w:rPr>
          <w:rStyle w:val="PlaceholderText"/>
          <w:b/>
          <w:color w:val="000000"/>
        </w:rPr>
      </w:pPr>
      <w:r w:rsidR="00844FC6">
        <w:rPr>
          <w:rStyle w:val="PlaceholderText"/>
          <w:b/>
          <w:color w:val="000000"/>
        </w:rPr>
        <w:t xml:space="preserve"> </w:t>
      </w:r>
      <w:r w:rsidRPr="00337AEF" w:rsidR="00F950BC">
        <w:rPr>
          <w:rStyle w:val="PlaceholderText"/>
          <w:b/>
          <w:color w:val="000000"/>
        </w:rPr>
        <w:t xml:space="preserve">K bodu </w:t>
      </w:r>
      <w:r w:rsidR="009A5FF1">
        <w:rPr>
          <w:rStyle w:val="PlaceholderText"/>
          <w:b/>
          <w:color w:val="000000"/>
        </w:rPr>
        <w:t>2</w:t>
      </w:r>
      <w:r w:rsidR="00487F6B">
        <w:rPr>
          <w:rStyle w:val="PlaceholderText"/>
          <w:b/>
          <w:color w:val="000000"/>
        </w:rPr>
        <w:t>5</w:t>
      </w:r>
      <w:r w:rsidRPr="00337AEF" w:rsidR="00F950BC">
        <w:rPr>
          <w:rStyle w:val="PlaceholderText"/>
          <w:b/>
          <w:color w:val="000000"/>
        </w:rPr>
        <w:t xml:space="preserve"> </w:t>
      </w:r>
      <w:r>
        <w:rPr>
          <w:rStyle w:val="PlaceholderText"/>
          <w:b/>
          <w:color w:val="000000"/>
        </w:rPr>
        <w:t>- § 51b ods. 13</w:t>
      </w:r>
    </w:p>
    <w:p w:rsidR="00DD781E" w:rsidP="00F950BC">
      <w:pPr>
        <w:bidi w:val="0"/>
        <w:jc w:val="both"/>
        <w:rPr>
          <w:rStyle w:val="PlaceholderText"/>
          <w:color w:val="000000"/>
        </w:rPr>
      </w:pPr>
      <w:r w:rsidR="00D51E0A">
        <w:rPr>
          <w:rStyle w:val="PlaceholderText"/>
          <w:color w:val="000000"/>
        </w:rPr>
        <w:t>V nadväznosti na</w:t>
      </w:r>
      <w:r w:rsidR="00F46346">
        <w:rPr>
          <w:rStyle w:val="PlaceholderText"/>
          <w:color w:val="000000"/>
        </w:rPr>
        <w:t xml:space="preserve"> daňový poriadok</w:t>
      </w:r>
      <w:r w:rsidR="00D51E0A">
        <w:rPr>
          <w:rStyle w:val="PlaceholderText"/>
          <w:color w:val="000000"/>
        </w:rPr>
        <w:t xml:space="preserve"> sa</w:t>
      </w:r>
      <w:r>
        <w:rPr>
          <w:rStyle w:val="PlaceholderText"/>
          <w:color w:val="000000"/>
        </w:rPr>
        <w:t xml:space="preserve"> </w:t>
      </w:r>
      <w:r w:rsidR="00CB3C17">
        <w:rPr>
          <w:rStyle w:val="PlaceholderText"/>
          <w:color w:val="000000"/>
        </w:rPr>
        <w:t>stanovuje možnosť</w:t>
      </w:r>
      <w:r w:rsidR="00D51E0A">
        <w:rPr>
          <w:rStyle w:val="PlaceholderText"/>
          <w:color w:val="000000"/>
        </w:rPr>
        <w:t xml:space="preserve"> určenia</w:t>
      </w:r>
      <w:r w:rsidR="00CB3C17">
        <w:rPr>
          <w:rStyle w:val="PlaceholderText"/>
          <w:color w:val="000000"/>
        </w:rPr>
        <w:t xml:space="preserve"> platenia preddavkov na daň z emisných kvót inak</w:t>
      </w:r>
      <w:r w:rsidR="00D51E0A">
        <w:rPr>
          <w:rStyle w:val="PlaceholderText"/>
          <w:color w:val="000000"/>
        </w:rPr>
        <w:t xml:space="preserve">, ak daňovník o to správcu dane požiada. </w:t>
      </w:r>
      <w:r w:rsidR="00CB3C17">
        <w:rPr>
          <w:rStyle w:val="PlaceholderText"/>
          <w:color w:val="000000"/>
        </w:rPr>
        <w:t xml:space="preserve"> </w:t>
      </w:r>
    </w:p>
    <w:p w:rsidR="00CB3C17" w:rsidRPr="00DD781E" w:rsidP="00F950BC">
      <w:pPr>
        <w:bidi w:val="0"/>
        <w:jc w:val="both"/>
        <w:rPr>
          <w:rStyle w:val="PlaceholderText"/>
          <w:color w:val="000000"/>
        </w:rPr>
      </w:pPr>
    </w:p>
    <w:p w:rsidR="00F950BC" w:rsidRPr="00337AEF" w:rsidP="00F950BC">
      <w:pPr>
        <w:bidi w:val="0"/>
        <w:jc w:val="both"/>
        <w:rPr>
          <w:rStyle w:val="PlaceholderText"/>
          <w:b/>
          <w:color w:val="000000"/>
        </w:rPr>
      </w:pPr>
      <w:r w:rsidR="00DD781E">
        <w:rPr>
          <w:rStyle w:val="PlaceholderText"/>
          <w:b/>
          <w:color w:val="000000"/>
        </w:rPr>
        <w:t>K bodu 2</w:t>
      </w:r>
      <w:r w:rsidR="00487F6B">
        <w:rPr>
          <w:rStyle w:val="PlaceholderText"/>
          <w:b/>
          <w:color w:val="000000"/>
        </w:rPr>
        <w:t>6</w:t>
      </w:r>
      <w:r w:rsidR="00DD781E">
        <w:rPr>
          <w:rStyle w:val="PlaceholderText"/>
          <w:b/>
          <w:color w:val="000000"/>
        </w:rPr>
        <w:t xml:space="preserve"> </w:t>
      </w:r>
      <w:r w:rsidRPr="00337AEF">
        <w:rPr>
          <w:rStyle w:val="PlaceholderText"/>
          <w:b/>
          <w:color w:val="000000"/>
        </w:rPr>
        <w:t>- § 52n</w:t>
      </w:r>
    </w:p>
    <w:p w:rsidR="00F950BC" w:rsidRPr="002B038E" w:rsidP="00F950BC">
      <w:pPr>
        <w:bidi w:val="0"/>
        <w:jc w:val="both"/>
        <w:rPr>
          <w:rFonts w:ascii="Times New Roman" w:hAnsi="Times New Roman"/>
        </w:rPr>
      </w:pPr>
      <w:r w:rsidRPr="002B038E">
        <w:rPr>
          <w:rFonts w:ascii="Times New Roman" w:hAnsi="Times New Roman"/>
          <w:u w:val="single"/>
        </w:rPr>
        <w:t>K odseku 1</w:t>
      </w:r>
      <w:r w:rsidRPr="002B038E">
        <w:rPr>
          <w:rFonts w:ascii="Times New Roman" w:hAnsi="Times New Roman"/>
        </w:rPr>
        <w:t xml:space="preserve"> – </w:t>
      </w:r>
      <w:r w:rsidRPr="002B038E" w:rsidR="00844FC6">
        <w:rPr>
          <w:rFonts w:ascii="Times New Roman" w:hAnsi="Times New Roman"/>
        </w:rPr>
        <w:t>Zmeny zákona týkajúce sa finančného prenájmu sa uplatňujú na zmluvy s dojednaným právom kúpy prenajatej veci uzatvorené po 31. decembri 2011. Na zmluvy s dojednaným právom kúpy prenajatej veci uzatvorené do 31. decembra 2011 sa použijú ustanovenia zákona platného do 31. decembra 2011. Súčasne sa zachováva možnosť postupovať pri postúpení nájomnej zmluvy uzatvorenej do 31. decembra 2011 bez zmeny podmienok na nového nájomcu po 31. decembri 2011 podľa zákona platného do 31. decembra 2011.</w:t>
      </w:r>
    </w:p>
    <w:p w:rsidR="0073581A" w:rsidP="00F950BC">
      <w:pPr>
        <w:bidi w:val="0"/>
        <w:jc w:val="both"/>
        <w:rPr>
          <w:rFonts w:ascii="Times New Roman" w:hAnsi="Times New Roman"/>
        </w:rPr>
      </w:pPr>
      <w:r w:rsidRPr="002B038E" w:rsidR="00F950BC">
        <w:rPr>
          <w:rFonts w:ascii="Times New Roman" w:hAnsi="Times New Roman"/>
          <w:u w:val="single"/>
        </w:rPr>
        <w:t>K odseku 2</w:t>
      </w:r>
      <w:r w:rsidRPr="002B038E" w:rsidR="00F950BC">
        <w:rPr>
          <w:rFonts w:ascii="Times New Roman" w:hAnsi="Times New Roman"/>
        </w:rPr>
        <w:t xml:space="preserve"> - </w:t>
      </w:r>
      <w:r w:rsidRPr="002B038E" w:rsidR="002B038E">
        <w:rPr>
          <w:rFonts w:ascii="Times New Roman" w:hAnsi="Times New Roman"/>
        </w:rPr>
        <w:t xml:space="preserve">Navrhovaná nová úprava v ustanovení § 6 ods. 6 zákona nadväzuje na nutnosť rozdeliť čiastkové základy dane z príjmov z podnikania alebo z inej samostatnej zárobkovej činnosti (§ 6 ods. 1 a 2 zákona) od základu dane z príjmov z prenájmu nehnuteľnosti (§ 6 ods. 3 zákona) z dôvodu uplatnenia nezdaniteľných častí daňovníka len od tzv. aktívnych príjmov, pričom uvedené znenie prvej vety § 6 ods. 6 zákona bude účinné už pri podaní daňového priznania za zdaňovacie obdobie roka 2011. </w:t>
      </w:r>
    </w:p>
    <w:p w:rsidR="00F950BC" w:rsidRPr="002B038E" w:rsidP="00F950BC">
      <w:pPr>
        <w:bidi w:val="0"/>
        <w:jc w:val="both"/>
        <w:rPr>
          <w:rFonts w:ascii="Times New Roman" w:hAnsi="Times New Roman"/>
        </w:rPr>
      </w:pPr>
      <w:r w:rsidRPr="0073581A" w:rsidR="0073581A">
        <w:rPr>
          <w:rFonts w:ascii="Times New Roman" w:hAnsi="Times New Roman"/>
          <w:u w:val="single"/>
        </w:rPr>
        <w:t>K odseku 3</w:t>
      </w:r>
      <w:r w:rsidR="0073581A">
        <w:rPr>
          <w:rFonts w:ascii="Times New Roman" w:hAnsi="Times New Roman"/>
        </w:rPr>
        <w:t xml:space="preserve"> - </w:t>
      </w:r>
      <w:r w:rsidRPr="002B038E" w:rsidR="002B038E">
        <w:rPr>
          <w:rFonts w:ascii="Times New Roman" w:hAnsi="Times New Roman"/>
        </w:rPr>
        <w:t>Ustanovenia § 4 ods. 2, druhej a tretej vety § 6 ods. 6 a § 30 zákona sa použijú až na daňovú stratu vykázanú po 31. decembri 2011, t.j. možnosť vzniku daňovej straty len od príjmov z podnikania alebo z inej samostatnej zárobkovej činnosti uplatňovanú až v nasledujúcich zdaňovacích obdobiach podľa § 30 a zrušenie možnosti vykázania daňovej straty od príjmov z prenájmu sa bude vzťahovať až na straty vykázané po 31. decembri 2011.</w:t>
      </w:r>
    </w:p>
    <w:p w:rsidR="0005569A" w:rsidP="002B038E">
      <w:pPr>
        <w:bidi w:val="0"/>
        <w:jc w:val="both"/>
        <w:rPr>
          <w:rFonts w:ascii="Times New Roman" w:hAnsi="Times New Roman"/>
        </w:rPr>
      </w:pPr>
      <w:r w:rsidRPr="002B038E" w:rsidR="00F950BC">
        <w:rPr>
          <w:rFonts w:ascii="Times New Roman" w:hAnsi="Times New Roman"/>
          <w:u w:val="single"/>
        </w:rPr>
        <w:t xml:space="preserve">K odseku </w:t>
      </w:r>
      <w:r w:rsidR="0073581A">
        <w:rPr>
          <w:rFonts w:ascii="Times New Roman" w:hAnsi="Times New Roman"/>
          <w:u w:val="single"/>
        </w:rPr>
        <w:t>4</w:t>
      </w:r>
      <w:r w:rsidRPr="002B038E" w:rsidR="00F950BC">
        <w:rPr>
          <w:rFonts w:ascii="Times New Roman" w:hAnsi="Times New Roman"/>
        </w:rPr>
        <w:t xml:space="preserve"> - </w:t>
      </w:r>
      <w:r w:rsidRPr="003C6694" w:rsidR="002B038E">
        <w:rPr>
          <w:rFonts w:ascii="Times New Roman" w:hAnsi="Times New Roman"/>
        </w:rPr>
        <w:t>Navrhovaná nová úprava v ustanoven</w:t>
      </w:r>
      <w:r w:rsidR="006D5648">
        <w:rPr>
          <w:rFonts w:ascii="Times New Roman" w:hAnsi="Times New Roman"/>
        </w:rPr>
        <w:t>iach</w:t>
      </w:r>
      <w:r w:rsidRPr="003C6694" w:rsidR="002B038E">
        <w:rPr>
          <w:rFonts w:ascii="Times New Roman" w:hAnsi="Times New Roman"/>
        </w:rPr>
        <w:t xml:space="preserve"> §</w:t>
      </w:r>
      <w:r w:rsidR="002B038E">
        <w:rPr>
          <w:rFonts w:ascii="Times New Roman" w:hAnsi="Times New Roman"/>
        </w:rPr>
        <w:t xml:space="preserve">13 ods. 1 písm. b) a e) sa uplatní </w:t>
      </w:r>
      <w:r w:rsidRPr="00101F59" w:rsidR="002B038E">
        <w:rPr>
          <w:rFonts w:ascii="Times New Roman" w:hAnsi="Times New Roman"/>
        </w:rPr>
        <w:t xml:space="preserve">už pri podaní daňového priznania </w:t>
      </w:r>
      <w:r>
        <w:rPr>
          <w:rFonts w:ascii="Times New Roman" w:hAnsi="Times New Roman"/>
        </w:rPr>
        <w:t>po 31. decembri 2011</w:t>
      </w:r>
      <w:r w:rsidR="002B038E">
        <w:rPr>
          <w:rFonts w:ascii="Times New Roman" w:hAnsi="Times New Roman"/>
        </w:rPr>
        <w:t>, t.j. príjmy plynúce</w:t>
      </w:r>
      <w:r>
        <w:rPr>
          <w:rFonts w:ascii="Times New Roman" w:hAnsi="Times New Roman"/>
        </w:rPr>
        <w:t xml:space="preserve"> obciam, vyšším územným celkom alebo ich rozpočtovým organizáciám</w:t>
      </w:r>
      <w:r w:rsidR="002B038E">
        <w:rPr>
          <w:rFonts w:ascii="Times New Roman" w:hAnsi="Times New Roman"/>
        </w:rPr>
        <w:t xml:space="preserve"> v roku 2011 z</w:t>
      </w:r>
      <w:r>
        <w:rPr>
          <w:rFonts w:ascii="Times New Roman" w:hAnsi="Times New Roman"/>
        </w:rPr>
        <w:t> </w:t>
      </w:r>
      <w:r w:rsidR="002B038E">
        <w:rPr>
          <w:rFonts w:ascii="Times New Roman" w:hAnsi="Times New Roman"/>
        </w:rPr>
        <w:t>prenájmu</w:t>
      </w:r>
      <w:r>
        <w:rPr>
          <w:rFonts w:ascii="Times New Roman" w:hAnsi="Times New Roman"/>
        </w:rPr>
        <w:t xml:space="preserve"> ich</w:t>
      </w:r>
      <w:r w:rsidR="002B038E">
        <w:rPr>
          <w:rFonts w:ascii="Times New Roman" w:hAnsi="Times New Roman"/>
        </w:rPr>
        <w:t xml:space="preserve"> majetku </w:t>
      </w:r>
      <w:r>
        <w:rPr>
          <w:rFonts w:ascii="Times New Roman" w:hAnsi="Times New Roman"/>
        </w:rPr>
        <w:t>sú od dane oslobodené, ak tieto subjekty podajú daňové priznanie po 31. decembri 2011.</w:t>
      </w:r>
    </w:p>
    <w:p w:rsidR="002B038E" w:rsidRPr="002B038E" w:rsidP="002B038E">
      <w:pPr>
        <w:bidi w:val="0"/>
        <w:jc w:val="both"/>
        <w:rPr>
          <w:rFonts w:ascii="Times New Roman" w:hAnsi="Times New Roman"/>
          <w:u w:val="single"/>
        </w:rPr>
      </w:pPr>
      <w:r w:rsidRPr="002B038E">
        <w:rPr>
          <w:rFonts w:ascii="Times New Roman" w:hAnsi="Times New Roman"/>
          <w:u w:val="single"/>
        </w:rPr>
        <w:t xml:space="preserve">K odseku </w:t>
      </w:r>
      <w:r w:rsidR="0073581A">
        <w:rPr>
          <w:rFonts w:ascii="Times New Roman" w:hAnsi="Times New Roman"/>
          <w:u w:val="single"/>
        </w:rPr>
        <w:t>5</w:t>
      </w:r>
      <w:r>
        <w:rPr>
          <w:rFonts w:ascii="Times New Roman" w:hAnsi="Times New Roman"/>
          <w:u w:val="single"/>
        </w:rPr>
        <w:t xml:space="preserve"> </w:t>
      </w:r>
      <w:r w:rsidRPr="002B038E">
        <w:rPr>
          <w:rFonts w:ascii="Times New Roman" w:hAnsi="Times New Roman"/>
        </w:rPr>
        <w:t>- Navrhovaný spôsob odpisovania sa uplatní na hmotný majetok zaradený do užívania po 31. decembri 2011. Hmotný majetok zaradený do užívania do 31. decembra 2011 vrátane sa odpisuje podľa zákona platného do 31. decembra 2011.</w:t>
      </w:r>
    </w:p>
    <w:p w:rsidR="00F950BC" w:rsidRPr="002B038E" w:rsidP="00F950BC">
      <w:pPr>
        <w:pStyle w:val="ListParagraph"/>
        <w:tabs>
          <w:tab w:val="left" w:pos="0"/>
        </w:tabs>
        <w:bidi w:val="0"/>
        <w:ind w:left="0"/>
        <w:jc w:val="both"/>
        <w:rPr>
          <w:rFonts w:ascii="Times New Roman" w:hAnsi="Times New Roman"/>
          <w:sz w:val="24"/>
          <w:szCs w:val="24"/>
        </w:rPr>
      </w:pPr>
    </w:p>
    <w:p w:rsidR="00F950BC">
      <w:pPr>
        <w:bidi w:val="0"/>
        <w:rPr>
          <w:rFonts w:ascii="Times New Roman" w:hAnsi="Times New Roman"/>
          <w:b/>
        </w:rPr>
      </w:pPr>
      <w:r>
        <w:rPr>
          <w:rFonts w:ascii="Times New Roman" w:hAnsi="Times New Roman"/>
          <w:b/>
        </w:rPr>
        <w:t>K Čl. II</w:t>
      </w:r>
    </w:p>
    <w:p w:rsidR="002B038E" w:rsidRPr="002B038E" w:rsidP="002B038E">
      <w:pPr>
        <w:bidi w:val="0"/>
        <w:jc w:val="both"/>
        <w:rPr>
          <w:rFonts w:ascii="Times New Roman" w:hAnsi="Times New Roman"/>
          <w:b/>
        </w:rPr>
      </w:pPr>
      <w:r w:rsidRPr="002B038E">
        <w:rPr>
          <w:rFonts w:ascii="Times New Roman" w:hAnsi="Times New Roman"/>
          <w:b/>
        </w:rPr>
        <w:t>K bodu 1</w:t>
      </w:r>
      <w:r>
        <w:rPr>
          <w:rFonts w:ascii="Times New Roman" w:hAnsi="Times New Roman"/>
          <w:b/>
        </w:rPr>
        <w:t xml:space="preserve"> - § 2</w:t>
      </w:r>
    </w:p>
    <w:p w:rsidR="002B038E" w:rsidRPr="004446A7" w:rsidP="002B038E">
      <w:pPr>
        <w:bidi w:val="0"/>
        <w:jc w:val="both"/>
        <w:rPr>
          <w:rFonts w:ascii="Times New Roman" w:hAnsi="Times New Roman"/>
        </w:rPr>
      </w:pPr>
      <w:r w:rsidRPr="004806CB">
        <w:rPr>
          <w:rFonts w:ascii="Times New Roman" w:hAnsi="Times New Roman"/>
        </w:rPr>
        <w:t>Znížením percentuálnej hodnoty podielu obcí na dani z príjmu fyzických osô</w:t>
      </w:r>
      <w:r>
        <w:rPr>
          <w:rFonts w:ascii="Times New Roman" w:hAnsi="Times New Roman"/>
        </w:rPr>
        <w:t xml:space="preserve">b (ďalej len „DPFO“) sa </w:t>
      </w:r>
      <w:r w:rsidRPr="004806CB">
        <w:rPr>
          <w:rFonts w:ascii="Times New Roman" w:hAnsi="Times New Roman"/>
        </w:rPr>
        <w:t xml:space="preserve">v zmysle dohody medzi Ministerstvom financií Slovenskej republiky a zástupcami územnej samosprávy zabezpečí spoluúčasť obcí na konsolidácií verejných financií pri splnení základnej podmienky územnej samosprávy zachovať súčasný systém financovania originálnych kompetencií. Takto nastavené percento predstavuje medziročný nárast o cca  7%. </w:t>
      </w:r>
      <w:r>
        <w:rPr>
          <w:rFonts w:ascii="Times New Roman" w:hAnsi="Times New Roman"/>
        </w:rPr>
        <w:t xml:space="preserve">Navrhovaná zmena upravuje pôvodných 70,3% na </w:t>
      </w:r>
      <w:r w:rsidRPr="004446A7">
        <w:rPr>
          <w:rFonts w:ascii="Times New Roman" w:hAnsi="Times New Roman"/>
        </w:rPr>
        <w:t>6</w:t>
      </w:r>
      <w:r>
        <w:rPr>
          <w:rFonts w:ascii="Times New Roman" w:hAnsi="Times New Roman"/>
        </w:rPr>
        <w:t>5</w:t>
      </w:r>
      <w:r w:rsidRPr="004446A7">
        <w:rPr>
          <w:rFonts w:ascii="Times New Roman" w:hAnsi="Times New Roman"/>
        </w:rPr>
        <w:t>,</w:t>
      </w:r>
      <w:r>
        <w:rPr>
          <w:rFonts w:ascii="Times New Roman" w:hAnsi="Times New Roman"/>
        </w:rPr>
        <w:t>4</w:t>
      </w:r>
      <w:r w:rsidRPr="004446A7">
        <w:rPr>
          <w:rFonts w:ascii="Times New Roman" w:hAnsi="Times New Roman"/>
        </w:rPr>
        <w:t>%</w:t>
      </w:r>
      <w:r>
        <w:rPr>
          <w:rFonts w:ascii="Times New Roman" w:hAnsi="Times New Roman"/>
        </w:rPr>
        <w:t xml:space="preserve">, čo predstavuje očakávaný príjem do rozpočtov obcí v roku 2012 celkovo v sume  </w:t>
      </w:r>
      <w:r w:rsidRPr="00752E83">
        <w:rPr>
          <w:rFonts w:ascii="Times New Roman" w:hAnsi="Times New Roman"/>
        </w:rPr>
        <w:t>1 263 </w:t>
      </w:r>
      <w:r>
        <w:rPr>
          <w:rFonts w:ascii="Times New Roman" w:hAnsi="Times New Roman"/>
        </w:rPr>
        <w:t>mil.</w:t>
      </w:r>
      <w:r w:rsidRPr="00752E83">
        <w:rPr>
          <w:rFonts w:ascii="Times New Roman" w:hAnsi="Times New Roman"/>
        </w:rPr>
        <w:t xml:space="preserve"> </w:t>
      </w:r>
      <w:r>
        <w:rPr>
          <w:rFonts w:ascii="Times New Roman" w:hAnsi="Times New Roman"/>
        </w:rPr>
        <w:t>€</w:t>
      </w:r>
      <w:r w:rsidRPr="004446A7">
        <w:rPr>
          <w:rFonts w:ascii="Times New Roman" w:hAnsi="Times New Roman"/>
        </w:rPr>
        <w:t>.</w:t>
      </w:r>
    </w:p>
    <w:p w:rsidR="002B038E" w:rsidRPr="004446A7" w:rsidP="002B038E">
      <w:pPr>
        <w:bidi w:val="0"/>
        <w:jc w:val="both"/>
        <w:rPr>
          <w:rFonts w:ascii="Times New Roman" w:hAnsi="Times New Roman"/>
        </w:rPr>
      </w:pPr>
    </w:p>
    <w:p w:rsidR="002B038E" w:rsidRPr="002B038E" w:rsidP="002B038E">
      <w:pPr>
        <w:bidi w:val="0"/>
        <w:jc w:val="both"/>
        <w:rPr>
          <w:rFonts w:ascii="Times New Roman" w:hAnsi="Times New Roman"/>
          <w:b/>
        </w:rPr>
      </w:pPr>
      <w:r w:rsidRPr="002B038E">
        <w:rPr>
          <w:rFonts w:ascii="Times New Roman" w:hAnsi="Times New Roman"/>
          <w:b/>
        </w:rPr>
        <w:t>K bodu 2</w:t>
      </w:r>
      <w:r>
        <w:rPr>
          <w:rFonts w:ascii="Times New Roman" w:hAnsi="Times New Roman"/>
          <w:b/>
        </w:rPr>
        <w:t xml:space="preserve"> - § 3</w:t>
      </w:r>
    </w:p>
    <w:p w:rsidR="002B038E" w:rsidRPr="004446A7" w:rsidP="002B038E">
      <w:pPr>
        <w:bidi w:val="0"/>
        <w:jc w:val="both"/>
        <w:rPr>
          <w:rFonts w:ascii="Times New Roman" w:hAnsi="Times New Roman"/>
        </w:rPr>
      </w:pPr>
      <w:r w:rsidRPr="004806CB">
        <w:rPr>
          <w:rFonts w:ascii="Times New Roman" w:hAnsi="Times New Roman"/>
        </w:rPr>
        <w:t>Znížením percentuálnej hodnoty podielu vyšš</w:t>
      </w:r>
      <w:r>
        <w:rPr>
          <w:rFonts w:ascii="Times New Roman" w:hAnsi="Times New Roman"/>
        </w:rPr>
        <w:t xml:space="preserve">ích územných celkov na DPFO sa </w:t>
      </w:r>
      <w:r w:rsidRPr="004806CB">
        <w:rPr>
          <w:rFonts w:ascii="Times New Roman" w:hAnsi="Times New Roman"/>
        </w:rPr>
        <w:t>v zmysle dohody medzi Ministerstvom financií Slovenskej republiky a zástupcami územnej samosprávy zabezpečí spoluúčasť vyšších územných celkov na konsolidácií verejných financií pri splnení základnej podmienky územnej samosprávy zachovať súčasný systém financovania originálnych kompetencií. Takto nastavené percento predstavuje medziročný nárast o cca  7%.</w:t>
      </w:r>
      <w:r>
        <w:rPr>
          <w:rFonts w:ascii="Times New Roman" w:hAnsi="Times New Roman"/>
          <w:b/>
        </w:rPr>
        <w:t xml:space="preserve"> </w:t>
      </w:r>
      <w:r w:rsidRPr="004446A7">
        <w:rPr>
          <w:rFonts w:ascii="Times New Roman" w:hAnsi="Times New Roman"/>
        </w:rPr>
        <w:t>Navrh</w:t>
      </w:r>
      <w:r>
        <w:rPr>
          <w:rFonts w:ascii="Times New Roman" w:hAnsi="Times New Roman"/>
        </w:rPr>
        <w:t>ovaná zmena uprav</w:t>
      </w:r>
      <w:r w:rsidRPr="004446A7">
        <w:rPr>
          <w:rFonts w:ascii="Times New Roman" w:hAnsi="Times New Roman"/>
        </w:rPr>
        <w:t>uje pôvodných 23,5% na  21,</w:t>
      </w:r>
      <w:r>
        <w:rPr>
          <w:rFonts w:ascii="Times New Roman" w:hAnsi="Times New Roman"/>
        </w:rPr>
        <w:t>9</w:t>
      </w:r>
      <w:r w:rsidRPr="004446A7">
        <w:rPr>
          <w:rFonts w:ascii="Times New Roman" w:hAnsi="Times New Roman"/>
        </w:rPr>
        <w:t>%</w:t>
      </w:r>
      <w:r>
        <w:rPr>
          <w:rFonts w:ascii="Times New Roman" w:hAnsi="Times New Roman"/>
        </w:rPr>
        <w:t>, čo predstavuje očakávaný príjem do rozpočtov vyšších územných celkov pre rok 2012 v celkovej sume  422</w:t>
      </w:r>
      <w:r w:rsidRPr="00752E83">
        <w:rPr>
          <w:rFonts w:ascii="Times New Roman" w:hAnsi="Times New Roman"/>
        </w:rPr>
        <w:t> </w:t>
      </w:r>
      <w:r>
        <w:rPr>
          <w:rFonts w:ascii="Times New Roman" w:hAnsi="Times New Roman"/>
        </w:rPr>
        <w:t>mil.</w:t>
      </w:r>
      <w:r w:rsidRPr="00752E83">
        <w:rPr>
          <w:rFonts w:ascii="Times New Roman" w:hAnsi="Times New Roman"/>
        </w:rPr>
        <w:t xml:space="preserve"> </w:t>
      </w:r>
      <w:r>
        <w:rPr>
          <w:rFonts w:ascii="Times New Roman" w:hAnsi="Times New Roman"/>
        </w:rPr>
        <w:t>€</w:t>
      </w:r>
      <w:r w:rsidRPr="004446A7">
        <w:rPr>
          <w:rFonts w:ascii="Times New Roman" w:hAnsi="Times New Roman"/>
        </w:rPr>
        <w:t>.</w:t>
      </w:r>
    </w:p>
    <w:p w:rsidR="002B038E" w:rsidRPr="004446A7" w:rsidP="002B038E">
      <w:pPr>
        <w:bidi w:val="0"/>
        <w:jc w:val="both"/>
        <w:rPr>
          <w:rFonts w:ascii="Times New Roman" w:hAnsi="Times New Roman"/>
        </w:rPr>
      </w:pPr>
    </w:p>
    <w:p w:rsidR="002B038E" w:rsidRPr="002B038E" w:rsidP="002B038E">
      <w:pPr>
        <w:bidi w:val="0"/>
        <w:jc w:val="both"/>
        <w:rPr>
          <w:rFonts w:ascii="Times New Roman" w:hAnsi="Times New Roman"/>
          <w:b/>
        </w:rPr>
      </w:pPr>
      <w:r w:rsidRPr="002B038E">
        <w:rPr>
          <w:rFonts w:ascii="Times New Roman" w:hAnsi="Times New Roman"/>
          <w:b/>
        </w:rPr>
        <w:t>K bodu 3</w:t>
      </w:r>
      <w:r>
        <w:rPr>
          <w:rFonts w:ascii="Times New Roman" w:hAnsi="Times New Roman"/>
          <w:b/>
        </w:rPr>
        <w:t xml:space="preserve"> - § 7b</w:t>
      </w:r>
    </w:p>
    <w:p w:rsidR="002B038E" w:rsidRPr="004806CB" w:rsidP="002B038E">
      <w:pPr>
        <w:bidi w:val="0"/>
        <w:jc w:val="both"/>
        <w:rPr>
          <w:rFonts w:ascii="Times New Roman" w:hAnsi="Times New Roman"/>
        </w:rPr>
      </w:pPr>
      <w:r w:rsidRPr="004806CB">
        <w:rPr>
          <w:rFonts w:ascii="Times New Roman" w:hAnsi="Times New Roman"/>
        </w:rPr>
        <w:t xml:space="preserve">V tomto ustanovení sa </w:t>
      </w:r>
      <w:r>
        <w:rPr>
          <w:rFonts w:ascii="Times New Roman" w:hAnsi="Times New Roman"/>
        </w:rPr>
        <w:t>stanovu</w:t>
      </w:r>
      <w:r w:rsidRPr="004806CB">
        <w:rPr>
          <w:rFonts w:ascii="Times New Roman" w:hAnsi="Times New Roman"/>
        </w:rPr>
        <w:t xml:space="preserve">je postup pri výpočte podielu obcí a VÚC v januári 2012, čo znamená, že daňové úrady v januári 2012 vypočítajú podiel obcí a VÚC z výnosu DPFO za december 2011 na základe  percentuálneho podielu uvedenom § 2 a 3 platnom pre rok 2012. Táto skutočnosť však neovplyvňuje nárok územnej samosprávy na podiele DPFO za rok 2011, spôsob zúčtovania za rok 2011 zostáva nezmenený. Týmto </w:t>
      </w:r>
      <w:r>
        <w:rPr>
          <w:rFonts w:ascii="Times New Roman" w:hAnsi="Times New Roman"/>
        </w:rPr>
        <w:t xml:space="preserve">ustanovením </w:t>
      </w:r>
      <w:r w:rsidRPr="004806CB">
        <w:rPr>
          <w:rFonts w:ascii="Times New Roman" w:hAnsi="Times New Roman"/>
        </w:rPr>
        <w:t>sa umožní v novom roku naštartovanie výpočtu podielu obcí a vyšších územných celkov podľa novo zadefinovaného percentuálneho podielu v § 2 a 3 platnom pre rok 2012 .</w:t>
      </w:r>
    </w:p>
    <w:p w:rsidR="002B038E">
      <w:pPr>
        <w:bidi w:val="0"/>
        <w:rPr>
          <w:rFonts w:ascii="Times New Roman" w:hAnsi="Times New Roman"/>
          <w:b/>
        </w:rPr>
      </w:pPr>
    </w:p>
    <w:p w:rsidR="002B038E">
      <w:pPr>
        <w:bidi w:val="0"/>
        <w:rPr>
          <w:rFonts w:ascii="Times New Roman" w:hAnsi="Times New Roman"/>
          <w:b/>
        </w:rPr>
      </w:pPr>
    </w:p>
    <w:p w:rsidR="002B038E">
      <w:pPr>
        <w:bidi w:val="0"/>
        <w:rPr>
          <w:rFonts w:ascii="Times New Roman" w:hAnsi="Times New Roman"/>
          <w:b/>
        </w:rPr>
      </w:pPr>
      <w:r>
        <w:rPr>
          <w:rFonts w:ascii="Times New Roman" w:hAnsi="Times New Roman"/>
          <w:b/>
        </w:rPr>
        <w:t>K Čl. III</w:t>
      </w:r>
    </w:p>
    <w:p w:rsidR="00F950BC" w:rsidRPr="000862AD" w:rsidP="00F950BC">
      <w:pPr>
        <w:pStyle w:val="BodyText2"/>
        <w:bidi w:val="0"/>
        <w:spacing w:after="0"/>
        <w:jc w:val="both"/>
        <w:rPr>
          <w:rFonts w:ascii="Times New Roman" w:hAnsi="Times New Roman"/>
          <w:b/>
        </w:rPr>
      </w:pPr>
      <w:r w:rsidRPr="000862AD">
        <w:rPr>
          <w:rFonts w:ascii="Times New Roman" w:hAnsi="Times New Roman"/>
        </w:rPr>
        <w:t>Tento zákon nadobúda účinnosť 1. januára 201</w:t>
      </w:r>
      <w:r>
        <w:rPr>
          <w:rFonts w:ascii="Times New Roman" w:hAnsi="Times New Roman"/>
        </w:rPr>
        <w:t>2</w:t>
      </w:r>
      <w:r w:rsidRPr="000862AD">
        <w:rPr>
          <w:rFonts w:ascii="Times New Roman" w:hAnsi="Times New Roman"/>
        </w:rPr>
        <w:t xml:space="preserve">. </w:t>
      </w:r>
    </w:p>
    <w:p w:rsidR="007E6E09" w:rsidP="007E6E09">
      <w:pPr>
        <w:bidi w:val="0"/>
        <w:rPr>
          <w:rFonts w:ascii="Times New Roman" w:hAnsi="Times New Roman"/>
        </w:rPr>
      </w:pPr>
      <w:r w:rsidRPr="00C22376">
        <w:rPr>
          <w:rFonts w:ascii="Times New Roman" w:hAnsi="Times New Roman"/>
        </w:rPr>
        <w:t xml:space="preserve">Schválené uznesením vlády Slovenskej republiky dňa </w:t>
      </w:r>
      <w:r>
        <w:rPr>
          <w:rFonts w:ascii="Times New Roman" w:hAnsi="Times New Roman"/>
        </w:rPr>
        <w:t>23</w:t>
      </w:r>
      <w:r w:rsidRPr="00C22376">
        <w:rPr>
          <w:rFonts w:ascii="Times New Roman" w:hAnsi="Times New Roman"/>
        </w:rPr>
        <w:t xml:space="preserve">. </w:t>
      </w:r>
      <w:r w:rsidR="005655A3">
        <w:rPr>
          <w:rFonts w:ascii="Times New Roman" w:hAnsi="Times New Roman"/>
        </w:rPr>
        <w:t>n</w:t>
      </w:r>
      <w:r>
        <w:rPr>
          <w:rFonts w:ascii="Times New Roman" w:hAnsi="Times New Roman"/>
        </w:rPr>
        <w:t>ovembra 2011</w:t>
      </w:r>
      <w:r w:rsidRPr="00C22376">
        <w:rPr>
          <w:rFonts w:ascii="Times New Roman" w:hAnsi="Times New Roman"/>
        </w:rPr>
        <w:t>.</w:t>
      </w:r>
    </w:p>
    <w:p w:rsidR="007E6E09" w:rsidP="007E6E09">
      <w:pPr>
        <w:bidi w:val="0"/>
        <w:rPr>
          <w:rFonts w:ascii="Times New Roman" w:hAnsi="Times New Roman"/>
        </w:rPr>
      </w:pPr>
    </w:p>
    <w:p w:rsidR="00A6741B" w:rsidP="007E6E09">
      <w:pPr>
        <w:bidi w:val="0"/>
        <w:rPr>
          <w:rFonts w:ascii="Times New Roman" w:hAnsi="Times New Roman"/>
        </w:rPr>
      </w:pPr>
    </w:p>
    <w:p w:rsidR="007E6E09" w:rsidP="007E6E09">
      <w:pPr>
        <w:bidi w:val="0"/>
        <w:rPr>
          <w:rFonts w:ascii="Times New Roman" w:hAnsi="Times New Roman"/>
        </w:rPr>
      </w:pPr>
    </w:p>
    <w:p w:rsidR="00A6741B" w:rsidP="00A6741B">
      <w:pPr>
        <w:pStyle w:val="Heading3"/>
        <w:bidi w:val="0"/>
        <w:spacing w:before="0" w:after="0"/>
        <w:jc w:val="center"/>
        <w:rPr>
          <w:rFonts w:ascii="Times New Roman" w:hAnsi="Times New Roman"/>
          <w:bCs w:val="0"/>
          <w:sz w:val="24"/>
        </w:rPr>
      </w:pPr>
      <w:r>
        <w:rPr>
          <w:rFonts w:ascii="Times New Roman" w:hAnsi="Times New Roman"/>
          <w:bCs w:val="0"/>
          <w:sz w:val="24"/>
        </w:rPr>
        <w:t>Iveta Radičová</w:t>
      </w:r>
      <w:r w:rsidR="0082582C">
        <w:rPr>
          <w:rFonts w:ascii="Times New Roman" w:hAnsi="Times New Roman"/>
          <w:bCs w:val="0"/>
          <w:sz w:val="24"/>
        </w:rPr>
        <w:t>, v. r.</w:t>
      </w:r>
    </w:p>
    <w:p w:rsidR="00A6741B" w:rsidP="00A6741B">
      <w:pPr>
        <w:bidi w:val="0"/>
        <w:jc w:val="center"/>
        <w:rPr>
          <w:rFonts w:ascii="Times New Roman" w:hAnsi="Times New Roman"/>
        </w:rPr>
      </w:pPr>
      <w:r>
        <w:rPr>
          <w:rFonts w:ascii="Times New Roman" w:hAnsi="Times New Roman"/>
        </w:rPr>
        <w:t>predsedníčka vlády Slovenskej republiky</w:t>
      </w:r>
    </w:p>
    <w:p w:rsidR="00A6741B" w:rsidP="00A6741B">
      <w:pPr>
        <w:bidi w:val="0"/>
        <w:rPr>
          <w:rFonts w:ascii="Times New Roman" w:hAnsi="Times New Roman"/>
        </w:rPr>
      </w:pPr>
    </w:p>
    <w:p w:rsidR="00A6741B" w:rsidP="00A6741B">
      <w:pPr>
        <w:bidi w:val="0"/>
        <w:rPr>
          <w:rFonts w:ascii="Times New Roman" w:hAnsi="Times New Roman"/>
        </w:rPr>
      </w:pPr>
    </w:p>
    <w:p w:rsidR="00A6741B" w:rsidP="00A6741B">
      <w:pPr>
        <w:bidi w:val="0"/>
        <w:rPr>
          <w:rFonts w:ascii="Times New Roman" w:hAnsi="Times New Roman"/>
        </w:rPr>
      </w:pPr>
    </w:p>
    <w:p w:rsidR="00A6741B" w:rsidP="00A6741B">
      <w:pPr>
        <w:pStyle w:val="Heading1"/>
        <w:bidi w:val="0"/>
        <w:jc w:val="center"/>
        <w:rPr>
          <w:sz w:val="24"/>
        </w:rPr>
      </w:pPr>
      <w:r>
        <w:rPr>
          <w:sz w:val="24"/>
        </w:rPr>
        <w:t>Ivan Mikloš</w:t>
      </w:r>
      <w:r w:rsidR="0082582C">
        <w:rPr>
          <w:sz w:val="24"/>
        </w:rPr>
        <w:t>, v. r.</w:t>
      </w:r>
    </w:p>
    <w:p w:rsidR="00A6741B" w:rsidP="00A6741B">
      <w:pPr>
        <w:bidi w:val="0"/>
        <w:jc w:val="center"/>
        <w:rPr>
          <w:rFonts w:ascii="Times New Roman" w:hAnsi="Times New Roman"/>
        </w:rPr>
      </w:pPr>
      <w:r>
        <w:rPr>
          <w:rFonts w:ascii="Times New Roman" w:hAnsi="Times New Roman"/>
        </w:rPr>
        <w:t xml:space="preserve">podpredseda vlády a minister financií </w:t>
      </w:r>
    </w:p>
    <w:p w:rsidR="00A6741B" w:rsidP="00A6741B">
      <w:pPr>
        <w:bidi w:val="0"/>
        <w:jc w:val="center"/>
        <w:rPr>
          <w:rFonts w:ascii="Times New Roman" w:hAnsi="Times New Roman"/>
        </w:rPr>
      </w:pPr>
      <w:r>
        <w:rPr>
          <w:rFonts w:ascii="Times New Roman" w:hAnsi="Times New Roman"/>
        </w:rPr>
        <w:t>Slovenskej republiky</w:t>
      </w:r>
    </w:p>
    <w:p w:rsidR="00F950BC" w:rsidRPr="00F950BC">
      <w:pPr>
        <w:bidi w:val="0"/>
        <w:rPr>
          <w:rFonts w:ascii="Times New Roman" w:hAnsi="Times New Roman"/>
          <w:b/>
        </w:rPr>
      </w:pPr>
    </w:p>
    <w:sectPr w:rsidSect="00CA4E5B">
      <w:pgSz w:w="11906" w:h="16838"/>
      <w:pgMar w:top="1417" w:right="1417" w:bottom="1276"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06215E"/>
    <w:multiLevelType w:val="hybridMultilevel"/>
    <w:tmpl w:val="1BBEC45E"/>
    <w:lvl w:ilvl="0">
      <w:start w:val="1"/>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39E0DA8"/>
    <w:multiLevelType w:val="hybridMultilevel"/>
    <w:tmpl w:val="39EC8EEA"/>
    <w:lvl w:ilvl="0">
      <w:start w:val="1"/>
      <w:numFmt w:val="decimal"/>
      <w:lvlText w:val="%1."/>
      <w:lvlJc w:val="left"/>
      <w:pPr>
        <w:ind w:left="360" w:hanging="360"/>
      </w:pPr>
      <w:rPr>
        <w:rFonts w:cs="Times New Roman" w:hint="default"/>
        <w:b/>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
    <w:nsid w:val="4F3F78AD"/>
    <w:multiLevelType w:val="hybridMultilevel"/>
    <w:tmpl w:val="9F34395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592E7D8B"/>
    <w:multiLevelType w:val="hybridMultilevel"/>
    <w:tmpl w:val="29E822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5">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7381AF0"/>
    <w:multiLevelType w:val="hybridMultilevel"/>
    <w:tmpl w:val="545C9D60"/>
    <w:lvl w:ilvl="0">
      <w:start w:val="6"/>
      <w:numFmt w:val="bullet"/>
      <w:lvlText w:val="-"/>
      <w:lvlJc w:val="left"/>
      <w:pPr>
        <w:tabs>
          <w:tab w:val="num" w:pos="900"/>
        </w:tabs>
        <w:ind w:left="900" w:hanging="39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77ED17D6"/>
    <w:multiLevelType w:val="hybridMultilevel"/>
    <w:tmpl w:val="FBEE812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7"/>
  </w:num>
  <w:num w:numId="8">
    <w:abstractNumId w:val="4"/>
  </w:num>
  <w:num w:numId="9">
    <w:abstractNumId w:val="6"/>
    <w:lvlOverride w:ilvl="0"/>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511AF5"/>
    <w:rsid w:val="0005569A"/>
    <w:rsid w:val="00060D3B"/>
    <w:rsid w:val="00062B38"/>
    <w:rsid w:val="000862AD"/>
    <w:rsid w:val="000871F5"/>
    <w:rsid w:val="0009793D"/>
    <w:rsid w:val="000B7AB7"/>
    <w:rsid w:val="000F5FCC"/>
    <w:rsid w:val="00101F59"/>
    <w:rsid w:val="00110955"/>
    <w:rsid w:val="001235D1"/>
    <w:rsid w:val="0013227B"/>
    <w:rsid w:val="001B5864"/>
    <w:rsid w:val="001D3EAC"/>
    <w:rsid w:val="00205EE1"/>
    <w:rsid w:val="00207C1A"/>
    <w:rsid w:val="002A0DDB"/>
    <w:rsid w:val="002B038E"/>
    <w:rsid w:val="002E52F8"/>
    <w:rsid w:val="00305C3D"/>
    <w:rsid w:val="00310D0E"/>
    <w:rsid w:val="00323053"/>
    <w:rsid w:val="00332590"/>
    <w:rsid w:val="00337AEF"/>
    <w:rsid w:val="00346273"/>
    <w:rsid w:val="00380518"/>
    <w:rsid w:val="003A1DD6"/>
    <w:rsid w:val="003A43DB"/>
    <w:rsid w:val="003B37B7"/>
    <w:rsid w:val="003B474B"/>
    <w:rsid w:val="003C6694"/>
    <w:rsid w:val="004046C5"/>
    <w:rsid w:val="004446A7"/>
    <w:rsid w:val="00452C30"/>
    <w:rsid w:val="0047032D"/>
    <w:rsid w:val="004806CB"/>
    <w:rsid w:val="00483276"/>
    <w:rsid w:val="00487F6B"/>
    <w:rsid w:val="00496753"/>
    <w:rsid w:val="004C431B"/>
    <w:rsid w:val="004E71D6"/>
    <w:rsid w:val="004F42E3"/>
    <w:rsid w:val="00511AF5"/>
    <w:rsid w:val="00513A76"/>
    <w:rsid w:val="00515A87"/>
    <w:rsid w:val="00544223"/>
    <w:rsid w:val="005655A3"/>
    <w:rsid w:val="005B22DC"/>
    <w:rsid w:val="005B416D"/>
    <w:rsid w:val="005F0D1D"/>
    <w:rsid w:val="00637C19"/>
    <w:rsid w:val="00667CBB"/>
    <w:rsid w:val="006D5648"/>
    <w:rsid w:val="0073581A"/>
    <w:rsid w:val="00740CF3"/>
    <w:rsid w:val="00746237"/>
    <w:rsid w:val="00752E83"/>
    <w:rsid w:val="007812F9"/>
    <w:rsid w:val="007931AC"/>
    <w:rsid w:val="007E6E09"/>
    <w:rsid w:val="00805B61"/>
    <w:rsid w:val="00807931"/>
    <w:rsid w:val="00821B72"/>
    <w:rsid w:val="0082582C"/>
    <w:rsid w:val="00844FC6"/>
    <w:rsid w:val="00856658"/>
    <w:rsid w:val="00905BA7"/>
    <w:rsid w:val="00964C25"/>
    <w:rsid w:val="00986C44"/>
    <w:rsid w:val="009901D6"/>
    <w:rsid w:val="009955AD"/>
    <w:rsid w:val="009A5FF1"/>
    <w:rsid w:val="009B74D2"/>
    <w:rsid w:val="009C0126"/>
    <w:rsid w:val="009C60F8"/>
    <w:rsid w:val="00A60DD2"/>
    <w:rsid w:val="00A6741B"/>
    <w:rsid w:val="00A85981"/>
    <w:rsid w:val="00A9342C"/>
    <w:rsid w:val="00AA3179"/>
    <w:rsid w:val="00AA6140"/>
    <w:rsid w:val="00AB0A69"/>
    <w:rsid w:val="00AB6C70"/>
    <w:rsid w:val="00B15546"/>
    <w:rsid w:val="00B44951"/>
    <w:rsid w:val="00B743BF"/>
    <w:rsid w:val="00B962A2"/>
    <w:rsid w:val="00BE164D"/>
    <w:rsid w:val="00C003B1"/>
    <w:rsid w:val="00C01012"/>
    <w:rsid w:val="00C15465"/>
    <w:rsid w:val="00C22376"/>
    <w:rsid w:val="00C34A4B"/>
    <w:rsid w:val="00C436C4"/>
    <w:rsid w:val="00C468C1"/>
    <w:rsid w:val="00CA4E5B"/>
    <w:rsid w:val="00CB17C8"/>
    <w:rsid w:val="00CB3C17"/>
    <w:rsid w:val="00CD0710"/>
    <w:rsid w:val="00CE2637"/>
    <w:rsid w:val="00CE72D2"/>
    <w:rsid w:val="00CF443F"/>
    <w:rsid w:val="00D0458F"/>
    <w:rsid w:val="00D173EA"/>
    <w:rsid w:val="00D241A7"/>
    <w:rsid w:val="00D444C7"/>
    <w:rsid w:val="00D45F18"/>
    <w:rsid w:val="00D466AA"/>
    <w:rsid w:val="00D50BC2"/>
    <w:rsid w:val="00D51E0A"/>
    <w:rsid w:val="00D53502"/>
    <w:rsid w:val="00D63ECA"/>
    <w:rsid w:val="00DC22DB"/>
    <w:rsid w:val="00DD781E"/>
    <w:rsid w:val="00E2488F"/>
    <w:rsid w:val="00E45298"/>
    <w:rsid w:val="00E92A80"/>
    <w:rsid w:val="00ED7170"/>
    <w:rsid w:val="00EF0940"/>
    <w:rsid w:val="00F163BE"/>
    <w:rsid w:val="00F172DC"/>
    <w:rsid w:val="00F43C4C"/>
    <w:rsid w:val="00F46346"/>
    <w:rsid w:val="00F950BC"/>
    <w:rsid w:val="00FD0E4A"/>
    <w:rsid w:val="00FF1502"/>
    <w:rsid w:val="00FF442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AF5"/>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A6741B"/>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60D3B"/>
    <w:pPr>
      <w:keepNext/>
      <w:keepLines/>
      <w:widowControl w:val="0"/>
      <w:adjustRightInd w:val="0"/>
      <w:spacing w:before="200"/>
      <w:jc w:val="left"/>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A6741B"/>
    <w:pPr>
      <w:keepNext/>
      <w:spacing w:before="240" w:after="60"/>
      <w:jc w:val="left"/>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2Char">
    <w:name w:val="Heading 2 Char"/>
    <w:basedOn w:val="DefaultParagraphFont"/>
    <w:link w:val="Heading2"/>
    <w:uiPriority w:val="9"/>
    <w:locked/>
    <w:rsid w:val="00060D3B"/>
    <w:rPr>
      <w:rFonts w:ascii="Cambria" w:hAnsi="Cambria" w:cs="Times New Roman"/>
      <w:b/>
      <w:bCs/>
      <w:color w:val="4F81BD"/>
      <w:sz w:val="26"/>
      <w:szCs w:val="26"/>
      <w:rtl w:val="0"/>
      <w:cs w:val="0"/>
      <w:lang w:val="x-none" w:eastAsia="sk-SK"/>
    </w:rPr>
  </w:style>
  <w:style w:type="paragraph" w:customStyle="1" w:styleId="CharChar">
    <w:name w:val="Char Char"/>
    <w:basedOn w:val="Normal"/>
    <w:rsid w:val="00511AF5"/>
    <w:pPr>
      <w:spacing w:after="160" w:line="240" w:lineRule="exact"/>
      <w:jc w:val="left"/>
    </w:pPr>
    <w:rPr>
      <w:rFonts w:ascii="Tahoma" w:hAnsi="Tahoma" w:cs="Tahoma"/>
      <w:sz w:val="20"/>
      <w:szCs w:val="20"/>
      <w:lang w:val="en-US" w:eastAsia="en-US"/>
    </w:rPr>
  </w:style>
  <w:style w:type="paragraph" w:styleId="BodyTextIndent">
    <w:name w:val="Body Text Indent"/>
    <w:basedOn w:val="Normal"/>
    <w:link w:val="BodyTextIndentChar"/>
    <w:uiPriority w:val="99"/>
    <w:rsid w:val="00511AF5"/>
    <w:pPr>
      <w:spacing w:after="120"/>
      <w:ind w:left="283"/>
      <w:jc w:val="left"/>
    </w:pPr>
  </w:style>
  <w:style w:type="character" w:customStyle="1" w:styleId="BodyTextIndentChar">
    <w:name w:val="Body Text Indent Char"/>
    <w:basedOn w:val="DefaultParagraphFont"/>
    <w:link w:val="BodyTextIndent"/>
    <w:uiPriority w:val="99"/>
    <w:locked/>
    <w:rsid w:val="00511AF5"/>
    <w:rPr>
      <w:rFonts w:ascii="Times New Roman" w:hAnsi="Times New Roman" w:cs="Times New Roman"/>
      <w:sz w:val="24"/>
      <w:szCs w:val="24"/>
      <w:rtl w:val="0"/>
      <w:cs w:val="0"/>
      <w:lang w:val="x-none" w:eastAsia="sk-SK"/>
    </w:rPr>
  </w:style>
  <w:style w:type="character" w:styleId="PlaceholderText">
    <w:name w:val="Placeholder Text"/>
    <w:basedOn w:val="DefaultParagraphFont"/>
    <w:uiPriority w:val="99"/>
    <w:semiHidden/>
    <w:rsid w:val="00060D3B"/>
    <w:rPr>
      <w:rFonts w:ascii="Times New Roman" w:hAnsi="Times New Roman" w:cs="Times New Roman"/>
      <w:color w:val="808080"/>
      <w:rtl w:val="0"/>
      <w:cs w:val="0"/>
    </w:rPr>
  </w:style>
  <w:style w:type="paragraph" w:styleId="CommentText">
    <w:name w:val="annotation text"/>
    <w:basedOn w:val="Normal"/>
    <w:link w:val="CommentTextChar"/>
    <w:uiPriority w:val="99"/>
    <w:semiHidden/>
    <w:rsid w:val="00060D3B"/>
    <w:pPr>
      <w:widowControl w:val="0"/>
      <w:adjustRightInd w:val="0"/>
      <w:jc w:val="left"/>
    </w:pPr>
    <w:rPr>
      <w:sz w:val="20"/>
      <w:szCs w:val="20"/>
    </w:rPr>
  </w:style>
  <w:style w:type="character" w:customStyle="1" w:styleId="CommentTextChar">
    <w:name w:val="Comment Text Char"/>
    <w:basedOn w:val="DefaultParagraphFont"/>
    <w:link w:val="CommentText"/>
    <w:uiPriority w:val="99"/>
    <w:semiHidden/>
    <w:locked/>
    <w:rsid w:val="00060D3B"/>
    <w:rPr>
      <w:rFonts w:ascii="Times New Roman" w:hAnsi="Times New Roman" w:cs="Times New Roman"/>
      <w:sz w:val="20"/>
      <w:szCs w:val="20"/>
      <w:rtl w:val="0"/>
      <w:cs w:val="0"/>
      <w:lang w:val="x-none" w:eastAsia="sk-SK"/>
    </w:rPr>
  </w:style>
  <w:style w:type="paragraph" w:styleId="ListParagraph">
    <w:name w:val="List Paragraph"/>
    <w:basedOn w:val="Normal"/>
    <w:uiPriority w:val="99"/>
    <w:qFormat/>
    <w:rsid w:val="00BE164D"/>
    <w:pPr>
      <w:ind w:left="720"/>
      <w:contextualSpacing/>
      <w:jc w:val="left"/>
    </w:pPr>
    <w:rPr>
      <w:rFonts w:ascii="Calibri" w:hAnsi="Calibri"/>
      <w:sz w:val="22"/>
      <w:szCs w:val="22"/>
      <w:lang w:eastAsia="en-US"/>
    </w:rPr>
  </w:style>
  <w:style w:type="paragraph" w:styleId="BalloonText">
    <w:name w:val="Balloon Text"/>
    <w:basedOn w:val="Normal"/>
    <w:link w:val="BalloonTextChar"/>
    <w:uiPriority w:val="99"/>
    <w:semiHidden/>
    <w:unhideWhenUsed/>
    <w:rsid w:val="00964C25"/>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4C25"/>
    <w:rPr>
      <w:rFonts w:ascii="Tahoma" w:hAnsi="Tahoma" w:cs="Tahoma"/>
      <w:sz w:val="16"/>
      <w:szCs w:val="16"/>
      <w:rtl w:val="0"/>
      <w:cs w:val="0"/>
      <w:lang w:val="x-none" w:eastAsia="sk-SK"/>
    </w:rPr>
  </w:style>
  <w:style w:type="paragraph" w:styleId="BodyText2">
    <w:name w:val="Body Text 2"/>
    <w:basedOn w:val="Normal"/>
    <w:link w:val="BodyText2Char"/>
    <w:uiPriority w:val="99"/>
    <w:semiHidden/>
    <w:unhideWhenUsed/>
    <w:rsid w:val="00F950BC"/>
    <w:pPr>
      <w:spacing w:after="120" w:line="480" w:lineRule="auto"/>
      <w:jc w:val="left"/>
    </w:pPr>
  </w:style>
  <w:style w:type="character" w:customStyle="1" w:styleId="BodyText2Char">
    <w:name w:val="Body Text 2 Char"/>
    <w:basedOn w:val="DefaultParagraphFont"/>
    <w:link w:val="BodyText2"/>
    <w:uiPriority w:val="99"/>
    <w:semiHidden/>
    <w:locked/>
    <w:rsid w:val="00F950BC"/>
    <w:rPr>
      <w:rFonts w:ascii="Times New Roman" w:hAnsi="Times New Roman" w:cs="Times New Roman"/>
      <w:sz w:val="24"/>
      <w:szCs w:val="24"/>
      <w:rtl w:val="0"/>
      <w:cs w:val="0"/>
    </w:rPr>
  </w:style>
  <w:style w:type="paragraph" w:styleId="NormalWeb">
    <w:name w:val="Normal (Web)"/>
    <w:basedOn w:val="Normal"/>
    <w:uiPriority w:val="99"/>
    <w:rsid w:val="00ED7170"/>
    <w:pPr>
      <w:spacing w:before="100" w:beforeAutospacing="1" w:after="100" w:afterAutospacing="1"/>
      <w:jc w:val="left"/>
    </w:pPr>
  </w:style>
  <w:style w:type="character" w:customStyle="1" w:styleId="Heading1Char">
    <w:name w:val="Heading 1 Char"/>
    <w:basedOn w:val="DefaultParagraphFont"/>
    <w:link w:val="Heading1"/>
    <w:uiPriority w:val="9"/>
    <w:locked/>
    <w:rsid w:val="00A6741B"/>
    <w:rPr>
      <w:rFonts w:ascii="Cambria" w:hAnsi="Cambria" w:cs="Times New Roman"/>
      <w:b/>
      <w:bCs/>
      <w:kern w:val="32"/>
      <w:sz w:val="32"/>
      <w:szCs w:val="32"/>
      <w:rtl w:val="0"/>
      <w:cs w:val="0"/>
    </w:rPr>
  </w:style>
  <w:style w:type="character" w:customStyle="1" w:styleId="Heading3Char">
    <w:name w:val="Heading 3 Char"/>
    <w:basedOn w:val="DefaultParagraphFont"/>
    <w:link w:val="Heading3"/>
    <w:uiPriority w:val="9"/>
    <w:semiHidden/>
    <w:locked/>
    <w:rsid w:val="00A6741B"/>
    <w:rPr>
      <w:rFonts w:ascii="Cambria" w:hAnsi="Cambria" w:cs="Times New Roman"/>
      <w:b/>
      <w:bCs/>
      <w:sz w:val="26"/>
      <w:szCs w:val="2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4664</Words>
  <Characters>26587</Characters>
  <Application>Microsoft Office Word</Application>
  <DocSecurity>0</DocSecurity>
  <Lines>0</Lines>
  <Paragraphs>0</Paragraphs>
  <ScaleCrop>false</ScaleCrop>
  <Company>MF SR</Company>
  <LinksUpToDate>false</LinksUpToDate>
  <CharactersWithSpaces>31189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lstofanova</dc:creator>
  <cp:lastModifiedBy>Gašparíková, Jarmila</cp:lastModifiedBy>
  <cp:revision>2</cp:revision>
  <cp:lastPrinted>2011-11-24T16:02:00Z</cp:lastPrinted>
  <dcterms:created xsi:type="dcterms:W3CDTF">2011-11-25T12:46:00Z</dcterms:created>
  <dcterms:modified xsi:type="dcterms:W3CDTF">2011-11-25T12:46:00Z</dcterms:modified>
</cp:coreProperties>
</file>