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2C3C" w:rsidRPr="00E02882" w:rsidP="00882C3C">
      <w:pPr>
        <w:autoSpaceDE w:val="0"/>
        <w:autoSpaceDN w:val="0"/>
        <w:bidi w:val="0"/>
        <w:adjustRightInd w:val="0"/>
        <w:spacing w:line="240" w:lineRule="atLeast"/>
        <w:ind w:left="23"/>
        <w:jc w:val="center"/>
        <w:rPr>
          <w:rFonts w:ascii="Times New Roman" w:hAnsi="Times New Roman"/>
          <w:b/>
          <w:lang w:val="cs-CZ"/>
        </w:rPr>
      </w:pPr>
      <w:r w:rsidRPr="00E02882">
        <w:rPr>
          <w:rFonts w:ascii="Times New Roman" w:hAnsi="Times New Roman"/>
          <w:b/>
          <w:lang w:val="cs-CZ"/>
        </w:rPr>
        <w:t>NÁRODNÁ    RADA   SLOVENSKEJ    REPUBLIKY</w:t>
      </w:r>
    </w:p>
    <w:p w:rsidR="00882C3C" w:rsidP="00882C3C">
      <w:pPr>
        <w:pBdr>
          <w:bottom w:val="single" w:sz="12" w:space="1" w:color="auto"/>
        </w:pBdr>
        <w:autoSpaceDE w:val="0"/>
        <w:autoSpaceDN w:val="0"/>
        <w:bidi w:val="0"/>
        <w:adjustRightInd w:val="0"/>
        <w:spacing w:line="240" w:lineRule="atLeast"/>
        <w:ind w:left="23"/>
        <w:jc w:val="center"/>
        <w:rPr>
          <w:rFonts w:ascii="Times New Roman" w:hAnsi="Times New Roman"/>
          <w:lang w:val="cs-CZ"/>
        </w:rPr>
      </w:pPr>
      <w:r>
        <w:rPr>
          <w:rFonts w:ascii="Times New Roman" w:hAnsi="Times New Roman"/>
          <w:lang w:val="cs-CZ"/>
        </w:rPr>
        <w:t>V. volebné obdobie</w:t>
      </w:r>
    </w:p>
    <w:p w:rsidR="00882C3C" w:rsidP="00882C3C">
      <w:pPr>
        <w:autoSpaceDE w:val="0"/>
        <w:autoSpaceDN w:val="0"/>
        <w:bidi w:val="0"/>
        <w:adjustRightInd w:val="0"/>
        <w:spacing w:line="240" w:lineRule="atLeast"/>
        <w:ind w:left="23"/>
        <w:jc w:val="center"/>
        <w:rPr>
          <w:rFonts w:ascii="Times New Roman" w:hAnsi="Times New Roman"/>
          <w:lang w:val="cs-CZ"/>
        </w:rPr>
      </w:pPr>
    </w:p>
    <w:p w:rsidR="00882C3C" w:rsidP="00882C3C">
      <w:pPr>
        <w:autoSpaceDE w:val="0"/>
        <w:autoSpaceDN w:val="0"/>
        <w:bidi w:val="0"/>
        <w:adjustRightInd w:val="0"/>
        <w:spacing w:line="240" w:lineRule="atLeast"/>
        <w:ind w:left="23"/>
        <w:jc w:val="center"/>
        <w:rPr>
          <w:rFonts w:ascii="Times New Roman" w:hAnsi="Times New Roman"/>
          <w:lang w:val="cs-CZ"/>
        </w:rPr>
      </w:pPr>
    </w:p>
    <w:p w:rsidR="00882C3C" w:rsidP="00882C3C">
      <w:pPr>
        <w:autoSpaceDE w:val="0"/>
        <w:autoSpaceDN w:val="0"/>
        <w:bidi w:val="0"/>
        <w:adjustRightInd w:val="0"/>
        <w:spacing w:line="240" w:lineRule="atLeast"/>
        <w:ind w:left="23"/>
        <w:jc w:val="center"/>
        <w:rPr>
          <w:rFonts w:ascii="Times New Roman" w:hAnsi="Times New Roman"/>
          <w:b/>
          <w:lang w:val="cs-CZ"/>
        </w:rPr>
      </w:pPr>
      <w:r>
        <w:rPr>
          <w:rFonts w:ascii="Times New Roman" w:hAnsi="Times New Roman"/>
          <w:b/>
          <w:lang w:val="cs-CZ"/>
        </w:rPr>
        <w:t>590</w:t>
      </w:r>
    </w:p>
    <w:p w:rsidR="00882C3C" w:rsidP="00882C3C">
      <w:pPr>
        <w:autoSpaceDE w:val="0"/>
        <w:autoSpaceDN w:val="0"/>
        <w:bidi w:val="0"/>
        <w:adjustRightInd w:val="0"/>
        <w:spacing w:line="240" w:lineRule="atLeast"/>
        <w:ind w:left="23"/>
        <w:jc w:val="center"/>
        <w:rPr>
          <w:rFonts w:ascii="Times New Roman" w:hAnsi="Times New Roman"/>
          <w:b/>
          <w:lang w:val="cs-CZ"/>
        </w:rPr>
      </w:pPr>
    </w:p>
    <w:p w:rsidR="00882C3C" w:rsidRPr="00E02882" w:rsidP="00882C3C">
      <w:pPr>
        <w:autoSpaceDE w:val="0"/>
        <w:autoSpaceDN w:val="0"/>
        <w:bidi w:val="0"/>
        <w:adjustRightInd w:val="0"/>
        <w:spacing w:line="240" w:lineRule="atLeast"/>
        <w:ind w:left="23"/>
        <w:jc w:val="center"/>
        <w:rPr>
          <w:rFonts w:ascii="Times New Roman" w:hAnsi="Times New Roman"/>
          <w:b/>
          <w:lang w:val="cs-CZ"/>
        </w:rPr>
      </w:pPr>
      <w:r>
        <w:rPr>
          <w:rFonts w:ascii="Times New Roman" w:hAnsi="Times New Roman"/>
          <w:b/>
          <w:lang w:val="cs-CZ"/>
        </w:rPr>
        <w:t>VLÁDNY  NÁVRH</w:t>
      </w:r>
    </w:p>
    <w:p w:rsidR="00570F1D">
      <w:pPr>
        <w:bidi w:val="0"/>
        <w:jc w:val="center"/>
        <w:rPr>
          <w:rFonts w:ascii="Times New Roman" w:hAnsi="Times New Roman"/>
        </w:rPr>
      </w:pPr>
    </w:p>
    <w:p w:rsidR="00D9246E" w:rsidRPr="00091F14">
      <w:pPr>
        <w:bidi w:val="0"/>
        <w:jc w:val="center"/>
        <w:rPr>
          <w:rFonts w:ascii="Times New Roman" w:hAnsi="Times New Roman"/>
          <w:b/>
        </w:rPr>
      </w:pPr>
      <w:r w:rsidRPr="00091F14">
        <w:rPr>
          <w:rFonts w:ascii="Times New Roman" w:hAnsi="Times New Roman"/>
          <w:b/>
        </w:rPr>
        <w:t>Z</w:t>
      </w:r>
      <w:r w:rsidR="00584A9E">
        <w:rPr>
          <w:rFonts w:ascii="Times New Roman" w:hAnsi="Times New Roman"/>
          <w:b/>
        </w:rPr>
        <w:t>ÁKON</w:t>
      </w:r>
    </w:p>
    <w:p w:rsidR="00D9246E" w:rsidRPr="00091F14">
      <w:pPr>
        <w:bidi w:val="0"/>
        <w:jc w:val="center"/>
        <w:rPr>
          <w:rFonts w:ascii="Times New Roman" w:hAnsi="Times New Roman"/>
        </w:rPr>
      </w:pPr>
      <w:r w:rsidRPr="00091F14">
        <w:rPr>
          <w:rFonts w:ascii="Times New Roman" w:hAnsi="Times New Roman"/>
        </w:rPr>
        <w:t>z...........20</w:t>
      </w:r>
      <w:r w:rsidR="00C91038">
        <w:rPr>
          <w:rFonts w:ascii="Times New Roman" w:hAnsi="Times New Roman"/>
        </w:rPr>
        <w:t>11</w:t>
      </w:r>
      <w:r w:rsidRPr="00091F14">
        <w:rPr>
          <w:rFonts w:ascii="Times New Roman" w:hAnsi="Times New Roman"/>
        </w:rPr>
        <w:t>,</w:t>
      </w:r>
    </w:p>
    <w:p w:rsidR="00D9246E" w:rsidRPr="00091F14">
      <w:pPr>
        <w:bidi w:val="0"/>
        <w:jc w:val="center"/>
        <w:rPr>
          <w:rFonts w:ascii="Times New Roman" w:hAnsi="Times New Roman"/>
        </w:rPr>
      </w:pPr>
    </w:p>
    <w:p w:rsidR="001664BA" w:rsidRPr="00091F14" w:rsidP="001664BA">
      <w:pPr>
        <w:bidi w:val="0"/>
        <w:jc w:val="center"/>
        <w:rPr>
          <w:rFonts w:ascii="Times New Roman" w:hAnsi="Times New Roman"/>
          <w:b/>
        </w:rPr>
      </w:pPr>
      <w:r w:rsidRPr="00091F14">
        <w:rPr>
          <w:rFonts w:ascii="Times New Roman" w:hAnsi="Times New Roman"/>
          <w:b/>
        </w:rPr>
        <w:t>ktorým sa mení a dopĺňa zákon č. 595/2003 Z. z. o dani z príjmov v znení neskorších predpisov</w:t>
      </w:r>
      <w:r>
        <w:rPr>
          <w:rFonts w:ascii="Times New Roman" w:hAnsi="Times New Roman"/>
          <w:b/>
        </w:rPr>
        <w:t xml:space="preserve"> a ktorým sa mení a dopĺňa zákon č. 564/2004 Z. z. o rozpočtovom určení výnosu dane z príjmov územnej samospráve a o zmene a doplnení niektorých zákonov v znení neskorších predpisov</w:t>
      </w:r>
      <w:r w:rsidRPr="00091F14">
        <w:rPr>
          <w:rFonts w:ascii="Times New Roman" w:hAnsi="Times New Roman"/>
          <w:b/>
        </w:rPr>
        <w:t xml:space="preserve"> </w:t>
      </w:r>
    </w:p>
    <w:p w:rsidR="00D9246E" w:rsidRPr="00091F14">
      <w:pPr>
        <w:bidi w:val="0"/>
        <w:rPr>
          <w:rFonts w:ascii="Times New Roman" w:hAnsi="Times New Roman"/>
        </w:rPr>
      </w:pPr>
    </w:p>
    <w:p w:rsidR="00D9246E" w:rsidRPr="00091F14">
      <w:pPr>
        <w:bidi w:val="0"/>
        <w:rPr>
          <w:rFonts w:ascii="Times New Roman" w:hAnsi="Times New Roman"/>
        </w:rPr>
      </w:pPr>
    </w:p>
    <w:p w:rsidR="00D9246E" w:rsidRPr="00BC6581">
      <w:pPr>
        <w:bidi w:val="0"/>
        <w:rPr>
          <w:rFonts w:ascii="Times New Roman" w:hAnsi="Times New Roman"/>
        </w:rPr>
      </w:pPr>
      <w:r w:rsidRPr="00BC6581">
        <w:rPr>
          <w:rFonts w:ascii="Times New Roman" w:hAnsi="Times New Roman"/>
        </w:rPr>
        <w:t>Národná rada Slovenskej republiky sa uzniesla na tomto zákone:</w:t>
      </w:r>
    </w:p>
    <w:p w:rsidR="00D9246E" w:rsidRPr="00BC6581">
      <w:pPr>
        <w:bidi w:val="0"/>
        <w:rPr>
          <w:rFonts w:ascii="Times New Roman" w:hAnsi="Times New Roman"/>
        </w:rPr>
      </w:pPr>
    </w:p>
    <w:p w:rsidR="00D9246E" w:rsidRPr="00BC6581">
      <w:pPr>
        <w:bidi w:val="0"/>
        <w:jc w:val="center"/>
        <w:rPr>
          <w:rFonts w:ascii="Times New Roman" w:hAnsi="Times New Roman"/>
          <w:b/>
        </w:rPr>
      </w:pPr>
      <w:r w:rsidRPr="00BC6581">
        <w:rPr>
          <w:rFonts w:ascii="Times New Roman" w:hAnsi="Times New Roman"/>
          <w:b/>
        </w:rPr>
        <w:t>Čl. I</w:t>
      </w:r>
    </w:p>
    <w:p w:rsidR="00D9246E" w:rsidRPr="00BC6581">
      <w:pPr>
        <w:bidi w:val="0"/>
        <w:rPr>
          <w:rFonts w:ascii="Times New Roman" w:hAnsi="Times New Roman"/>
        </w:rPr>
      </w:pPr>
    </w:p>
    <w:p w:rsidR="00C91038" w:rsidRPr="00BC6581" w:rsidP="00DE31C9">
      <w:pPr>
        <w:tabs>
          <w:tab w:val="left" w:pos="567"/>
          <w:tab w:val="left" w:pos="709"/>
        </w:tabs>
        <w:bidi w:val="0"/>
        <w:jc w:val="both"/>
        <w:rPr>
          <w:rFonts w:ascii="Times New Roman" w:hAnsi="Times New Roman"/>
        </w:rPr>
      </w:pPr>
      <w:r w:rsidR="00DE31C9">
        <w:rPr>
          <w:rFonts w:ascii="Times New Roman" w:hAnsi="Times New Roman"/>
        </w:rPr>
        <w:tab/>
      </w:r>
      <w:r w:rsidRPr="00BC6581">
        <w:rPr>
          <w:rFonts w:ascii="Times New Roman" w:hAnsi="Times New Roman"/>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w:t>
      </w:r>
      <w:r w:rsidR="00327A7F">
        <w:rPr>
          <w:rFonts w:ascii="Times New Roman" w:hAnsi="Times New Roman"/>
        </w:rPr>
        <w:t xml:space="preserve">zákona č. 563/2009 Z. z., </w:t>
      </w:r>
      <w:r w:rsidRPr="00BC6581">
        <w:rPr>
          <w:rFonts w:ascii="Times New Roman" w:hAnsi="Times New Roman"/>
        </w:rPr>
        <w:t xml:space="preserve">zákona č. 374/2010 Z. z., zákona č. 548/2010 Z. z., </w:t>
      </w:r>
      <w:r w:rsidR="00327A7F">
        <w:rPr>
          <w:rFonts w:ascii="Times New Roman" w:hAnsi="Times New Roman"/>
        </w:rPr>
        <w:t xml:space="preserve">zákona </w:t>
      </w:r>
      <w:r w:rsidRPr="00BC6581">
        <w:rPr>
          <w:rFonts w:ascii="Times New Roman" w:hAnsi="Times New Roman"/>
        </w:rPr>
        <w:t xml:space="preserve">č. 129/2011 Z. z., zákona č. 231/2011 Z. z., zákona č. 250/2011 Z. z., zákona č. 331/2011 Z. z., zákona č. </w:t>
      </w:r>
      <w:r w:rsidR="00462A2F">
        <w:rPr>
          <w:rFonts w:ascii="Times New Roman" w:hAnsi="Times New Roman"/>
        </w:rPr>
        <w:t>362/</w:t>
      </w:r>
      <w:r w:rsidRPr="00BC6581">
        <w:rPr>
          <w:rFonts w:ascii="Times New Roman" w:hAnsi="Times New Roman"/>
        </w:rPr>
        <w:t>2011 Z. z. a zákona č.</w:t>
      </w:r>
      <w:r w:rsidRPr="00BC6581" w:rsidR="004960C8">
        <w:rPr>
          <w:rFonts w:ascii="Times New Roman" w:hAnsi="Times New Roman"/>
        </w:rPr>
        <w:t> </w:t>
      </w:r>
      <w:r w:rsidRPr="00BC6581">
        <w:rPr>
          <w:rFonts w:ascii="Times New Roman" w:hAnsi="Times New Roman"/>
        </w:rPr>
        <w:t>...../2011 Z. z. sa mení a dopĺňa takto:</w:t>
      </w:r>
    </w:p>
    <w:p w:rsidR="00D9246E" w:rsidRPr="00BC6581" w:rsidP="00C91038">
      <w:pPr>
        <w:bidi w:val="0"/>
        <w:jc w:val="both"/>
        <w:rPr>
          <w:rFonts w:ascii="Times New Roman" w:hAnsi="Times New Roman"/>
          <w:b/>
        </w:rPr>
      </w:pPr>
    </w:p>
    <w:p w:rsidR="00930849" w:rsidRPr="00BC6581" w:rsidP="00930849">
      <w:pPr>
        <w:bidi w:val="0"/>
        <w:jc w:val="both"/>
        <w:rPr>
          <w:rFonts w:ascii="Times New Roman" w:hAnsi="Times New Roman"/>
        </w:rPr>
      </w:pPr>
    </w:p>
    <w:p w:rsidR="00930849" w:rsidRPr="00BC6581" w:rsidP="00BC6581">
      <w:pPr>
        <w:numPr>
          <w:numId w:val="12"/>
        </w:numPr>
        <w:bidi w:val="0"/>
        <w:jc w:val="both"/>
        <w:rPr>
          <w:rFonts w:ascii="Times New Roman" w:hAnsi="Times New Roman"/>
        </w:rPr>
      </w:pPr>
      <w:r w:rsidRPr="00BC6581">
        <w:rPr>
          <w:rFonts w:ascii="Times New Roman" w:hAnsi="Times New Roman"/>
        </w:rPr>
        <w:t>V § 2 písm. s) uvádzacej vete a prvom bode a v § 25 ods. 6 sa slovo „nájomcu“ nahrádza slovami „daňovníka, ktorý obstaráva hmotný majetok formou finančného prenájmu“.</w:t>
      </w:r>
    </w:p>
    <w:p w:rsidR="00930849" w:rsidRPr="00BC6581" w:rsidP="00BC6581">
      <w:pPr>
        <w:bidi w:val="0"/>
        <w:ind w:left="360"/>
        <w:jc w:val="both"/>
        <w:rPr>
          <w:rFonts w:ascii="Times New Roman" w:hAnsi="Times New Roman"/>
        </w:rPr>
      </w:pPr>
    </w:p>
    <w:p w:rsidR="00930849" w:rsidRPr="00BC6581" w:rsidP="00BC6581">
      <w:pPr>
        <w:numPr>
          <w:numId w:val="12"/>
        </w:numPr>
        <w:bidi w:val="0"/>
        <w:ind w:left="425" w:hanging="425"/>
        <w:jc w:val="both"/>
        <w:rPr>
          <w:rFonts w:ascii="Times New Roman" w:hAnsi="Times New Roman"/>
        </w:rPr>
      </w:pPr>
      <w:r w:rsidRPr="00BC6581">
        <w:rPr>
          <w:rFonts w:ascii="Times New Roman" w:hAnsi="Times New Roman"/>
        </w:rPr>
        <w:t>V § 2 písm. s) druhom bode sa vypúšťajú slová „a nie menej ako tri roky“ a slová „pričom pri postúpení nájomnej zmluvy bez zmeny podmienok na nového nájomcu táto podmienka platí na nájomnú zmluvu ako celok,“.</w:t>
      </w:r>
    </w:p>
    <w:p w:rsidR="00930849" w:rsidRPr="00BC6581" w:rsidP="00BC6581">
      <w:pPr>
        <w:bidi w:val="0"/>
        <w:jc w:val="both"/>
        <w:rPr>
          <w:rFonts w:ascii="Times New Roman" w:hAnsi="Times New Roman"/>
        </w:rPr>
      </w:pPr>
    </w:p>
    <w:p w:rsidR="00930849" w:rsidRPr="00BC6581" w:rsidP="00BC6581">
      <w:pPr>
        <w:numPr>
          <w:numId w:val="12"/>
        </w:numPr>
        <w:bidi w:val="0"/>
        <w:ind w:left="426" w:hanging="426"/>
        <w:jc w:val="both"/>
        <w:rPr>
          <w:rFonts w:ascii="Times New Roman" w:hAnsi="Times New Roman"/>
        </w:rPr>
      </w:pPr>
      <w:r w:rsidRPr="00BC6581">
        <w:rPr>
          <w:rFonts w:ascii="Times New Roman" w:hAnsi="Times New Roman"/>
        </w:rPr>
        <w:t xml:space="preserve">V § 4 odseky 1 a 2 znejú: </w:t>
      </w:r>
    </w:p>
    <w:p w:rsidR="00930849" w:rsidRPr="00BC6581" w:rsidP="00BC6581">
      <w:pPr>
        <w:pStyle w:val="ListParagraph"/>
        <w:bidi w:val="0"/>
        <w:ind w:left="993" w:hanging="567"/>
        <w:jc w:val="both"/>
        <w:rPr>
          <w:rFonts w:ascii="Times New Roman" w:hAnsi="Times New Roman"/>
          <w:sz w:val="24"/>
          <w:szCs w:val="24"/>
        </w:rPr>
      </w:pPr>
      <w:r w:rsidRPr="00BC6581">
        <w:rPr>
          <w:rFonts w:ascii="Times New Roman" w:hAnsi="Times New Roman"/>
          <w:sz w:val="24"/>
          <w:szCs w:val="24"/>
        </w:rPr>
        <w:t xml:space="preserve">„(1) </w:t>
        <w:tab/>
        <w:t xml:space="preserve">Základ dane sa zistí ako súčet </w:t>
      </w:r>
    </w:p>
    <w:p w:rsidR="00930849" w:rsidRPr="00BC6581" w:rsidP="00BC6581">
      <w:pPr>
        <w:pStyle w:val="ListParagraph"/>
        <w:numPr>
          <w:numId w:val="11"/>
        </w:numPr>
        <w:bidi w:val="0"/>
        <w:ind w:left="993" w:hanging="426"/>
        <w:jc w:val="both"/>
        <w:rPr>
          <w:rFonts w:ascii="Times New Roman" w:hAnsi="Times New Roman"/>
          <w:sz w:val="24"/>
          <w:szCs w:val="24"/>
        </w:rPr>
      </w:pPr>
      <w:r w:rsidRPr="00BC6581">
        <w:rPr>
          <w:rFonts w:ascii="Times New Roman" w:hAnsi="Times New Roman"/>
          <w:sz w:val="24"/>
          <w:szCs w:val="24"/>
        </w:rPr>
        <w:t>čiastkových základov dane z príjmov podľa § 5 a § 6 ods. 1 a 2, ktoré sa znižujú o nezdaniteľné časti základu dane (§ 11) a </w:t>
      </w:r>
    </w:p>
    <w:p w:rsidR="00930849" w:rsidRPr="00BC6581" w:rsidP="00BC6581">
      <w:pPr>
        <w:pStyle w:val="ListParagraph"/>
        <w:numPr>
          <w:numId w:val="11"/>
        </w:numPr>
        <w:bidi w:val="0"/>
        <w:ind w:left="993" w:hanging="426"/>
        <w:jc w:val="both"/>
        <w:rPr>
          <w:rFonts w:ascii="Times New Roman" w:hAnsi="Times New Roman"/>
          <w:sz w:val="24"/>
          <w:szCs w:val="24"/>
        </w:rPr>
      </w:pPr>
      <w:r w:rsidRPr="00BC6581">
        <w:rPr>
          <w:rFonts w:ascii="Times New Roman" w:hAnsi="Times New Roman"/>
          <w:sz w:val="24"/>
          <w:szCs w:val="24"/>
        </w:rPr>
        <w:t>čiastkových základov dane z príjmov podľa § 6 ods. 3, § 7 a 8.</w:t>
      </w:r>
    </w:p>
    <w:p w:rsidR="00930849" w:rsidRPr="00BC6581" w:rsidP="00BC6581">
      <w:pPr>
        <w:bidi w:val="0"/>
        <w:ind w:left="964" w:hanging="510"/>
        <w:jc w:val="both"/>
        <w:rPr>
          <w:rFonts w:ascii="Times New Roman" w:hAnsi="Times New Roman"/>
        </w:rPr>
      </w:pPr>
      <w:r w:rsidRPr="00BC6581">
        <w:rPr>
          <w:rFonts w:ascii="Times New Roman" w:hAnsi="Times New Roman"/>
        </w:rPr>
        <w:t xml:space="preserve">  (2) O daňovú stratu sa znižuje základ dane (čiastkový základ dane) zistený z príjmov uvedených v § 6 ods. 1 a 2, pričom sa použije postup </w:t>
      </w:r>
      <w:r w:rsidR="00FB698F">
        <w:rPr>
          <w:rFonts w:ascii="Times New Roman" w:hAnsi="Times New Roman"/>
        </w:rPr>
        <w:t>podľa</w:t>
      </w:r>
      <w:r w:rsidRPr="00BC6581">
        <w:rPr>
          <w:rFonts w:ascii="Times New Roman" w:hAnsi="Times New Roman"/>
        </w:rPr>
        <w:t xml:space="preserve"> § 30.“.</w:t>
      </w:r>
    </w:p>
    <w:p w:rsidR="00930849" w:rsidRPr="00BC6581" w:rsidP="00BC6581">
      <w:pPr>
        <w:bidi w:val="0"/>
        <w:jc w:val="both"/>
        <w:rPr>
          <w:rFonts w:ascii="Times New Roman" w:hAnsi="Times New Roman"/>
        </w:rPr>
      </w:pPr>
    </w:p>
    <w:p w:rsidR="00930849" w:rsidRPr="00BC6581" w:rsidP="00BC6581">
      <w:pPr>
        <w:numPr>
          <w:numId w:val="12"/>
        </w:numPr>
        <w:bidi w:val="0"/>
        <w:ind w:left="426" w:hanging="426"/>
        <w:jc w:val="both"/>
        <w:rPr>
          <w:rFonts w:ascii="Times New Roman" w:hAnsi="Times New Roman"/>
        </w:rPr>
      </w:pPr>
      <w:r w:rsidRPr="00BC6581">
        <w:rPr>
          <w:rFonts w:ascii="Times New Roman" w:hAnsi="Times New Roman"/>
        </w:rPr>
        <w:t>V § 6 odsek 6 znie:</w:t>
      </w:r>
    </w:p>
    <w:p w:rsidR="00930849" w:rsidP="00BC6581">
      <w:pPr>
        <w:bidi w:val="0"/>
        <w:ind w:left="567" w:hanging="142"/>
        <w:jc w:val="both"/>
        <w:rPr>
          <w:rFonts w:ascii="Times New Roman" w:hAnsi="Times New Roman"/>
        </w:rPr>
      </w:pPr>
      <w:r w:rsidRPr="00BC6581">
        <w:rPr>
          <w:rFonts w:ascii="Times New Roman" w:hAnsi="Times New Roman"/>
        </w:rPr>
        <w:t xml:space="preserve">„(6) Na zistenie základu dane (čiastkového základu dane) z príjmov podľa odsekov 1 a 2 a základu dane (čiastkového základu dane) z príjmov podľa odseku 3 sa použijú ustanovenia § 17 až 29. Daňovník s príjmami podľa odsekov 1 a 2, ktorý vykáže daňovú stratu, upraví základ dane (čiastkový základ dane) podľa § 4 ods. 2 a § 30. Ak preukázateľné daňové výdavky spojené s príjmami podľa odseku 3 sú vyššie ako tieto príjmy, na rozdiel sa neprihliada. Príjmy uvedené v odseku 1 písm. d) sa na účely zistenia základu dane môžu znížiť len za podmienok uvedených v odseku 9. Výška odpusteného dlhu alebo jeho časti podľa odseku 5 písm. d) sa zahrnie do základu dane </w:t>
      </w:r>
      <w:r w:rsidRPr="00BC6581" w:rsidR="00FB698F">
        <w:rPr>
          <w:rFonts w:ascii="Times New Roman" w:hAnsi="Times New Roman"/>
        </w:rPr>
        <w:t xml:space="preserve">dlžníka </w:t>
      </w:r>
      <w:r w:rsidRPr="00BC6581">
        <w:rPr>
          <w:rFonts w:ascii="Times New Roman" w:hAnsi="Times New Roman"/>
        </w:rPr>
        <w:t>v tom zdaňovacom období, v ktorom bol dlh odpustený.“.</w:t>
      </w:r>
    </w:p>
    <w:p w:rsidR="00BC6581" w:rsidP="00BC6581">
      <w:pPr>
        <w:bidi w:val="0"/>
        <w:ind w:left="567" w:hanging="142"/>
        <w:jc w:val="both"/>
        <w:rPr>
          <w:rFonts w:ascii="Times New Roman" w:hAnsi="Times New Roman"/>
        </w:rPr>
      </w:pPr>
    </w:p>
    <w:p w:rsidR="000F6C29" w:rsidRPr="000F6C29" w:rsidP="000F6C29">
      <w:pPr>
        <w:pStyle w:val="ListParagraph"/>
        <w:numPr>
          <w:numId w:val="12"/>
        </w:numPr>
        <w:bidi w:val="0"/>
        <w:spacing w:after="200" w:line="276" w:lineRule="auto"/>
        <w:jc w:val="both"/>
        <w:rPr>
          <w:rFonts w:ascii="Times New Roman" w:hAnsi="Times New Roman"/>
          <w:sz w:val="24"/>
          <w:szCs w:val="24"/>
        </w:rPr>
      </w:pPr>
      <w:r w:rsidRPr="000F6C29">
        <w:rPr>
          <w:rFonts w:ascii="Times New Roman" w:hAnsi="Times New Roman"/>
          <w:sz w:val="24"/>
          <w:szCs w:val="24"/>
        </w:rPr>
        <w:t>V § 13 ods. 1 písm. b) sa za slovami „a okrem príjmov“ vypúšťajú slová „z prenájmu a“.</w:t>
      </w:r>
    </w:p>
    <w:p w:rsidR="000F6C29" w:rsidRPr="000F6C29" w:rsidP="000F6C29">
      <w:pPr>
        <w:pStyle w:val="ListParagraph"/>
        <w:bidi w:val="0"/>
        <w:jc w:val="both"/>
        <w:rPr>
          <w:rFonts w:ascii="Times New Roman" w:hAnsi="Times New Roman"/>
          <w:sz w:val="24"/>
          <w:szCs w:val="24"/>
        </w:rPr>
      </w:pPr>
    </w:p>
    <w:p w:rsidR="000F6C29" w:rsidRPr="000F6C29" w:rsidP="000F6C29">
      <w:pPr>
        <w:pStyle w:val="ListParagraph"/>
        <w:numPr>
          <w:numId w:val="12"/>
        </w:numPr>
        <w:bidi w:val="0"/>
        <w:spacing w:after="200" w:line="276" w:lineRule="auto"/>
        <w:jc w:val="both"/>
        <w:rPr>
          <w:rFonts w:ascii="Times New Roman" w:hAnsi="Times New Roman"/>
          <w:sz w:val="24"/>
          <w:szCs w:val="24"/>
        </w:rPr>
      </w:pPr>
      <w:r w:rsidRPr="000F6C29">
        <w:rPr>
          <w:rFonts w:ascii="Times New Roman" w:hAnsi="Times New Roman"/>
          <w:sz w:val="24"/>
          <w:szCs w:val="24"/>
        </w:rPr>
        <w:t>V § 13 sa odsek 1 dopĺňa písmenom e), ktoré znie:</w:t>
      </w:r>
    </w:p>
    <w:p w:rsidR="000F6C29" w:rsidRPr="000F6C29" w:rsidP="000F6C29">
      <w:pPr>
        <w:pStyle w:val="ListParagraph"/>
        <w:bidi w:val="0"/>
        <w:jc w:val="both"/>
        <w:rPr>
          <w:rFonts w:ascii="Times New Roman" w:hAnsi="Times New Roman"/>
          <w:sz w:val="24"/>
          <w:szCs w:val="24"/>
        </w:rPr>
      </w:pPr>
      <w:r w:rsidRPr="000F6C29">
        <w:rPr>
          <w:rFonts w:ascii="Times New Roman" w:hAnsi="Times New Roman"/>
          <w:sz w:val="24"/>
          <w:szCs w:val="24"/>
        </w:rPr>
        <w:t xml:space="preserve">„e) obcí a vyšších územných celkov z prenájmu ich majetku.“. </w:t>
      </w:r>
    </w:p>
    <w:p w:rsidR="000F6C29" w:rsidRPr="00BC6581" w:rsidP="000F6C29">
      <w:pPr>
        <w:bidi w:val="0"/>
        <w:ind w:left="360"/>
        <w:jc w:val="both"/>
        <w:rPr>
          <w:rFonts w:ascii="Times New Roman" w:hAnsi="Times New Roman"/>
        </w:rPr>
      </w:pPr>
    </w:p>
    <w:p w:rsidR="00930849" w:rsidRPr="00BC6581" w:rsidP="000F6C29">
      <w:pPr>
        <w:numPr>
          <w:numId w:val="12"/>
        </w:numPr>
        <w:bidi w:val="0"/>
        <w:ind w:left="397" w:hanging="397"/>
        <w:jc w:val="both"/>
        <w:rPr>
          <w:rFonts w:ascii="Times New Roman" w:hAnsi="Times New Roman"/>
        </w:rPr>
      </w:pPr>
      <w:r w:rsidRPr="00BC6581" w:rsidR="00AC65FC">
        <w:rPr>
          <w:rFonts w:ascii="Times New Roman" w:hAnsi="Times New Roman"/>
        </w:rPr>
        <w:t xml:space="preserve">V </w:t>
      </w:r>
      <w:r w:rsidRPr="00BC6581">
        <w:rPr>
          <w:rFonts w:ascii="Times New Roman" w:hAnsi="Times New Roman"/>
        </w:rPr>
        <w:t xml:space="preserve">§ 15 písmeno a) znie: </w:t>
      </w:r>
    </w:p>
    <w:p w:rsidR="00930849" w:rsidRPr="00BC6581" w:rsidP="00BC6581">
      <w:pPr>
        <w:bidi w:val="0"/>
        <w:ind w:firstLine="426"/>
        <w:jc w:val="both"/>
        <w:rPr>
          <w:rFonts w:ascii="Times New Roman" w:hAnsi="Times New Roman"/>
        </w:rPr>
      </w:pPr>
      <w:r w:rsidRPr="00BC6581">
        <w:rPr>
          <w:rFonts w:ascii="Times New Roman" w:hAnsi="Times New Roman"/>
        </w:rPr>
        <w:t>„a) fyzických osôb zisteného podľa § 4,“.</w:t>
      </w:r>
    </w:p>
    <w:p w:rsidR="00930849" w:rsidRPr="00BC6581" w:rsidP="00BC6581">
      <w:pPr>
        <w:bidi w:val="0"/>
        <w:jc w:val="both"/>
        <w:rPr>
          <w:rFonts w:ascii="Times New Roman" w:hAnsi="Times New Roman"/>
        </w:rPr>
      </w:pPr>
    </w:p>
    <w:p w:rsidR="00930849" w:rsidRPr="00BC6581" w:rsidP="00BC6581">
      <w:pPr>
        <w:numPr>
          <w:numId w:val="12"/>
        </w:numPr>
        <w:bidi w:val="0"/>
        <w:jc w:val="both"/>
        <w:rPr>
          <w:rFonts w:ascii="Times New Roman" w:hAnsi="Times New Roman"/>
        </w:rPr>
      </w:pPr>
      <w:r w:rsidRPr="00BC6581">
        <w:rPr>
          <w:rFonts w:ascii="Times New Roman" w:hAnsi="Times New Roman"/>
        </w:rPr>
        <w:t xml:space="preserve">V § 17 odsek 24 znie:  </w:t>
      </w:r>
    </w:p>
    <w:p w:rsidR="00930849" w:rsidRPr="00BC6581" w:rsidP="00BC6581">
      <w:pPr>
        <w:bidi w:val="0"/>
        <w:ind w:firstLine="426"/>
        <w:jc w:val="both"/>
        <w:rPr>
          <w:rFonts w:ascii="Times New Roman" w:hAnsi="Times New Roman"/>
        </w:rPr>
      </w:pPr>
      <w:r w:rsidRPr="00BC6581">
        <w:rPr>
          <w:rFonts w:ascii="Times New Roman" w:hAnsi="Times New Roman"/>
        </w:rPr>
        <w:t>„(24) Pri vyčíslení základu dane v zdaňovacom období, v ktorom došlo</w:t>
      </w:r>
    </w:p>
    <w:p w:rsidR="00327A7F" w:rsidP="00BC6581">
      <w:pPr>
        <w:numPr>
          <w:numId w:val="13"/>
        </w:numPr>
        <w:bidi w:val="0"/>
        <w:jc w:val="both"/>
        <w:rPr>
          <w:rFonts w:ascii="Times New Roman" w:hAnsi="Times New Roman"/>
        </w:rPr>
      </w:pPr>
      <w:r w:rsidRPr="00BC6581" w:rsidR="00930849">
        <w:rPr>
          <w:rFonts w:ascii="Times New Roman" w:hAnsi="Times New Roman"/>
        </w:rPr>
        <w:t>k porušeniu podmienok finančného prenájmu podľa § 2 písm. s)</w:t>
      </w:r>
    </w:p>
    <w:p w:rsidR="00327A7F" w:rsidP="00327A7F">
      <w:pPr>
        <w:numPr>
          <w:ilvl w:val="3"/>
          <w:numId w:val="12"/>
        </w:numPr>
        <w:bidi w:val="0"/>
        <w:ind w:left="993" w:hanging="284"/>
        <w:jc w:val="both"/>
        <w:rPr>
          <w:rFonts w:ascii="Times New Roman" w:hAnsi="Times New Roman"/>
        </w:rPr>
      </w:pPr>
      <w:r w:rsidRPr="00BC6581" w:rsidR="00930849">
        <w:rPr>
          <w:rFonts w:ascii="Times New Roman" w:hAnsi="Times New Roman"/>
        </w:rPr>
        <w:t>u daňovníka, ktorý obstaráva hmotný majetok formou finančného prenájmu a ktorý vykazuje základ dane podľa odseku 1 písm. b) a c), sa postupuje pri vyradení hmotného majetku obstarávaného formou finančného prenájmu podľa § 19 ods. 3 písm. b), d) alebo písm. e)</w:t>
      </w:r>
      <w:r>
        <w:rPr>
          <w:rFonts w:ascii="Times New Roman" w:hAnsi="Times New Roman"/>
        </w:rPr>
        <w:t>,</w:t>
      </w:r>
    </w:p>
    <w:p w:rsidR="00930849" w:rsidRPr="00BC6581" w:rsidP="00327A7F">
      <w:pPr>
        <w:numPr>
          <w:ilvl w:val="3"/>
          <w:numId w:val="12"/>
        </w:numPr>
        <w:bidi w:val="0"/>
        <w:ind w:left="993" w:hanging="284"/>
        <w:jc w:val="both"/>
        <w:rPr>
          <w:rFonts w:ascii="Times New Roman" w:hAnsi="Times New Roman"/>
        </w:rPr>
      </w:pPr>
      <w:r w:rsidRPr="00BC6581">
        <w:rPr>
          <w:rFonts w:ascii="Times New Roman" w:hAnsi="Times New Roman"/>
        </w:rPr>
        <w:t xml:space="preserve"> u daňovníka účtujúceho v sústave jednoduchého účtovníctva,</w:t>
      </w:r>
      <w:r w:rsidRPr="00BC6581">
        <w:rPr>
          <w:rFonts w:ascii="Times New Roman" w:hAnsi="Times New Roman"/>
          <w:vertAlign w:val="superscript"/>
        </w:rPr>
        <w:t>1</w:t>
      </w:r>
      <w:r w:rsidRPr="00BC6581">
        <w:rPr>
          <w:rFonts w:ascii="Times New Roman" w:hAnsi="Times New Roman"/>
        </w:rPr>
        <w:t>) ktorý vykazuje základ dane podľa odseku 1 písm. a), sa pri vyradení hmotného majetku obstarávaného formou finančného prenájmu postupuje podľa § 19 ods. 3 písm. b),  d) alebo písm. e), pričom pri predčasnom ukončení finančného prenájmu a vrátení hmotného majetku prenajímateľovi sa základ dane upraví o rozdiel už  zaplatenej istiny</w:t>
      </w:r>
      <w:r w:rsidRPr="00BC6581">
        <w:rPr>
          <w:rFonts w:ascii="Times New Roman" w:hAnsi="Times New Roman"/>
          <w:vertAlign w:val="superscript"/>
        </w:rPr>
        <w:t>1</w:t>
      </w:r>
      <w:r w:rsidRPr="00BC6581">
        <w:rPr>
          <w:rFonts w:ascii="Times New Roman" w:hAnsi="Times New Roman"/>
        </w:rPr>
        <w:t>) a odpisov zahrnutých do základu dane; rovnaký postup ako daňovník účtujúci v sústave jednoduchého účtovníctva</w:t>
      </w:r>
      <w:r w:rsidRPr="00BC6581">
        <w:rPr>
          <w:rFonts w:ascii="Times New Roman" w:hAnsi="Times New Roman"/>
          <w:vertAlign w:val="superscript"/>
        </w:rPr>
        <w:t>1</w:t>
      </w:r>
      <w:r w:rsidRPr="00BC6581">
        <w:rPr>
          <w:rFonts w:ascii="Times New Roman" w:hAnsi="Times New Roman"/>
        </w:rPr>
        <w:t>) uplatní aj daňovník, ktorý vedie evidenciu podľa § 6 ods. 11 alebo ods. 14,</w:t>
      </w:r>
    </w:p>
    <w:p w:rsidR="00930849" w:rsidRPr="00BC6581" w:rsidP="00BC6581">
      <w:pPr>
        <w:numPr>
          <w:numId w:val="13"/>
        </w:numPr>
        <w:bidi w:val="0"/>
        <w:jc w:val="both"/>
        <w:rPr>
          <w:rFonts w:ascii="Times New Roman" w:hAnsi="Times New Roman"/>
        </w:rPr>
      </w:pPr>
      <w:r w:rsidRPr="00BC6581">
        <w:rPr>
          <w:rFonts w:ascii="Times New Roman" w:hAnsi="Times New Roman"/>
        </w:rPr>
        <w:t>ku kúpe veci obstarávanej formou finančného prenájmu pred uplynutím minimálnej doby nájmu podľa § 2 písm. s) za kúpnu cenu nižšiu</w:t>
      </w:r>
      <w:r w:rsidR="00BF67F6">
        <w:rPr>
          <w:rFonts w:ascii="Times New Roman" w:hAnsi="Times New Roman"/>
        </w:rPr>
        <w:t>,</w:t>
      </w:r>
      <w:r w:rsidRPr="00BC6581">
        <w:rPr>
          <w:rFonts w:ascii="Times New Roman" w:hAnsi="Times New Roman"/>
        </w:rPr>
        <w:t xml:space="preserve"> ako je jej zostatková cena podľa § 25 ods. 3, sa základ dane zvýši o sumu úrokov už zahrnutých do základu dane a o túto sumu sa zvýši vstupná cena obstarávaného majetku,</w:t>
      </w:r>
    </w:p>
    <w:p w:rsidR="00930849" w:rsidRPr="00BC6581" w:rsidP="00BC6581">
      <w:pPr>
        <w:numPr>
          <w:numId w:val="13"/>
        </w:numPr>
        <w:bidi w:val="0"/>
        <w:jc w:val="both"/>
        <w:rPr>
          <w:rFonts w:ascii="Times New Roman" w:hAnsi="Times New Roman"/>
        </w:rPr>
      </w:pPr>
      <w:r w:rsidRPr="00BC6581">
        <w:rPr>
          <w:rFonts w:ascii="Times New Roman" w:hAnsi="Times New Roman"/>
        </w:rPr>
        <w:t>po skončení nájmu bez vopred dohodnutého práva kúpy prenajatej veci ku kúpe prenajatej veci za kúpnu cenu nižšiu</w:t>
      </w:r>
      <w:r w:rsidR="00BF67F6">
        <w:rPr>
          <w:rFonts w:ascii="Times New Roman" w:hAnsi="Times New Roman"/>
        </w:rPr>
        <w:t>,</w:t>
      </w:r>
      <w:r w:rsidRPr="00BC6581">
        <w:rPr>
          <w:rFonts w:ascii="Times New Roman" w:hAnsi="Times New Roman"/>
        </w:rPr>
        <w:t xml:space="preserve"> ako je  jej zostatková cena podľa § 25 ods. 3, sa základ dane zvýši o kladný rozdiel už uplatneného nájomného v daňových výdavkoch a odpisov, ktoré by mohol vlastník uplatniť z tohto majetku počas trvania nájomnej zmluvy podľa § 27 alebo § 28 a o tento rozdiel sa zvýši vstupná cena obstarávaného majetku.“. </w:t>
      </w:r>
    </w:p>
    <w:p w:rsidR="00930849" w:rsidRPr="00BC6581" w:rsidP="00BC6581">
      <w:pPr>
        <w:bidi w:val="0"/>
        <w:jc w:val="both"/>
        <w:rPr>
          <w:rFonts w:ascii="Times New Roman" w:hAnsi="Times New Roman"/>
        </w:rPr>
      </w:pPr>
    </w:p>
    <w:p w:rsidR="00930849" w:rsidRPr="00BC6581" w:rsidP="00BC6581">
      <w:pPr>
        <w:numPr>
          <w:numId w:val="12"/>
        </w:numPr>
        <w:bidi w:val="0"/>
        <w:ind w:left="426" w:hanging="426"/>
        <w:jc w:val="both"/>
        <w:rPr>
          <w:rFonts w:ascii="Times New Roman" w:hAnsi="Times New Roman"/>
        </w:rPr>
      </w:pPr>
      <w:r w:rsidRPr="00BC6581">
        <w:rPr>
          <w:rFonts w:ascii="Times New Roman" w:hAnsi="Times New Roman"/>
        </w:rPr>
        <w:t>V § 22 ods. 6 sa vypúšťa písmeno f).</w:t>
      </w:r>
    </w:p>
    <w:p w:rsidR="00930849" w:rsidRPr="00BC6581" w:rsidP="00BC6581">
      <w:pPr>
        <w:bidi w:val="0"/>
        <w:jc w:val="both"/>
        <w:rPr>
          <w:rFonts w:ascii="Times New Roman" w:hAnsi="Times New Roman"/>
        </w:rPr>
      </w:pPr>
    </w:p>
    <w:p w:rsidR="00930849" w:rsidRPr="00BC6581" w:rsidP="00BC6581">
      <w:pPr>
        <w:numPr>
          <w:numId w:val="12"/>
        </w:numPr>
        <w:bidi w:val="0"/>
        <w:ind w:left="426" w:hanging="426"/>
        <w:jc w:val="both"/>
        <w:rPr>
          <w:rFonts w:ascii="Times New Roman" w:hAnsi="Times New Roman"/>
        </w:rPr>
      </w:pPr>
      <w:r w:rsidRPr="00BC6581">
        <w:rPr>
          <w:rFonts w:ascii="Times New Roman" w:hAnsi="Times New Roman"/>
        </w:rPr>
        <w:t xml:space="preserve">V § 22 ods. 11 a 12 sa slová „ods. 6 až 9“ nahrádzajú slovami „ods. </w:t>
      </w:r>
      <w:smartTag w:uri="urn:schemas-microsoft-com:office:smarttags" w:element="metricconverter">
        <w:smartTagPr>
          <w:attr w:name="ProductID" w:val="6 a"/>
        </w:smartTagPr>
        <w:r w:rsidRPr="00BC6581">
          <w:rPr>
            <w:rFonts w:ascii="Times New Roman" w:hAnsi="Times New Roman"/>
          </w:rPr>
          <w:t>6 a</w:t>
        </w:r>
      </w:smartTag>
      <w:r w:rsidRPr="00BC6581">
        <w:rPr>
          <w:rFonts w:ascii="Times New Roman" w:hAnsi="Times New Roman"/>
        </w:rPr>
        <w:t xml:space="preserve"> 7“.</w:t>
      </w:r>
    </w:p>
    <w:p w:rsidR="00930849" w:rsidRPr="00BC6581" w:rsidP="00BC6581">
      <w:pPr>
        <w:bidi w:val="0"/>
        <w:jc w:val="both"/>
        <w:rPr>
          <w:rFonts w:ascii="Times New Roman" w:hAnsi="Times New Roman"/>
        </w:rPr>
      </w:pPr>
    </w:p>
    <w:p w:rsidR="00930849" w:rsidRPr="00BC6581" w:rsidP="00B548B2">
      <w:pPr>
        <w:numPr>
          <w:numId w:val="12"/>
        </w:numPr>
        <w:tabs>
          <w:tab w:val="left" w:pos="426"/>
        </w:tabs>
        <w:bidi w:val="0"/>
        <w:ind w:left="426" w:hanging="426"/>
        <w:jc w:val="both"/>
        <w:rPr>
          <w:rFonts w:ascii="Times New Roman" w:hAnsi="Times New Roman"/>
        </w:rPr>
      </w:pPr>
      <w:r w:rsidRPr="00BC6581">
        <w:rPr>
          <w:rFonts w:ascii="Times New Roman" w:hAnsi="Times New Roman"/>
        </w:rPr>
        <w:t>V § 25 ods. 3 sa na konci pripájajú tieto slová: „</w:t>
      </w:r>
      <w:r w:rsidR="00FB698F">
        <w:rPr>
          <w:rFonts w:ascii="Times New Roman" w:hAnsi="Times New Roman"/>
        </w:rPr>
        <w:t>okrem</w:t>
      </w:r>
      <w:r w:rsidRPr="00BC6581">
        <w:rPr>
          <w:rFonts w:ascii="Times New Roman" w:hAnsi="Times New Roman"/>
        </w:rPr>
        <w:t xml:space="preserve"> zostatkovej ceny podľa § 28 ods. 2 písm. </w:t>
      </w:r>
      <w:r w:rsidR="00607526">
        <w:rPr>
          <w:rFonts w:ascii="Times New Roman" w:hAnsi="Times New Roman"/>
        </w:rPr>
        <w:t>b</w:t>
      </w:r>
      <w:r w:rsidRPr="00BC6581">
        <w:rPr>
          <w:rFonts w:ascii="Times New Roman" w:hAnsi="Times New Roman"/>
        </w:rPr>
        <w:t>)“.</w:t>
      </w:r>
    </w:p>
    <w:p w:rsidR="00930849" w:rsidRPr="00BC6581" w:rsidP="00BC6581">
      <w:pPr>
        <w:bidi w:val="0"/>
        <w:jc w:val="both"/>
        <w:rPr>
          <w:rFonts w:ascii="Times New Roman" w:hAnsi="Times New Roman"/>
        </w:rPr>
      </w:pPr>
    </w:p>
    <w:p w:rsidR="00930849" w:rsidRPr="00BC6581" w:rsidP="00BC6581">
      <w:pPr>
        <w:numPr>
          <w:numId w:val="12"/>
        </w:numPr>
        <w:bidi w:val="0"/>
        <w:ind w:left="426" w:hanging="426"/>
        <w:jc w:val="both"/>
        <w:rPr>
          <w:rFonts w:ascii="Times New Roman" w:hAnsi="Times New Roman"/>
        </w:rPr>
      </w:pPr>
      <w:r w:rsidRPr="00BC6581">
        <w:rPr>
          <w:rFonts w:ascii="Times New Roman" w:hAnsi="Times New Roman"/>
        </w:rPr>
        <w:t>V § 26 ods. 2 sa slová „odsekov 6 až 9“ nahrádzajú slovami „odsekov 6 a 7“.</w:t>
      </w:r>
    </w:p>
    <w:p w:rsidR="00930849" w:rsidP="00BC6581">
      <w:pPr>
        <w:bidi w:val="0"/>
        <w:jc w:val="both"/>
        <w:rPr>
          <w:rFonts w:ascii="Times New Roman" w:hAnsi="Times New Roman"/>
        </w:rPr>
      </w:pPr>
    </w:p>
    <w:p w:rsidR="00930849" w:rsidRPr="00BC6581" w:rsidP="00BC6581">
      <w:pPr>
        <w:numPr>
          <w:numId w:val="12"/>
        </w:numPr>
        <w:bidi w:val="0"/>
        <w:ind w:left="426" w:hanging="426"/>
        <w:jc w:val="both"/>
        <w:rPr>
          <w:rFonts w:ascii="Times New Roman" w:hAnsi="Times New Roman"/>
        </w:rPr>
      </w:pPr>
      <w:r w:rsidRPr="00BC6581">
        <w:rPr>
          <w:rFonts w:ascii="Times New Roman" w:hAnsi="Times New Roman"/>
        </w:rPr>
        <w:t>V § 26 odsek 8 znie:</w:t>
      </w:r>
    </w:p>
    <w:p w:rsidR="00930849" w:rsidRPr="00BC6581" w:rsidP="00BC6581">
      <w:pPr>
        <w:pStyle w:val="ListParagraph"/>
        <w:bidi w:val="0"/>
        <w:ind w:left="426"/>
        <w:jc w:val="both"/>
        <w:rPr>
          <w:rFonts w:ascii="Times New Roman" w:hAnsi="Times New Roman"/>
          <w:sz w:val="24"/>
          <w:szCs w:val="24"/>
        </w:rPr>
      </w:pPr>
      <w:r w:rsidRPr="00BC6581">
        <w:rPr>
          <w:rFonts w:ascii="Times New Roman" w:hAnsi="Times New Roman"/>
          <w:sz w:val="24"/>
          <w:szCs w:val="24"/>
        </w:rPr>
        <w:t xml:space="preserve">„(8) Hmotný majetok prenajatý formou finančného prenájmu, okrem pozemkov, odpíše daňovník počas doby odpisovania tohto majetku podľa § 26 ods. 1 do výšky vstupnej ceny podľa § 25 spôsobom podľa § 27 alebo § 28.“. </w:t>
      </w:r>
    </w:p>
    <w:p w:rsidR="00930849" w:rsidRPr="00BC6581" w:rsidP="00BC6581">
      <w:pPr>
        <w:bidi w:val="0"/>
        <w:jc w:val="both"/>
        <w:rPr>
          <w:rFonts w:ascii="Times New Roman" w:hAnsi="Times New Roman"/>
        </w:rPr>
      </w:pPr>
    </w:p>
    <w:p w:rsidR="00930849" w:rsidRPr="00BC6581" w:rsidP="00BC6581">
      <w:pPr>
        <w:numPr>
          <w:numId w:val="12"/>
        </w:numPr>
        <w:bidi w:val="0"/>
        <w:ind w:left="426" w:hanging="426"/>
        <w:jc w:val="both"/>
        <w:rPr>
          <w:rFonts w:ascii="Times New Roman" w:hAnsi="Times New Roman"/>
        </w:rPr>
      </w:pPr>
      <w:r w:rsidRPr="00BC6581">
        <w:rPr>
          <w:rFonts w:ascii="Times New Roman" w:hAnsi="Times New Roman"/>
        </w:rPr>
        <w:t xml:space="preserve">V § 26 ods. 9 prvej vete sa slová „odsekov 6, 7 a 8“ nahrádzajú slovami „odsekov 6 a 7“ a vypúšťa sa tretia veta. </w:t>
      </w:r>
    </w:p>
    <w:p w:rsidR="00930849" w:rsidRPr="00BC6581" w:rsidP="00BC6581">
      <w:pPr>
        <w:bidi w:val="0"/>
        <w:jc w:val="both"/>
        <w:rPr>
          <w:rFonts w:ascii="Times New Roman" w:hAnsi="Times New Roman"/>
        </w:rPr>
      </w:pPr>
    </w:p>
    <w:p w:rsidR="00930849" w:rsidRPr="00BC6581" w:rsidP="00BC6581">
      <w:pPr>
        <w:numPr>
          <w:numId w:val="12"/>
        </w:numPr>
        <w:bidi w:val="0"/>
        <w:ind w:left="426" w:hanging="426"/>
        <w:jc w:val="both"/>
        <w:rPr>
          <w:rFonts w:ascii="Times New Roman" w:hAnsi="Times New Roman"/>
        </w:rPr>
      </w:pPr>
      <w:r w:rsidRPr="00BC6581">
        <w:rPr>
          <w:rFonts w:ascii="Times New Roman" w:hAnsi="Times New Roman"/>
        </w:rPr>
        <w:t>V § 26 ods. 10 sa slová „odsekov 6, 7 a 8“ nahrádzajú slovami „odsekov 6 a 7“.</w:t>
      </w:r>
    </w:p>
    <w:p w:rsidR="00930849" w:rsidRPr="00BC6581" w:rsidP="00BC6581">
      <w:pPr>
        <w:bidi w:val="0"/>
        <w:jc w:val="both"/>
        <w:rPr>
          <w:rFonts w:ascii="Times New Roman" w:hAnsi="Times New Roman"/>
        </w:rPr>
      </w:pPr>
    </w:p>
    <w:p w:rsidR="00930849" w:rsidRPr="00BC6581" w:rsidP="00BC6581">
      <w:pPr>
        <w:numPr>
          <w:numId w:val="12"/>
        </w:numPr>
        <w:bidi w:val="0"/>
        <w:ind w:left="426" w:hanging="426"/>
        <w:jc w:val="both"/>
        <w:rPr>
          <w:rFonts w:ascii="Times New Roman" w:hAnsi="Times New Roman"/>
        </w:rPr>
      </w:pPr>
      <w:r w:rsidRPr="00BC6581">
        <w:rPr>
          <w:rFonts w:ascii="Times New Roman" w:hAnsi="Times New Roman"/>
        </w:rPr>
        <w:t>V § 27 sa za odsek 1 vkladá nový odsek 2, ktorý znie:</w:t>
      </w:r>
    </w:p>
    <w:p w:rsidR="00930849" w:rsidRPr="00BC6581" w:rsidP="00BC6581">
      <w:pPr>
        <w:pStyle w:val="ListParagraph"/>
        <w:bidi w:val="0"/>
        <w:ind w:left="567" w:hanging="141"/>
        <w:jc w:val="both"/>
        <w:rPr>
          <w:rFonts w:ascii="Times New Roman" w:hAnsi="Times New Roman"/>
          <w:sz w:val="24"/>
          <w:szCs w:val="24"/>
        </w:rPr>
      </w:pPr>
      <w:r w:rsidRPr="00BC6581">
        <w:rPr>
          <w:rFonts w:ascii="Times New Roman" w:hAnsi="Times New Roman"/>
          <w:sz w:val="24"/>
          <w:szCs w:val="24"/>
        </w:rPr>
        <w:t xml:space="preserve">„(2) </w:t>
      </w:r>
      <w:r w:rsidR="00607526">
        <w:rPr>
          <w:rFonts w:ascii="Times New Roman" w:hAnsi="Times New Roman"/>
          <w:sz w:val="24"/>
          <w:szCs w:val="24"/>
        </w:rPr>
        <w:t>V prvom roku odpisovania hmotného majetku</w:t>
      </w:r>
      <w:r w:rsidRPr="00BC6581">
        <w:rPr>
          <w:rFonts w:ascii="Times New Roman" w:hAnsi="Times New Roman"/>
          <w:sz w:val="24"/>
          <w:szCs w:val="24"/>
        </w:rPr>
        <w:t xml:space="preserve"> sa </w:t>
      </w:r>
      <w:r w:rsidR="00FB698F">
        <w:rPr>
          <w:rFonts w:ascii="Times New Roman" w:hAnsi="Times New Roman"/>
          <w:sz w:val="24"/>
          <w:szCs w:val="24"/>
        </w:rPr>
        <w:t>uplatní len pomerná časť z ročného odpisu</w:t>
      </w:r>
      <w:r w:rsidRPr="00BC6581">
        <w:rPr>
          <w:rFonts w:ascii="Times New Roman" w:hAnsi="Times New Roman"/>
          <w:sz w:val="24"/>
          <w:szCs w:val="24"/>
        </w:rPr>
        <w:t xml:space="preserve"> vypočítaného podľa odseku 1 v závislosti od počtu mesiacov</w:t>
      </w:r>
      <w:r w:rsidR="002201C0">
        <w:rPr>
          <w:rFonts w:ascii="Times New Roman" w:hAnsi="Times New Roman"/>
          <w:sz w:val="24"/>
          <w:szCs w:val="24"/>
        </w:rPr>
        <w:t>,</w:t>
      </w:r>
      <w:r w:rsidRPr="00BC6581">
        <w:rPr>
          <w:rFonts w:ascii="Times New Roman" w:hAnsi="Times New Roman"/>
          <w:sz w:val="24"/>
          <w:szCs w:val="24"/>
        </w:rPr>
        <w:t xml:space="preserve"> počnúc mesiacom jeho zaradenia do užívania do konca tohto zdaňovacieho obdobia. Ak počas doby odpisovania</w:t>
      </w:r>
      <w:r w:rsidR="00015CE8">
        <w:rPr>
          <w:rFonts w:ascii="Times New Roman" w:hAnsi="Times New Roman"/>
          <w:sz w:val="24"/>
          <w:szCs w:val="24"/>
        </w:rPr>
        <w:t xml:space="preserve"> hmotného majetku</w:t>
      </w:r>
      <w:r w:rsidRPr="00BC6581">
        <w:rPr>
          <w:rFonts w:ascii="Times New Roman" w:hAnsi="Times New Roman"/>
          <w:sz w:val="24"/>
          <w:szCs w:val="24"/>
        </w:rPr>
        <w:t xml:space="preserve"> podľa § 26 ods. 1</w:t>
      </w:r>
    </w:p>
    <w:p w:rsidR="00930849" w:rsidRPr="00BC6581" w:rsidP="00BC6581">
      <w:pPr>
        <w:pStyle w:val="ListParagraph"/>
        <w:numPr>
          <w:numId w:val="14"/>
        </w:numPr>
        <w:bidi w:val="0"/>
        <w:ind w:left="851" w:hanging="284"/>
        <w:jc w:val="both"/>
        <w:rPr>
          <w:rFonts w:ascii="Times New Roman" w:hAnsi="Times New Roman"/>
          <w:sz w:val="24"/>
          <w:szCs w:val="24"/>
        </w:rPr>
      </w:pPr>
      <w:r w:rsidRPr="00BC6581">
        <w:rPr>
          <w:rFonts w:ascii="Times New Roman" w:hAnsi="Times New Roman"/>
          <w:sz w:val="24"/>
          <w:szCs w:val="24"/>
        </w:rPr>
        <w:t>nebolo vykonané technické zhodnotenie hmotného majetku, neuplatnená pomerná časť tohto ročného odpisu sa uplatní v roku nasledujúcom po roku uplynutia doby odpisovania hmotného majetku podľa § 26 ods. 1,</w:t>
      </w:r>
    </w:p>
    <w:p w:rsidR="00930849" w:rsidRPr="00BC6581" w:rsidP="00BC6581">
      <w:pPr>
        <w:pStyle w:val="ListParagraph"/>
        <w:numPr>
          <w:numId w:val="14"/>
        </w:numPr>
        <w:bidi w:val="0"/>
        <w:ind w:left="851" w:hanging="284"/>
        <w:jc w:val="both"/>
        <w:rPr>
          <w:rFonts w:ascii="Times New Roman" w:hAnsi="Times New Roman"/>
          <w:sz w:val="24"/>
          <w:szCs w:val="24"/>
        </w:rPr>
      </w:pPr>
      <w:r w:rsidRPr="00BC6581">
        <w:rPr>
          <w:rFonts w:ascii="Times New Roman" w:hAnsi="Times New Roman"/>
          <w:sz w:val="24"/>
          <w:szCs w:val="24"/>
        </w:rPr>
        <w:t xml:space="preserve"> bolo vykonané technické zhodnotenie hmotného majetku, neuplatnená pomerná časť tohto ročného odpisu sa uplatní podľa § 26 ods. 5.“. </w:t>
      </w:r>
    </w:p>
    <w:p w:rsidR="00930849" w:rsidRPr="00BC6581" w:rsidP="00BC6581">
      <w:pPr>
        <w:bidi w:val="0"/>
        <w:jc w:val="both"/>
        <w:rPr>
          <w:rFonts w:ascii="Times New Roman" w:hAnsi="Times New Roman"/>
        </w:rPr>
      </w:pPr>
    </w:p>
    <w:p w:rsidR="00930849" w:rsidRPr="00BC6581" w:rsidP="00BC6581">
      <w:pPr>
        <w:pStyle w:val="ListParagraph"/>
        <w:tabs>
          <w:tab w:val="left" w:pos="426"/>
        </w:tabs>
        <w:bidi w:val="0"/>
        <w:ind w:left="786" w:hanging="360"/>
        <w:jc w:val="both"/>
        <w:rPr>
          <w:rFonts w:ascii="Times New Roman" w:hAnsi="Times New Roman"/>
          <w:sz w:val="24"/>
          <w:szCs w:val="24"/>
        </w:rPr>
      </w:pPr>
      <w:r w:rsidRPr="00BC6581">
        <w:rPr>
          <w:rFonts w:ascii="Times New Roman" w:hAnsi="Times New Roman"/>
          <w:sz w:val="24"/>
          <w:szCs w:val="24"/>
        </w:rPr>
        <w:t>Doterajší odsek 2 sa označuje ako odsek 3.</w:t>
      </w:r>
    </w:p>
    <w:p w:rsidR="00930849" w:rsidRPr="00BC6581" w:rsidP="00BC6581">
      <w:pPr>
        <w:bidi w:val="0"/>
        <w:jc w:val="both"/>
        <w:rPr>
          <w:rFonts w:ascii="Times New Roman" w:hAnsi="Times New Roman"/>
        </w:rPr>
      </w:pPr>
    </w:p>
    <w:p w:rsidR="00930849" w:rsidRPr="00BC6581" w:rsidP="00BC6581">
      <w:pPr>
        <w:numPr>
          <w:numId w:val="12"/>
        </w:numPr>
        <w:bidi w:val="0"/>
        <w:ind w:left="426" w:hanging="426"/>
        <w:jc w:val="both"/>
        <w:rPr>
          <w:rFonts w:ascii="Times New Roman" w:hAnsi="Times New Roman"/>
        </w:rPr>
      </w:pPr>
      <w:r w:rsidRPr="00BC6581">
        <w:rPr>
          <w:rFonts w:ascii="Times New Roman" w:hAnsi="Times New Roman"/>
        </w:rPr>
        <w:t>V § 27 odsek 3 znie:</w:t>
      </w:r>
    </w:p>
    <w:p w:rsidR="00930849" w:rsidRPr="00BC6581" w:rsidP="00BC6581">
      <w:pPr>
        <w:bidi w:val="0"/>
        <w:ind w:left="567" w:hanging="141"/>
        <w:jc w:val="both"/>
        <w:rPr>
          <w:rFonts w:ascii="Times New Roman" w:hAnsi="Times New Roman"/>
        </w:rPr>
      </w:pPr>
      <w:r w:rsidRPr="00BC6581">
        <w:rPr>
          <w:rFonts w:ascii="Times New Roman" w:hAnsi="Times New Roman"/>
        </w:rPr>
        <w:t>„(3) Ročný odpis vypočítaný podľa odseku 1 a pomerná časť z ročného odpisu podľa odseku 2 sa zaokrúhľuj</w:t>
      </w:r>
      <w:r w:rsidR="00FA7E5F">
        <w:rPr>
          <w:rFonts w:ascii="Times New Roman" w:hAnsi="Times New Roman"/>
        </w:rPr>
        <w:t>ú</w:t>
      </w:r>
      <w:r w:rsidRPr="00BC6581">
        <w:rPr>
          <w:rFonts w:ascii="Times New Roman" w:hAnsi="Times New Roman"/>
        </w:rPr>
        <w:t xml:space="preserve"> na celé eurá nahor.“.</w:t>
      </w:r>
    </w:p>
    <w:p w:rsidR="00930849" w:rsidRPr="00BC6581" w:rsidP="00BC6581">
      <w:pPr>
        <w:bidi w:val="0"/>
        <w:jc w:val="both"/>
        <w:rPr>
          <w:rFonts w:ascii="Times New Roman" w:hAnsi="Times New Roman"/>
        </w:rPr>
      </w:pPr>
    </w:p>
    <w:p w:rsidR="00930849" w:rsidRPr="00BC6581" w:rsidP="00BC6581">
      <w:pPr>
        <w:numPr>
          <w:numId w:val="12"/>
        </w:numPr>
        <w:tabs>
          <w:tab w:val="left" w:pos="426"/>
        </w:tabs>
        <w:bidi w:val="0"/>
        <w:ind w:left="284" w:hanging="284"/>
        <w:jc w:val="both"/>
        <w:rPr>
          <w:rFonts w:ascii="Times New Roman" w:hAnsi="Times New Roman"/>
        </w:rPr>
      </w:pPr>
      <w:r w:rsidRPr="00BC6581">
        <w:rPr>
          <w:rFonts w:ascii="Times New Roman" w:hAnsi="Times New Roman"/>
        </w:rPr>
        <w:t>V § 28 ods</w:t>
      </w:r>
      <w:r w:rsidR="00607526">
        <w:rPr>
          <w:rFonts w:ascii="Times New Roman" w:hAnsi="Times New Roman"/>
        </w:rPr>
        <w:t>ek</w:t>
      </w:r>
      <w:r w:rsidRPr="00BC6581">
        <w:rPr>
          <w:rFonts w:ascii="Times New Roman" w:hAnsi="Times New Roman"/>
        </w:rPr>
        <w:t xml:space="preserve"> 2 znie:</w:t>
      </w:r>
    </w:p>
    <w:p w:rsidR="00E27E47" w:rsidP="006E430B">
      <w:pPr>
        <w:bidi w:val="0"/>
        <w:ind w:left="851" w:hanging="491"/>
        <w:jc w:val="both"/>
        <w:rPr>
          <w:rFonts w:ascii="Times New Roman" w:hAnsi="Times New Roman"/>
        </w:rPr>
      </w:pPr>
      <w:r w:rsidRPr="00AC6D7C" w:rsidR="00AC6D7C">
        <w:rPr>
          <w:rFonts w:ascii="Times New Roman" w:hAnsi="Times New Roman"/>
        </w:rPr>
        <w:t xml:space="preserve"> </w:t>
      </w:r>
      <w:r w:rsidRPr="001664BA" w:rsidR="00AC6D7C">
        <w:rPr>
          <w:rFonts w:ascii="Times New Roman" w:hAnsi="Times New Roman"/>
        </w:rPr>
        <w:t>„</w:t>
      </w:r>
      <w:r w:rsidR="00015CE8">
        <w:rPr>
          <w:rFonts w:ascii="Times New Roman" w:hAnsi="Times New Roman"/>
        </w:rPr>
        <w:t xml:space="preserve">(2) </w:t>
      </w:r>
      <w:r>
        <w:rPr>
          <w:rFonts w:ascii="Times New Roman" w:hAnsi="Times New Roman"/>
        </w:rPr>
        <w:t>Pri zrýchlenom odpisovaní</w:t>
      </w:r>
      <w:r w:rsidR="00015CE8">
        <w:rPr>
          <w:rFonts w:ascii="Times New Roman" w:hAnsi="Times New Roman"/>
        </w:rPr>
        <w:t xml:space="preserve"> hmotného majetku</w:t>
      </w:r>
      <w:r>
        <w:rPr>
          <w:rFonts w:ascii="Times New Roman" w:hAnsi="Times New Roman"/>
        </w:rPr>
        <w:t xml:space="preserve"> sa určia odpisy z hmotného majetku takto:</w:t>
      </w:r>
    </w:p>
    <w:p w:rsidR="00607526" w:rsidP="00E27E47">
      <w:pPr>
        <w:bidi w:val="0"/>
        <w:ind w:left="851" w:hanging="284"/>
        <w:jc w:val="both"/>
        <w:rPr>
          <w:rFonts w:ascii="Times New Roman" w:hAnsi="Times New Roman"/>
        </w:rPr>
      </w:pPr>
      <w:r w:rsidRPr="001664BA" w:rsidR="00AC6D7C">
        <w:rPr>
          <w:rFonts w:ascii="Times New Roman" w:hAnsi="Times New Roman"/>
        </w:rPr>
        <w:t xml:space="preserve">a) </w:t>
      </w:r>
      <w:r>
        <w:rPr>
          <w:rFonts w:ascii="Times New Roman" w:hAnsi="Times New Roman"/>
        </w:rPr>
        <w:t>v prvom roku odpisovania hmotného majetku</w:t>
      </w:r>
      <w:r w:rsidRPr="001664BA" w:rsidR="00AC6D7C">
        <w:rPr>
          <w:rFonts w:ascii="Times New Roman" w:hAnsi="Times New Roman"/>
        </w:rPr>
        <w:t xml:space="preserve"> len </w:t>
      </w:r>
      <w:r w:rsidR="00015CE8">
        <w:rPr>
          <w:rFonts w:ascii="Times New Roman" w:hAnsi="Times New Roman"/>
        </w:rPr>
        <w:t>pomerná časť z ročného odpisu určeného</w:t>
      </w:r>
      <w:r w:rsidRPr="001664BA" w:rsidR="00AC6D7C">
        <w:rPr>
          <w:rFonts w:ascii="Times New Roman" w:hAnsi="Times New Roman"/>
        </w:rPr>
        <w:t xml:space="preserve"> ako podiel vstupnej ceny a priradeného koeficientu pre zrýchlené odpisovanie </w:t>
      </w:r>
      <w:r w:rsidR="00015CE8">
        <w:rPr>
          <w:rFonts w:ascii="Times New Roman" w:hAnsi="Times New Roman"/>
        </w:rPr>
        <w:t xml:space="preserve">hmotného majetku </w:t>
      </w:r>
      <w:r w:rsidRPr="001664BA" w:rsidR="00AC6D7C">
        <w:rPr>
          <w:rFonts w:ascii="Times New Roman" w:hAnsi="Times New Roman"/>
        </w:rPr>
        <w:t>platného v prvom roku odpisovania v závislosti od počtu mesiacov</w:t>
      </w:r>
      <w:r w:rsidR="00BF67F6">
        <w:rPr>
          <w:rFonts w:ascii="Times New Roman" w:hAnsi="Times New Roman"/>
        </w:rPr>
        <w:t>,</w:t>
      </w:r>
      <w:r w:rsidRPr="001664BA" w:rsidR="00AC6D7C">
        <w:rPr>
          <w:rFonts w:ascii="Times New Roman" w:hAnsi="Times New Roman"/>
        </w:rPr>
        <w:t xml:space="preserve"> počnúc mesiacom jeho zaradenia do užívania do konca tohto zdaňovacieho obdobia</w:t>
      </w:r>
      <w:r>
        <w:rPr>
          <w:rFonts w:ascii="Times New Roman" w:hAnsi="Times New Roman"/>
        </w:rPr>
        <w:t>,</w:t>
      </w:r>
    </w:p>
    <w:p w:rsidR="00607526" w:rsidP="006E430B">
      <w:pPr>
        <w:numPr>
          <w:numId w:val="23"/>
        </w:numPr>
        <w:bidi w:val="0"/>
        <w:ind w:left="851" w:hanging="284"/>
        <w:jc w:val="both"/>
        <w:rPr>
          <w:rFonts w:ascii="Times New Roman" w:hAnsi="Times New Roman"/>
        </w:rPr>
      </w:pPr>
      <w:r>
        <w:rPr>
          <w:rFonts w:ascii="Times New Roman" w:hAnsi="Times New Roman"/>
        </w:rPr>
        <w:t>v ďalších rokoch odpisovania</w:t>
      </w:r>
      <w:r w:rsidR="00BB2309">
        <w:rPr>
          <w:rFonts w:ascii="Times New Roman" w:hAnsi="Times New Roman"/>
        </w:rPr>
        <w:t xml:space="preserve"> hmotného majetku</w:t>
      </w:r>
      <w:r>
        <w:rPr>
          <w:rFonts w:ascii="Times New Roman" w:hAnsi="Times New Roman"/>
        </w:rPr>
        <w:t xml:space="preserve"> ako podiel dvojnásobku jeho zostatkovej ceny a rozdielu medzi priradeným koeficientom pre zrýchlené odpisovanie platným v ďalších rokoch odpisovania a počtom rokov, počas ktorých sa už odpisoval; len na účely výpočtu ročných odpisov</w:t>
      </w:r>
    </w:p>
    <w:p w:rsidR="00607526" w:rsidP="0004480E">
      <w:pPr>
        <w:bidi w:val="0"/>
        <w:ind w:left="1134" w:hanging="283"/>
        <w:jc w:val="both"/>
        <w:rPr>
          <w:rFonts w:ascii="Times New Roman" w:hAnsi="Times New Roman"/>
        </w:rPr>
      </w:pPr>
      <w:r>
        <w:rPr>
          <w:rFonts w:ascii="Times New Roman" w:hAnsi="Times New Roman"/>
        </w:rPr>
        <w:t xml:space="preserve">1. v druhom roku odpisovania sa zostatková cena hmotného majetku určí ako rozdiel </w:t>
      </w:r>
      <w:r w:rsidRPr="001664BA">
        <w:rPr>
          <w:rFonts w:ascii="Times New Roman" w:hAnsi="Times New Roman"/>
        </w:rPr>
        <w:t>medzi vstupnou cenou a podielom jeho vstupnej ceny a priradeného koeficientu pre zrýchlené odpisovanie platného v prvom roku odpisovania</w:t>
      </w:r>
      <w:r>
        <w:rPr>
          <w:rFonts w:ascii="Times New Roman" w:hAnsi="Times New Roman"/>
        </w:rPr>
        <w:t xml:space="preserve"> neskráteným o pomernú časť ročného odpisu </w:t>
      </w:r>
      <w:r w:rsidR="00E27E47">
        <w:rPr>
          <w:rFonts w:ascii="Times New Roman" w:hAnsi="Times New Roman"/>
        </w:rPr>
        <w:t>neuplatnen</w:t>
      </w:r>
      <w:r w:rsidR="00170490">
        <w:rPr>
          <w:rFonts w:ascii="Times New Roman" w:hAnsi="Times New Roman"/>
        </w:rPr>
        <w:t>ú</w:t>
      </w:r>
      <w:r>
        <w:rPr>
          <w:rFonts w:ascii="Times New Roman" w:hAnsi="Times New Roman"/>
        </w:rPr>
        <w:t xml:space="preserve"> </w:t>
      </w:r>
      <w:r w:rsidR="00170490">
        <w:rPr>
          <w:rFonts w:ascii="Times New Roman" w:hAnsi="Times New Roman"/>
        </w:rPr>
        <w:t>v</w:t>
      </w:r>
      <w:r>
        <w:rPr>
          <w:rFonts w:ascii="Times New Roman" w:hAnsi="Times New Roman"/>
        </w:rPr>
        <w:t> daňových výdavko</w:t>
      </w:r>
      <w:r w:rsidR="00170490">
        <w:rPr>
          <w:rFonts w:ascii="Times New Roman" w:hAnsi="Times New Roman"/>
        </w:rPr>
        <w:t>ch</w:t>
      </w:r>
      <w:r>
        <w:rPr>
          <w:rFonts w:ascii="Times New Roman" w:hAnsi="Times New Roman"/>
        </w:rPr>
        <w:t xml:space="preserve"> v prvom roku odpisovania</w:t>
      </w:r>
      <w:r w:rsidR="006E430B">
        <w:rPr>
          <w:rFonts w:ascii="Times New Roman" w:hAnsi="Times New Roman"/>
        </w:rPr>
        <w:t>,</w:t>
      </w:r>
    </w:p>
    <w:p w:rsidR="00607526" w:rsidRPr="00AC6D7C" w:rsidP="0004480E">
      <w:pPr>
        <w:bidi w:val="0"/>
        <w:ind w:left="1134" w:hanging="283"/>
        <w:jc w:val="both"/>
        <w:rPr>
          <w:rFonts w:ascii="Times New Roman" w:hAnsi="Times New Roman"/>
        </w:rPr>
      </w:pPr>
      <w:r>
        <w:rPr>
          <w:rFonts w:ascii="Times New Roman" w:hAnsi="Times New Roman"/>
        </w:rPr>
        <w:t>2. v ďalších rokoch odpisovania sa zostatková cena určená podľa bodu 1</w:t>
      </w:r>
      <w:r w:rsidR="006E430B">
        <w:rPr>
          <w:rFonts w:ascii="Times New Roman" w:hAnsi="Times New Roman"/>
        </w:rPr>
        <w:t xml:space="preserve"> zníži o</w:t>
      </w:r>
      <w:r w:rsidR="00170490">
        <w:rPr>
          <w:rFonts w:ascii="Times New Roman" w:hAnsi="Times New Roman"/>
        </w:rPr>
        <w:t xml:space="preserve"> daňové </w:t>
      </w:r>
      <w:r w:rsidR="006E430B">
        <w:rPr>
          <w:rFonts w:ascii="Times New Roman" w:hAnsi="Times New Roman"/>
        </w:rPr>
        <w:t>odpisy</w:t>
      </w:r>
      <w:r w:rsidR="00170490">
        <w:rPr>
          <w:rFonts w:ascii="Times New Roman" w:hAnsi="Times New Roman"/>
        </w:rPr>
        <w:t xml:space="preserve"> z</w:t>
      </w:r>
      <w:r w:rsidR="006E430B">
        <w:rPr>
          <w:rFonts w:ascii="Times New Roman" w:hAnsi="Times New Roman"/>
        </w:rPr>
        <w:t xml:space="preserve"> tohto majetku zahrnuté do daňových výdavkov počnúc druhým rokom odpisovania.</w:t>
      </w:r>
      <w:r w:rsidRPr="001664BA">
        <w:rPr>
          <w:rFonts w:ascii="Times New Roman" w:hAnsi="Times New Roman"/>
        </w:rPr>
        <w:t>“.</w:t>
      </w:r>
    </w:p>
    <w:p w:rsidR="00930849" w:rsidRPr="00BC6581" w:rsidP="00BC6581">
      <w:pPr>
        <w:bidi w:val="0"/>
        <w:jc w:val="both"/>
        <w:rPr>
          <w:rFonts w:ascii="Times New Roman" w:hAnsi="Times New Roman"/>
        </w:rPr>
      </w:pPr>
    </w:p>
    <w:p w:rsidR="00930849" w:rsidRPr="00BC6581" w:rsidP="00BC6581">
      <w:pPr>
        <w:numPr>
          <w:numId w:val="12"/>
        </w:numPr>
        <w:bidi w:val="0"/>
        <w:ind w:left="426" w:hanging="426"/>
        <w:rPr>
          <w:rFonts w:ascii="Times New Roman" w:hAnsi="Times New Roman"/>
        </w:rPr>
      </w:pPr>
      <w:r w:rsidRPr="00BC6581">
        <w:rPr>
          <w:rFonts w:ascii="Times New Roman" w:hAnsi="Times New Roman"/>
        </w:rPr>
        <w:t>V § 28 sa za odsek 3 vkladá nový odsek 4, ktorý znie:</w:t>
      </w:r>
    </w:p>
    <w:p w:rsidR="00930849" w:rsidRPr="00BC6581" w:rsidP="00BC6581">
      <w:pPr>
        <w:bidi w:val="0"/>
        <w:rPr>
          <w:rFonts w:ascii="Times New Roman" w:hAnsi="Times New Roman"/>
        </w:rPr>
      </w:pPr>
      <w:r w:rsidRPr="00BC6581">
        <w:rPr>
          <w:rFonts w:ascii="Times New Roman" w:hAnsi="Times New Roman"/>
        </w:rPr>
        <w:t>„(4) Ak počas doby odpisovania</w:t>
      </w:r>
      <w:r w:rsidR="00F53DD5">
        <w:rPr>
          <w:rFonts w:ascii="Times New Roman" w:hAnsi="Times New Roman"/>
        </w:rPr>
        <w:t xml:space="preserve"> hmotného majetku</w:t>
      </w:r>
      <w:r w:rsidRPr="00BC6581">
        <w:rPr>
          <w:rFonts w:ascii="Times New Roman" w:hAnsi="Times New Roman"/>
        </w:rPr>
        <w:t xml:space="preserve"> podľa § 26 ods. 1</w:t>
      </w:r>
    </w:p>
    <w:p w:rsidR="00930849" w:rsidRPr="00BC6581" w:rsidP="00BC6581">
      <w:pPr>
        <w:numPr>
          <w:numId w:val="10"/>
        </w:numPr>
        <w:bidi w:val="0"/>
        <w:jc w:val="both"/>
        <w:rPr>
          <w:rFonts w:ascii="Times New Roman" w:hAnsi="Times New Roman"/>
        </w:rPr>
      </w:pPr>
      <w:r w:rsidRPr="00BC6581">
        <w:rPr>
          <w:rFonts w:ascii="Times New Roman" w:hAnsi="Times New Roman"/>
        </w:rPr>
        <w:t>nebolo vykonané technické zhodnotenie hmotného majetku, neuplatnená pomerná časť z ročného odpisu podľa odseku 2 písm. a) sa uplatní v roku nasledujúcom po roku uplynutia doby odpisovania hmotného majetku podľa § 26 ods. 1,</w:t>
      </w:r>
    </w:p>
    <w:p w:rsidR="00930849" w:rsidRPr="00BC6581" w:rsidP="00BC6581">
      <w:pPr>
        <w:numPr>
          <w:numId w:val="10"/>
        </w:numPr>
        <w:bidi w:val="0"/>
        <w:jc w:val="both"/>
        <w:rPr>
          <w:rFonts w:ascii="Times New Roman" w:hAnsi="Times New Roman"/>
        </w:rPr>
      </w:pPr>
      <w:r w:rsidRPr="00BC6581">
        <w:rPr>
          <w:rFonts w:ascii="Times New Roman" w:hAnsi="Times New Roman"/>
        </w:rPr>
        <w:t>bolo vykonané technické zhodnotenie hmotného majetku, neuplatnená pomerná časť z ročného odpisu podľa odseku 2 písm. a) zvyšuje zostatkovú cenu tohto majetku v roku vykonania technického zhodnotenia.“.</w:t>
      </w:r>
    </w:p>
    <w:p w:rsidR="00930849" w:rsidRPr="00BC6581" w:rsidP="00BC6581">
      <w:pPr>
        <w:bidi w:val="0"/>
        <w:jc w:val="both"/>
        <w:rPr>
          <w:rFonts w:ascii="Times New Roman" w:hAnsi="Times New Roman"/>
        </w:rPr>
      </w:pPr>
    </w:p>
    <w:p w:rsidR="00930849" w:rsidRPr="00BC6581" w:rsidP="00BC6581">
      <w:pPr>
        <w:bidi w:val="0"/>
        <w:ind w:left="360"/>
        <w:jc w:val="both"/>
        <w:rPr>
          <w:rFonts w:ascii="Times New Roman" w:hAnsi="Times New Roman"/>
        </w:rPr>
      </w:pPr>
      <w:r w:rsidRPr="00BC6581">
        <w:rPr>
          <w:rFonts w:ascii="Times New Roman" w:hAnsi="Times New Roman"/>
        </w:rPr>
        <w:t>Doterajší odsek 4 sa označuje ako odsek 5.</w:t>
      </w:r>
    </w:p>
    <w:p w:rsidR="00930849" w:rsidRPr="00BC6581" w:rsidP="00BC6581">
      <w:pPr>
        <w:bidi w:val="0"/>
        <w:jc w:val="both"/>
        <w:rPr>
          <w:rFonts w:ascii="Times New Roman" w:hAnsi="Times New Roman"/>
        </w:rPr>
      </w:pPr>
    </w:p>
    <w:p w:rsidR="00930849" w:rsidP="00BC6581">
      <w:pPr>
        <w:numPr>
          <w:numId w:val="12"/>
        </w:numPr>
        <w:bidi w:val="0"/>
        <w:ind w:left="425" w:hanging="425"/>
        <w:jc w:val="both"/>
        <w:rPr>
          <w:rFonts w:ascii="Times New Roman" w:hAnsi="Times New Roman"/>
        </w:rPr>
      </w:pPr>
      <w:r w:rsidRPr="00BC6581">
        <w:rPr>
          <w:rFonts w:ascii="Times New Roman" w:hAnsi="Times New Roman"/>
        </w:rPr>
        <w:t>V § 30 ods. 1 sa za slová „Od základu dane“ vkladajú slová „daňovníka, ktorý je právnickou osobou, alebo od základu dane (čiastkového základu dane) z príjmov podľa §</w:t>
      </w:r>
      <w:r w:rsidRPr="00BC6581" w:rsidR="00BF67F6">
        <w:rPr>
          <w:rFonts w:ascii="Times New Roman" w:hAnsi="Times New Roman"/>
        </w:rPr>
        <w:t> </w:t>
      </w:r>
      <w:r w:rsidRPr="00BC6581">
        <w:rPr>
          <w:rFonts w:ascii="Times New Roman" w:hAnsi="Times New Roman"/>
        </w:rPr>
        <w:t>6 ods. 1 a 2 daňovníka, ktorý je fyzickou osobou,“.</w:t>
      </w:r>
    </w:p>
    <w:p w:rsidR="00060AA4" w:rsidP="00060AA4">
      <w:pPr>
        <w:bidi w:val="0"/>
        <w:ind w:left="425"/>
        <w:jc w:val="both"/>
        <w:rPr>
          <w:rFonts w:ascii="Times New Roman" w:hAnsi="Times New Roman"/>
        </w:rPr>
      </w:pPr>
    </w:p>
    <w:p w:rsidR="00A72C30" w:rsidRPr="00B37D2F" w:rsidP="00B37D2F">
      <w:pPr>
        <w:pStyle w:val="ListParagraph"/>
        <w:numPr>
          <w:numId w:val="12"/>
        </w:numPr>
        <w:bidi w:val="0"/>
        <w:jc w:val="both"/>
        <w:rPr>
          <w:rFonts w:ascii="Times New Roman" w:hAnsi="Times New Roman"/>
          <w:color w:val="231F20"/>
          <w:sz w:val="24"/>
          <w:szCs w:val="24"/>
        </w:rPr>
      </w:pPr>
      <w:r w:rsidRPr="00B37D2F">
        <w:rPr>
          <w:rFonts w:ascii="Times New Roman" w:hAnsi="Times New Roman"/>
          <w:sz w:val="24"/>
          <w:szCs w:val="24"/>
        </w:rPr>
        <w:t>V § 49 ods.</w:t>
      </w:r>
      <w:r w:rsidRPr="00B37D2F" w:rsidR="00B37D2F">
        <w:rPr>
          <w:rFonts w:ascii="Times New Roman" w:hAnsi="Times New Roman"/>
          <w:sz w:val="24"/>
          <w:szCs w:val="24"/>
        </w:rPr>
        <w:t xml:space="preserve"> </w:t>
      </w:r>
      <w:r w:rsidRPr="00B37D2F">
        <w:rPr>
          <w:rFonts w:ascii="Times New Roman" w:hAnsi="Times New Roman"/>
          <w:sz w:val="24"/>
          <w:szCs w:val="24"/>
        </w:rPr>
        <w:t>2 druhá veta znie: „</w:t>
      </w:r>
      <w:r w:rsidRPr="00B37D2F">
        <w:rPr>
          <w:rFonts w:ascii="Times New Roman" w:hAnsi="Times New Roman"/>
          <w:color w:val="231F20"/>
          <w:sz w:val="24"/>
          <w:szCs w:val="24"/>
        </w:rPr>
        <w:t xml:space="preserve">V lehote na podanie daňového priznania </w:t>
      </w:r>
      <w:r w:rsidRPr="00B37D2F">
        <w:rPr>
          <w:rFonts w:ascii="Times New Roman" w:hAnsi="Times New Roman"/>
          <w:sz w:val="24"/>
          <w:szCs w:val="24"/>
        </w:rPr>
        <w:t>alebo hlásenia</w:t>
      </w:r>
      <w:r w:rsidRPr="00B37D2F">
        <w:rPr>
          <w:rFonts w:ascii="Times New Roman" w:hAnsi="Times New Roman"/>
          <w:color w:val="231F20"/>
          <w:sz w:val="24"/>
          <w:szCs w:val="24"/>
        </w:rPr>
        <w:t xml:space="preserve"> je povinný platiteľ dane, daňovník, dedič alebo osoba podľa osobitného predpisu</w:t>
      </w:r>
      <w:r w:rsidRPr="00B37D2F">
        <w:rPr>
          <w:rFonts w:ascii="Times New Roman" w:hAnsi="Times New Roman"/>
          <w:color w:val="231F20"/>
          <w:sz w:val="24"/>
          <w:szCs w:val="24"/>
          <w:vertAlign w:val="superscript"/>
        </w:rPr>
        <w:t>122aa</w:t>
      </w:r>
      <w:r w:rsidRPr="00B37D2F">
        <w:rPr>
          <w:rFonts w:ascii="Times New Roman" w:hAnsi="Times New Roman"/>
          <w:color w:val="231F20"/>
          <w:sz w:val="24"/>
          <w:szCs w:val="24"/>
        </w:rPr>
        <w:t>) daň aj zaplatiť.“.</w:t>
      </w:r>
    </w:p>
    <w:p w:rsidR="00A17ABB" w:rsidP="00B37D2F">
      <w:pPr>
        <w:pStyle w:val="ListParagraph"/>
        <w:bidi w:val="0"/>
        <w:ind w:left="360"/>
        <w:jc w:val="both"/>
        <w:rPr>
          <w:rFonts w:ascii="Times New Roman" w:hAnsi="Times New Roman"/>
          <w:color w:val="231F20"/>
          <w:sz w:val="24"/>
          <w:szCs w:val="24"/>
          <w:highlight w:val="yellow"/>
        </w:rPr>
      </w:pPr>
    </w:p>
    <w:p w:rsidR="00A17ABB" w:rsidRPr="00B37D2F" w:rsidP="00B37D2F">
      <w:pPr>
        <w:pStyle w:val="ListParagraph"/>
        <w:numPr>
          <w:numId w:val="12"/>
        </w:numPr>
        <w:bidi w:val="0"/>
        <w:jc w:val="both"/>
        <w:rPr>
          <w:rFonts w:ascii="Times New Roman" w:hAnsi="Times New Roman"/>
          <w:sz w:val="24"/>
          <w:szCs w:val="24"/>
        </w:rPr>
      </w:pPr>
      <w:r w:rsidRPr="00B37D2F">
        <w:rPr>
          <w:rFonts w:ascii="Times New Roman" w:hAnsi="Times New Roman"/>
          <w:sz w:val="24"/>
          <w:szCs w:val="24"/>
        </w:rPr>
        <w:t xml:space="preserve">V § 49 ods. 11 sa </w:t>
      </w:r>
      <w:r w:rsidR="00462A2F">
        <w:rPr>
          <w:rFonts w:ascii="Times New Roman" w:hAnsi="Times New Roman"/>
          <w:sz w:val="24"/>
          <w:szCs w:val="24"/>
        </w:rPr>
        <w:t>na konci pripája táto</w:t>
      </w:r>
      <w:r w:rsidRPr="00B37D2F">
        <w:rPr>
          <w:rFonts w:ascii="Times New Roman" w:hAnsi="Times New Roman"/>
          <w:sz w:val="24"/>
          <w:szCs w:val="24"/>
        </w:rPr>
        <w:t xml:space="preserve"> veta: „Prílohou daňového priznania sú aj doklady uvedené v príslušnom tlačive daňového priznania</w:t>
      </w:r>
      <w:r w:rsidRPr="00B37D2F" w:rsidR="00B37D2F">
        <w:rPr>
          <w:rFonts w:ascii="Times New Roman" w:hAnsi="Times New Roman"/>
          <w:sz w:val="24"/>
          <w:szCs w:val="24"/>
        </w:rPr>
        <w:t>.</w:t>
      </w:r>
      <w:r w:rsidRPr="00B37D2F">
        <w:rPr>
          <w:rFonts w:ascii="Times New Roman" w:hAnsi="Times New Roman"/>
          <w:sz w:val="24"/>
          <w:szCs w:val="24"/>
        </w:rPr>
        <w:t>“.</w:t>
      </w:r>
    </w:p>
    <w:p w:rsidR="00A17ABB" w:rsidRPr="00A72C30" w:rsidP="00A17ABB">
      <w:pPr>
        <w:pStyle w:val="ListParagraph"/>
        <w:bidi w:val="0"/>
        <w:ind w:left="360"/>
        <w:rPr>
          <w:rFonts w:ascii="Times New Roman" w:hAnsi="Times New Roman"/>
          <w:color w:val="231F20"/>
          <w:sz w:val="24"/>
          <w:szCs w:val="24"/>
          <w:highlight w:val="yellow"/>
        </w:rPr>
      </w:pPr>
    </w:p>
    <w:p w:rsidR="00B37D2F" w:rsidP="001664BA">
      <w:pPr>
        <w:pStyle w:val="ListParagraph"/>
        <w:numPr>
          <w:numId w:val="12"/>
        </w:numPr>
        <w:bidi w:val="0"/>
        <w:rPr>
          <w:rFonts w:ascii="Times New Roman" w:hAnsi="Times New Roman"/>
          <w:sz w:val="24"/>
          <w:szCs w:val="24"/>
        </w:rPr>
      </w:pPr>
      <w:r w:rsidR="00584A9E">
        <w:rPr>
          <w:rFonts w:ascii="Times New Roman" w:hAnsi="Times New Roman"/>
          <w:sz w:val="24"/>
          <w:szCs w:val="24"/>
        </w:rPr>
        <w:t>Poznámka pod čiarou 136c</w:t>
      </w:r>
      <w:r w:rsidRPr="00B37D2F" w:rsidR="001664BA">
        <w:rPr>
          <w:rFonts w:ascii="Times New Roman" w:hAnsi="Times New Roman"/>
          <w:sz w:val="24"/>
          <w:szCs w:val="24"/>
        </w:rPr>
        <w:t xml:space="preserve"> znie: </w:t>
      </w:r>
    </w:p>
    <w:p w:rsidR="001664BA" w:rsidRPr="00B37D2F" w:rsidP="00B37D2F">
      <w:pPr>
        <w:pStyle w:val="ListParagraph"/>
        <w:bidi w:val="0"/>
        <w:ind w:left="360"/>
        <w:jc w:val="both"/>
        <w:rPr>
          <w:rFonts w:ascii="Times New Roman" w:hAnsi="Times New Roman"/>
          <w:sz w:val="24"/>
          <w:szCs w:val="24"/>
        </w:rPr>
      </w:pPr>
      <w:r w:rsidRPr="00B37D2F">
        <w:rPr>
          <w:rFonts w:ascii="Times New Roman" w:hAnsi="Times New Roman"/>
          <w:sz w:val="24"/>
          <w:szCs w:val="24"/>
        </w:rPr>
        <w:t>„</w:t>
      </w:r>
      <w:r w:rsidRPr="00B37D2F" w:rsidR="00B37D2F">
        <w:rPr>
          <w:rFonts w:ascii="Times New Roman" w:hAnsi="Times New Roman"/>
          <w:sz w:val="24"/>
          <w:szCs w:val="24"/>
          <w:vertAlign w:val="superscript"/>
        </w:rPr>
        <w:t>136c</w:t>
      </w:r>
      <w:r w:rsidR="00B37D2F">
        <w:rPr>
          <w:rFonts w:ascii="Times New Roman" w:hAnsi="Times New Roman"/>
          <w:sz w:val="24"/>
          <w:szCs w:val="24"/>
        </w:rPr>
        <w:t>) N</w:t>
      </w:r>
      <w:r w:rsidRPr="00B37D2F">
        <w:rPr>
          <w:rFonts w:ascii="Times New Roman" w:hAnsi="Times New Roman"/>
          <w:sz w:val="24"/>
          <w:szCs w:val="24"/>
        </w:rPr>
        <w:t>apr</w:t>
      </w:r>
      <w:r w:rsidR="00584A9E">
        <w:rPr>
          <w:rFonts w:ascii="Times New Roman" w:hAnsi="Times New Roman"/>
          <w:sz w:val="24"/>
          <w:szCs w:val="24"/>
        </w:rPr>
        <w:t>íklad</w:t>
      </w:r>
      <w:r w:rsidRPr="00B37D2F">
        <w:rPr>
          <w:rFonts w:ascii="Times New Roman" w:hAnsi="Times New Roman"/>
          <w:sz w:val="24"/>
          <w:szCs w:val="24"/>
        </w:rPr>
        <w:t xml:space="preserve"> </w:t>
      </w:r>
      <w:r w:rsidR="00BB2309">
        <w:rPr>
          <w:rFonts w:ascii="Times New Roman" w:hAnsi="Times New Roman"/>
          <w:sz w:val="24"/>
          <w:szCs w:val="24"/>
        </w:rPr>
        <w:t xml:space="preserve">§ </w:t>
      </w:r>
      <w:r w:rsidR="002952DB">
        <w:rPr>
          <w:rFonts w:ascii="Times New Roman" w:hAnsi="Times New Roman"/>
          <w:sz w:val="24"/>
          <w:szCs w:val="24"/>
        </w:rPr>
        <w:t>66ba</w:t>
      </w:r>
      <w:r w:rsidR="00BB2309">
        <w:rPr>
          <w:rFonts w:ascii="Times New Roman" w:hAnsi="Times New Roman"/>
          <w:sz w:val="24"/>
          <w:szCs w:val="24"/>
        </w:rPr>
        <w:t xml:space="preserve"> </w:t>
      </w:r>
      <w:r w:rsidRPr="00B37D2F" w:rsidR="00584A9E">
        <w:rPr>
          <w:rFonts w:ascii="Times New Roman" w:hAnsi="Times New Roman"/>
          <w:sz w:val="24"/>
          <w:szCs w:val="24"/>
        </w:rPr>
        <w:t>zákon</w:t>
      </w:r>
      <w:r w:rsidR="00BB2309">
        <w:rPr>
          <w:rFonts w:ascii="Times New Roman" w:hAnsi="Times New Roman"/>
          <w:sz w:val="24"/>
          <w:szCs w:val="24"/>
        </w:rPr>
        <w:t>a</w:t>
      </w:r>
      <w:r w:rsidRPr="00B37D2F" w:rsidR="00584A9E">
        <w:rPr>
          <w:rFonts w:ascii="Times New Roman" w:hAnsi="Times New Roman"/>
          <w:sz w:val="24"/>
          <w:szCs w:val="24"/>
        </w:rPr>
        <w:t xml:space="preserve"> č. 455/1991 Zb. v znení neskorších predpisov</w:t>
      </w:r>
      <w:r w:rsidR="00584A9E">
        <w:rPr>
          <w:rFonts w:ascii="Times New Roman" w:hAnsi="Times New Roman"/>
          <w:sz w:val="24"/>
          <w:szCs w:val="24"/>
        </w:rPr>
        <w:t xml:space="preserve">, </w:t>
      </w:r>
      <w:r w:rsidR="00894D69">
        <w:rPr>
          <w:rFonts w:ascii="Times New Roman" w:hAnsi="Times New Roman"/>
          <w:sz w:val="24"/>
          <w:szCs w:val="24"/>
        </w:rPr>
        <w:t>§</w:t>
      </w:r>
      <w:r w:rsidR="0072468C">
        <w:rPr>
          <w:rFonts w:ascii="Times New Roman" w:hAnsi="Times New Roman"/>
          <w:sz w:val="24"/>
          <w:szCs w:val="24"/>
        </w:rPr>
        <w:t xml:space="preserve"> </w:t>
      </w:r>
      <w:r w:rsidR="002952DB">
        <w:rPr>
          <w:rFonts w:ascii="Times New Roman" w:hAnsi="Times New Roman"/>
          <w:sz w:val="24"/>
          <w:szCs w:val="24"/>
        </w:rPr>
        <w:t>10</w:t>
      </w:r>
      <w:r w:rsidR="00894D69">
        <w:rPr>
          <w:rFonts w:ascii="Times New Roman" w:hAnsi="Times New Roman"/>
          <w:sz w:val="24"/>
          <w:szCs w:val="24"/>
        </w:rPr>
        <w:t xml:space="preserve"> </w:t>
      </w:r>
      <w:r w:rsidR="00B37D2F">
        <w:rPr>
          <w:rFonts w:ascii="Times New Roman" w:hAnsi="Times New Roman"/>
          <w:sz w:val="24"/>
          <w:szCs w:val="24"/>
        </w:rPr>
        <w:t>z</w:t>
      </w:r>
      <w:r w:rsidRPr="00B37D2F">
        <w:rPr>
          <w:rFonts w:ascii="Times New Roman" w:hAnsi="Times New Roman"/>
          <w:sz w:val="24"/>
          <w:szCs w:val="24"/>
        </w:rPr>
        <w:t>ákon</w:t>
      </w:r>
      <w:r w:rsidR="00BF67F6">
        <w:rPr>
          <w:rFonts w:ascii="Times New Roman" w:hAnsi="Times New Roman"/>
          <w:sz w:val="24"/>
          <w:szCs w:val="24"/>
        </w:rPr>
        <w:t>a</w:t>
      </w:r>
      <w:r w:rsidRPr="00B37D2F">
        <w:rPr>
          <w:rFonts w:ascii="Times New Roman" w:hAnsi="Times New Roman"/>
          <w:sz w:val="24"/>
          <w:szCs w:val="24"/>
        </w:rPr>
        <w:t xml:space="preserve"> č. 530/2003 Z.z. o obchodnom registri a o zmene a doplnení niektorých zákonov v znení neskorších predpisov</w:t>
      </w:r>
      <w:r w:rsidR="00B37D2F">
        <w:rPr>
          <w:rFonts w:ascii="Times New Roman" w:hAnsi="Times New Roman"/>
          <w:sz w:val="24"/>
          <w:szCs w:val="24"/>
        </w:rPr>
        <w:t>.</w:t>
      </w:r>
      <w:r w:rsidRPr="00B37D2F">
        <w:rPr>
          <w:rFonts w:ascii="Times New Roman" w:hAnsi="Times New Roman"/>
          <w:sz w:val="24"/>
          <w:szCs w:val="24"/>
        </w:rPr>
        <w:t>“.</w:t>
      </w:r>
    </w:p>
    <w:p w:rsidR="00930849" w:rsidP="00BC6581">
      <w:pPr>
        <w:bidi w:val="0"/>
        <w:jc w:val="both"/>
        <w:rPr>
          <w:rFonts w:ascii="Times New Roman" w:hAnsi="Times New Roman"/>
        </w:rPr>
      </w:pPr>
    </w:p>
    <w:p w:rsidR="00137C92" w:rsidRPr="00DE31C9" w:rsidP="00137C92">
      <w:pPr>
        <w:pStyle w:val="ListParagraph"/>
        <w:numPr>
          <w:numId w:val="12"/>
        </w:numPr>
        <w:bidi w:val="0"/>
        <w:jc w:val="both"/>
        <w:rPr>
          <w:rFonts w:ascii="Times New Roman" w:hAnsi="Times New Roman"/>
          <w:sz w:val="24"/>
          <w:szCs w:val="24"/>
        </w:rPr>
      </w:pPr>
      <w:r w:rsidRPr="00DE31C9">
        <w:rPr>
          <w:rFonts w:ascii="Times New Roman" w:hAnsi="Times New Roman"/>
          <w:sz w:val="24"/>
          <w:szCs w:val="24"/>
        </w:rPr>
        <w:t>§ 49a sa dopĺňa odsekom 10, ktorý znie:</w:t>
      </w:r>
    </w:p>
    <w:p w:rsidR="00CF016E" w:rsidP="00CF016E">
      <w:pPr>
        <w:pStyle w:val="ListParagraph"/>
        <w:bidi w:val="0"/>
        <w:ind w:left="360"/>
        <w:jc w:val="both"/>
      </w:pPr>
      <w:r>
        <w:rPr>
          <w:rFonts w:ascii="Times New Roman" w:hAnsi="Times New Roman"/>
          <w:sz w:val="24"/>
          <w:szCs w:val="24"/>
        </w:rPr>
        <w:t>„(10) Ak fyzická osoba získava oprávnenie na podnikanie podľa osobitného predpisu</w:t>
      </w:r>
      <w:r>
        <w:rPr>
          <w:rFonts w:ascii="Times New Roman" w:hAnsi="Times New Roman"/>
          <w:sz w:val="24"/>
          <w:szCs w:val="24"/>
          <w:vertAlign w:val="superscript"/>
        </w:rPr>
        <w:t>25</w:t>
      </w:r>
      <w:r>
        <w:rPr>
          <w:rFonts w:ascii="Times New Roman" w:hAnsi="Times New Roman"/>
          <w:sz w:val="24"/>
          <w:szCs w:val="24"/>
        </w:rPr>
        <w:t>) na jednotnom kontaktnom mieste,</w:t>
      </w:r>
      <w:r>
        <w:rPr>
          <w:rFonts w:ascii="Times New Roman" w:hAnsi="Times New Roman"/>
          <w:sz w:val="24"/>
          <w:szCs w:val="24"/>
          <w:vertAlign w:val="superscript"/>
        </w:rPr>
        <w:t>136e</w:t>
      </w:r>
      <w:r>
        <w:rPr>
          <w:rFonts w:ascii="Times New Roman" w:hAnsi="Times New Roman"/>
          <w:sz w:val="24"/>
          <w:szCs w:val="24"/>
        </w:rPr>
        <w:t>) svoje registračné povinnosti podľa odseku 1 a oznamovacie povinnosti si plní na tomto mieste. Fyzická osoba neuvedená v prvej vete a právnická osoba môže registračné a oznamovacie povinnosti plniť prostredníctvom jednotného kontaktného miesta, ak sa tak rozhodne.“.</w:t>
      </w:r>
      <w:r>
        <w:t xml:space="preserve"> </w:t>
      </w:r>
    </w:p>
    <w:p w:rsidR="00137C92" w:rsidRPr="001D0D66" w:rsidP="00137C92">
      <w:pPr>
        <w:pStyle w:val="ListParagraph"/>
        <w:bidi w:val="0"/>
        <w:ind w:left="360"/>
        <w:jc w:val="both"/>
      </w:pPr>
    </w:p>
    <w:p w:rsidR="00137C92" w:rsidRPr="001D0D66" w:rsidP="00137C92">
      <w:pPr>
        <w:bidi w:val="0"/>
        <w:ind w:left="360"/>
        <w:jc w:val="both"/>
        <w:rPr>
          <w:rFonts w:ascii="Times New Roman" w:hAnsi="Times New Roman"/>
        </w:rPr>
      </w:pPr>
      <w:r w:rsidRPr="001D0D66">
        <w:rPr>
          <w:rFonts w:ascii="Times New Roman" w:hAnsi="Times New Roman"/>
        </w:rPr>
        <w:t>Poznámka pod čiarou k odkazu 136e znie:</w:t>
      </w:r>
    </w:p>
    <w:p w:rsidR="00137C92" w:rsidRPr="001D0D66" w:rsidP="00137C92">
      <w:pPr>
        <w:bidi w:val="0"/>
        <w:ind w:left="360"/>
        <w:jc w:val="both"/>
        <w:rPr>
          <w:rFonts w:ascii="Times New Roman" w:hAnsi="Times New Roman"/>
        </w:rPr>
      </w:pPr>
      <w:r w:rsidRPr="001D0D66">
        <w:rPr>
          <w:rFonts w:ascii="Times New Roman" w:hAnsi="Times New Roman"/>
        </w:rPr>
        <w:t>„</w:t>
      </w:r>
      <w:r w:rsidRPr="001D0D66">
        <w:rPr>
          <w:rFonts w:ascii="Times New Roman" w:hAnsi="Times New Roman"/>
          <w:vertAlign w:val="superscript"/>
        </w:rPr>
        <w:t>136e</w:t>
      </w:r>
      <w:r w:rsidRPr="001D0D66">
        <w:rPr>
          <w:rFonts w:ascii="Times New Roman" w:hAnsi="Times New Roman"/>
        </w:rPr>
        <w:t>) § 45a ods. 2 a § 66ba ods. 3 písm. c) zákona č. 455/1991 Zb. v znení neskorších predpisov.“.</w:t>
      </w:r>
    </w:p>
    <w:p w:rsidR="001D0D66" w:rsidRPr="00BC6581" w:rsidP="00137C92">
      <w:pPr>
        <w:bidi w:val="0"/>
        <w:rPr>
          <w:rFonts w:ascii="Times New Roman" w:hAnsi="Times New Roman"/>
        </w:rPr>
      </w:pPr>
      <w:r w:rsidR="00997481">
        <w:rPr>
          <w:rFonts w:ascii="Tahoma" w:hAnsi="Tahoma" w:cs="Tahoma"/>
          <w:sz w:val="20"/>
          <w:szCs w:val="20"/>
        </w:rPr>
        <w:t> </w:t>
      </w:r>
    </w:p>
    <w:p w:rsidR="00350911" w:rsidP="00BC6581">
      <w:pPr>
        <w:numPr>
          <w:numId w:val="12"/>
        </w:numPr>
        <w:bidi w:val="0"/>
        <w:ind w:left="425" w:hanging="425"/>
        <w:jc w:val="both"/>
        <w:rPr>
          <w:rFonts w:ascii="Times New Roman" w:hAnsi="Times New Roman"/>
        </w:rPr>
      </w:pPr>
      <w:r>
        <w:rPr>
          <w:rFonts w:ascii="Times New Roman" w:hAnsi="Times New Roman"/>
        </w:rPr>
        <w:t>§ 51b</w:t>
      </w:r>
      <w:r w:rsidR="00E54735">
        <w:rPr>
          <w:rFonts w:ascii="Times New Roman" w:hAnsi="Times New Roman"/>
        </w:rPr>
        <w:t xml:space="preserve"> sa dopĺňa odsekom</w:t>
      </w:r>
      <w:r>
        <w:rPr>
          <w:rFonts w:ascii="Times New Roman" w:hAnsi="Times New Roman"/>
        </w:rPr>
        <w:t xml:space="preserve"> 13</w:t>
      </w:r>
      <w:r w:rsidR="00E54735">
        <w:rPr>
          <w:rFonts w:ascii="Times New Roman" w:hAnsi="Times New Roman"/>
        </w:rPr>
        <w:t>, ktorý</w:t>
      </w:r>
      <w:r>
        <w:rPr>
          <w:rFonts w:ascii="Times New Roman" w:hAnsi="Times New Roman"/>
        </w:rPr>
        <w:t xml:space="preserve"> znie:</w:t>
      </w:r>
    </w:p>
    <w:p w:rsidR="00350911" w:rsidP="00350911">
      <w:pPr>
        <w:bidi w:val="0"/>
        <w:ind w:left="425"/>
        <w:jc w:val="both"/>
        <w:rPr>
          <w:rFonts w:ascii="Times New Roman" w:hAnsi="Times New Roman"/>
        </w:rPr>
      </w:pPr>
      <w:r>
        <w:rPr>
          <w:rFonts w:ascii="Times New Roman" w:hAnsi="Times New Roman"/>
        </w:rPr>
        <w:t>„(13) V odôvodnených prípadoch môže správca dane na žiadosť daňovníka určiť platenie preddavkov na daň z emisných kvót inak.“.</w:t>
      </w:r>
    </w:p>
    <w:p w:rsidR="004960C8" w:rsidP="00350911">
      <w:pPr>
        <w:bidi w:val="0"/>
        <w:ind w:left="425"/>
        <w:jc w:val="both"/>
        <w:rPr>
          <w:rFonts w:ascii="Times New Roman" w:hAnsi="Times New Roman"/>
        </w:rPr>
      </w:pPr>
    </w:p>
    <w:p w:rsidR="00882C3C" w:rsidP="00350911">
      <w:pPr>
        <w:bidi w:val="0"/>
        <w:ind w:left="425"/>
        <w:jc w:val="both"/>
        <w:rPr>
          <w:rFonts w:ascii="Times New Roman" w:hAnsi="Times New Roman"/>
        </w:rPr>
      </w:pPr>
    </w:p>
    <w:p w:rsidR="00882C3C" w:rsidP="00350911">
      <w:pPr>
        <w:bidi w:val="0"/>
        <w:ind w:left="425"/>
        <w:jc w:val="both"/>
        <w:rPr>
          <w:rFonts w:ascii="Times New Roman" w:hAnsi="Times New Roman"/>
        </w:rPr>
      </w:pPr>
    </w:p>
    <w:p w:rsidR="00882C3C" w:rsidP="00350911">
      <w:pPr>
        <w:bidi w:val="0"/>
        <w:ind w:left="425"/>
        <w:jc w:val="both"/>
        <w:rPr>
          <w:rFonts w:ascii="Times New Roman" w:hAnsi="Times New Roman"/>
        </w:rPr>
      </w:pPr>
    </w:p>
    <w:p w:rsidR="00350911" w:rsidP="00350911">
      <w:pPr>
        <w:pStyle w:val="ListParagraph"/>
        <w:bidi w:val="0"/>
      </w:pPr>
    </w:p>
    <w:p w:rsidR="00930849" w:rsidRPr="00BC6581" w:rsidP="00BC6581">
      <w:pPr>
        <w:numPr>
          <w:numId w:val="12"/>
        </w:numPr>
        <w:bidi w:val="0"/>
        <w:ind w:left="425" w:hanging="425"/>
        <w:jc w:val="both"/>
        <w:rPr>
          <w:rFonts w:ascii="Times New Roman" w:hAnsi="Times New Roman"/>
        </w:rPr>
      </w:pPr>
      <w:r w:rsidRPr="00BC6581">
        <w:rPr>
          <w:rFonts w:ascii="Times New Roman" w:hAnsi="Times New Roman"/>
        </w:rPr>
        <w:t>Za § 52m sa vkladá § 52n, ktorý vrátane nadpisu znie:</w:t>
      </w:r>
    </w:p>
    <w:p w:rsidR="00930849" w:rsidRPr="00BC6581" w:rsidP="00BC6581">
      <w:pPr>
        <w:bidi w:val="0"/>
        <w:jc w:val="both"/>
        <w:rPr>
          <w:rFonts w:ascii="Times New Roman" w:hAnsi="Times New Roman"/>
        </w:rPr>
      </w:pPr>
    </w:p>
    <w:p w:rsidR="00930849" w:rsidRPr="00BC6581" w:rsidP="00BC6581">
      <w:pPr>
        <w:bidi w:val="0"/>
        <w:ind w:left="357"/>
        <w:jc w:val="center"/>
        <w:rPr>
          <w:rFonts w:ascii="Times New Roman" w:hAnsi="Times New Roman"/>
        </w:rPr>
      </w:pPr>
      <w:r w:rsidRPr="00BC6581">
        <w:rPr>
          <w:rFonts w:ascii="Times New Roman" w:hAnsi="Times New Roman"/>
        </w:rPr>
        <w:t xml:space="preserve"> „§ 52n</w:t>
      </w:r>
    </w:p>
    <w:p w:rsidR="00930849" w:rsidRPr="00BC6581" w:rsidP="00BC6581">
      <w:pPr>
        <w:bidi w:val="0"/>
        <w:ind w:left="357"/>
        <w:jc w:val="center"/>
        <w:rPr>
          <w:rFonts w:ascii="Times New Roman" w:hAnsi="Times New Roman"/>
        </w:rPr>
      </w:pPr>
      <w:r w:rsidRPr="00BC6581">
        <w:rPr>
          <w:rFonts w:ascii="Times New Roman" w:hAnsi="Times New Roman"/>
        </w:rPr>
        <w:t>Prechodné ustanovenia k úpravám účinným od 1. januára 2012</w:t>
      </w:r>
    </w:p>
    <w:p w:rsidR="00930849" w:rsidRPr="00BC6581" w:rsidP="00BC6581">
      <w:pPr>
        <w:bidi w:val="0"/>
        <w:ind w:left="357"/>
        <w:rPr>
          <w:rFonts w:ascii="Times New Roman" w:hAnsi="Times New Roman"/>
        </w:rPr>
      </w:pPr>
    </w:p>
    <w:p w:rsidR="00401127" w:rsidP="00401127">
      <w:pPr>
        <w:numPr>
          <w:numId w:val="22"/>
        </w:numPr>
        <w:bidi w:val="0"/>
        <w:jc w:val="both"/>
        <w:rPr>
          <w:rFonts w:ascii="Times New Roman" w:hAnsi="Times New Roman"/>
        </w:rPr>
      </w:pPr>
      <w:r>
        <w:rPr>
          <w:rFonts w:ascii="Times New Roman" w:hAnsi="Times New Roman"/>
        </w:rPr>
        <w:t xml:space="preserve"> </w:t>
      </w:r>
      <w:r w:rsidRPr="00BC6581">
        <w:rPr>
          <w:rFonts w:ascii="Times New Roman" w:hAnsi="Times New Roman"/>
        </w:rPr>
        <w:t>Na nájomné zmluvy s dojednaným právom kúpy prenajatej veci uzatvorené do 31. decembra 2011 vrátane postúpenia týchto nájomných zmlúv bez zmeny podmienok na nového nájomcu aj po 31. decembri 2011 sa použijú ustanovenia predpisu účinného do 31. decembra 2011.</w:t>
      </w:r>
    </w:p>
    <w:p w:rsidR="00894D69" w:rsidP="00401127">
      <w:pPr>
        <w:numPr>
          <w:numId w:val="22"/>
        </w:numPr>
        <w:bidi w:val="0"/>
        <w:jc w:val="both"/>
        <w:rPr>
          <w:rFonts w:ascii="Times New Roman" w:hAnsi="Times New Roman"/>
        </w:rPr>
      </w:pPr>
      <w:r w:rsidR="00401127">
        <w:rPr>
          <w:rFonts w:ascii="Times New Roman" w:hAnsi="Times New Roman"/>
        </w:rPr>
        <w:t xml:space="preserve"> </w:t>
      </w:r>
      <w:r w:rsidRPr="00BC6581" w:rsidR="00401127">
        <w:rPr>
          <w:rFonts w:ascii="Times New Roman" w:hAnsi="Times New Roman"/>
        </w:rPr>
        <w:t xml:space="preserve">Ustanovenie § 6 ods. 6 prvej vety v znení účinnom od 1. januára 2012 sa použije </w:t>
      </w:r>
      <w:r w:rsidR="00401127">
        <w:rPr>
          <w:rFonts w:ascii="Times New Roman" w:hAnsi="Times New Roman"/>
        </w:rPr>
        <w:t>po prvýkrát</w:t>
      </w:r>
      <w:r w:rsidRPr="00BC6581" w:rsidR="00401127">
        <w:rPr>
          <w:rFonts w:ascii="Times New Roman" w:hAnsi="Times New Roman"/>
        </w:rPr>
        <w:t xml:space="preserve"> pri podaní daňového priznania za zdaňovacie obdobie roka 2011. </w:t>
      </w:r>
    </w:p>
    <w:p w:rsidR="00401127" w:rsidP="00401127">
      <w:pPr>
        <w:numPr>
          <w:numId w:val="22"/>
        </w:numPr>
        <w:bidi w:val="0"/>
        <w:jc w:val="both"/>
        <w:rPr>
          <w:rFonts w:ascii="Times New Roman" w:hAnsi="Times New Roman"/>
        </w:rPr>
      </w:pPr>
      <w:r w:rsidR="00F53DD5">
        <w:rPr>
          <w:rFonts w:ascii="Times New Roman" w:hAnsi="Times New Roman"/>
        </w:rPr>
        <w:t xml:space="preserve"> </w:t>
      </w:r>
      <w:r w:rsidRPr="00BC6581">
        <w:rPr>
          <w:rFonts w:ascii="Times New Roman" w:hAnsi="Times New Roman"/>
        </w:rPr>
        <w:t>Ustanovenia § 4 ods. 2, § 6 ods. 6 druhej a tretej vety a § 30 ods. 1 v znení účinnom od 1. januára 2012 sa použijú na daňovú stratu vykázanú po 31. decembri 2011.</w:t>
      </w:r>
    </w:p>
    <w:p w:rsidR="00401127" w:rsidP="00401127">
      <w:pPr>
        <w:numPr>
          <w:numId w:val="22"/>
        </w:numPr>
        <w:bidi w:val="0"/>
        <w:jc w:val="both"/>
        <w:rPr>
          <w:rFonts w:ascii="Times New Roman" w:hAnsi="Times New Roman"/>
        </w:rPr>
      </w:pPr>
      <w:r>
        <w:rPr>
          <w:rFonts w:ascii="Times New Roman" w:hAnsi="Times New Roman"/>
        </w:rPr>
        <w:t xml:space="preserve"> Ustanovenia § 13 ods. 1 písm. b) a e) v znení účinnom od 1. januára 2012 sa použijú po prvýkrát pri podaní daňového priznania </w:t>
      </w:r>
      <w:r w:rsidR="00170490">
        <w:rPr>
          <w:rFonts w:ascii="Times New Roman" w:hAnsi="Times New Roman"/>
        </w:rPr>
        <w:t xml:space="preserve"> po 31. decembri </w:t>
      </w:r>
      <w:r w:rsidR="0004480E">
        <w:rPr>
          <w:rFonts w:ascii="Times New Roman" w:hAnsi="Times New Roman"/>
        </w:rPr>
        <w:t>2011.</w:t>
      </w:r>
    </w:p>
    <w:p w:rsidR="00930849" w:rsidRPr="00BC6581" w:rsidP="00401127">
      <w:pPr>
        <w:numPr>
          <w:numId w:val="22"/>
        </w:numPr>
        <w:bidi w:val="0"/>
        <w:jc w:val="both"/>
        <w:rPr>
          <w:rFonts w:ascii="Times New Roman" w:hAnsi="Times New Roman"/>
        </w:rPr>
      </w:pPr>
      <w:r w:rsidR="00401127">
        <w:rPr>
          <w:rFonts w:ascii="Times New Roman" w:hAnsi="Times New Roman"/>
        </w:rPr>
        <w:t xml:space="preserve"> </w:t>
      </w:r>
      <w:r w:rsidRPr="00BC6581">
        <w:rPr>
          <w:rFonts w:ascii="Times New Roman" w:hAnsi="Times New Roman"/>
        </w:rPr>
        <w:t>Ustanovenia § 27 ods. 2 a 3 a § 28 ods. 2 v znení účinnom od 1. januára 2012 sa použijú na hmotný majetok uvedený do užívania po 31. decembri 2011.</w:t>
      </w:r>
      <w:r w:rsidR="00D70DC5">
        <w:rPr>
          <w:rFonts w:ascii="Times New Roman" w:hAnsi="Times New Roman"/>
        </w:rPr>
        <w:t>“.</w:t>
      </w:r>
    </w:p>
    <w:p w:rsidR="00D9246E" w:rsidP="00D70DC5">
      <w:pPr>
        <w:bidi w:val="0"/>
        <w:rPr>
          <w:rFonts w:ascii="Times New Roman" w:hAnsi="Times New Roman"/>
          <w:b/>
        </w:rPr>
      </w:pPr>
    </w:p>
    <w:p w:rsidR="004E04C7" w:rsidRPr="00BC6581" w:rsidP="00D70DC5">
      <w:pPr>
        <w:bidi w:val="0"/>
        <w:rPr>
          <w:rFonts w:ascii="Times New Roman" w:hAnsi="Times New Roman"/>
          <w:b/>
        </w:rPr>
      </w:pPr>
    </w:p>
    <w:p w:rsidR="00D9246E" w:rsidP="00BC6581">
      <w:pPr>
        <w:bidi w:val="0"/>
        <w:jc w:val="center"/>
        <w:rPr>
          <w:rFonts w:ascii="Times New Roman" w:hAnsi="Times New Roman"/>
          <w:b/>
        </w:rPr>
      </w:pPr>
      <w:r w:rsidRPr="00BC6581">
        <w:rPr>
          <w:rFonts w:ascii="Times New Roman" w:hAnsi="Times New Roman"/>
          <w:b/>
        </w:rPr>
        <w:t>Čl. II</w:t>
      </w:r>
    </w:p>
    <w:p w:rsidR="00401127" w:rsidP="00BC6581">
      <w:pPr>
        <w:bidi w:val="0"/>
        <w:jc w:val="center"/>
        <w:rPr>
          <w:rFonts w:ascii="Times New Roman" w:hAnsi="Times New Roman"/>
          <w:b/>
        </w:rPr>
      </w:pPr>
    </w:p>
    <w:p w:rsidR="001664BA" w:rsidRPr="007A7B70" w:rsidP="00DE31C9">
      <w:pPr>
        <w:bidi w:val="0"/>
        <w:ind w:firstLine="708"/>
        <w:jc w:val="both"/>
        <w:rPr>
          <w:rFonts w:ascii="Times New Roman" w:hAnsi="Times New Roman"/>
          <w:color w:val="000000"/>
        </w:rPr>
      </w:pPr>
      <w:r w:rsidRPr="007A7B70">
        <w:rPr>
          <w:rFonts w:ascii="Times New Roman" w:hAnsi="Times New Roman"/>
          <w:color w:val="000000"/>
        </w:rPr>
        <w:t>Zákon č. 564/2004 Z. z. o rozpočtovom určení výnosu dane z príjmov územnej samospráve a o zmene a doplnení niektorých zákonov  v znení zákona č. 171/2005 Z. z., zákona č. 479/2009 Z. z. a zákona č. 38/2011 Z. z. sa mení a dopĺňa takto:</w:t>
      </w:r>
    </w:p>
    <w:p w:rsidR="001664BA" w:rsidRPr="007A7B70" w:rsidP="001664BA">
      <w:pPr>
        <w:bidi w:val="0"/>
        <w:rPr>
          <w:rFonts w:ascii="Times New Roman" w:hAnsi="Times New Roman"/>
          <w:color w:val="000000"/>
        </w:rPr>
      </w:pPr>
    </w:p>
    <w:p w:rsidR="001664BA" w:rsidRPr="007A7B70" w:rsidP="001664BA">
      <w:pPr>
        <w:pStyle w:val="Title"/>
        <w:numPr>
          <w:numId w:val="20"/>
        </w:numPr>
        <w:tabs>
          <w:tab w:val="left" w:pos="284"/>
        </w:tabs>
        <w:bidi w:val="0"/>
        <w:ind w:left="0" w:firstLine="0"/>
        <w:jc w:val="left"/>
        <w:rPr>
          <w:rFonts w:ascii="Times New Roman" w:hAnsi="Times New Roman"/>
          <w:b w:val="0"/>
          <w:color w:val="303030"/>
          <w:sz w:val="24"/>
        </w:rPr>
      </w:pPr>
      <w:r w:rsidRPr="007A7B70">
        <w:rPr>
          <w:rFonts w:ascii="Times New Roman" w:hAnsi="Times New Roman"/>
          <w:b w:val="0"/>
          <w:sz w:val="24"/>
        </w:rPr>
        <w:t>V § 2 sa číslo „70,3“ nahrádza číslom „65,4“.</w:t>
      </w:r>
    </w:p>
    <w:p w:rsidR="001664BA" w:rsidRPr="007A7B70" w:rsidP="001664BA">
      <w:pPr>
        <w:pStyle w:val="Title"/>
        <w:bidi w:val="0"/>
        <w:jc w:val="left"/>
        <w:rPr>
          <w:rFonts w:ascii="Times New Roman" w:hAnsi="Times New Roman"/>
          <w:b w:val="0"/>
          <w:color w:val="303030"/>
          <w:sz w:val="24"/>
        </w:rPr>
      </w:pPr>
    </w:p>
    <w:p w:rsidR="001664BA" w:rsidRPr="007A7B70" w:rsidP="001664BA">
      <w:pPr>
        <w:pStyle w:val="Title"/>
        <w:numPr>
          <w:numId w:val="20"/>
        </w:numPr>
        <w:tabs>
          <w:tab w:val="left" w:pos="284"/>
        </w:tabs>
        <w:bidi w:val="0"/>
        <w:ind w:left="0" w:firstLine="0"/>
        <w:jc w:val="left"/>
        <w:rPr>
          <w:rFonts w:ascii="Times New Roman" w:hAnsi="Times New Roman"/>
          <w:b w:val="0"/>
          <w:sz w:val="24"/>
        </w:rPr>
      </w:pPr>
      <w:r w:rsidRPr="007A7B70">
        <w:rPr>
          <w:rFonts w:ascii="Times New Roman" w:hAnsi="Times New Roman"/>
          <w:b w:val="0"/>
          <w:sz w:val="24"/>
        </w:rPr>
        <w:t>V § 3 sa číslo „23,5“ nahrádza číslom „21,9“.</w:t>
      </w:r>
    </w:p>
    <w:p w:rsidR="001664BA" w:rsidRPr="007A7B70" w:rsidP="001664BA">
      <w:pPr>
        <w:pStyle w:val="Title"/>
        <w:bidi w:val="0"/>
        <w:jc w:val="left"/>
        <w:rPr>
          <w:rFonts w:ascii="Times New Roman" w:hAnsi="Times New Roman"/>
          <w:b w:val="0"/>
          <w:sz w:val="24"/>
        </w:rPr>
      </w:pPr>
    </w:p>
    <w:p w:rsidR="001664BA" w:rsidRPr="007A7B70" w:rsidP="001664BA">
      <w:pPr>
        <w:tabs>
          <w:tab w:val="left" w:pos="284"/>
        </w:tabs>
        <w:bidi w:val="0"/>
        <w:spacing w:after="240"/>
        <w:jc w:val="both"/>
        <w:rPr>
          <w:rFonts w:ascii="Times New Roman" w:hAnsi="Times New Roman"/>
        </w:rPr>
      </w:pPr>
      <w:r w:rsidRPr="007A7B70">
        <w:rPr>
          <w:rFonts w:ascii="Times New Roman" w:hAnsi="Times New Roman"/>
        </w:rPr>
        <w:t xml:space="preserve">3. </w:t>
        <w:tab/>
        <w:t xml:space="preserve">Za </w:t>
      </w:r>
      <w:r w:rsidRPr="007A7B70">
        <w:rPr>
          <w:rFonts w:ascii="Times New Roman" w:hAnsi="Times New Roman"/>
          <w:bCs/>
          <w:color w:val="000000"/>
        </w:rPr>
        <w:t>§ 7a sa vkladá § 7b, ktorý znie:</w:t>
      </w:r>
    </w:p>
    <w:p w:rsidR="001664BA" w:rsidRPr="007A7B70" w:rsidP="001664BA">
      <w:pPr>
        <w:pStyle w:val="Title"/>
        <w:bidi w:val="0"/>
        <w:rPr>
          <w:rFonts w:ascii="Times New Roman" w:hAnsi="Times New Roman"/>
          <w:b w:val="0"/>
          <w:sz w:val="24"/>
        </w:rPr>
      </w:pPr>
      <w:r w:rsidRPr="007A7B70">
        <w:rPr>
          <w:rFonts w:ascii="Times New Roman" w:hAnsi="Times New Roman"/>
          <w:b w:val="0"/>
          <w:sz w:val="24"/>
        </w:rPr>
        <w:t xml:space="preserve"> „§ 7b</w:t>
      </w:r>
    </w:p>
    <w:p w:rsidR="001664BA" w:rsidRPr="007A7B70" w:rsidP="001664BA">
      <w:pPr>
        <w:pStyle w:val="Title"/>
        <w:bidi w:val="0"/>
        <w:ind w:left="1080"/>
        <w:rPr>
          <w:rFonts w:ascii="Times New Roman" w:hAnsi="Times New Roman"/>
          <w:sz w:val="24"/>
        </w:rPr>
      </w:pPr>
    </w:p>
    <w:p w:rsidR="001664BA" w:rsidRPr="007A7B70" w:rsidP="004E04C7">
      <w:pPr>
        <w:bidi w:val="0"/>
        <w:spacing w:after="240"/>
        <w:ind w:firstLine="284"/>
        <w:jc w:val="both"/>
        <w:rPr>
          <w:rFonts w:ascii="Times New Roman" w:hAnsi="Times New Roman"/>
          <w:color w:val="000000"/>
        </w:rPr>
      </w:pPr>
      <w:r w:rsidRPr="007A7B70">
        <w:rPr>
          <w:rFonts w:ascii="Times New Roman" w:hAnsi="Times New Roman"/>
        </w:rPr>
        <w:t>Daňové úrady rozdelia a poukážu výnos dane obciam a vyšším územným celkom podľa §</w:t>
      </w:r>
      <w:r w:rsidRPr="007A7B70" w:rsidR="00BF67F6">
        <w:rPr>
          <w:rFonts w:ascii="Times New Roman" w:hAnsi="Times New Roman"/>
        </w:rPr>
        <w:t> </w:t>
      </w:r>
      <w:r w:rsidRPr="007A7B70">
        <w:rPr>
          <w:rFonts w:ascii="Times New Roman" w:hAnsi="Times New Roman"/>
        </w:rPr>
        <w:t xml:space="preserve">2 a 3 v znení účinnom od 1. januára 2012 prvýkrát v januári 2012.“.  </w:t>
      </w:r>
    </w:p>
    <w:p w:rsidR="001664BA" w:rsidP="00BC6581">
      <w:pPr>
        <w:bidi w:val="0"/>
        <w:jc w:val="center"/>
        <w:rPr>
          <w:rFonts w:ascii="Times New Roman" w:hAnsi="Times New Roman"/>
          <w:b/>
        </w:rPr>
      </w:pPr>
    </w:p>
    <w:p w:rsidR="001664BA" w:rsidP="00BC6581">
      <w:pPr>
        <w:bidi w:val="0"/>
        <w:jc w:val="center"/>
        <w:rPr>
          <w:rFonts w:ascii="Times New Roman" w:hAnsi="Times New Roman"/>
          <w:b/>
        </w:rPr>
      </w:pPr>
    </w:p>
    <w:p w:rsidR="001664BA" w:rsidRPr="00BC6581" w:rsidP="00BC6581">
      <w:pPr>
        <w:bidi w:val="0"/>
        <w:jc w:val="center"/>
        <w:rPr>
          <w:rFonts w:ascii="Times New Roman" w:hAnsi="Times New Roman"/>
          <w:b/>
        </w:rPr>
      </w:pPr>
      <w:r>
        <w:rPr>
          <w:rFonts w:ascii="Times New Roman" w:hAnsi="Times New Roman"/>
          <w:b/>
        </w:rPr>
        <w:t>Čl. III</w:t>
      </w:r>
    </w:p>
    <w:p w:rsidR="00D9246E" w:rsidRPr="00BC6581" w:rsidP="00BC6581">
      <w:pPr>
        <w:pStyle w:val="BodyText2"/>
        <w:bidi w:val="0"/>
        <w:spacing w:after="0" w:line="240" w:lineRule="auto"/>
        <w:jc w:val="both"/>
        <w:rPr>
          <w:rFonts w:ascii="Times New Roman" w:hAnsi="Times New Roman"/>
        </w:rPr>
      </w:pPr>
      <w:r w:rsidRPr="00BC6581">
        <w:rPr>
          <w:rFonts w:ascii="Times New Roman" w:hAnsi="Times New Roman"/>
        </w:rPr>
        <w:t xml:space="preserve">  </w:t>
      </w:r>
    </w:p>
    <w:p w:rsidR="00D9246E" w:rsidRPr="00BC6581" w:rsidP="00BC6581">
      <w:pPr>
        <w:pStyle w:val="BodyText2"/>
        <w:bidi w:val="0"/>
        <w:spacing w:after="0" w:line="240" w:lineRule="auto"/>
        <w:jc w:val="both"/>
        <w:rPr>
          <w:rFonts w:ascii="Times New Roman" w:hAnsi="Times New Roman"/>
        </w:rPr>
      </w:pPr>
      <w:r w:rsidRPr="00BC6581">
        <w:rPr>
          <w:rFonts w:ascii="Times New Roman" w:hAnsi="Times New Roman"/>
        </w:rPr>
        <w:t xml:space="preserve">Tento zákon nadobúda účinnosť 1. </w:t>
      </w:r>
      <w:r w:rsidRPr="00BC6581" w:rsidR="00930849">
        <w:rPr>
          <w:rFonts w:ascii="Times New Roman" w:hAnsi="Times New Roman"/>
        </w:rPr>
        <w:t>januára 2012.</w:t>
      </w:r>
      <w:r w:rsidRPr="00BC6581">
        <w:rPr>
          <w:rFonts w:ascii="Times New Roman" w:hAnsi="Times New Roman"/>
        </w:rPr>
        <w:t xml:space="preserve">  </w:t>
      </w:r>
    </w:p>
    <w:sectPr w:rsidSect="00CC11A1">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9</w:t>
    </w:r>
    <w:r>
      <w:rPr>
        <w:rStyle w:val="PageNumber"/>
        <w:rFonts w:ascii="Times New Roman" w:hAnsi="Times New Roman"/>
      </w:rPr>
      <w:fldChar w:fldCharType="end"/>
    </w:r>
  </w:p>
  <w:p w:rsidR="002201C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7200C">
      <w:rPr>
        <w:rStyle w:val="PageNumber"/>
        <w:rFonts w:ascii="Times New Roman" w:hAnsi="Times New Roman"/>
        <w:noProof/>
      </w:rPr>
      <w:t>5</w:t>
    </w:r>
    <w:r>
      <w:rPr>
        <w:rStyle w:val="PageNumber"/>
        <w:rFonts w:ascii="Times New Roman" w:hAnsi="Times New Roman"/>
      </w:rPr>
      <w:fldChar w:fldCharType="end"/>
    </w:r>
  </w:p>
  <w:p w:rsidR="002201C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5BB9"/>
    <w:multiLevelType w:val="hybridMultilevel"/>
    <w:tmpl w:val="86E231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D25D3D"/>
    <w:multiLevelType w:val="hybridMultilevel"/>
    <w:tmpl w:val="789A32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B06182A"/>
    <w:multiLevelType w:val="hybridMultilevel"/>
    <w:tmpl w:val="9348966E"/>
    <w:lvl w:ilvl="0">
      <w:start w:val="1"/>
      <w:numFmt w:val="lowerLetter"/>
      <w:lvlText w:val="%1)"/>
      <w:lvlJc w:val="left"/>
      <w:pPr>
        <w:tabs>
          <w:tab w:val="num" w:pos="1437"/>
        </w:tabs>
        <w:ind w:left="1361" w:hanging="284"/>
      </w:pPr>
      <w:rPr>
        <w:rFonts w:cs="Times New Roman" w:hint="default"/>
        <w:b w:val="0"/>
        <w:i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A975BFE"/>
    <w:multiLevelType w:val="hybridMultilevel"/>
    <w:tmpl w:val="8B8AB40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C010ABD"/>
    <w:multiLevelType w:val="hybridMultilevel"/>
    <w:tmpl w:val="59381704"/>
    <w:lvl w:ilvl="0">
      <w:start w:val="2"/>
      <w:numFmt w:val="lowerLetter"/>
      <w:lvlText w:val="%1)"/>
      <w:lvlJc w:val="left"/>
      <w:pPr>
        <w:ind w:left="163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B372A2A"/>
    <w:multiLevelType w:val="hybridMultilevel"/>
    <w:tmpl w:val="B6F695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A1D3263"/>
    <w:multiLevelType w:val="hybridMultilevel"/>
    <w:tmpl w:val="7DE409F2"/>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BF44776"/>
    <w:multiLevelType w:val="hybridMultilevel"/>
    <w:tmpl w:val="B7F6E52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99E6DF5"/>
    <w:multiLevelType w:val="hybridMultilevel"/>
    <w:tmpl w:val="868E8068"/>
    <w:lvl w:ilvl="0">
      <w:start w:val="1"/>
      <w:numFmt w:val="lowerLetter"/>
      <w:lvlText w:val="%1)"/>
      <w:lvlJc w:val="left"/>
      <w:pPr>
        <w:ind w:left="1632" w:hanging="360"/>
      </w:pPr>
      <w:rPr>
        <w:rFonts w:cs="Times New Roman" w:hint="default"/>
        <w:rtl w:val="0"/>
        <w:cs w:val="0"/>
      </w:rPr>
    </w:lvl>
    <w:lvl w:ilvl="1">
      <w:start w:val="1"/>
      <w:numFmt w:val="lowerLetter"/>
      <w:lvlText w:val="%2."/>
      <w:lvlJc w:val="left"/>
      <w:pPr>
        <w:ind w:left="2352" w:hanging="360"/>
      </w:pPr>
      <w:rPr>
        <w:rFonts w:cs="Times New Roman"/>
        <w:rtl w:val="0"/>
        <w:cs w:val="0"/>
      </w:rPr>
    </w:lvl>
    <w:lvl w:ilvl="2">
      <w:start w:val="1"/>
      <w:numFmt w:val="lowerRoman"/>
      <w:lvlText w:val="%3."/>
      <w:lvlJc w:val="right"/>
      <w:pPr>
        <w:ind w:left="3072" w:hanging="180"/>
      </w:pPr>
      <w:rPr>
        <w:rFonts w:cs="Times New Roman"/>
        <w:rtl w:val="0"/>
        <w:cs w:val="0"/>
      </w:rPr>
    </w:lvl>
    <w:lvl w:ilvl="3">
      <w:start w:val="1"/>
      <w:numFmt w:val="decimal"/>
      <w:lvlText w:val="%4."/>
      <w:lvlJc w:val="left"/>
      <w:pPr>
        <w:ind w:left="3792" w:hanging="360"/>
      </w:pPr>
      <w:rPr>
        <w:rFonts w:cs="Times New Roman"/>
        <w:rtl w:val="0"/>
        <w:cs w:val="0"/>
      </w:rPr>
    </w:lvl>
    <w:lvl w:ilvl="4">
      <w:start w:val="1"/>
      <w:numFmt w:val="lowerLetter"/>
      <w:lvlText w:val="%5."/>
      <w:lvlJc w:val="left"/>
      <w:pPr>
        <w:ind w:left="4512" w:hanging="360"/>
      </w:pPr>
      <w:rPr>
        <w:rFonts w:cs="Times New Roman"/>
        <w:rtl w:val="0"/>
        <w:cs w:val="0"/>
      </w:rPr>
    </w:lvl>
    <w:lvl w:ilvl="5">
      <w:start w:val="1"/>
      <w:numFmt w:val="lowerRoman"/>
      <w:lvlText w:val="%6."/>
      <w:lvlJc w:val="right"/>
      <w:pPr>
        <w:ind w:left="5232" w:hanging="180"/>
      </w:pPr>
      <w:rPr>
        <w:rFonts w:cs="Times New Roman"/>
        <w:rtl w:val="0"/>
        <w:cs w:val="0"/>
      </w:rPr>
    </w:lvl>
    <w:lvl w:ilvl="6">
      <w:start w:val="1"/>
      <w:numFmt w:val="decimal"/>
      <w:lvlText w:val="%7."/>
      <w:lvlJc w:val="left"/>
      <w:pPr>
        <w:ind w:left="5952" w:hanging="360"/>
      </w:pPr>
      <w:rPr>
        <w:rFonts w:cs="Times New Roman"/>
        <w:rtl w:val="0"/>
        <w:cs w:val="0"/>
      </w:rPr>
    </w:lvl>
    <w:lvl w:ilvl="7">
      <w:start w:val="1"/>
      <w:numFmt w:val="lowerLetter"/>
      <w:lvlText w:val="%8."/>
      <w:lvlJc w:val="left"/>
      <w:pPr>
        <w:ind w:left="6672" w:hanging="360"/>
      </w:pPr>
      <w:rPr>
        <w:rFonts w:cs="Times New Roman"/>
        <w:rtl w:val="0"/>
        <w:cs w:val="0"/>
      </w:rPr>
    </w:lvl>
    <w:lvl w:ilvl="8">
      <w:start w:val="1"/>
      <w:numFmt w:val="lowerRoman"/>
      <w:lvlText w:val="%9."/>
      <w:lvlJc w:val="right"/>
      <w:pPr>
        <w:ind w:left="7392" w:hanging="180"/>
      </w:pPr>
      <w:rPr>
        <w:rFonts w:cs="Times New Roman"/>
        <w:rtl w:val="0"/>
        <w:cs w:val="0"/>
      </w:rPr>
    </w:lvl>
  </w:abstractNum>
  <w:abstractNum w:abstractNumId="9">
    <w:nsid w:val="4D713847"/>
    <w:multiLevelType w:val="multilevel"/>
    <w:tmpl w:val="DA7203CA"/>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59FF5E65"/>
    <w:multiLevelType w:val="hybridMultilevel"/>
    <w:tmpl w:val="7BE0B592"/>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
    <w:nsid w:val="5C074323"/>
    <w:multiLevelType w:val="hybridMultilevel"/>
    <w:tmpl w:val="262E40CC"/>
    <w:lvl w:ilvl="0">
      <w:start w:val="1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FEF104A"/>
    <w:multiLevelType w:val="hybridMultilevel"/>
    <w:tmpl w:val="AB2EB3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616344D"/>
    <w:multiLevelType w:val="hybridMultilevel"/>
    <w:tmpl w:val="86EA286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6B667E13"/>
    <w:multiLevelType w:val="hybridMultilevel"/>
    <w:tmpl w:val="9DD0DDF2"/>
    <w:lvl w:ilvl="0">
      <w:start w:val="1"/>
      <w:numFmt w:val="decimal"/>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15">
    <w:nsid w:val="6E9229CD"/>
    <w:multiLevelType w:val="hybridMultilevel"/>
    <w:tmpl w:val="BECAC5BC"/>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71202C46"/>
    <w:multiLevelType w:val="hybridMultilevel"/>
    <w:tmpl w:val="871A50AE"/>
    <w:lvl w:ilvl="0">
      <w:start w:val="1"/>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72A03AEB"/>
    <w:multiLevelType w:val="hybridMultilevel"/>
    <w:tmpl w:val="DA7203CA"/>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768777D5"/>
    <w:multiLevelType w:val="hybridMultilevel"/>
    <w:tmpl w:val="7C043CD0"/>
    <w:lvl w:ilvl="0">
      <w:start w:val="1"/>
      <w:numFmt w:val="decimal"/>
      <w:lvlText w:val="%1."/>
      <w:lvlJc w:val="left"/>
      <w:pPr>
        <w:tabs>
          <w:tab w:val="num" w:pos="945"/>
        </w:tabs>
        <w:ind w:left="945" w:hanging="360"/>
      </w:pPr>
      <w:rPr>
        <w:rFonts w:ascii="Times New Roman" w:eastAsia="Times New Roman" w:hAnsi="Times New Roman" w:cs="Times New Roman"/>
        <w:rtl w:val="0"/>
        <w:cs w:val="0"/>
      </w:rPr>
    </w:lvl>
    <w:lvl w:ilvl="1">
      <w:start w:val="1"/>
      <w:numFmt w:val="lowerLetter"/>
      <w:lvlText w:val="%2."/>
      <w:lvlJc w:val="left"/>
      <w:pPr>
        <w:tabs>
          <w:tab w:val="num" w:pos="1665"/>
        </w:tabs>
        <w:ind w:left="1665" w:hanging="360"/>
      </w:pPr>
      <w:rPr>
        <w:rFonts w:cs="Times New Roman"/>
        <w:rtl w:val="0"/>
        <w:cs w:val="0"/>
      </w:rPr>
    </w:lvl>
    <w:lvl w:ilvl="2">
      <w:start w:val="1"/>
      <w:numFmt w:val="lowerRoman"/>
      <w:lvlText w:val="%3."/>
      <w:lvlJc w:val="right"/>
      <w:pPr>
        <w:tabs>
          <w:tab w:val="num" w:pos="2385"/>
        </w:tabs>
        <w:ind w:left="2385" w:hanging="180"/>
      </w:pPr>
      <w:rPr>
        <w:rFonts w:cs="Times New Roman"/>
        <w:rtl w:val="0"/>
        <w:cs w:val="0"/>
      </w:rPr>
    </w:lvl>
    <w:lvl w:ilvl="3">
      <w:start w:val="1"/>
      <w:numFmt w:val="decimal"/>
      <w:lvlText w:val="%4."/>
      <w:lvlJc w:val="left"/>
      <w:pPr>
        <w:tabs>
          <w:tab w:val="num" w:pos="3105"/>
        </w:tabs>
        <w:ind w:left="3105" w:hanging="360"/>
      </w:pPr>
      <w:rPr>
        <w:rFonts w:cs="Times New Roman"/>
        <w:rtl w:val="0"/>
        <w:cs w:val="0"/>
      </w:rPr>
    </w:lvl>
    <w:lvl w:ilvl="4">
      <w:start w:val="1"/>
      <w:numFmt w:val="lowerLetter"/>
      <w:lvlText w:val="%5."/>
      <w:lvlJc w:val="left"/>
      <w:pPr>
        <w:tabs>
          <w:tab w:val="num" w:pos="3825"/>
        </w:tabs>
        <w:ind w:left="3825" w:hanging="360"/>
      </w:pPr>
      <w:rPr>
        <w:rFonts w:cs="Times New Roman"/>
        <w:rtl w:val="0"/>
        <w:cs w:val="0"/>
      </w:rPr>
    </w:lvl>
    <w:lvl w:ilvl="5">
      <w:start w:val="1"/>
      <w:numFmt w:val="lowerRoman"/>
      <w:lvlText w:val="%6."/>
      <w:lvlJc w:val="right"/>
      <w:pPr>
        <w:tabs>
          <w:tab w:val="num" w:pos="4545"/>
        </w:tabs>
        <w:ind w:left="4545" w:hanging="180"/>
      </w:pPr>
      <w:rPr>
        <w:rFonts w:cs="Times New Roman"/>
        <w:rtl w:val="0"/>
        <w:cs w:val="0"/>
      </w:rPr>
    </w:lvl>
    <w:lvl w:ilvl="6">
      <w:start w:val="1"/>
      <w:numFmt w:val="decimal"/>
      <w:lvlText w:val="%7."/>
      <w:lvlJc w:val="left"/>
      <w:pPr>
        <w:tabs>
          <w:tab w:val="num" w:pos="5265"/>
        </w:tabs>
        <w:ind w:left="5265" w:hanging="360"/>
      </w:pPr>
      <w:rPr>
        <w:rFonts w:cs="Times New Roman"/>
        <w:rtl w:val="0"/>
        <w:cs w:val="0"/>
      </w:rPr>
    </w:lvl>
    <w:lvl w:ilvl="7">
      <w:start w:val="1"/>
      <w:numFmt w:val="lowerLetter"/>
      <w:lvlText w:val="%8."/>
      <w:lvlJc w:val="left"/>
      <w:pPr>
        <w:tabs>
          <w:tab w:val="num" w:pos="5985"/>
        </w:tabs>
        <w:ind w:left="5985" w:hanging="360"/>
      </w:pPr>
      <w:rPr>
        <w:rFonts w:cs="Times New Roman"/>
        <w:rtl w:val="0"/>
        <w:cs w:val="0"/>
      </w:rPr>
    </w:lvl>
    <w:lvl w:ilvl="8">
      <w:start w:val="1"/>
      <w:numFmt w:val="lowerRoman"/>
      <w:lvlText w:val="%9."/>
      <w:lvlJc w:val="right"/>
      <w:pPr>
        <w:tabs>
          <w:tab w:val="num" w:pos="6705"/>
        </w:tabs>
        <w:ind w:left="6705" w:hanging="180"/>
      </w:pPr>
      <w:rPr>
        <w:rFonts w:cs="Times New Roman"/>
        <w:rtl w:val="0"/>
        <w:cs w:val="0"/>
      </w:rPr>
    </w:lvl>
  </w:abstractNum>
  <w:abstractNum w:abstractNumId="19">
    <w:nsid w:val="79F33B8D"/>
    <w:multiLevelType w:val="hybridMultilevel"/>
    <w:tmpl w:val="7F22BBFE"/>
    <w:lvl w:ilvl="0">
      <w:start w:val="11"/>
      <w:numFmt w:val="decimal"/>
      <w:lvlText w:val="%1."/>
      <w:lvlJc w:val="left"/>
      <w:pPr>
        <w:tabs>
          <w:tab w:val="num" w:pos="1080"/>
        </w:tabs>
        <w:ind w:left="1080" w:hanging="360"/>
      </w:pPr>
      <w:rPr>
        <w:rFonts w:cs="Times New Roman" w:hint="default"/>
        <w:b/>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0">
    <w:nsid w:val="7DA03CCA"/>
    <w:multiLevelType w:val="hybridMultilevel"/>
    <w:tmpl w:val="44421AA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DF857BD"/>
    <w:multiLevelType w:val="hybridMultilevel"/>
    <w:tmpl w:val="7E201CD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7F244F4A"/>
    <w:multiLevelType w:val="hybridMultilevel"/>
    <w:tmpl w:val="E8769FF2"/>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7"/>
  </w:num>
  <w:num w:numId="2">
    <w:abstractNumId w:val="10"/>
  </w:num>
  <w:num w:numId="3">
    <w:abstractNumId w:val="19"/>
  </w:num>
  <w:num w:numId="4">
    <w:abstractNumId w:val="18"/>
  </w:num>
  <w:num w:numId="5">
    <w:abstractNumId w:val="21"/>
  </w:num>
  <w:num w:numId="6">
    <w:abstractNumId w:val="9"/>
  </w:num>
  <w:num w:numId="7">
    <w:abstractNumId w:val="2"/>
  </w:num>
  <w:num w:numId="8">
    <w:abstractNumId w:val="13"/>
  </w:num>
  <w:num w:numId="9">
    <w:abstractNumId w:val="7"/>
  </w:num>
  <w:num w:numId="10">
    <w:abstractNumId w:val="1"/>
  </w:num>
  <w:num w:numId="11">
    <w:abstractNumId w:val="12"/>
  </w:num>
  <w:num w:numId="12">
    <w:abstractNumId w:val="16"/>
  </w:num>
  <w:num w:numId="13">
    <w:abstractNumId w:val="3"/>
  </w:num>
  <w:num w:numId="14">
    <w:abstractNumId w:val="8"/>
  </w:num>
  <w:num w:numId="15">
    <w:abstractNumId w:val="22"/>
  </w:num>
  <w:num w:numId="16">
    <w:abstractNumId w:val="6"/>
  </w:num>
  <w:num w:numId="17">
    <w:abstractNumId w:val="0"/>
  </w:num>
  <w:num w:numId="18">
    <w:abstractNumId w:val="1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4"/>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UseIndentAsNumberingTabStop/>
    <w:allowSpaceOfSameStyleInTable/>
    <w:splitPgBreakAndParaMark/>
    <w:useAnsiKerningPairs/>
  </w:compat>
  <w:rsids>
    <w:rsidRoot w:val="004B7DF9"/>
    <w:rsid w:val="0000495C"/>
    <w:rsid w:val="00011D04"/>
    <w:rsid w:val="00015CE8"/>
    <w:rsid w:val="00030F2B"/>
    <w:rsid w:val="000335DD"/>
    <w:rsid w:val="00042660"/>
    <w:rsid w:val="0004480E"/>
    <w:rsid w:val="00052517"/>
    <w:rsid w:val="00056E18"/>
    <w:rsid w:val="00060AA4"/>
    <w:rsid w:val="0007200C"/>
    <w:rsid w:val="000802F7"/>
    <w:rsid w:val="00091F14"/>
    <w:rsid w:val="000B5A43"/>
    <w:rsid w:val="000B6864"/>
    <w:rsid w:val="000B6E29"/>
    <w:rsid w:val="000C4B58"/>
    <w:rsid w:val="000C638C"/>
    <w:rsid w:val="000D789E"/>
    <w:rsid w:val="000E1982"/>
    <w:rsid w:val="000E35AF"/>
    <w:rsid w:val="000F0A43"/>
    <w:rsid w:val="000F5D5D"/>
    <w:rsid w:val="000F6C29"/>
    <w:rsid w:val="001122EC"/>
    <w:rsid w:val="00136717"/>
    <w:rsid w:val="00137C92"/>
    <w:rsid w:val="001420FA"/>
    <w:rsid w:val="001664BA"/>
    <w:rsid w:val="001677EB"/>
    <w:rsid w:val="00170490"/>
    <w:rsid w:val="00177FD8"/>
    <w:rsid w:val="001867D6"/>
    <w:rsid w:val="00187972"/>
    <w:rsid w:val="001A44EC"/>
    <w:rsid w:val="001B3F6D"/>
    <w:rsid w:val="001D01E3"/>
    <w:rsid w:val="001D0D66"/>
    <w:rsid w:val="001D357D"/>
    <w:rsid w:val="001F7933"/>
    <w:rsid w:val="00200CF7"/>
    <w:rsid w:val="002109D9"/>
    <w:rsid w:val="002201C0"/>
    <w:rsid w:val="00220BA9"/>
    <w:rsid w:val="002257DE"/>
    <w:rsid w:val="00226519"/>
    <w:rsid w:val="00227478"/>
    <w:rsid w:val="00235711"/>
    <w:rsid w:val="00244327"/>
    <w:rsid w:val="00264CD6"/>
    <w:rsid w:val="0026616A"/>
    <w:rsid w:val="002862F9"/>
    <w:rsid w:val="00287CE7"/>
    <w:rsid w:val="00290704"/>
    <w:rsid w:val="00292F42"/>
    <w:rsid w:val="002952DB"/>
    <w:rsid w:val="002A2DEB"/>
    <w:rsid w:val="002C4EE8"/>
    <w:rsid w:val="002E4D7D"/>
    <w:rsid w:val="002E69C9"/>
    <w:rsid w:val="002F2B8B"/>
    <w:rsid w:val="00302059"/>
    <w:rsid w:val="0030315D"/>
    <w:rsid w:val="0032024C"/>
    <w:rsid w:val="00327A7F"/>
    <w:rsid w:val="00344476"/>
    <w:rsid w:val="00346011"/>
    <w:rsid w:val="00350911"/>
    <w:rsid w:val="003827D4"/>
    <w:rsid w:val="003863DC"/>
    <w:rsid w:val="003D6C66"/>
    <w:rsid w:val="00401127"/>
    <w:rsid w:val="0040338A"/>
    <w:rsid w:val="00410DCE"/>
    <w:rsid w:val="004126C8"/>
    <w:rsid w:val="00413FD7"/>
    <w:rsid w:val="00432A78"/>
    <w:rsid w:val="00457ECD"/>
    <w:rsid w:val="00462A2F"/>
    <w:rsid w:val="004661DF"/>
    <w:rsid w:val="0047444B"/>
    <w:rsid w:val="00491710"/>
    <w:rsid w:val="004960C8"/>
    <w:rsid w:val="0049635E"/>
    <w:rsid w:val="004B4694"/>
    <w:rsid w:val="004B4967"/>
    <w:rsid w:val="004B7DF9"/>
    <w:rsid w:val="004C238E"/>
    <w:rsid w:val="004C34D7"/>
    <w:rsid w:val="004E04C7"/>
    <w:rsid w:val="004E6F48"/>
    <w:rsid w:val="004F4D10"/>
    <w:rsid w:val="00507656"/>
    <w:rsid w:val="00517279"/>
    <w:rsid w:val="005231E1"/>
    <w:rsid w:val="00537C74"/>
    <w:rsid w:val="00540538"/>
    <w:rsid w:val="00540627"/>
    <w:rsid w:val="00551086"/>
    <w:rsid w:val="005523B1"/>
    <w:rsid w:val="00552A13"/>
    <w:rsid w:val="0055746B"/>
    <w:rsid w:val="00570F1D"/>
    <w:rsid w:val="00583B31"/>
    <w:rsid w:val="00584A9E"/>
    <w:rsid w:val="005B006B"/>
    <w:rsid w:val="005C012E"/>
    <w:rsid w:val="005C0838"/>
    <w:rsid w:val="005D7493"/>
    <w:rsid w:val="005E3665"/>
    <w:rsid w:val="00607526"/>
    <w:rsid w:val="00612841"/>
    <w:rsid w:val="00650193"/>
    <w:rsid w:val="00653960"/>
    <w:rsid w:val="00670658"/>
    <w:rsid w:val="00690F86"/>
    <w:rsid w:val="006918D9"/>
    <w:rsid w:val="00691F61"/>
    <w:rsid w:val="006A5A23"/>
    <w:rsid w:val="006B169B"/>
    <w:rsid w:val="006B7D7A"/>
    <w:rsid w:val="006D7AE9"/>
    <w:rsid w:val="006E10B0"/>
    <w:rsid w:val="006E2E67"/>
    <w:rsid w:val="006E3B2B"/>
    <w:rsid w:val="006E430B"/>
    <w:rsid w:val="0070707A"/>
    <w:rsid w:val="00714CC9"/>
    <w:rsid w:val="0072468C"/>
    <w:rsid w:val="00750DF8"/>
    <w:rsid w:val="0075737A"/>
    <w:rsid w:val="00757444"/>
    <w:rsid w:val="007738BF"/>
    <w:rsid w:val="00781BD4"/>
    <w:rsid w:val="007A7B70"/>
    <w:rsid w:val="007B3684"/>
    <w:rsid w:val="007D0A98"/>
    <w:rsid w:val="007D2EBB"/>
    <w:rsid w:val="007E45F2"/>
    <w:rsid w:val="008055E6"/>
    <w:rsid w:val="00811227"/>
    <w:rsid w:val="00830888"/>
    <w:rsid w:val="00836273"/>
    <w:rsid w:val="00846735"/>
    <w:rsid w:val="00851718"/>
    <w:rsid w:val="00873A03"/>
    <w:rsid w:val="00882C3C"/>
    <w:rsid w:val="00894D69"/>
    <w:rsid w:val="008A66C0"/>
    <w:rsid w:val="008B586A"/>
    <w:rsid w:val="008D45EA"/>
    <w:rsid w:val="008D552C"/>
    <w:rsid w:val="009175AC"/>
    <w:rsid w:val="009254D7"/>
    <w:rsid w:val="009278B4"/>
    <w:rsid w:val="00930849"/>
    <w:rsid w:val="00945CCB"/>
    <w:rsid w:val="00964189"/>
    <w:rsid w:val="00981544"/>
    <w:rsid w:val="00997481"/>
    <w:rsid w:val="009A0045"/>
    <w:rsid w:val="009B12F5"/>
    <w:rsid w:val="009B73EB"/>
    <w:rsid w:val="009C07B5"/>
    <w:rsid w:val="009C1AA9"/>
    <w:rsid w:val="009E3092"/>
    <w:rsid w:val="009F0144"/>
    <w:rsid w:val="00A07D14"/>
    <w:rsid w:val="00A13A04"/>
    <w:rsid w:val="00A177D3"/>
    <w:rsid w:val="00A17ABB"/>
    <w:rsid w:val="00A17E3D"/>
    <w:rsid w:val="00A21E41"/>
    <w:rsid w:val="00A2539D"/>
    <w:rsid w:val="00A67C42"/>
    <w:rsid w:val="00A70520"/>
    <w:rsid w:val="00A72C30"/>
    <w:rsid w:val="00A812B9"/>
    <w:rsid w:val="00A86A20"/>
    <w:rsid w:val="00A920A0"/>
    <w:rsid w:val="00A95E69"/>
    <w:rsid w:val="00AA3F1E"/>
    <w:rsid w:val="00AA48DE"/>
    <w:rsid w:val="00AC65FC"/>
    <w:rsid w:val="00AC6D7C"/>
    <w:rsid w:val="00AF10F4"/>
    <w:rsid w:val="00AF55B1"/>
    <w:rsid w:val="00B0009E"/>
    <w:rsid w:val="00B12C05"/>
    <w:rsid w:val="00B35D1D"/>
    <w:rsid w:val="00B37D2F"/>
    <w:rsid w:val="00B42636"/>
    <w:rsid w:val="00B548B2"/>
    <w:rsid w:val="00B71CFA"/>
    <w:rsid w:val="00B7674F"/>
    <w:rsid w:val="00B7791F"/>
    <w:rsid w:val="00B856D1"/>
    <w:rsid w:val="00B87706"/>
    <w:rsid w:val="00B9014D"/>
    <w:rsid w:val="00B93995"/>
    <w:rsid w:val="00B963BF"/>
    <w:rsid w:val="00B96CAB"/>
    <w:rsid w:val="00B97D1D"/>
    <w:rsid w:val="00BA6735"/>
    <w:rsid w:val="00BA68C5"/>
    <w:rsid w:val="00BB2309"/>
    <w:rsid w:val="00BC2849"/>
    <w:rsid w:val="00BC6581"/>
    <w:rsid w:val="00BF67F6"/>
    <w:rsid w:val="00C21483"/>
    <w:rsid w:val="00C2183E"/>
    <w:rsid w:val="00C2302E"/>
    <w:rsid w:val="00C25A2D"/>
    <w:rsid w:val="00C331A0"/>
    <w:rsid w:val="00C61A3B"/>
    <w:rsid w:val="00C6433B"/>
    <w:rsid w:val="00C65036"/>
    <w:rsid w:val="00C90692"/>
    <w:rsid w:val="00C91038"/>
    <w:rsid w:val="00C94E01"/>
    <w:rsid w:val="00CA581B"/>
    <w:rsid w:val="00CB2080"/>
    <w:rsid w:val="00CB5A02"/>
    <w:rsid w:val="00CC11A1"/>
    <w:rsid w:val="00CC7680"/>
    <w:rsid w:val="00CD705F"/>
    <w:rsid w:val="00CF016E"/>
    <w:rsid w:val="00CF0DD3"/>
    <w:rsid w:val="00CF13F3"/>
    <w:rsid w:val="00CF70EF"/>
    <w:rsid w:val="00CF791A"/>
    <w:rsid w:val="00D17E44"/>
    <w:rsid w:val="00D271EA"/>
    <w:rsid w:val="00D31D32"/>
    <w:rsid w:val="00D35F91"/>
    <w:rsid w:val="00D400D7"/>
    <w:rsid w:val="00D5714C"/>
    <w:rsid w:val="00D61575"/>
    <w:rsid w:val="00D70DC5"/>
    <w:rsid w:val="00D722FD"/>
    <w:rsid w:val="00D909FE"/>
    <w:rsid w:val="00D9246E"/>
    <w:rsid w:val="00DA1D33"/>
    <w:rsid w:val="00DD33BD"/>
    <w:rsid w:val="00DD5679"/>
    <w:rsid w:val="00DE07B8"/>
    <w:rsid w:val="00DE31C9"/>
    <w:rsid w:val="00DF1F74"/>
    <w:rsid w:val="00DF3FC9"/>
    <w:rsid w:val="00E02882"/>
    <w:rsid w:val="00E261FB"/>
    <w:rsid w:val="00E275CD"/>
    <w:rsid w:val="00E27E47"/>
    <w:rsid w:val="00E410D6"/>
    <w:rsid w:val="00E46488"/>
    <w:rsid w:val="00E54735"/>
    <w:rsid w:val="00E74C87"/>
    <w:rsid w:val="00E765A3"/>
    <w:rsid w:val="00E76AAD"/>
    <w:rsid w:val="00E829F0"/>
    <w:rsid w:val="00E86860"/>
    <w:rsid w:val="00E956F9"/>
    <w:rsid w:val="00EA2C71"/>
    <w:rsid w:val="00EA5927"/>
    <w:rsid w:val="00EB1466"/>
    <w:rsid w:val="00EC10CC"/>
    <w:rsid w:val="00EC3887"/>
    <w:rsid w:val="00EF4416"/>
    <w:rsid w:val="00F04C0E"/>
    <w:rsid w:val="00F05B9E"/>
    <w:rsid w:val="00F10167"/>
    <w:rsid w:val="00F120FA"/>
    <w:rsid w:val="00F20AD1"/>
    <w:rsid w:val="00F228EA"/>
    <w:rsid w:val="00F25FE7"/>
    <w:rsid w:val="00F35146"/>
    <w:rsid w:val="00F351BB"/>
    <w:rsid w:val="00F403BC"/>
    <w:rsid w:val="00F42F61"/>
    <w:rsid w:val="00F534A7"/>
    <w:rsid w:val="00F53B1F"/>
    <w:rsid w:val="00F53DD5"/>
    <w:rsid w:val="00F64945"/>
    <w:rsid w:val="00F65443"/>
    <w:rsid w:val="00F77A2E"/>
    <w:rsid w:val="00F923AD"/>
    <w:rsid w:val="00F94605"/>
    <w:rsid w:val="00F95669"/>
    <w:rsid w:val="00F95D02"/>
    <w:rsid w:val="00FA6544"/>
    <w:rsid w:val="00FA7AE2"/>
    <w:rsid w:val="00FA7E5F"/>
    <w:rsid w:val="00FB36E8"/>
    <w:rsid w:val="00FB698F"/>
    <w:rsid w:val="00FC15E6"/>
    <w:rsid w:val="00FF26D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1A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Normal"/>
    <w:qFormat/>
    <w:rsid w:val="00CC11A1"/>
    <w:pPr>
      <w:keepNext/>
      <w:spacing w:before="240" w:after="60"/>
      <w:jc w:val="lef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CharCharChar">
    <w:name w:val="Char Char Char"/>
    <w:basedOn w:val="Normal"/>
    <w:rsid w:val="00CC11A1"/>
    <w:pPr>
      <w:spacing w:after="160" w:line="240" w:lineRule="exact"/>
      <w:jc w:val="left"/>
    </w:pPr>
    <w:rPr>
      <w:rFonts w:ascii="Tahoma" w:hAnsi="Tahoma" w:cs="Tahoma"/>
      <w:sz w:val="20"/>
      <w:szCs w:val="20"/>
      <w:lang w:val="en-US" w:eastAsia="en-US"/>
    </w:rPr>
  </w:style>
  <w:style w:type="paragraph" w:styleId="BodyText2">
    <w:name w:val="Body Text 2"/>
    <w:basedOn w:val="Normal"/>
    <w:rsid w:val="00CC11A1"/>
    <w:pPr>
      <w:spacing w:after="120" w:line="480" w:lineRule="auto"/>
      <w:jc w:val="left"/>
    </w:pPr>
  </w:style>
  <w:style w:type="paragraph" w:styleId="BalloonText">
    <w:name w:val="Balloon Text"/>
    <w:basedOn w:val="Normal"/>
    <w:semiHidden/>
    <w:rsid w:val="00CC11A1"/>
    <w:pPr>
      <w:jc w:val="left"/>
    </w:pPr>
    <w:rPr>
      <w:rFonts w:ascii="Tahoma" w:hAnsi="Tahoma" w:cs="Tahoma"/>
      <w:sz w:val="16"/>
      <w:szCs w:val="16"/>
    </w:rPr>
  </w:style>
  <w:style w:type="paragraph" w:styleId="Footer">
    <w:name w:val="footer"/>
    <w:basedOn w:val="Normal"/>
    <w:rsid w:val="00CC11A1"/>
    <w:pPr>
      <w:tabs>
        <w:tab w:val="center" w:pos="4536"/>
        <w:tab w:val="right" w:pos="9072"/>
      </w:tabs>
      <w:jc w:val="left"/>
    </w:pPr>
  </w:style>
  <w:style w:type="character" w:styleId="PageNumber">
    <w:name w:val="page number"/>
    <w:basedOn w:val="DefaultParagraphFont"/>
    <w:rsid w:val="00CC11A1"/>
    <w:rPr>
      <w:rFonts w:cs="Times New Roman"/>
      <w:rtl w:val="0"/>
      <w:cs w:val="0"/>
    </w:rPr>
  </w:style>
  <w:style w:type="paragraph" w:styleId="BodyText">
    <w:name w:val="Body Text"/>
    <w:basedOn w:val="Normal"/>
    <w:rsid w:val="00CC11A1"/>
    <w:pPr>
      <w:spacing w:after="120"/>
      <w:jc w:val="left"/>
    </w:pPr>
  </w:style>
  <w:style w:type="paragraph" w:customStyle="1" w:styleId="CharCharCharCharCharChar">
    <w:name w:val="Char Char Char Char Char Char"/>
    <w:basedOn w:val="Normal"/>
    <w:rsid w:val="00CC11A1"/>
    <w:pPr>
      <w:spacing w:after="160" w:line="240" w:lineRule="exact"/>
      <w:jc w:val="left"/>
    </w:pPr>
    <w:rPr>
      <w:rFonts w:ascii="Tahoma" w:hAnsi="Tahoma" w:cs="Tahoma"/>
      <w:sz w:val="20"/>
      <w:szCs w:val="20"/>
      <w:lang w:val="en-US" w:eastAsia="en-US"/>
    </w:rPr>
  </w:style>
  <w:style w:type="character" w:styleId="CommentReference">
    <w:name w:val="annotation reference"/>
    <w:basedOn w:val="DefaultParagraphFont"/>
    <w:semiHidden/>
    <w:rsid w:val="00CC11A1"/>
    <w:rPr>
      <w:rFonts w:cs="Times New Roman"/>
      <w:sz w:val="16"/>
      <w:szCs w:val="16"/>
      <w:rtl w:val="0"/>
      <w:cs w:val="0"/>
    </w:rPr>
  </w:style>
  <w:style w:type="paragraph" w:styleId="CommentText">
    <w:name w:val="annotation text"/>
    <w:basedOn w:val="Normal"/>
    <w:semiHidden/>
    <w:rsid w:val="00CC11A1"/>
    <w:pPr>
      <w:jc w:val="left"/>
    </w:pPr>
    <w:rPr>
      <w:sz w:val="20"/>
      <w:szCs w:val="20"/>
    </w:rPr>
  </w:style>
  <w:style w:type="paragraph" w:styleId="BodyTextIndent">
    <w:name w:val="Body Text Indent"/>
    <w:basedOn w:val="Normal"/>
    <w:rsid w:val="00CC11A1"/>
    <w:pPr>
      <w:ind w:left="360"/>
      <w:jc w:val="both"/>
    </w:pPr>
    <w:rPr>
      <w:rFonts w:ascii="Arial Narrow" w:hAnsi="Arial Narrow"/>
      <w:sz w:val="22"/>
      <w:szCs w:val="22"/>
    </w:rPr>
  </w:style>
  <w:style w:type="paragraph" w:styleId="ListParagraph">
    <w:name w:val="List Paragraph"/>
    <w:basedOn w:val="Normal"/>
    <w:uiPriority w:val="34"/>
    <w:qFormat/>
    <w:rsid w:val="00930849"/>
    <w:pPr>
      <w:ind w:left="720"/>
      <w:contextualSpacing/>
      <w:jc w:val="left"/>
    </w:pPr>
    <w:rPr>
      <w:rFonts w:ascii="Calibri" w:hAnsi="Calibri"/>
      <w:sz w:val="22"/>
      <w:szCs w:val="22"/>
      <w:lang w:eastAsia="en-US"/>
    </w:rPr>
  </w:style>
  <w:style w:type="paragraph" w:styleId="Title">
    <w:name w:val="Title"/>
    <w:basedOn w:val="Normal"/>
    <w:link w:val="TitleChar"/>
    <w:qFormat/>
    <w:rsid w:val="001664BA"/>
    <w:pPr>
      <w:jc w:val="center"/>
    </w:pPr>
    <w:rPr>
      <w:rFonts w:ascii="Arial Narrow" w:hAnsi="Arial Narrow"/>
      <w:b/>
      <w:bCs/>
      <w:sz w:val="22"/>
    </w:rPr>
  </w:style>
  <w:style w:type="character" w:customStyle="1" w:styleId="TitleChar">
    <w:name w:val="Title Char"/>
    <w:basedOn w:val="DefaultParagraphFont"/>
    <w:link w:val="Title"/>
    <w:locked/>
    <w:rsid w:val="001664BA"/>
    <w:rPr>
      <w:rFonts w:ascii="Arial Narrow" w:hAnsi="Arial Narrow" w:cs="Times New Roman"/>
      <w:b/>
      <w:bCs/>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1725</Words>
  <Characters>9836</Characters>
  <Application>Microsoft Office Word</Application>
  <DocSecurity>0</DocSecurity>
  <Lines>0</Lines>
  <Paragraphs>0</Paragraphs>
  <ScaleCrop>false</ScaleCrop>
  <Company>Kancelaria NR SR</Company>
  <LinksUpToDate>false</LinksUpToDate>
  <CharactersWithSpaces>11538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Valach Michal</dc:creator>
  <cp:lastModifiedBy>Gašparíková, Jarmila</cp:lastModifiedBy>
  <cp:revision>2</cp:revision>
  <cp:lastPrinted>2011-11-24T12:43:00Z</cp:lastPrinted>
  <dcterms:created xsi:type="dcterms:W3CDTF">2011-11-25T12:45:00Z</dcterms:created>
  <dcterms:modified xsi:type="dcterms:W3CDTF">2011-11-25T12:45:00Z</dcterms:modified>
</cp:coreProperties>
</file>