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A382B" w:rsidRPr="00B2023F" w:rsidP="00C37F40">
      <w:pPr>
        <w:bidi w:val="0"/>
        <w:jc w:val="center"/>
        <w:rPr>
          <w:rFonts w:ascii="Times New Roman" w:hAnsi="Times New Roman"/>
          <w:b/>
          <w:bCs/>
          <w:caps/>
          <w:color w:val="000000"/>
          <w:spacing w:val="30"/>
        </w:rPr>
      </w:pPr>
      <w:r w:rsidRPr="00B2023F">
        <w:rPr>
          <w:rFonts w:ascii="Times New Roman" w:hAnsi="Times New Roman"/>
          <w:b/>
          <w:bCs/>
          <w:caps/>
          <w:color w:val="000000"/>
          <w:spacing w:val="30"/>
        </w:rPr>
        <w:t>Doložka</w:t>
      </w:r>
    </w:p>
    <w:p w:rsidR="00BA382B" w:rsidRPr="00B2023F" w:rsidP="00C37F40">
      <w:pPr>
        <w:bidi w:val="0"/>
        <w:jc w:val="center"/>
        <w:rPr>
          <w:rFonts w:ascii="Times New Roman" w:hAnsi="Times New Roman"/>
          <w:b/>
          <w:bCs/>
          <w:color w:val="000000"/>
        </w:rPr>
      </w:pPr>
      <w:r w:rsidRPr="00B2023F">
        <w:rPr>
          <w:rFonts w:ascii="Times New Roman" w:hAnsi="Times New Roman"/>
          <w:b/>
          <w:bCs/>
          <w:color w:val="000000"/>
        </w:rPr>
        <w:t>vybraných vplyvov</w:t>
      </w:r>
    </w:p>
    <w:p w:rsidR="00BA382B" w:rsidRPr="00B2023F" w:rsidP="00C37F40">
      <w:pPr>
        <w:bidi w:val="0"/>
        <w:rPr>
          <w:rFonts w:ascii="Times New Roman" w:hAnsi="Times New Roman"/>
          <w:color w:val="000000"/>
        </w:rPr>
      </w:pPr>
    </w:p>
    <w:p w:rsidR="001C18B8" w:rsidRPr="00D650D8" w:rsidP="00104478">
      <w:pPr>
        <w:bidi w:val="0"/>
        <w:ind w:left="2410" w:hanging="2410"/>
        <w:jc w:val="both"/>
        <w:rPr>
          <w:rFonts w:ascii="Times New Roman" w:hAnsi="Times New Roman"/>
          <w:bCs/>
        </w:rPr>
      </w:pPr>
      <w:r w:rsidRPr="00B2023F" w:rsidR="00BA382B">
        <w:rPr>
          <w:rFonts w:ascii="Times New Roman" w:hAnsi="Times New Roman"/>
          <w:b/>
          <w:bCs/>
          <w:color w:val="000000"/>
        </w:rPr>
        <w:t xml:space="preserve">A.1. Názov materiálu: </w:t>
      </w:r>
      <w:r w:rsidRPr="00104478" w:rsidR="00104478">
        <w:rPr>
          <w:rFonts w:ascii="Times New Roman" w:hAnsi="Times New Roman"/>
          <w:bCs/>
          <w:color w:val="000000"/>
        </w:rPr>
        <w:t>vládny</w:t>
      </w:r>
      <w:r w:rsidR="00104478">
        <w:rPr>
          <w:rFonts w:ascii="Times New Roman" w:hAnsi="Times New Roman"/>
          <w:b/>
          <w:bCs/>
          <w:color w:val="000000"/>
        </w:rPr>
        <w:t xml:space="preserve"> </w:t>
      </w:r>
      <w:r w:rsidRPr="00B8647A" w:rsidR="00BA382B">
        <w:rPr>
          <w:rFonts w:ascii="Times New Roman" w:hAnsi="Times New Roman"/>
          <w:bCs/>
          <w:color w:val="000000"/>
        </w:rPr>
        <w:t xml:space="preserve">návrh zákona, </w:t>
      </w:r>
      <w:r w:rsidRPr="00D650D8" w:rsidR="00D650D8">
        <w:rPr>
          <w:rFonts w:ascii="Times New Roman" w:hAnsi="Times New Roman"/>
        </w:rPr>
        <w:t>ktorým sa  mení a dopĺňa zákon č. 448/2008 Z. z.  o sociálnych službách a o zmene a doplnení zákona č. 455/1991 Zb. o živnostenskom podnikaní (živnostenský zákon) v znení neskorších predpisov v znení neskorších predpisov</w:t>
      </w:r>
    </w:p>
    <w:p w:rsidR="00D650D8" w:rsidP="00D650D8">
      <w:pPr>
        <w:bidi w:val="0"/>
        <w:jc w:val="both"/>
        <w:rPr>
          <w:rFonts w:ascii="Times New Roman" w:hAnsi="Times New Roman"/>
          <w:b/>
          <w:bCs/>
          <w:color w:val="000000"/>
        </w:rPr>
      </w:pPr>
      <w:r w:rsidRPr="00B2023F" w:rsidR="00BA382B">
        <w:rPr>
          <w:rFonts w:ascii="Times New Roman" w:hAnsi="Times New Roman"/>
          <w:b/>
          <w:bCs/>
          <w:color w:val="000000"/>
        </w:rPr>
        <w:t xml:space="preserve">        </w:t>
      </w:r>
    </w:p>
    <w:p w:rsidR="00F06E06" w:rsidRPr="00B2023F" w:rsidP="00F06E06">
      <w:pPr>
        <w:bidi w:val="0"/>
        <w:jc w:val="both"/>
        <w:rPr>
          <w:rFonts w:ascii="Times New Roman" w:hAnsi="Times New Roman"/>
          <w:i/>
          <w:color w:val="000000"/>
        </w:rPr>
      </w:pPr>
      <w:r w:rsidRPr="00B2023F" w:rsidR="00BA382B">
        <w:rPr>
          <w:rFonts w:ascii="Times New Roman" w:hAnsi="Times New Roman"/>
          <w:b/>
          <w:bCs/>
          <w:color w:val="000000"/>
        </w:rPr>
        <w:t>Termín začatia a ukončenia PPK:</w:t>
      </w:r>
      <w:r w:rsidRPr="00B2023F" w:rsidR="00BA382B">
        <w:rPr>
          <w:rFonts w:ascii="Times New Roman" w:hAnsi="Times New Roman"/>
          <w:color w:val="000000"/>
        </w:rPr>
        <w:t xml:space="preserve"> </w:t>
      </w:r>
    </w:p>
    <w:p w:rsidR="00BA382B" w:rsidRPr="00B2023F" w:rsidP="00C37F40">
      <w:pPr>
        <w:bidi w:val="0"/>
        <w:jc w:val="both"/>
        <w:rPr>
          <w:rFonts w:ascii="Times New Roman" w:hAnsi="Times New Roman"/>
          <w:b/>
          <w:bCs/>
          <w:color w:val="000000"/>
        </w:rPr>
      </w:pPr>
    </w:p>
    <w:p w:rsidR="00BA382B" w:rsidRPr="00B2023F" w:rsidP="00C37F40">
      <w:pPr>
        <w:bidi w:val="0"/>
        <w:jc w:val="both"/>
        <w:rPr>
          <w:rFonts w:ascii="Times New Roman" w:hAnsi="Times New Roman"/>
          <w:b/>
          <w:bCs/>
          <w:color w:val="000000"/>
        </w:rPr>
      </w:pPr>
    </w:p>
    <w:p w:rsidR="00BA382B" w:rsidP="00C37F40">
      <w:pPr>
        <w:bidi w:val="0"/>
        <w:jc w:val="both"/>
        <w:rPr>
          <w:rFonts w:ascii="Times New Roman" w:hAnsi="Times New Roman"/>
          <w:b/>
          <w:bCs/>
          <w:color w:val="000000"/>
        </w:rPr>
      </w:pPr>
      <w:r w:rsidRPr="00B2023F">
        <w:rPr>
          <w:rFonts w:ascii="Times New Roman" w:hAnsi="Times New Roman"/>
          <w:b/>
          <w:bCs/>
          <w:color w:val="000000"/>
        </w:rPr>
        <w:t>A.2. Vplyvy:</w:t>
      </w:r>
    </w:p>
    <w:p w:rsidR="005D5F2E" w:rsidRPr="00B2023F" w:rsidP="00C37F40">
      <w:pPr>
        <w:bidi w:val="0"/>
        <w:jc w:val="both"/>
        <w:rPr>
          <w:rFonts w:ascii="Times New Roman" w:hAnsi="Times New Roman"/>
          <w:b/>
          <w:bCs/>
          <w:color w:val="000000"/>
        </w:rPr>
      </w:pP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86"/>
        <w:gridCol w:w="1212"/>
        <w:gridCol w:w="1212"/>
        <w:gridCol w:w="121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r w:rsidRPr="00B2023F">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r w:rsidRPr="00B2023F">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r w:rsidRPr="00B2023F">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rPr>
                <w:rFonts w:ascii="Times New Roman" w:hAnsi="Times New Roman"/>
                <w:color w:val="000000"/>
              </w:rPr>
            </w:pPr>
            <w:r w:rsidRPr="00B2023F">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r w:rsidR="00D650D8">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r w:rsidR="00D650D8">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rPr>
                <w:rFonts w:ascii="Times New Roman" w:hAnsi="Times New Roman"/>
                <w:color w:val="000000"/>
              </w:rPr>
            </w:pPr>
            <w:r w:rsidRPr="00B2023F">
              <w:rPr>
                <w:rFonts w:ascii="Times New Roman" w:hAnsi="Times New Roman"/>
                <w:color w:val="000000"/>
              </w:rPr>
              <w:t xml:space="preserve">2. Vplyvy na podnikateľské prostredie – dochádza k </w:t>
            </w:r>
            <w:r>
              <w:rPr>
                <w:rFonts w:ascii="Times New Roman" w:hAnsi="Times New Roman"/>
                <w:color w:val="000000"/>
              </w:rPr>
              <w:t xml:space="preserve">  </w:t>
            </w:r>
            <w:r w:rsidRPr="00B2023F">
              <w:rPr>
                <w:rFonts w:ascii="Times New Roman" w:hAnsi="Times New Roman"/>
                <w:color w:val="000000"/>
              </w:rPr>
              <w:t>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r w:rsidRPr="00B2023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rPr>
                <w:rFonts w:ascii="Times New Roman" w:hAnsi="Times New Roman"/>
                <w:color w:val="000000"/>
              </w:rPr>
            </w:pPr>
            <w:r w:rsidRPr="00B2023F">
              <w:rPr>
                <w:rFonts w:ascii="Times New Roman" w:hAnsi="Times New Roman"/>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395711">
            <w:pPr>
              <w:bidi w:val="0"/>
              <w:spacing w:after="0" w:line="240" w:lineRule="auto"/>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395711">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rPr>
                <w:rFonts w:ascii="Times New Roman" w:hAnsi="Times New Roman"/>
                <w:color w:val="000000"/>
              </w:rPr>
            </w:pPr>
            <w:r w:rsidRPr="00B2023F">
              <w:rPr>
                <w:rFonts w:ascii="Times New Roman" w:hAnsi="Times New Roman"/>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r w:rsidRPr="00B2023F" w:rsidR="00A57790">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rPr>
                <w:rFonts w:ascii="Times New Roman" w:hAnsi="Times New Roman"/>
                <w:color w:val="000000"/>
              </w:rPr>
            </w:pPr>
            <w:r w:rsidRPr="00B2023F">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r w:rsidR="00F06E0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rPr>
                <w:rFonts w:ascii="Times New Roman" w:hAnsi="Times New Roman"/>
                <w:color w:val="000000"/>
              </w:rPr>
            </w:pPr>
            <w:r w:rsidRPr="00B2023F">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r w:rsidR="00A57790">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rPr>
                <w:rFonts w:ascii="Times New Roman" w:hAnsi="Times New Roman"/>
                <w:color w:val="000000"/>
              </w:rPr>
            </w:pPr>
            <w:r w:rsidRPr="00B2023F">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r w:rsidRPr="00B2023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rPr>
                <w:rFonts w:ascii="Times New Roman" w:hAnsi="Times New Roman"/>
                <w:color w:val="000000"/>
              </w:rPr>
            </w:pPr>
            <w:r w:rsidRPr="00B2023F">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r w:rsidRPr="00B2023F">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A382B" w:rsidRPr="00B2023F" w:rsidP="008D588D">
            <w:pPr>
              <w:bidi w:val="0"/>
              <w:spacing w:after="0" w:line="240" w:lineRule="auto"/>
              <w:jc w:val="center"/>
              <w:rPr>
                <w:rFonts w:ascii="Times New Roman" w:hAnsi="Times New Roman"/>
                <w:color w:val="000000"/>
              </w:rPr>
            </w:pPr>
          </w:p>
        </w:tc>
      </w:tr>
    </w:tbl>
    <w:p w:rsidR="00BA382B" w:rsidRPr="00B2023F" w:rsidP="00C37F40">
      <w:pPr>
        <w:bidi w:val="0"/>
        <w:rPr>
          <w:rFonts w:ascii="Times New Roman" w:hAnsi="Times New Roman"/>
          <w:color w:val="000000"/>
        </w:rPr>
      </w:pPr>
      <w:r w:rsidRPr="00B2023F">
        <w:rPr>
          <w:rFonts w:ascii="Times New Roman" w:hAnsi="Times New Roman"/>
          <w:color w:val="000000"/>
        </w:rPr>
        <w:t> </w:t>
      </w:r>
    </w:p>
    <w:p w:rsidR="00BA382B" w:rsidRPr="00B2023F" w:rsidP="00C37F40">
      <w:pPr>
        <w:bidi w:val="0"/>
        <w:jc w:val="both"/>
        <w:rPr>
          <w:rFonts w:ascii="Times New Roman" w:hAnsi="Times New Roman"/>
          <w:b/>
          <w:bCs/>
          <w:color w:val="000000"/>
        </w:rPr>
      </w:pPr>
      <w:r w:rsidRPr="00B2023F">
        <w:rPr>
          <w:rFonts w:ascii="Times New Roman" w:hAnsi="Times New Roman"/>
          <w:b/>
          <w:bCs/>
          <w:color w:val="000000"/>
        </w:rPr>
        <w:t>A.3. Poznámky</w:t>
      </w:r>
    </w:p>
    <w:p w:rsidR="006F280B" w:rsidP="00C37F40">
      <w:pPr>
        <w:bidi w:val="0"/>
        <w:jc w:val="both"/>
        <w:rPr>
          <w:rFonts w:ascii="Times New Roman" w:hAnsi="Times New Roman"/>
          <w:color w:val="000000"/>
        </w:rPr>
      </w:pPr>
    </w:p>
    <w:p w:rsidR="00BA382B" w:rsidRPr="00B2023F" w:rsidP="00C37F40">
      <w:pPr>
        <w:bidi w:val="0"/>
        <w:jc w:val="both"/>
        <w:rPr>
          <w:rFonts w:ascii="Times New Roman" w:hAnsi="Times New Roman"/>
          <w:i/>
          <w:iCs/>
          <w:color w:val="000000"/>
        </w:rPr>
      </w:pPr>
      <w:r w:rsidRPr="00B2023F">
        <w:rPr>
          <w:rFonts w:ascii="Times New Roman" w:hAnsi="Times New Roman"/>
          <w:i/>
          <w:iCs/>
          <w:color w:val="000000"/>
        </w:rPr>
        <w:t xml:space="preserve">      </w:t>
      </w:r>
    </w:p>
    <w:p w:rsidR="00BA382B" w:rsidRPr="00B2023F" w:rsidP="00C37F40">
      <w:pPr>
        <w:bidi w:val="0"/>
        <w:jc w:val="both"/>
        <w:rPr>
          <w:rFonts w:ascii="Times New Roman" w:hAnsi="Times New Roman"/>
          <w:b/>
          <w:bCs/>
          <w:color w:val="000000"/>
        </w:rPr>
      </w:pPr>
      <w:r w:rsidRPr="00B2023F">
        <w:rPr>
          <w:rFonts w:ascii="Times New Roman" w:hAnsi="Times New Roman"/>
          <w:b/>
          <w:bCs/>
          <w:color w:val="000000"/>
        </w:rPr>
        <w:t>A.4. Alternatívne riešenia</w:t>
      </w:r>
    </w:p>
    <w:p w:rsidR="00BA382B" w:rsidRPr="00B2023F" w:rsidP="00C37F40">
      <w:pPr>
        <w:bidi w:val="0"/>
        <w:jc w:val="both"/>
        <w:rPr>
          <w:rFonts w:ascii="Times New Roman" w:hAnsi="Times New Roman"/>
          <w:b/>
          <w:bCs/>
          <w:color w:val="000000"/>
        </w:rPr>
      </w:pPr>
      <w:r w:rsidRPr="00B2023F">
        <w:rPr>
          <w:rFonts w:ascii="Times New Roman" w:hAnsi="Times New Roman"/>
          <w:color w:val="000000"/>
        </w:rPr>
        <w:t> </w:t>
      </w:r>
    </w:p>
    <w:p w:rsidR="00BA382B" w:rsidRPr="00B2023F" w:rsidP="00C37F40">
      <w:pPr>
        <w:bidi w:val="0"/>
        <w:jc w:val="both"/>
        <w:rPr>
          <w:rFonts w:ascii="Times New Roman" w:hAnsi="Times New Roman"/>
          <w:i/>
          <w:color w:val="000000"/>
        </w:rPr>
      </w:pPr>
      <w:r w:rsidRPr="00B2023F">
        <w:rPr>
          <w:rFonts w:ascii="Times New Roman" w:hAnsi="Times New Roman"/>
          <w:i/>
          <w:color w:val="000000"/>
        </w:rPr>
        <w:t>bezpredmetné</w:t>
      </w:r>
    </w:p>
    <w:p w:rsidR="00BA382B" w:rsidRPr="00B2023F" w:rsidP="00C37F40">
      <w:pPr>
        <w:bidi w:val="0"/>
        <w:jc w:val="both"/>
        <w:rPr>
          <w:rFonts w:ascii="Times New Roman" w:hAnsi="Times New Roman"/>
          <w:b/>
          <w:bCs/>
          <w:color w:val="000000"/>
        </w:rPr>
      </w:pPr>
    </w:p>
    <w:p w:rsidR="00BA382B" w:rsidRPr="00B2023F" w:rsidP="00C37F40">
      <w:pPr>
        <w:bidi w:val="0"/>
        <w:jc w:val="both"/>
        <w:rPr>
          <w:rFonts w:ascii="Times New Roman" w:hAnsi="Times New Roman"/>
          <w:b/>
          <w:bCs/>
          <w:color w:val="000000"/>
        </w:rPr>
      </w:pPr>
      <w:r w:rsidRPr="00B2023F">
        <w:rPr>
          <w:rFonts w:ascii="Times New Roman" w:hAnsi="Times New Roman"/>
          <w:b/>
          <w:bCs/>
          <w:color w:val="000000"/>
        </w:rPr>
        <w:t>A.5. Stanovisko gestorov</w:t>
      </w:r>
    </w:p>
    <w:p w:rsidR="00BA382B" w:rsidRPr="00B2023F" w:rsidP="00C37F40">
      <w:pPr>
        <w:bidi w:val="0"/>
        <w:jc w:val="both"/>
        <w:rPr>
          <w:rFonts w:ascii="Times New Roman" w:hAnsi="Times New Roman"/>
          <w:b/>
          <w:bCs/>
        </w:rPr>
      </w:pPr>
    </w:p>
    <w:p w:rsidR="00D650D8" w:rsidP="006F280B">
      <w:pPr>
        <w:bidi w:val="0"/>
        <w:jc w:val="both"/>
        <w:rPr>
          <w:rFonts w:ascii="Times New Roman" w:hAnsi="Times New Roman"/>
          <w:b/>
          <w:sz w:val="28"/>
          <w:szCs w:val="28"/>
        </w:rPr>
      </w:pPr>
    </w:p>
    <w:p w:rsidR="00D650D8" w:rsidP="006F280B">
      <w:pPr>
        <w:bidi w:val="0"/>
        <w:jc w:val="both"/>
        <w:rPr>
          <w:rFonts w:ascii="Times New Roman" w:hAnsi="Times New Roman"/>
          <w:b/>
          <w:sz w:val="28"/>
          <w:szCs w:val="28"/>
        </w:rPr>
      </w:pPr>
    </w:p>
    <w:p w:rsidR="00D650D8" w:rsidP="006F280B">
      <w:pPr>
        <w:bidi w:val="0"/>
        <w:jc w:val="both"/>
        <w:rPr>
          <w:rFonts w:ascii="Times New Roman" w:hAnsi="Times New Roman"/>
          <w:b/>
          <w:sz w:val="28"/>
          <w:szCs w:val="28"/>
        </w:rPr>
      </w:pPr>
    </w:p>
    <w:p w:rsidR="00D650D8" w:rsidP="006F280B">
      <w:pPr>
        <w:bidi w:val="0"/>
        <w:jc w:val="both"/>
        <w:rPr>
          <w:rFonts w:ascii="Times New Roman" w:hAnsi="Times New Roman"/>
          <w:b/>
          <w:sz w:val="28"/>
          <w:szCs w:val="28"/>
        </w:rPr>
      </w:pPr>
    </w:p>
    <w:p w:rsidR="00D650D8" w:rsidP="006F280B">
      <w:pPr>
        <w:bidi w:val="0"/>
        <w:jc w:val="both"/>
        <w:rPr>
          <w:rFonts w:ascii="Times New Roman" w:hAnsi="Times New Roman"/>
          <w:b/>
          <w:sz w:val="28"/>
          <w:szCs w:val="28"/>
        </w:rPr>
      </w:pPr>
    </w:p>
    <w:p w:rsidR="00D650D8" w:rsidP="006F280B">
      <w:pPr>
        <w:bidi w:val="0"/>
        <w:jc w:val="both"/>
        <w:rPr>
          <w:rFonts w:ascii="Times New Roman" w:hAnsi="Times New Roman"/>
          <w:b/>
          <w:sz w:val="28"/>
          <w:szCs w:val="28"/>
        </w:rPr>
      </w:pPr>
    </w:p>
    <w:p w:rsidR="00D650D8" w:rsidP="006F280B">
      <w:pPr>
        <w:bidi w:val="0"/>
        <w:jc w:val="both"/>
        <w:rPr>
          <w:rFonts w:ascii="Times New Roman" w:hAnsi="Times New Roman"/>
          <w:b/>
          <w:sz w:val="28"/>
          <w:szCs w:val="28"/>
        </w:rPr>
      </w:pPr>
    </w:p>
    <w:p w:rsidR="00D650D8" w:rsidP="006F280B">
      <w:pPr>
        <w:bidi w:val="0"/>
        <w:jc w:val="both"/>
        <w:rPr>
          <w:rFonts w:ascii="Times New Roman" w:hAnsi="Times New Roman"/>
          <w:b/>
          <w:sz w:val="28"/>
          <w:szCs w:val="28"/>
        </w:rPr>
      </w:pPr>
    </w:p>
    <w:p w:rsidR="00D650D8" w:rsidP="006F280B">
      <w:pPr>
        <w:bidi w:val="0"/>
        <w:jc w:val="both"/>
        <w:rPr>
          <w:rFonts w:ascii="Times New Roman" w:hAnsi="Times New Roman"/>
          <w:b/>
          <w:sz w:val="28"/>
          <w:szCs w:val="28"/>
        </w:rPr>
      </w:pPr>
    </w:p>
    <w:p w:rsidR="00D650D8" w:rsidP="006F280B">
      <w:pPr>
        <w:bidi w:val="0"/>
        <w:jc w:val="both"/>
        <w:rPr>
          <w:rFonts w:ascii="Times New Roman" w:hAnsi="Times New Roman"/>
          <w:b/>
          <w:sz w:val="28"/>
          <w:szCs w:val="28"/>
        </w:rPr>
      </w:pPr>
    </w:p>
    <w:p w:rsidR="00B56F4C" w:rsidP="00B56F4C">
      <w:pPr>
        <w:bidi w:val="0"/>
        <w:jc w:val="center"/>
        <w:rPr>
          <w:rFonts w:ascii="Times New Roman" w:hAnsi="Times New Roman"/>
        </w:rPr>
      </w:pPr>
      <w:bookmarkStart w:id="0" w:name="OLE_LINK4"/>
      <w:bookmarkStart w:id="1" w:name="OLE_LINK5"/>
      <w:r w:rsidRPr="004161A1">
        <w:rPr>
          <w:rFonts w:ascii="Times New Roman" w:hAnsi="Times New Roman"/>
          <w:b/>
          <w:bCs/>
          <w:sz w:val="28"/>
          <w:szCs w:val="28"/>
        </w:rPr>
        <w:t>Vplyvy na rozpočet verejnej správy,</w:t>
      </w:r>
    </w:p>
    <w:p w:rsidR="00B56F4C" w:rsidP="00B56F4C">
      <w:pPr>
        <w:bidi w:val="0"/>
        <w:jc w:val="center"/>
        <w:rPr>
          <w:rFonts w:ascii="Times New Roman" w:hAnsi="Times New Roman"/>
        </w:rPr>
      </w:pPr>
      <w:r w:rsidRPr="004161A1">
        <w:rPr>
          <w:rFonts w:ascii="Times New Roman" w:hAnsi="Times New Roman"/>
          <w:b/>
          <w:bCs/>
          <w:sz w:val="28"/>
          <w:szCs w:val="28"/>
        </w:rPr>
        <w:t>na zamestnanosť vo verejnej správe a financovanie návrhu</w:t>
      </w:r>
    </w:p>
    <w:p w:rsidR="00B56F4C" w:rsidP="00B56F4C">
      <w:pPr>
        <w:bidi w:val="0"/>
        <w:rPr>
          <w:rFonts w:ascii="Times New Roman" w:hAnsi="Times New Roman"/>
        </w:rPr>
      </w:pPr>
      <w:bookmarkEnd w:id="0"/>
      <w:bookmarkEnd w:id="1"/>
      <w:r>
        <w:rPr>
          <w:rFonts w:ascii="Times New Roman" w:hAnsi="Times New Roman"/>
        </w:rPr>
        <w:t> </w:t>
      </w:r>
    </w:p>
    <w:p w:rsidR="00B56F4C" w:rsidP="00B56F4C">
      <w:pPr>
        <w:bidi w:val="0"/>
        <w:rPr>
          <w:rFonts w:ascii="Times New Roman" w:hAnsi="Times New Roman"/>
        </w:rPr>
      </w:pPr>
      <w:r w:rsidRPr="004161A1">
        <w:rPr>
          <w:rFonts w:ascii="Times New Roman" w:hAnsi="Times New Roman"/>
          <w:b/>
          <w:bCs/>
        </w:rPr>
        <w:t>2.1. Zhrnutie vplyvov na rozpočet verejnej správy v návrhu</w:t>
      </w:r>
    </w:p>
    <w:p w:rsidR="00B56F4C" w:rsidP="00B56F4C">
      <w:pPr>
        <w:bidi w:val="0"/>
        <w:jc w:val="right"/>
        <w:rPr>
          <w:rFonts w:ascii="Times New Roman" w:hAnsi="Times New Roman"/>
        </w:rPr>
      </w:pPr>
      <w:r w:rsidRPr="004161A1">
        <w:rPr>
          <w:rFonts w:ascii="Times New Roman" w:hAnsi="Times New Roman"/>
          <w:sz w:val="20"/>
          <w:szCs w:val="20"/>
        </w:rPr>
        <w:t xml:space="preserve">Tabuľka č. 1 </w:t>
      </w:r>
    </w:p>
    <w:tbl>
      <w:tblPr>
        <w:tblStyle w:val="TableNormal"/>
        <w:tblW w:w="8764" w:type="dxa"/>
        <w:tblLayout w:type="fixed"/>
        <w:tblCellMar>
          <w:left w:w="0" w:type="dxa"/>
          <w:right w:w="0" w:type="dxa"/>
        </w:tblCellMar>
      </w:tblPr>
      <w:tblGrid>
        <w:gridCol w:w="2590"/>
        <w:gridCol w:w="314"/>
        <w:gridCol w:w="2046"/>
        <w:gridCol w:w="2028"/>
        <w:gridCol w:w="1786"/>
      </w:tblGrid>
      <w:tr>
        <w:tblPrEx>
          <w:tblW w:w="8764" w:type="dxa"/>
          <w:tblLayout w:type="fixed"/>
          <w:tblCellMar>
            <w:left w:w="0" w:type="dxa"/>
            <w:right w:w="0" w:type="dxa"/>
          </w:tblCellMar>
        </w:tblPrEx>
        <w:trPr>
          <w:trHeight w:val="194"/>
        </w:trPr>
        <w:tc>
          <w:tcPr>
            <w:tcW w:w="259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194" w:lineRule="atLeast"/>
              <w:jc w:val="center"/>
              <w:rPr>
                <w:rFonts w:ascii="Times New Roman" w:hAnsi="Times New Roman"/>
              </w:rPr>
            </w:pPr>
            <w:bookmarkStart w:id="2" w:name="OLE_LINK1"/>
            <w:bookmarkEnd w:id="2"/>
            <w:r w:rsidRPr="004161A1">
              <w:rPr>
                <w:rFonts w:ascii="Times New Roman" w:hAnsi="Times New Roman"/>
                <w:b/>
                <w:bCs/>
                <w:color w:val="FFFFFF"/>
              </w:rPr>
              <w:t xml:space="preserve">Vplyvy na </w:t>
            </w:r>
            <w:r w:rsidRPr="004161A1">
              <w:rPr>
                <w:rFonts w:ascii="Times New Roman" w:hAnsi="Times New Roman"/>
                <w:b/>
                <w:bCs/>
              </w:rPr>
              <w:t>rozpočet verejnej správy</w:t>
            </w:r>
          </w:p>
        </w:tc>
        <w:tc>
          <w:tcPr>
            <w:tcW w:w="6174"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194"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8764" w:type="dxa"/>
          <w:tblLayout w:type="fixed"/>
          <w:tblCellMar>
            <w:left w:w="0" w:type="dxa"/>
            <w:right w:w="0" w:type="dxa"/>
          </w:tblCellMar>
        </w:tblPrEx>
        <w:trPr>
          <w:trHeight w:val="70"/>
        </w:trPr>
        <w:tc>
          <w:tcPr>
            <w:tcW w:w="2590" w:type="dxa"/>
            <w:vMerge/>
            <w:tcBorders>
              <w:top w:val="single" w:sz="4" w:space="0" w:color="000000"/>
              <w:left w:val="single" w:sz="4" w:space="0" w:color="000000"/>
              <w:bottom w:val="single" w:sz="4" w:space="0" w:color="000000"/>
              <w:right w:val="single" w:sz="4" w:space="0" w:color="000000"/>
            </w:tcBorders>
            <w:textDirection w:val="lrTb"/>
            <w:vAlign w:val="center"/>
          </w:tcPr>
          <w:p w:rsidR="00B56F4C" w:rsidRPr="004161A1" w:rsidP="005A1D5C">
            <w:pPr>
              <w:bidi w:val="0"/>
              <w:spacing w:after="0" w:line="240" w:lineRule="auto"/>
              <w:rPr>
                <w:rFonts w:ascii="Times New Roman" w:hAnsi="Times New Roman"/>
              </w:rPr>
            </w:pPr>
          </w:p>
        </w:tc>
        <w:tc>
          <w:tcPr>
            <w:tcW w:w="31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70" w:lineRule="atLeast"/>
              <w:jc w:val="center"/>
              <w:rPr>
                <w:rFonts w:ascii="Times New Roman" w:hAnsi="Times New Roman"/>
              </w:rPr>
            </w:pPr>
            <w:r w:rsidRPr="004161A1">
              <w:rPr>
                <w:rFonts w:ascii="Times New Roman" w:hAnsi="Times New Roman"/>
                <w:b/>
                <w:bCs/>
                <w:color w:val="FFFFFF"/>
              </w:rPr>
              <w:t>r</w:t>
            </w:r>
          </w:p>
        </w:tc>
        <w:tc>
          <w:tcPr>
            <w:tcW w:w="204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70" w:lineRule="atLeast"/>
              <w:jc w:val="center"/>
              <w:rPr>
                <w:rFonts w:ascii="Times New Roman" w:hAnsi="Times New Roman"/>
              </w:rPr>
            </w:pPr>
            <w:r w:rsidR="00C97BC1">
              <w:rPr>
                <w:rFonts w:ascii="Times New Roman" w:hAnsi="Times New Roman"/>
                <w:b/>
                <w:bCs/>
                <w:color w:val="FFFFFF"/>
              </w:rPr>
              <w:t>2012</w:t>
            </w:r>
          </w:p>
        </w:tc>
        <w:tc>
          <w:tcPr>
            <w:tcW w:w="202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70" w:lineRule="atLeast"/>
              <w:jc w:val="center"/>
              <w:rPr>
                <w:rFonts w:ascii="Times New Roman" w:hAnsi="Times New Roman"/>
              </w:rPr>
            </w:pPr>
            <w:r w:rsidR="00C97BC1">
              <w:rPr>
                <w:rFonts w:ascii="Times New Roman" w:hAnsi="Times New Roman"/>
                <w:b/>
                <w:bCs/>
                <w:color w:val="FFFFFF"/>
              </w:rPr>
              <w:t>2013</w:t>
            </w:r>
          </w:p>
        </w:tc>
        <w:tc>
          <w:tcPr>
            <w:tcW w:w="178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70" w:lineRule="atLeast"/>
              <w:jc w:val="center"/>
              <w:rPr>
                <w:rFonts w:ascii="Times New Roman" w:hAnsi="Times New Roman"/>
              </w:rPr>
            </w:pPr>
            <w:r w:rsidR="00C97BC1">
              <w:rPr>
                <w:rFonts w:ascii="Times New Roman" w:hAnsi="Times New Roman"/>
                <w:b/>
                <w:bCs/>
                <w:color w:val="FFFFFF"/>
              </w:rPr>
              <w:t>2014</w:t>
            </w:r>
          </w:p>
        </w:tc>
      </w:tr>
      <w:tr>
        <w:tblPrEx>
          <w:tblW w:w="8764" w:type="dxa"/>
          <w:tblLayout w:type="fixed"/>
          <w:tblCellMar>
            <w:left w:w="0" w:type="dxa"/>
            <w:right w:w="0" w:type="dxa"/>
          </w:tblCellMar>
        </w:tblPrEx>
        <w:trPr>
          <w:trHeight w:val="70"/>
        </w:trPr>
        <w:tc>
          <w:tcPr>
            <w:tcW w:w="25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06EB0" w:rsidRPr="004161A1" w:rsidP="005A1D5C">
            <w:pPr>
              <w:bidi w:val="0"/>
              <w:spacing w:after="0" w:line="70" w:lineRule="atLeast"/>
              <w:rPr>
                <w:rFonts w:ascii="Times New Roman" w:hAnsi="Times New Roman"/>
              </w:rPr>
            </w:pPr>
            <w:r w:rsidRPr="004161A1">
              <w:rPr>
                <w:rFonts w:ascii="Times New Roman" w:hAnsi="Times New Roman"/>
                <w:b/>
                <w:bCs/>
              </w:rPr>
              <w:t>Príjmy verejnej správy celkom</w:t>
            </w:r>
          </w:p>
        </w:tc>
        <w:tc>
          <w:tcPr>
            <w:tcW w:w="3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06EB0" w:rsidRPr="004161A1" w:rsidP="005A1D5C">
            <w:pPr>
              <w:bidi w:val="0"/>
              <w:spacing w:after="0" w:line="70" w:lineRule="atLeast"/>
              <w:jc w:val="right"/>
              <w:rPr>
                <w:rFonts w:ascii="Times New Roman" w:hAnsi="Times New Roman"/>
              </w:rPr>
            </w:pPr>
            <w:r w:rsidRPr="004161A1">
              <w:rPr>
                <w:rFonts w:ascii="Times New Roman" w:hAnsi="Times New Roman"/>
                <w:b/>
                <w:bCs/>
              </w:rPr>
              <w:t>0</w:t>
            </w:r>
          </w:p>
        </w:tc>
        <w:tc>
          <w:tcPr>
            <w:tcW w:w="204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41 859 120</w:t>
            </w:r>
          </w:p>
        </w:tc>
        <w:tc>
          <w:tcPr>
            <w:tcW w:w="202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45 965 220</w:t>
            </w:r>
          </w:p>
        </w:tc>
        <w:tc>
          <w:tcPr>
            <w:tcW w:w="178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50 505 661</w:t>
            </w:r>
          </w:p>
        </w:tc>
      </w:tr>
      <w:tr>
        <w:tblPrEx>
          <w:tblW w:w="8764" w:type="dxa"/>
          <w:tblLayout w:type="fixed"/>
          <w:tblCellMar>
            <w:left w:w="0" w:type="dxa"/>
            <w:right w:w="0" w:type="dxa"/>
          </w:tblCellMar>
        </w:tblPrEx>
        <w:trPr>
          <w:trHeight w:val="132"/>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132" w:lineRule="atLeast"/>
              <w:rPr>
                <w:rFonts w:ascii="Times New Roman" w:hAnsi="Times New Roman"/>
              </w:rPr>
            </w:pPr>
            <w:r>
              <w:rPr>
                <w:rFonts w:ascii="Times New Roman" w:hAnsi="Times New Roman"/>
              </w:rPr>
              <w:t>v tom: za každý subjekt verejnej správy zvlášť</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132" w:lineRule="atLeast"/>
              <w:jc w:val="right"/>
              <w:rPr>
                <w:rFonts w:ascii="Times New Roman" w:hAnsi="Times New Roman"/>
              </w:rPr>
            </w:pPr>
            <w:r>
              <w:rPr>
                <w:rFonts w:ascii="Times New Roman" w:hAnsi="Times New Roman"/>
              </w:rPr>
              <w:t>0</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132" w:lineRule="atLeast"/>
              <w:jc w:val="right"/>
              <w:rPr>
                <w:rFonts w:ascii="Times New Roman" w:hAnsi="Times New Roman"/>
              </w:rPr>
            </w:pPr>
            <w:r>
              <w:rPr>
                <w:rFonts w:ascii="Times New Roman" w:hAnsi="Times New Roman"/>
              </w:rPr>
              <w:t>0</w:t>
            </w: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132" w:lineRule="atLeast"/>
              <w:jc w:val="right"/>
              <w:rPr>
                <w:rFonts w:ascii="Times New Roman" w:hAnsi="Times New Roman"/>
              </w:rPr>
            </w:pPr>
            <w:r>
              <w:rPr>
                <w:rFonts w:ascii="Times New Roman" w:hAnsi="Times New Roman"/>
              </w:rPr>
              <w:t>0</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132" w:lineRule="atLeast"/>
              <w:jc w:val="right"/>
              <w:rPr>
                <w:rFonts w:ascii="Times New Roman" w:hAnsi="Times New Roman"/>
              </w:rPr>
            </w:pPr>
            <w:r>
              <w:rPr>
                <w:rFonts w:ascii="Times New Roman" w:hAnsi="Times New Roman"/>
              </w:rPr>
              <w:t>0</w:t>
            </w:r>
          </w:p>
        </w:tc>
      </w:tr>
      <w:tr>
        <w:tblPrEx>
          <w:tblW w:w="8764" w:type="dxa"/>
          <w:tblLayout w:type="fixed"/>
          <w:tblCellMar>
            <w:left w:w="0" w:type="dxa"/>
            <w:right w:w="0" w:type="dxa"/>
          </w:tblCellMar>
        </w:tblPrEx>
        <w:trPr>
          <w:trHeight w:val="70"/>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70" w:lineRule="atLeast"/>
              <w:rPr>
                <w:rFonts w:ascii="Times New Roman" w:hAnsi="Times New Roman"/>
              </w:rPr>
            </w:pPr>
            <w:r w:rsidRPr="004161A1">
              <w:rPr>
                <w:rFonts w:ascii="Times New Roman" w:hAnsi="Times New Roman"/>
                <w:b/>
                <w:bCs/>
                <w:i/>
                <w:iCs/>
              </w:rPr>
              <w:t xml:space="preserve">z toho: </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70" w:lineRule="atLeast"/>
              <w:jc w:val="right"/>
              <w:rPr>
                <w:rFonts w:ascii="Times New Roman" w:hAnsi="Times New Roman"/>
              </w:rPr>
            </w:pPr>
            <w:r w:rsidRPr="004161A1">
              <w:rPr>
                <w:rFonts w:ascii="Times New Roman" w:hAnsi="Times New Roman"/>
                <w:b/>
                <w:bCs/>
                <w:i/>
                <w:iCs/>
              </w:rPr>
              <w:t> </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70" w:lineRule="atLeast"/>
              <w:jc w:val="right"/>
              <w:rPr>
                <w:rFonts w:ascii="Times New Roman" w:hAnsi="Times New Roman"/>
              </w:rPr>
            </w:pP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70" w:lineRule="atLeast"/>
              <w:jc w:val="right"/>
              <w:rPr>
                <w:rFonts w:ascii="Times New Roman" w:hAnsi="Times New Roman"/>
              </w:rPr>
            </w:pP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70" w:lineRule="atLeast"/>
              <w:jc w:val="right"/>
              <w:rPr>
                <w:rFonts w:ascii="Times New Roman" w:hAnsi="Times New Roman"/>
              </w:rPr>
            </w:pPr>
          </w:p>
        </w:tc>
      </w:tr>
      <w:tr>
        <w:tblPrEx>
          <w:tblW w:w="8764" w:type="dxa"/>
          <w:tblLayout w:type="fixed"/>
          <w:tblCellMar>
            <w:left w:w="0" w:type="dxa"/>
            <w:right w:w="0" w:type="dxa"/>
          </w:tblCellMar>
        </w:tblPrEx>
        <w:trPr>
          <w:trHeight w:val="125"/>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125" w:lineRule="atLeast"/>
              <w:rPr>
                <w:rFonts w:ascii="Times New Roman" w:hAnsi="Times New Roman"/>
              </w:rPr>
            </w:pPr>
            <w:r w:rsidRPr="004161A1">
              <w:rPr>
                <w:rFonts w:ascii="Times New Roman" w:hAnsi="Times New Roman"/>
                <w:b/>
                <w:bCs/>
                <w:i/>
                <w:iCs/>
              </w:rPr>
              <w:t>- vplyv na ŠR</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6C121A" w:rsidP="005A1D5C">
            <w:pPr>
              <w:bidi w:val="0"/>
              <w:spacing w:after="0" w:line="125" w:lineRule="atLeast"/>
              <w:jc w:val="right"/>
              <w:rPr>
                <w:rFonts w:ascii="Times New Roman" w:hAnsi="Times New Roman"/>
              </w:rPr>
            </w:pPr>
            <w:r w:rsidRPr="006C121A">
              <w:rPr>
                <w:rFonts w:ascii="Times New Roman" w:hAnsi="Times New Roman"/>
                <w:b/>
                <w:bCs/>
                <w:iCs/>
              </w:rPr>
              <w:t>0</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6C121A" w:rsidP="005A1D5C">
            <w:pPr>
              <w:bidi w:val="0"/>
              <w:spacing w:after="0" w:line="125" w:lineRule="atLeast"/>
              <w:jc w:val="right"/>
              <w:rPr>
                <w:rFonts w:ascii="Times New Roman" w:hAnsi="Times New Roman"/>
                <w:b/>
                <w:bCs/>
                <w:iCs/>
              </w:rPr>
            </w:pPr>
            <w:r>
              <w:rPr>
                <w:rFonts w:ascii="Times New Roman" w:hAnsi="Times New Roman"/>
                <w:b/>
                <w:bCs/>
                <w:iCs/>
              </w:rPr>
              <w:t>0</w:t>
            </w: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6C121A" w:rsidP="005A1D5C">
            <w:pPr>
              <w:bidi w:val="0"/>
              <w:spacing w:after="0" w:line="125" w:lineRule="atLeast"/>
              <w:jc w:val="right"/>
              <w:rPr>
                <w:rFonts w:ascii="Times New Roman" w:hAnsi="Times New Roman"/>
                <w:b/>
                <w:bCs/>
                <w:iCs/>
              </w:rPr>
            </w:pPr>
            <w:r>
              <w:rPr>
                <w:rFonts w:ascii="Times New Roman" w:hAnsi="Times New Roman"/>
                <w:b/>
                <w:bCs/>
                <w:iCs/>
              </w:rPr>
              <w:t>0</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6C121A" w:rsidP="005A1D5C">
            <w:pPr>
              <w:bidi w:val="0"/>
              <w:spacing w:after="0" w:line="125" w:lineRule="atLeast"/>
              <w:jc w:val="right"/>
              <w:rPr>
                <w:rFonts w:ascii="Times New Roman" w:hAnsi="Times New Roman"/>
                <w:b/>
                <w:bCs/>
                <w:iCs/>
              </w:rPr>
            </w:pPr>
            <w:r>
              <w:rPr>
                <w:rFonts w:ascii="Times New Roman" w:hAnsi="Times New Roman"/>
                <w:b/>
                <w:bCs/>
                <w:iCs/>
              </w:rPr>
              <w:t>0</w:t>
            </w:r>
          </w:p>
        </w:tc>
      </w:tr>
      <w:tr>
        <w:tblPrEx>
          <w:tblW w:w="8764" w:type="dxa"/>
          <w:tblLayout w:type="fixed"/>
          <w:tblCellMar>
            <w:left w:w="0" w:type="dxa"/>
            <w:right w:w="0" w:type="dxa"/>
          </w:tblCellMar>
        </w:tblPrEx>
        <w:trPr>
          <w:trHeight w:val="125"/>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bidi w:val="0"/>
              <w:spacing w:after="0" w:line="125" w:lineRule="atLeast"/>
              <w:rPr>
                <w:rFonts w:ascii="Times New Roman" w:hAnsi="Times New Roman"/>
              </w:rPr>
            </w:pPr>
            <w:r w:rsidRPr="004161A1">
              <w:rPr>
                <w:rFonts w:ascii="Times New Roman" w:hAnsi="Times New Roman"/>
                <w:b/>
                <w:bCs/>
                <w:i/>
                <w:iCs/>
              </w:rPr>
              <w:t>- vplyv na územnú samosprávu</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5A1D5C">
            <w:pPr>
              <w:bidi w:val="0"/>
              <w:spacing w:after="0" w:line="125" w:lineRule="atLeast"/>
              <w:jc w:val="right"/>
              <w:rPr>
                <w:rFonts w:ascii="Times New Roman" w:hAnsi="Times New Roman"/>
              </w:rPr>
            </w:pPr>
            <w:r>
              <w:rPr>
                <w:rFonts w:ascii="Times New Roman" w:hAnsi="Times New Roman"/>
              </w:rPr>
              <w:t>O</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FC7F94">
            <w:pPr>
              <w:bidi w:val="0"/>
              <w:spacing w:after="0" w:line="125" w:lineRule="atLeast"/>
              <w:jc w:val="right"/>
              <w:rPr>
                <w:rFonts w:ascii="Times New Roman" w:hAnsi="Times New Roman"/>
                <w:b/>
                <w:bCs/>
                <w:iCs/>
              </w:rPr>
            </w:pPr>
            <w:r w:rsidR="00156B00">
              <w:rPr>
                <w:rFonts w:ascii="Times New Roman" w:hAnsi="Times New Roman"/>
                <w:b/>
                <w:bCs/>
                <w:iCs/>
              </w:rPr>
              <w:t>41 859 120</w:t>
            </w: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FC7F94">
            <w:pPr>
              <w:bidi w:val="0"/>
              <w:spacing w:after="0" w:line="125" w:lineRule="atLeast"/>
              <w:jc w:val="right"/>
              <w:rPr>
                <w:rFonts w:ascii="Times New Roman" w:hAnsi="Times New Roman"/>
                <w:b/>
                <w:bCs/>
                <w:iCs/>
              </w:rPr>
            </w:pPr>
            <w:r w:rsidR="00156B00">
              <w:rPr>
                <w:rFonts w:ascii="Times New Roman" w:hAnsi="Times New Roman"/>
                <w:b/>
                <w:bCs/>
                <w:iCs/>
              </w:rPr>
              <w:t>45 965 220</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FC7F94">
            <w:pPr>
              <w:bidi w:val="0"/>
              <w:spacing w:after="0" w:line="125" w:lineRule="atLeast"/>
              <w:jc w:val="right"/>
              <w:rPr>
                <w:rFonts w:ascii="Times New Roman" w:hAnsi="Times New Roman"/>
                <w:b/>
                <w:bCs/>
                <w:iCs/>
              </w:rPr>
            </w:pPr>
            <w:r w:rsidR="00156B00">
              <w:rPr>
                <w:rFonts w:ascii="Times New Roman" w:hAnsi="Times New Roman"/>
                <w:b/>
                <w:bCs/>
                <w:iCs/>
              </w:rPr>
              <w:t>50 505 661</w:t>
            </w:r>
          </w:p>
        </w:tc>
      </w:tr>
      <w:tr>
        <w:tblPrEx>
          <w:tblW w:w="8764" w:type="dxa"/>
          <w:tblLayout w:type="fixed"/>
          <w:tblCellMar>
            <w:left w:w="0" w:type="dxa"/>
            <w:right w:w="0" w:type="dxa"/>
          </w:tblCellMar>
        </w:tblPrEx>
        <w:trPr>
          <w:trHeight w:val="125"/>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00271" w:rsidP="00C95E5D">
            <w:pPr>
              <w:bidi w:val="0"/>
              <w:spacing w:after="0" w:line="125" w:lineRule="atLeast"/>
              <w:rPr>
                <w:rFonts w:ascii="Times New Roman" w:hAnsi="Times New Roman"/>
                <w:b/>
                <w:bCs/>
                <w:i/>
                <w:iCs/>
              </w:rPr>
            </w:pPr>
            <w:r>
              <w:rPr>
                <w:rFonts w:ascii="Times New Roman" w:hAnsi="Times New Roman"/>
                <w:b/>
                <w:bCs/>
                <w:i/>
                <w:iCs/>
              </w:rPr>
              <w:t>z toho</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P="005A1D5C">
            <w:pPr>
              <w:bidi w:val="0"/>
              <w:spacing w:after="0" w:line="125" w:lineRule="atLeast"/>
              <w:jc w:val="right"/>
              <w:rPr>
                <w:rFonts w:ascii="Times New Roman" w:hAnsi="Times New Roman"/>
                <w:b/>
                <w:bCs/>
                <w:iCs/>
              </w:rPr>
            </w:pP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P="005A1D5C">
            <w:pPr>
              <w:bidi w:val="0"/>
              <w:spacing w:after="0" w:line="125" w:lineRule="atLeast"/>
              <w:jc w:val="right"/>
              <w:rPr>
                <w:rFonts w:ascii="Times New Roman" w:hAnsi="Times New Roman"/>
                <w:b/>
                <w:bCs/>
                <w:iCs/>
              </w:rPr>
            </w:pP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P="005A1D5C">
            <w:pPr>
              <w:bidi w:val="0"/>
              <w:spacing w:after="0" w:line="125" w:lineRule="atLeast"/>
              <w:jc w:val="right"/>
              <w:rPr>
                <w:rFonts w:ascii="Times New Roman" w:hAnsi="Times New Roman"/>
                <w:b/>
                <w:bCs/>
                <w:iCs/>
              </w:rPr>
            </w:pP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P="005A1D5C">
            <w:pPr>
              <w:bidi w:val="0"/>
              <w:spacing w:after="0" w:line="125" w:lineRule="atLeast"/>
              <w:jc w:val="right"/>
              <w:rPr>
                <w:rFonts w:ascii="Times New Roman" w:hAnsi="Times New Roman"/>
                <w:b/>
                <w:bCs/>
                <w:iCs/>
              </w:rPr>
            </w:pPr>
          </w:p>
        </w:tc>
      </w:tr>
      <w:tr>
        <w:tblPrEx>
          <w:tblW w:w="8764" w:type="dxa"/>
          <w:tblLayout w:type="fixed"/>
          <w:tblCellMar>
            <w:left w:w="0" w:type="dxa"/>
            <w:right w:w="0" w:type="dxa"/>
          </w:tblCellMar>
        </w:tblPrEx>
        <w:trPr>
          <w:trHeight w:val="125"/>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00271" w:rsidP="005A1D5C">
            <w:pPr>
              <w:numPr>
                <w:numId w:val="2"/>
              </w:numPr>
              <w:bidi w:val="0"/>
              <w:spacing w:after="0" w:line="125" w:lineRule="atLeast"/>
              <w:rPr>
                <w:rFonts w:ascii="Times New Roman" w:hAnsi="Times New Roman"/>
                <w:b/>
                <w:bCs/>
                <w:i/>
                <w:iCs/>
              </w:rPr>
            </w:pPr>
            <w:r w:rsidRPr="00600271">
              <w:rPr>
                <w:rFonts w:ascii="Times New Roman" w:hAnsi="Times New Roman"/>
                <w:b/>
                <w:bCs/>
                <w:i/>
                <w:iCs/>
              </w:rPr>
              <w:t>vplyv na rozpočty obcí</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5A1D5C">
            <w:pPr>
              <w:bidi w:val="0"/>
              <w:spacing w:after="0" w:line="125" w:lineRule="atLeast"/>
              <w:jc w:val="right"/>
              <w:rPr>
                <w:rFonts w:ascii="Times New Roman" w:hAnsi="Times New Roman"/>
                <w:b/>
                <w:bCs/>
                <w:iCs/>
              </w:rPr>
            </w:pPr>
            <w:r>
              <w:rPr>
                <w:rFonts w:ascii="Times New Roman" w:hAnsi="Times New Roman"/>
                <w:b/>
                <w:bCs/>
                <w:iCs/>
              </w:rPr>
              <w:t>0</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5A1D5C">
            <w:pPr>
              <w:bidi w:val="0"/>
              <w:spacing w:after="0" w:line="125" w:lineRule="atLeast"/>
              <w:jc w:val="right"/>
              <w:rPr>
                <w:rFonts w:ascii="Times New Roman" w:hAnsi="Times New Roman"/>
                <w:b/>
                <w:bCs/>
                <w:iCs/>
              </w:rPr>
            </w:pPr>
            <w:r w:rsidR="00156B00">
              <w:rPr>
                <w:rFonts w:ascii="Times New Roman" w:hAnsi="Times New Roman"/>
                <w:b/>
                <w:bCs/>
                <w:iCs/>
              </w:rPr>
              <w:t>41 859 120</w:t>
            </w: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5A1D5C">
            <w:pPr>
              <w:bidi w:val="0"/>
              <w:spacing w:after="0" w:line="125" w:lineRule="atLeast"/>
              <w:jc w:val="right"/>
              <w:rPr>
                <w:rFonts w:ascii="Times New Roman" w:hAnsi="Times New Roman"/>
                <w:b/>
                <w:bCs/>
                <w:iCs/>
              </w:rPr>
            </w:pPr>
            <w:r w:rsidR="00156B00">
              <w:rPr>
                <w:rFonts w:ascii="Times New Roman" w:hAnsi="Times New Roman"/>
                <w:b/>
                <w:bCs/>
                <w:iCs/>
              </w:rPr>
              <w:t>45 965 220</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5A1D5C">
            <w:pPr>
              <w:bidi w:val="0"/>
              <w:spacing w:after="0" w:line="125" w:lineRule="atLeast"/>
              <w:jc w:val="right"/>
              <w:rPr>
                <w:rFonts w:ascii="Times New Roman" w:hAnsi="Times New Roman"/>
                <w:b/>
                <w:bCs/>
                <w:iCs/>
              </w:rPr>
            </w:pPr>
            <w:r w:rsidR="00156B00">
              <w:rPr>
                <w:rFonts w:ascii="Times New Roman" w:hAnsi="Times New Roman"/>
                <w:b/>
                <w:bCs/>
                <w:iCs/>
              </w:rPr>
              <w:t>50 505 661</w:t>
            </w:r>
          </w:p>
        </w:tc>
      </w:tr>
      <w:tr>
        <w:tblPrEx>
          <w:tblW w:w="8764" w:type="dxa"/>
          <w:tblLayout w:type="fixed"/>
          <w:tblCellMar>
            <w:left w:w="0" w:type="dxa"/>
            <w:right w:w="0" w:type="dxa"/>
          </w:tblCellMar>
        </w:tblPrEx>
        <w:trPr>
          <w:trHeight w:val="125"/>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numPr>
                <w:numId w:val="2"/>
              </w:numPr>
              <w:bidi w:val="0"/>
              <w:spacing w:after="0" w:line="125" w:lineRule="atLeast"/>
              <w:rPr>
                <w:rFonts w:ascii="Times New Roman" w:hAnsi="Times New Roman"/>
                <w:b/>
                <w:bCs/>
                <w:i/>
                <w:iCs/>
              </w:rPr>
            </w:pPr>
            <w:r w:rsidRPr="00600271">
              <w:rPr>
                <w:rFonts w:ascii="Times New Roman" w:hAnsi="Times New Roman"/>
                <w:b/>
                <w:bCs/>
                <w:i/>
                <w:iCs/>
              </w:rPr>
              <w:t>vplyv na rozpočty</w:t>
            </w:r>
            <w:r>
              <w:rPr>
                <w:rFonts w:ascii="Times New Roman" w:hAnsi="Times New Roman"/>
                <w:b/>
                <w:bCs/>
                <w:i/>
                <w:iCs/>
              </w:rPr>
              <w:t>VUC</w:t>
            </w:r>
            <w:r w:rsidRPr="00600271">
              <w:rPr>
                <w:rFonts w:ascii="Times New Roman" w:hAnsi="Times New Roman"/>
                <w:b/>
                <w:bCs/>
                <w:i/>
                <w:iCs/>
              </w:rPr>
              <w:t xml:space="preserve"> </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5A1D5C">
            <w:pPr>
              <w:bidi w:val="0"/>
              <w:spacing w:after="0" w:line="125" w:lineRule="atLeast"/>
              <w:jc w:val="right"/>
              <w:rPr>
                <w:rFonts w:ascii="Times New Roman" w:hAnsi="Times New Roman"/>
                <w:b/>
                <w:bCs/>
                <w:iCs/>
              </w:rPr>
            </w:pPr>
            <w:r>
              <w:rPr>
                <w:rFonts w:ascii="Times New Roman" w:hAnsi="Times New Roman"/>
                <w:b/>
                <w:bCs/>
                <w:iCs/>
              </w:rPr>
              <w:t>0</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5A1D5C">
            <w:pPr>
              <w:bidi w:val="0"/>
              <w:spacing w:after="0" w:line="125" w:lineRule="atLeast"/>
              <w:jc w:val="right"/>
              <w:rPr>
                <w:rFonts w:ascii="Times New Roman" w:hAnsi="Times New Roman"/>
                <w:b/>
                <w:bCs/>
                <w:iCs/>
              </w:rPr>
            </w:pPr>
            <w:r w:rsidR="00156B00">
              <w:rPr>
                <w:rFonts w:ascii="Times New Roman" w:hAnsi="Times New Roman"/>
                <w:b/>
                <w:bCs/>
                <w:iCs/>
              </w:rPr>
              <w:t>0</w:t>
            </w: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5A1D5C">
            <w:pPr>
              <w:bidi w:val="0"/>
              <w:spacing w:after="0" w:line="125" w:lineRule="atLeast"/>
              <w:jc w:val="right"/>
              <w:rPr>
                <w:rFonts w:ascii="Times New Roman" w:hAnsi="Times New Roman"/>
                <w:b/>
                <w:bCs/>
                <w:iCs/>
              </w:rPr>
            </w:pPr>
            <w:r w:rsidR="00156B00">
              <w:rPr>
                <w:rFonts w:ascii="Times New Roman" w:hAnsi="Times New Roman"/>
                <w:b/>
                <w:bCs/>
                <w:iCs/>
              </w:rPr>
              <w:t>0</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6C121A" w:rsidP="005A1D5C">
            <w:pPr>
              <w:bidi w:val="0"/>
              <w:spacing w:after="0" w:line="125" w:lineRule="atLeast"/>
              <w:jc w:val="right"/>
              <w:rPr>
                <w:rFonts w:ascii="Times New Roman" w:hAnsi="Times New Roman"/>
                <w:b/>
                <w:bCs/>
                <w:iCs/>
              </w:rPr>
            </w:pPr>
            <w:r w:rsidR="00156B00">
              <w:rPr>
                <w:rFonts w:ascii="Times New Roman" w:hAnsi="Times New Roman"/>
                <w:b/>
                <w:bCs/>
                <w:iCs/>
              </w:rPr>
              <w:t>0</w:t>
            </w:r>
          </w:p>
        </w:tc>
      </w:tr>
      <w:tr>
        <w:tblPrEx>
          <w:tblW w:w="8764" w:type="dxa"/>
          <w:tblLayout w:type="fixed"/>
          <w:tblCellMar>
            <w:left w:w="0" w:type="dxa"/>
            <w:right w:w="0" w:type="dxa"/>
          </w:tblCellMar>
        </w:tblPrEx>
        <w:trPr>
          <w:trHeight w:val="125"/>
        </w:trPr>
        <w:tc>
          <w:tcPr>
            <w:tcW w:w="25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56B00" w:rsidRPr="004161A1" w:rsidP="005A1D5C">
            <w:pPr>
              <w:bidi w:val="0"/>
              <w:spacing w:after="0" w:line="125" w:lineRule="atLeast"/>
              <w:rPr>
                <w:rFonts w:ascii="Times New Roman" w:hAnsi="Times New Roman"/>
              </w:rPr>
            </w:pPr>
            <w:r w:rsidRPr="004161A1">
              <w:rPr>
                <w:rFonts w:ascii="Times New Roman" w:hAnsi="Times New Roman"/>
                <w:b/>
                <w:bCs/>
              </w:rPr>
              <w:t>Výdavky verejnej správy celkom</w:t>
            </w:r>
          </w:p>
        </w:tc>
        <w:tc>
          <w:tcPr>
            <w:tcW w:w="3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56B00" w:rsidRPr="006C121A" w:rsidP="005A1D5C">
            <w:pPr>
              <w:bidi w:val="0"/>
              <w:spacing w:after="0" w:line="125" w:lineRule="atLeast"/>
              <w:jc w:val="right"/>
              <w:rPr>
                <w:rFonts w:ascii="Times New Roman" w:hAnsi="Times New Roman"/>
              </w:rPr>
            </w:pPr>
          </w:p>
        </w:tc>
        <w:tc>
          <w:tcPr>
            <w:tcW w:w="204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41 859 120</w:t>
            </w:r>
          </w:p>
        </w:tc>
        <w:tc>
          <w:tcPr>
            <w:tcW w:w="202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45 965 220</w:t>
            </w:r>
          </w:p>
        </w:tc>
        <w:tc>
          <w:tcPr>
            <w:tcW w:w="178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50 505 661</w:t>
            </w:r>
          </w:p>
        </w:tc>
      </w:tr>
      <w:tr>
        <w:tblPrEx>
          <w:tblW w:w="8764" w:type="dxa"/>
          <w:tblLayout w:type="fixed"/>
          <w:tblCellMar>
            <w:left w:w="0" w:type="dxa"/>
            <w:right w:w="0" w:type="dxa"/>
          </w:tblCellMar>
        </w:tblPrEx>
        <w:trPr>
          <w:trHeight w:val="70"/>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bidi w:val="0"/>
              <w:spacing w:after="0" w:line="70" w:lineRule="atLeast"/>
              <w:rPr>
                <w:rFonts w:ascii="Times New Roman" w:hAnsi="Times New Roman"/>
              </w:rPr>
            </w:pPr>
            <w:r>
              <w:rPr>
                <w:rFonts w:ascii="Times New Roman" w:hAnsi="Times New Roman"/>
              </w:rPr>
              <w:t>v tom: za každý subjekt verejnej správy / program zvlášť</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bidi w:val="0"/>
              <w:spacing w:after="0" w:line="70" w:lineRule="atLeast"/>
              <w:jc w:val="right"/>
              <w:rPr>
                <w:rFonts w:ascii="Times New Roman" w:hAnsi="Times New Roman"/>
              </w:rPr>
            </w:pPr>
            <w:r>
              <w:rPr>
                <w:rFonts w:ascii="Times New Roman" w:hAnsi="Times New Roman"/>
              </w:rPr>
              <w:t>0</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bidi w:val="0"/>
              <w:spacing w:after="0" w:line="70" w:lineRule="atLeast"/>
              <w:jc w:val="right"/>
              <w:rPr>
                <w:rFonts w:ascii="Times New Roman" w:hAnsi="Times New Roman"/>
              </w:rPr>
            </w:pPr>
            <w:r>
              <w:rPr>
                <w:rFonts w:ascii="Times New Roman" w:hAnsi="Times New Roman"/>
              </w:rPr>
              <w:t>0</w:t>
            </w: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bidi w:val="0"/>
              <w:spacing w:after="0" w:line="70" w:lineRule="atLeast"/>
              <w:jc w:val="right"/>
              <w:rPr>
                <w:rFonts w:ascii="Times New Roman" w:hAnsi="Times New Roman"/>
              </w:rPr>
            </w:pPr>
            <w:r>
              <w:rPr>
                <w:rFonts w:ascii="Times New Roman" w:hAnsi="Times New Roman"/>
              </w:rPr>
              <w:t>0</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bidi w:val="0"/>
              <w:spacing w:after="0" w:line="70" w:lineRule="atLeast"/>
              <w:jc w:val="right"/>
              <w:rPr>
                <w:rFonts w:ascii="Times New Roman" w:hAnsi="Times New Roman"/>
              </w:rPr>
            </w:pPr>
            <w:r>
              <w:rPr>
                <w:rFonts w:ascii="Times New Roman" w:hAnsi="Times New Roman"/>
              </w:rPr>
              <w:t>0</w:t>
            </w:r>
          </w:p>
        </w:tc>
      </w:tr>
      <w:tr>
        <w:tblPrEx>
          <w:tblW w:w="8764" w:type="dxa"/>
          <w:tblLayout w:type="fixed"/>
          <w:tblCellMar>
            <w:left w:w="0" w:type="dxa"/>
            <w:right w:w="0" w:type="dxa"/>
          </w:tblCellMar>
        </w:tblPrEx>
        <w:trPr>
          <w:trHeight w:val="70"/>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P="005A1D5C">
            <w:pPr>
              <w:bidi w:val="0"/>
              <w:spacing w:after="0" w:line="70" w:lineRule="atLeast"/>
              <w:rPr>
                <w:rFonts w:ascii="Times New Roman" w:hAnsi="Times New Roman"/>
              </w:rPr>
            </w:pP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P="005A1D5C">
            <w:pPr>
              <w:bidi w:val="0"/>
              <w:spacing w:after="0" w:line="70" w:lineRule="atLeast"/>
              <w:jc w:val="right"/>
              <w:rPr>
                <w:rFonts w:ascii="Times New Roman" w:hAnsi="Times New Roman"/>
              </w:rPr>
            </w:pP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P="005A1D5C">
            <w:pPr>
              <w:bidi w:val="0"/>
              <w:spacing w:after="0" w:line="70" w:lineRule="atLeast"/>
              <w:jc w:val="right"/>
              <w:rPr>
                <w:rFonts w:ascii="Times New Roman" w:hAnsi="Times New Roman"/>
              </w:rPr>
            </w:pP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P="005A1D5C">
            <w:pPr>
              <w:bidi w:val="0"/>
              <w:spacing w:after="0" w:line="70" w:lineRule="atLeast"/>
              <w:jc w:val="right"/>
              <w:rPr>
                <w:rFonts w:ascii="Times New Roman" w:hAnsi="Times New Roman"/>
              </w:rPr>
            </w:pP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P="005A1D5C">
            <w:pPr>
              <w:bidi w:val="0"/>
              <w:spacing w:after="0" w:line="70" w:lineRule="atLeast"/>
              <w:jc w:val="right"/>
              <w:rPr>
                <w:rFonts w:ascii="Times New Roman" w:hAnsi="Times New Roman"/>
              </w:rPr>
            </w:pPr>
          </w:p>
        </w:tc>
      </w:tr>
      <w:tr>
        <w:tblPrEx>
          <w:tblW w:w="8764" w:type="dxa"/>
          <w:tblLayout w:type="fixed"/>
          <w:tblCellMar>
            <w:left w:w="0" w:type="dxa"/>
            <w:right w:w="0" w:type="dxa"/>
          </w:tblCellMar>
        </w:tblPrEx>
        <w:trPr>
          <w:trHeight w:val="70"/>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bidi w:val="0"/>
              <w:spacing w:after="0" w:line="70" w:lineRule="atLeast"/>
              <w:rPr>
                <w:rFonts w:ascii="Times New Roman" w:hAnsi="Times New Roman"/>
              </w:rPr>
            </w:pPr>
            <w:r w:rsidRPr="004161A1">
              <w:rPr>
                <w:rFonts w:ascii="Times New Roman" w:hAnsi="Times New Roman"/>
                <w:b/>
                <w:bCs/>
                <w:i/>
                <w:iCs/>
              </w:rPr>
              <w:t xml:space="preserve">z toho: </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bidi w:val="0"/>
              <w:spacing w:after="0" w:line="70" w:lineRule="atLeast"/>
              <w:jc w:val="right"/>
              <w:rPr>
                <w:rFonts w:ascii="Times New Roman" w:hAnsi="Times New Roman"/>
              </w:rPr>
            </w:pPr>
            <w:r w:rsidRPr="004161A1">
              <w:rPr>
                <w:rFonts w:ascii="Times New Roman" w:hAnsi="Times New Roman"/>
                <w:b/>
                <w:bCs/>
                <w:i/>
                <w:iCs/>
              </w:rPr>
              <w:t> </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bidi w:val="0"/>
              <w:spacing w:after="0" w:line="70" w:lineRule="atLeast"/>
              <w:jc w:val="right"/>
              <w:rPr>
                <w:rFonts w:ascii="Times New Roman" w:hAnsi="Times New Roman"/>
              </w:rPr>
            </w:pP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bidi w:val="0"/>
              <w:spacing w:after="0" w:line="70" w:lineRule="atLeast"/>
              <w:jc w:val="right"/>
              <w:rPr>
                <w:rFonts w:ascii="Times New Roman" w:hAnsi="Times New Roman"/>
              </w:rPr>
            </w:pP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95E5D" w:rsidRPr="004161A1" w:rsidP="005A1D5C">
            <w:pPr>
              <w:bidi w:val="0"/>
              <w:spacing w:after="0" w:line="70" w:lineRule="atLeast"/>
              <w:jc w:val="right"/>
              <w:rPr>
                <w:rFonts w:ascii="Times New Roman" w:hAnsi="Times New Roman"/>
              </w:rPr>
            </w:pPr>
          </w:p>
        </w:tc>
      </w:tr>
      <w:tr>
        <w:tblPrEx>
          <w:tblW w:w="8764" w:type="dxa"/>
          <w:tblLayout w:type="fixed"/>
          <w:tblCellMar>
            <w:left w:w="0" w:type="dxa"/>
            <w:right w:w="0" w:type="dxa"/>
          </w:tblCellMar>
        </w:tblPrEx>
        <w:trPr>
          <w:trHeight w:val="70"/>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4161A1" w:rsidP="005A1D5C">
            <w:pPr>
              <w:bidi w:val="0"/>
              <w:spacing w:after="0" w:line="70" w:lineRule="atLeast"/>
              <w:rPr>
                <w:rFonts w:ascii="Times New Roman" w:hAnsi="Times New Roman"/>
              </w:rPr>
            </w:pPr>
            <w:r w:rsidRPr="004161A1">
              <w:rPr>
                <w:rFonts w:ascii="Times New Roman" w:hAnsi="Times New Roman"/>
                <w:b/>
                <w:bCs/>
                <w:i/>
                <w:iCs/>
              </w:rPr>
              <w:t>- vplyv na ŠR</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5A1D5C">
            <w:pPr>
              <w:bidi w:val="0"/>
              <w:spacing w:after="0" w:line="70" w:lineRule="atLeast"/>
              <w:jc w:val="right"/>
              <w:rPr>
                <w:rFonts w:ascii="Times New Roman" w:hAnsi="Times New Roman"/>
              </w:rPr>
            </w:pPr>
            <w:r w:rsidRPr="006C121A">
              <w:rPr>
                <w:rFonts w:ascii="Times New Roman" w:hAnsi="Times New Roman"/>
                <w:b/>
                <w:bCs/>
                <w:iCs/>
              </w:rPr>
              <w:t>0</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41 859 120</w:t>
            </w: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45 965 220</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50 505 661</w:t>
            </w:r>
          </w:p>
        </w:tc>
      </w:tr>
      <w:tr>
        <w:tblPrEx>
          <w:tblW w:w="8764" w:type="dxa"/>
          <w:tblLayout w:type="fixed"/>
          <w:tblCellMar>
            <w:left w:w="0" w:type="dxa"/>
            <w:right w:w="0" w:type="dxa"/>
          </w:tblCellMar>
        </w:tblPrEx>
        <w:trPr>
          <w:trHeight w:val="125"/>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4161A1" w:rsidP="005A1D5C">
            <w:pPr>
              <w:bidi w:val="0"/>
              <w:spacing w:after="0" w:line="125" w:lineRule="atLeast"/>
              <w:rPr>
                <w:rFonts w:ascii="Times New Roman" w:hAnsi="Times New Roman"/>
              </w:rPr>
            </w:pPr>
            <w:r w:rsidRPr="004161A1">
              <w:rPr>
                <w:rFonts w:ascii="Times New Roman" w:hAnsi="Times New Roman"/>
                <w:b/>
                <w:bCs/>
                <w:i/>
                <w:iCs/>
              </w:rPr>
              <w:t>- vplyv na územnú samosprávu</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5A1D5C">
            <w:pPr>
              <w:bidi w:val="0"/>
              <w:spacing w:after="0" w:line="125" w:lineRule="atLeast"/>
              <w:jc w:val="right"/>
              <w:rPr>
                <w:rFonts w:ascii="Times New Roman" w:hAnsi="Times New Roman"/>
              </w:rPr>
            </w:pPr>
            <w:r>
              <w:rPr>
                <w:rFonts w:ascii="Times New Roman" w:hAnsi="Times New Roman"/>
              </w:rPr>
              <w:t>0</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3E2822">
            <w:pPr>
              <w:bidi w:val="0"/>
              <w:spacing w:after="0" w:line="125" w:lineRule="atLeast"/>
              <w:jc w:val="right"/>
              <w:rPr>
                <w:rFonts w:ascii="Times New Roman" w:hAnsi="Times New Roman"/>
                <w:b/>
                <w:bCs/>
                <w:iCs/>
              </w:rPr>
            </w:pPr>
            <w:r>
              <w:rPr>
                <w:rFonts w:ascii="Times New Roman" w:hAnsi="Times New Roman"/>
                <w:b/>
                <w:bCs/>
                <w:iCs/>
              </w:rPr>
              <w:t>41 859 120</w:t>
            </w: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3E2822">
            <w:pPr>
              <w:bidi w:val="0"/>
              <w:spacing w:after="0" w:line="125" w:lineRule="atLeast"/>
              <w:jc w:val="right"/>
              <w:rPr>
                <w:rFonts w:ascii="Times New Roman" w:hAnsi="Times New Roman"/>
                <w:b/>
                <w:bCs/>
                <w:iCs/>
              </w:rPr>
            </w:pPr>
            <w:r>
              <w:rPr>
                <w:rFonts w:ascii="Times New Roman" w:hAnsi="Times New Roman"/>
                <w:b/>
                <w:bCs/>
                <w:iCs/>
              </w:rPr>
              <w:t>45 965 220</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3E2822">
            <w:pPr>
              <w:bidi w:val="0"/>
              <w:spacing w:after="0" w:line="125" w:lineRule="atLeast"/>
              <w:jc w:val="right"/>
              <w:rPr>
                <w:rFonts w:ascii="Times New Roman" w:hAnsi="Times New Roman"/>
                <w:b/>
                <w:bCs/>
                <w:iCs/>
              </w:rPr>
            </w:pPr>
            <w:r>
              <w:rPr>
                <w:rFonts w:ascii="Times New Roman" w:hAnsi="Times New Roman"/>
                <w:b/>
                <w:bCs/>
                <w:iCs/>
              </w:rPr>
              <w:t>50 505 661</w:t>
            </w:r>
          </w:p>
        </w:tc>
      </w:tr>
      <w:tr>
        <w:tblPrEx>
          <w:tblW w:w="8764" w:type="dxa"/>
          <w:tblLayout w:type="fixed"/>
          <w:tblCellMar>
            <w:left w:w="0" w:type="dxa"/>
            <w:right w:w="0" w:type="dxa"/>
          </w:tblCellMar>
        </w:tblPrEx>
        <w:trPr>
          <w:trHeight w:val="125"/>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00271" w:rsidP="00FC7F94">
            <w:pPr>
              <w:bidi w:val="0"/>
              <w:spacing w:after="0" w:line="125" w:lineRule="atLeast"/>
              <w:rPr>
                <w:rFonts w:ascii="Times New Roman" w:hAnsi="Times New Roman"/>
                <w:b/>
                <w:bCs/>
                <w:i/>
                <w:iCs/>
              </w:rPr>
            </w:pPr>
            <w:r>
              <w:rPr>
                <w:rFonts w:ascii="Times New Roman" w:hAnsi="Times New Roman"/>
                <w:b/>
                <w:bCs/>
                <w:i/>
                <w:iCs/>
              </w:rPr>
              <w:t>z toho</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P="005A1D5C">
            <w:pPr>
              <w:bidi w:val="0"/>
              <w:spacing w:after="0" w:line="125" w:lineRule="atLeast"/>
              <w:jc w:val="right"/>
              <w:rPr>
                <w:rFonts w:ascii="Times New Roman" w:hAnsi="Times New Roman"/>
                <w:b/>
                <w:bCs/>
                <w:iCs/>
              </w:rPr>
            </w:pP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P="005A1D5C">
            <w:pPr>
              <w:numPr>
                <w:numId w:val="2"/>
              </w:numPr>
              <w:bidi w:val="0"/>
              <w:spacing w:after="0" w:line="125" w:lineRule="atLeast"/>
              <w:jc w:val="right"/>
              <w:rPr>
                <w:rFonts w:ascii="Times New Roman" w:hAnsi="Times New Roman"/>
                <w:b/>
                <w:bCs/>
                <w:iCs/>
              </w:rPr>
            </w:pP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P="005A1D5C">
            <w:pPr>
              <w:numPr>
                <w:numId w:val="2"/>
              </w:numPr>
              <w:bidi w:val="0"/>
              <w:spacing w:after="0" w:line="125" w:lineRule="atLeast"/>
              <w:jc w:val="right"/>
              <w:rPr>
                <w:rFonts w:ascii="Times New Roman" w:hAnsi="Times New Roman"/>
                <w:b/>
                <w:bCs/>
                <w:iCs/>
              </w:rPr>
            </w:pP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P="005A1D5C">
            <w:pPr>
              <w:numPr>
                <w:numId w:val="2"/>
              </w:numPr>
              <w:bidi w:val="0"/>
              <w:spacing w:after="0" w:line="125" w:lineRule="atLeast"/>
              <w:jc w:val="right"/>
              <w:rPr>
                <w:rFonts w:ascii="Times New Roman" w:hAnsi="Times New Roman"/>
                <w:b/>
                <w:bCs/>
                <w:iCs/>
              </w:rPr>
            </w:pPr>
          </w:p>
        </w:tc>
      </w:tr>
      <w:tr>
        <w:tblPrEx>
          <w:tblW w:w="8764" w:type="dxa"/>
          <w:tblLayout w:type="fixed"/>
          <w:tblCellMar>
            <w:left w:w="0" w:type="dxa"/>
            <w:right w:w="0" w:type="dxa"/>
          </w:tblCellMar>
        </w:tblPrEx>
        <w:trPr>
          <w:trHeight w:val="125"/>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00271" w:rsidP="00FC7F94">
            <w:pPr>
              <w:numPr>
                <w:numId w:val="2"/>
              </w:numPr>
              <w:bidi w:val="0"/>
              <w:spacing w:after="0" w:line="125" w:lineRule="atLeast"/>
              <w:rPr>
                <w:rFonts w:ascii="Times New Roman" w:hAnsi="Times New Roman"/>
                <w:b/>
                <w:bCs/>
                <w:i/>
                <w:iCs/>
              </w:rPr>
            </w:pPr>
            <w:r w:rsidRPr="00600271">
              <w:rPr>
                <w:rFonts w:ascii="Times New Roman" w:hAnsi="Times New Roman"/>
                <w:b/>
                <w:bCs/>
                <w:i/>
                <w:iCs/>
              </w:rPr>
              <w:t>vplyv na rozpočty obcí</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5A1D5C">
            <w:pPr>
              <w:bidi w:val="0"/>
              <w:spacing w:after="0" w:line="125" w:lineRule="atLeast"/>
              <w:jc w:val="right"/>
              <w:rPr>
                <w:rFonts w:ascii="Times New Roman" w:hAnsi="Times New Roman"/>
                <w:b/>
                <w:bCs/>
                <w:iCs/>
              </w:rPr>
            </w:pPr>
            <w:r>
              <w:rPr>
                <w:rFonts w:ascii="Times New Roman" w:hAnsi="Times New Roman"/>
                <w:b/>
                <w:bCs/>
                <w:iCs/>
              </w:rPr>
              <w:t>0</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3E2822">
            <w:pPr>
              <w:bidi w:val="0"/>
              <w:spacing w:after="0" w:line="125" w:lineRule="atLeast"/>
              <w:jc w:val="right"/>
              <w:rPr>
                <w:rFonts w:ascii="Times New Roman" w:hAnsi="Times New Roman"/>
                <w:b/>
                <w:bCs/>
                <w:iCs/>
              </w:rPr>
            </w:pPr>
            <w:r>
              <w:rPr>
                <w:rFonts w:ascii="Times New Roman" w:hAnsi="Times New Roman"/>
                <w:b/>
                <w:bCs/>
                <w:iCs/>
              </w:rPr>
              <w:t>41 859 120</w:t>
            </w: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3E2822">
            <w:pPr>
              <w:bidi w:val="0"/>
              <w:spacing w:after="0" w:line="125" w:lineRule="atLeast"/>
              <w:jc w:val="right"/>
              <w:rPr>
                <w:rFonts w:ascii="Times New Roman" w:hAnsi="Times New Roman"/>
                <w:b/>
                <w:bCs/>
                <w:iCs/>
              </w:rPr>
            </w:pPr>
            <w:r>
              <w:rPr>
                <w:rFonts w:ascii="Times New Roman" w:hAnsi="Times New Roman"/>
                <w:b/>
                <w:bCs/>
                <w:iCs/>
              </w:rPr>
              <w:t>45 965 220</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3E2822">
            <w:pPr>
              <w:bidi w:val="0"/>
              <w:spacing w:after="0" w:line="125" w:lineRule="atLeast"/>
              <w:jc w:val="right"/>
              <w:rPr>
                <w:rFonts w:ascii="Times New Roman" w:hAnsi="Times New Roman"/>
                <w:b/>
                <w:bCs/>
                <w:iCs/>
              </w:rPr>
            </w:pPr>
            <w:r>
              <w:rPr>
                <w:rFonts w:ascii="Times New Roman" w:hAnsi="Times New Roman"/>
                <w:b/>
                <w:bCs/>
                <w:iCs/>
              </w:rPr>
              <w:t>50 505 661</w:t>
            </w:r>
          </w:p>
        </w:tc>
      </w:tr>
      <w:tr>
        <w:tblPrEx>
          <w:tblW w:w="8764" w:type="dxa"/>
          <w:tblLayout w:type="fixed"/>
          <w:tblCellMar>
            <w:left w:w="0" w:type="dxa"/>
            <w:right w:w="0" w:type="dxa"/>
          </w:tblCellMar>
        </w:tblPrEx>
        <w:trPr>
          <w:trHeight w:val="125"/>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4161A1" w:rsidP="00FC7F94">
            <w:pPr>
              <w:numPr>
                <w:numId w:val="2"/>
              </w:numPr>
              <w:bidi w:val="0"/>
              <w:spacing w:after="0" w:line="125" w:lineRule="atLeast"/>
              <w:rPr>
                <w:rFonts w:ascii="Times New Roman" w:hAnsi="Times New Roman"/>
                <w:b/>
                <w:bCs/>
                <w:i/>
                <w:iCs/>
              </w:rPr>
            </w:pPr>
            <w:r w:rsidRPr="00600271">
              <w:rPr>
                <w:rFonts w:ascii="Times New Roman" w:hAnsi="Times New Roman"/>
                <w:b/>
                <w:bCs/>
                <w:i/>
                <w:iCs/>
              </w:rPr>
              <w:t>vplyv na rozpočty</w:t>
            </w:r>
            <w:r>
              <w:rPr>
                <w:rFonts w:ascii="Times New Roman" w:hAnsi="Times New Roman"/>
                <w:b/>
                <w:bCs/>
                <w:i/>
                <w:iCs/>
              </w:rPr>
              <w:t>VUC</w:t>
            </w:r>
            <w:r w:rsidRPr="00600271">
              <w:rPr>
                <w:rFonts w:ascii="Times New Roman" w:hAnsi="Times New Roman"/>
                <w:b/>
                <w:bCs/>
                <w:i/>
                <w:iCs/>
              </w:rPr>
              <w:t xml:space="preserve"> </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5A1D5C">
            <w:pPr>
              <w:bidi w:val="0"/>
              <w:spacing w:after="0" w:line="125" w:lineRule="atLeast"/>
              <w:jc w:val="right"/>
              <w:rPr>
                <w:rFonts w:ascii="Times New Roman" w:hAnsi="Times New Roman"/>
                <w:b/>
                <w:bCs/>
                <w:iCs/>
              </w:rPr>
            </w:pP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FC7F94">
            <w:pPr>
              <w:bidi w:val="0"/>
              <w:spacing w:after="0" w:line="125" w:lineRule="atLeast"/>
              <w:jc w:val="right"/>
              <w:rPr>
                <w:rFonts w:ascii="Times New Roman" w:hAnsi="Times New Roman"/>
                <w:b/>
                <w:bCs/>
                <w:iCs/>
              </w:rPr>
            </w:pPr>
            <w:r>
              <w:rPr>
                <w:rFonts w:ascii="Times New Roman" w:hAnsi="Times New Roman"/>
              </w:rPr>
              <w:t>0</w:t>
            </w: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FC7F94">
            <w:pPr>
              <w:bidi w:val="0"/>
              <w:spacing w:after="0" w:line="125" w:lineRule="atLeast"/>
              <w:jc w:val="right"/>
              <w:rPr>
                <w:rFonts w:ascii="Times New Roman" w:hAnsi="Times New Roman"/>
                <w:b/>
                <w:bCs/>
                <w:iCs/>
              </w:rPr>
            </w:pPr>
            <w:r>
              <w:rPr>
                <w:rFonts w:ascii="Times New Roman" w:hAnsi="Times New Roman"/>
              </w:rPr>
              <w:t>0</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FC7F94">
            <w:pPr>
              <w:bidi w:val="0"/>
              <w:spacing w:after="0" w:line="125" w:lineRule="atLeast"/>
              <w:jc w:val="right"/>
              <w:rPr>
                <w:rFonts w:ascii="Times New Roman" w:hAnsi="Times New Roman"/>
                <w:b/>
                <w:bCs/>
                <w:iCs/>
              </w:rPr>
            </w:pPr>
            <w:r>
              <w:rPr>
                <w:rFonts w:ascii="Times New Roman" w:hAnsi="Times New Roman"/>
              </w:rPr>
              <w:t>0</w:t>
            </w:r>
          </w:p>
        </w:tc>
      </w:tr>
      <w:tr>
        <w:tblPrEx>
          <w:tblW w:w="8764" w:type="dxa"/>
          <w:tblLayout w:type="fixed"/>
          <w:tblCellMar>
            <w:left w:w="0" w:type="dxa"/>
            <w:right w:w="0" w:type="dxa"/>
          </w:tblCellMar>
        </w:tblPrEx>
        <w:trPr>
          <w:trHeight w:val="70"/>
        </w:trPr>
        <w:tc>
          <w:tcPr>
            <w:tcW w:w="25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51D57" w:rsidRPr="004161A1" w:rsidP="005A1D5C">
            <w:pPr>
              <w:bidi w:val="0"/>
              <w:spacing w:after="0" w:line="70" w:lineRule="atLeast"/>
              <w:rPr>
                <w:rFonts w:ascii="Times New Roman" w:hAnsi="Times New Roman"/>
              </w:rPr>
            </w:pPr>
            <w:r w:rsidRPr="004161A1">
              <w:rPr>
                <w:rFonts w:ascii="Times New Roman" w:hAnsi="Times New Roman"/>
                <w:b/>
                <w:bCs/>
              </w:rPr>
              <w:t xml:space="preserve">Celková zamestnanosť </w:t>
            </w:r>
          </w:p>
        </w:tc>
        <w:tc>
          <w:tcPr>
            <w:tcW w:w="3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r w:rsidRPr="006C121A">
              <w:rPr>
                <w:rFonts w:ascii="Times New Roman" w:hAnsi="Times New Roman"/>
                <w:b/>
                <w:bCs/>
              </w:rPr>
              <w:t>0</w:t>
            </w:r>
          </w:p>
        </w:tc>
        <w:tc>
          <w:tcPr>
            <w:tcW w:w="204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r>
              <w:rPr>
                <w:rFonts w:ascii="Times New Roman" w:hAnsi="Times New Roman"/>
              </w:rPr>
              <w:t>0</w:t>
            </w:r>
          </w:p>
        </w:tc>
        <w:tc>
          <w:tcPr>
            <w:tcW w:w="202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r>
              <w:rPr>
                <w:rFonts w:ascii="Times New Roman" w:hAnsi="Times New Roman"/>
              </w:rPr>
              <w:t>0</w:t>
            </w:r>
          </w:p>
        </w:tc>
        <w:tc>
          <w:tcPr>
            <w:tcW w:w="178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r>
              <w:rPr>
                <w:rFonts w:ascii="Times New Roman" w:hAnsi="Times New Roman"/>
              </w:rPr>
              <w:t>0</w:t>
            </w:r>
          </w:p>
        </w:tc>
      </w:tr>
      <w:tr>
        <w:tblPrEx>
          <w:tblW w:w="8764" w:type="dxa"/>
          <w:tblLayout w:type="fixed"/>
          <w:tblCellMar>
            <w:left w:w="0" w:type="dxa"/>
            <w:right w:w="0" w:type="dxa"/>
          </w:tblCellMar>
        </w:tblPrEx>
        <w:trPr>
          <w:trHeight w:val="70"/>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4161A1" w:rsidP="005A1D5C">
            <w:pPr>
              <w:bidi w:val="0"/>
              <w:spacing w:after="0" w:line="70" w:lineRule="atLeast"/>
              <w:rPr>
                <w:rFonts w:ascii="Times New Roman" w:hAnsi="Times New Roman"/>
              </w:rPr>
            </w:pPr>
            <w:r w:rsidRPr="004161A1">
              <w:rPr>
                <w:rFonts w:ascii="Times New Roman" w:hAnsi="Times New Roman"/>
                <w:b/>
                <w:bCs/>
                <w:i/>
                <w:iCs/>
              </w:rPr>
              <w:t>- z toho vplyv na ŠR</w:t>
            </w:r>
            <w:r>
              <w:rPr>
                <w:rFonts w:ascii="Times New Roman" w:hAnsi="Times New Roman"/>
              </w:rPr>
              <w:t xml:space="preserve"> </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r w:rsidRPr="006C121A">
              <w:rPr>
                <w:rFonts w:ascii="Times New Roman" w:hAnsi="Times New Roman"/>
              </w:rPr>
              <w:t>0</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r>
              <w:rPr>
                <w:rFonts w:ascii="Times New Roman" w:hAnsi="Times New Roman"/>
              </w:rPr>
              <w:t>0</w:t>
            </w: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r>
              <w:rPr>
                <w:rFonts w:ascii="Times New Roman" w:hAnsi="Times New Roman"/>
              </w:rPr>
              <w:t>0</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r>
              <w:rPr>
                <w:rFonts w:ascii="Times New Roman" w:hAnsi="Times New Roman"/>
              </w:rPr>
              <w:t>0</w:t>
            </w:r>
          </w:p>
        </w:tc>
      </w:tr>
      <w:tr>
        <w:tblPrEx>
          <w:tblW w:w="8764" w:type="dxa"/>
          <w:tblLayout w:type="fixed"/>
          <w:tblCellMar>
            <w:left w:w="0" w:type="dxa"/>
            <w:right w:w="0" w:type="dxa"/>
          </w:tblCellMar>
        </w:tblPrEx>
        <w:trPr>
          <w:trHeight w:val="70"/>
        </w:trPr>
        <w:tc>
          <w:tcPr>
            <w:tcW w:w="25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51D57" w:rsidRPr="004161A1" w:rsidP="005A1D5C">
            <w:pPr>
              <w:bidi w:val="0"/>
              <w:spacing w:after="0" w:line="70" w:lineRule="atLeast"/>
              <w:rPr>
                <w:rFonts w:ascii="Times New Roman" w:hAnsi="Times New Roman"/>
              </w:rPr>
            </w:pPr>
            <w:r w:rsidRPr="004161A1">
              <w:rPr>
                <w:rFonts w:ascii="Times New Roman" w:hAnsi="Times New Roman"/>
                <w:b/>
                <w:bCs/>
              </w:rPr>
              <w:t>Financovanie zabezpečené v rozpočte</w:t>
            </w:r>
          </w:p>
        </w:tc>
        <w:tc>
          <w:tcPr>
            <w:tcW w:w="3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r w:rsidRPr="006C121A">
              <w:rPr>
                <w:rFonts w:ascii="Times New Roman" w:hAnsi="Times New Roman"/>
                <w:b/>
                <w:bCs/>
              </w:rPr>
              <w:t>0</w:t>
            </w:r>
          </w:p>
        </w:tc>
        <w:tc>
          <w:tcPr>
            <w:tcW w:w="204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p>
        </w:tc>
        <w:tc>
          <w:tcPr>
            <w:tcW w:w="202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p>
        </w:tc>
        <w:tc>
          <w:tcPr>
            <w:tcW w:w="178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p>
        </w:tc>
      </w:tr>
      <w:tr>
        <w:tblPrEx>
          <w:tblW w:w="8764" w:type="dxa"/>
          <w:tblLayout w:type="fixed"/>
          <w:tblCellMar>
            <w:left w:w="0" w:type="dxa"/>
            <w:right w:w="0" w:type="dxa"/>
          </w:tblCellMar>
        </w:tblPrEx>
        <w:trPr>
          <w:trHeight w:val="70"/>
        </w:trPr>
        <w:tc>
          <w:tcPr>
            <w:tcW w:w="2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4161A1" w:rsidP="005A1D5C">
            <w:pPr>
              <w:bidi w:val="0"/>
              <w:spacing w:after="0" w:line="70" w:lineRule="atLeast"/>
              <w:rPr>
                <w:rFonts w:ascii="Times New Roman" w:hAnsi="Times New Roman"/>
              </w:rPr>
            </w:pPr>
            <w:r>
              <w:rPr>
                <w:rFonts w:ascii="Times New Roman" w:hAnsi="Times New Roman"/>
              </w:rPr>
              <w:t>v tom: za každý subjekt verejnej správy / program zvlášť</w:t>
            </w:r>
          </w:p>
        </w:tc>
        <w:tc>
          <w:tcPr>
            <w:tcW w:w="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r w:rsidRPr="006C121A">
              <w:rPr>
                <w:rFonts w:ascii="Times New Roman" w:hAnsi="Times New Roman"/>
              </w:rPr>
              <w:t>0</w:t>
            </w:r>
          </w:p>
        </w:tc>
        <w:tc>
          <w:tcPr>
            <w:tcW w:w="20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p>
        </w:tc>
        <w:tc>
          <w:tcPr>
            <w:tcW w:w="20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51D57" w:rsidRPr="006C121A" w:rsidP="005A1D5C">
            <w:pPr>
              <w:bidi w:val="0"/>
              <w:spacing w:after="0" w:line="70" w:lineRule="atLeast"/>
              <w:jc w:val="right"/>
              <w:rPr>
                <w:rFonts w:ascii="Times New Roman" w:hAnsi="Times New Roman"/>
              </w:rPr>
            </w:pPr>
          </w:p>
        </w:tc>
      </w:tr>
      <w:tr>
        <w:tblPrEx>
          <w:tblW w:w="8764" w:type="dxa"/>
          <w:tblLayout w:type="fixed"/>
          <w:tblCellMar>
            <w:left w:w="0" w:type="dxa"/>
            <w:right w:w="0" w:type="dxa"/>
          </w:tblCellMar>
        </w:tblPrEx>
        <w:tc>
          <w:tcPr>
            <w:tcW w:w="2590" w:type="dxa"/>
            <w:tcBorders>
              <w:top w:val="nil"/>
              <w:left w:val="nil"/>
              <w:bottom w:val="nil"/>
              <w:right w:val="nil"/>
            </w:tcBorders>
            <w:textDirection w:val="lrTb"/>
            <w:vAlign w:val="center"/>
          </w:tcPr>
          <w:p w:rsidR="00751D57" w:rsidRPr="004161A1" w:rsidP="005A1D5C">
            <w:pPr>
              <w:bidi w:val="0"/>
              <w:spacing w:after="0" w:line="240" w:lineRule="auto"/>
              <w:rPr>
                <w:rFonts w:ascii="Times New Roman" w:hAnsi="Times New Roman"/>
                <w:sz w:val="2"/>
              </w:rPr>
            </w:pPr>
          </w:p>
        </w:tc>
        <w:tc>
          <w:tcPr>
            <w:tcW w:w="314" w:type="dxa"/>
            <w:tcBorders>
              <w:top w:val="nil"/>
              <w:left w:val="nil"/>
              <w:bottom w:val="nil"/>
              <w:right w:val="nil"/>
            </w:tcBorders>
            <w:textDirection w:val="lrTb"/>
            <w:vAlign w:val="center"/>
          </w:tcPr>
          <w:p w:rsidR="00751D57" w:rsidRPr="004161A1" w:rsidP="005A1D5C">
            <w:pPr>
              <w:bidi w:val="0"/>
              <w:spacing w:after="0" w:line="240" w:lineRule="auto"/>
              <w:rPr>
                <w:rFonts w:ascii="Times New Roman" w:hAnsi="Times New Roman"/>
                <w:sz w:val="2"/>
              </w:rPr>
            </w:pPr>
          </w:p>
        </w:tc>
        <w:tc>
          <w:tcPr>
            <w:tcW w:w="2046" w:type="dxa"/>
            <w:tcBorders>
              <w:top w:val="nil"/>
              <w:left w:val="nil"/>
              <w:bottom w:val="nil"/>
              <w:right w:val="nil"/>
            </w:tcBorders>
            <w:textDirection w:val="lrTb"/>
            <w:vAlign w:val="center"/>
          </w:tcPr>
          <w:p w:rsidR="00751D57" w:rsidRPr="004161A1" w:rsidP="005A1D5C">
            <w:pPr>
              <w:bidi w:val="0"/>
              <w:spacing w:after="0" w:line="240" w:lineRule="auto"/>
              <w:rPr>
                <w:rFonts w:ascii="Times New Roman" w:hAnsi="Times New Roman"/>
                <w:sz w:val="2"/>
              </w:rPr>
            </w:pPr>
          </w:p>
        </w:tc>
        <w:tc>
          <w:tcPr>
            <w:tcW w:w="2028" w:type="dxa"/>
            <w:tcBorders>
              <w:top w:val="nil"/>
              <w:left w:val="nil"/>
              <w:bottom w:val="nil"/>
              <w:right w:val="nil"/>
            </w:tcBorders>
            <w:textDirection w:val="lrTb"/>
            <w:vAlign w:val="center"/>
          </w:tcPr>
          <w:p w:rsidR="00751D57" w:rsidRPr="004161A1" w:rsidP="005A1D5C">
            <w:pPr>
              <w:bidi w:val="0"/>
              <w:spacing w:after="0" w:line="240" w:lineRule="auto"/>
              <w:rPr>
                <w:rFonts w:ascii="Times New Roman" w:hAnsi="Times New Roman"/>
                <w:sz w:val="2"/>
              </w:rPr>
            </w:pPr>
          </w:p>
        </w:tc>
        <w:tc>
          <w:tcPr>
            <w:tcW w:w="1786" w:type="dxa"/>
            <w:tcBorders>
              <w:top w:val="nil"/>
              <w:left w:val="nil"/>
              <w:bottom w:val="nil"/>
              <w:right w:val="nil"/>
            </w:tcBorders>
            <w:textDirection w:val="lrTb"/>
            <w:vAlign w:val="center"/>
          </w:tcPr>
          <w:p w:rsidR="00751D57" w:rsidRPr="004161A1" w:rsidP="005A1D5C">
            <w:pPr>
              <w:bidi w:val="0"/>
              <w:spacing w:after="0" w:line="240" w:lineRule="auto"/>
              <w:rPr>
                <w:rFonts w:ascii="Times New Roman" w:hAnsi="Times New Roman"/>
                <w:sz w:val="2"/>
              </w:rPr>
            </w:pPr>
          </w:p>
        </w:tc>
      </w:tr>
    </w:tbl>
    <w:p w:rsidR="00B56F4C" w:rsidP="00B56F4C">
      <w:pPr>
        <w:bidi w:val="0"/>
        <w:rPr>
          <w:rFonts w:ascii="Times New Roman" w:hAnsi="Times New Roman"/>
        </w:rPr>
      </w:pPr>
      <w:r>
        <w:rPr>
          <w:rFonts w:ascii="Times New Roman" w:hAnsi="Times New Roman"/>
        </w:rPr>
        <w:t> </w:t>
      </w:r>
    </w:p>
    <w:p w:rsidR="00104478" w:rsidP="00B56F4C">
      <w:pPr>
        <w:bidi w:val="0"/>
        <w:rPr>
          <w:rFonts w:ascii="Times New Roman" w:hAnsi="Times New Roman"/>
          <w:b/>
          <w:bCs/>
        </w:rPr>
      </w:pPr>
    </w:p>
    <w:p w:rsidR="00104478" w:rsidP="00B56F4C">
      <w:pPr>
        <w:bidi w:val="0"/>
        <w:rPr>
          <w:rFonts w:ascii="Times New Roman" w:hAnsi="Times New Roman"/>
          <w:b/>
          <w:bCs/>
        </w:rPr>
      </w:pPr>
    </w:p>
    <w:p w:rsidR="00104478" w:rsidP="00B56F4C">
      <w:pPr>
        <w:bidi w:val="0"/>
        <w:rPr>
          <w:rFonts w:ascii="Times New Roman" w:hAnsi="Times New Roman"/>
          <w:b/>
          <w:bCs/>
        </w:rPr>
      </w:pPr>
    </w:p>
    <w:p w:rsidR="00B56F4C" w:rsidP="00B56F4C">
      <w:pPr>
        <w:bidi w:val="0"/>
        <w:rPr>
          <w:rFonts w:ascii="Times New Roman" w:hAnsi="Times New Roman"/>
        </w:rPr>
      </w:pPr>
      <w:r w:rsidRPr="004161A1">
        <w:rPr>
          <w:rFonts w:ascii="Times New Roman" w:hAnsi="Times New Roman"/>
          <w:b/>
          <w:bCs/>
        </w:rPr>
        <w:t>2.2. Financovanie návrhu</w:t>
      </w:r>
    </w:p>
    <w:p w:rsidR="00B56F4C" w:rsidP="00B56F4C">
      <w:pPr>
        <w:bidi w:val="0"/>
        <w:jc w:val="right"/>
        <w:rPr>
          <w:rFonts w:ascii="Times New Roman" w:hAnsi="Times New Roman"/>
        </w:rPr>
      </w:pPr>
      <w:r w:rsidRPr="004161A1">
        <w:rPr>
          <w:rFonts w:ascii="Times New Roman" w:hAnsi="Times New Roman"/>
          <w:sz w:val="20"/>
          <w:szCs w:val="20"/>
        </w:rPr>
        <w:t>Tabuľka č. 2</w:t>
      </w:r>
    </w:p>
    <w:tbl>
      <w:tblPr>
        <w:tblStyle w:val="TableNormal"/>
        <w:tblW w:w="9568" w:type="dxa"/>
        <w:tblLayout w:type="fixed"/>
        <w:tblCellMar>
          <w:left w:w="0" w:type="dxa"/>
          <w:right w:w="0" w:type="dxa"/>
        </w:tblCellMar>
      </w:tblPr>
      <w:tblGrid>
        <w:gridCol w:w="3006"/>
        <w:gridCol w:w="1317"/>
        <w:gridCol w:w="1723"/>
        <w:gridCol w:w="1657"/>
        <w:gridCol w:w="1865"/>
      </w:tblGrid>
      <w:tr>
        <w:tblPrEx>
          <w:tblW w:w="9568" w:type="dxa"/>
          <w:tblLayout w:type="fixed"/>
          <w:tblCellMar>
            <w:left w:w="0" w:type="dxa"/>
            <w:right w:w="0" w:type="dxa"/>
          </w:tblCellMar>
        </w:tblPrEx>
        <w:trPr>
          <w:trHeight w:val="70"/>
        </w:trPr>
        <w:tc>
          <w:tcPr>
            <w:tcW w:w="3006"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70" w:lineRule="atLeast"/>
              <w:jc w:val="center"/>
              <w:rPr>
                <w:rFonts w:ascii="Times New Roman" w:hAnsi="Times New Roman"/>
              </w:rPr>
            </w:pPr>
            <w:r w:rsidRPr="004161A1">
              <w:rPr>
                <w:rFonts w:ascii="Times New Roman" w:hAnsi="Times New Roman"/>
                <w:b/>
                <w:bCs/>
                <w:color w:val="FFFFFF"/>
              </w:rPr>
              <w:t>Financovanie</w:t>
            </w:r>
          </w:p>
        </w:tc>
        <w:tc>
          <w:tcPr>
            <w:tcW w:w="6562"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70"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568" w:type="dxa"/>
          <w:tblLayout w:type="fixed"/>
          <w:tblCellMar>
            <w:left w:w="0" w:type="dxa"/>
            <w:right w:w="0" w:type="dxa"/>
          </w:tblCellMar>
        </w:tblPrEx>
        <w:trPr>
          <w:trHeight w:val="70"/>
        </w:trPr>
        <w:tc>
          <w:tcPr>
            <w:tcW w:w="3006" w:type="dxa"/>
            <w:vMerge/>
            <w:tcBorders>
              <w:top w:val="single" w:sz="4" w:space="0" w:color="000000"/>
              <w:left w:val="single" w:sz="4" w:space="0" w:color="000000"/>
              <w:bottom w:val="single" w:sz="4" w:space="0" w:color="000000"/>
              <w:right w:val="single" w:sz="4" w:space="0" w:color="000000"/>
            </w:tcBorders>
            <w:textDirection w:val="lrTb"/>
            <w:vAlign w:val="center"/>
          </w:tcPr>
          <w:p w:rsidR="00B56F4C" w:rsidRPr="004161A1" w:rsidP="005A1D5C">
            <w:pPr>
              <w:bidi w:val="0"/>
              <w:spacing w:after="0" w:line="240" w:lineRule="auto"/>
              <w:rPr>
                <w:rFonts w:ascii="Times New Roman" w:hAns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70" w:lineRule="atLeast"/>
              <w:jc w:val="center"/>
              <w:rPr>
                <w:rFonts w:ascii="Times New Roman" w:hAnsi="Times New Roman"/>
              </w:rPr>
            </w:pPr>
            <w:r w:rsidRPr="004161A1">
              <w:rPr>
                <w:rFonts w:ascii="Times New Roman" w:hAnsi="Times New Roman"/>
                <w:b/>
                <w:bCs/>
                <w:color w:val="FFFFFF"/>
              </w:rPr>
              <w:t>r</w:t>
            </w:r>
          </w:p>
        </w:tc>
        <w:tc>
          <w:tcPr>
            <w:tcW w:w="1723"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70" w:lineRule="atLeast"/>
              <w:jc w:val="center"/>
              <w:rPr>
                <w:rFonts w:ascii="Times New Roman" w:hAnsi="Times New Roman"/>
              </w:rPr>
            </w:pPr>
            <w:r w:rsidR="00C97BC1">
              <w:rPr>
                <w:rFonts w:ascii="Times New Roman" w:hAnsi="Times New Roman"/>
                <w:b/>
                <w:bCs/>
                <w:color w:val="FFFFFF"/>
              </w:rPr>
              <w:t>2012</w:t>
            </w:r>
          </w:p>
        </w:tc>
        <w:tc>
          <w:tcPr>
            <w:tcW w:w="16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70" w:lineRule="atLeast"/>
              <w:jc w:val="center"/>
              <w:rPr>
                <w:rFonts w:ascii="Times New Roman" w:hAnsi="Times New Roman"/>
              </w:rPr>
            </w:pPr>
            <w:r w:rsidR="00C97BC1">
              <w:rPr>
                <w:rFonts w:ascii="Times New Roman" w:hAnsi="Times New Roman"/>
                <w:b/>
                <w:bCs/>
                <w:color w:val="FFFFFF"/>
              </w:rPr>
              <w:t>2013</w:t>
            </w:r>
          </w:p>
        </w:tc>
        <w:tc>
          <w:tcPr>
            <w:tcW w:w="1865"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RPr="004161A1" w:rsidP="005A1D5C">
            <w:pPr>
              <w:bidi w:val="0"/>
              <w:spacing w:after="0" w:line="70" w:lineRule="atLeast"/>
              <w:jc w:val="center"/>
              <w:rPr>
                <w:rFonts w:ascii="Times New Roman" w:hAnsi="Times New Roman"/>
              </w:rPr>
            </w:pPr>
            <w:r w:rsidR="00C97BC1">
              <w:rPr>
                <w:rFonts w:ascii="Times New Roman" w:hAnsi="Times New Roman"/>
                <w:b/>
                <w:bCs/>
                <w:color w:val="FFFFFF"/>
              </w:rPr>
              <w:t>2014</w:t>
            </w:r>
          </w:p>
        </w:tc>
      </w:tr>
      <w:tr>
        <w:tblPrEx>
          <w:tblW w:w="9568" w:type="dxa"/>
          <w:tblLayout w:type="fixed"/>
          <w:tblCellMar>
            <w:left w:w="0" w:type="dxa"/>
            <w:right w:w="0" w:type="dxa"/>
          </w:tblCellMar>
        </w:tblPrEx>
        <w:trPr>
          <w:trHeight w:val="70"/>
        </w:trPr>
        <w:tc>
          <w:tcPr>
            <w:tcW w:w="30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70" w:lineRule="atLeast"/>
              <w:rPr>
                <w:rFonts w:ascii="Times New Roman" w:hAnsi="Times New Roman"/>
                <w:b/>
                <w:bCs/>
              </w:rPr>
            </w:pP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P="005A1D5C">
            <w:pPr>
              <w:bidi w:val="0"/>
              <w:spacing w:after="0" w:line="125" w:lineRule="atLeast"/>
              <w:jc w:val="right"/>
              <w:rPr>
                <w:rFonts w:ascii="Times New Roman" w:hAnsi="Times New Roman"/>
                <w:b/>
                <w:bCs/>
                <w:iCs/>
              </w:rPr>
            </w:pPr>
          </w:p>
        </w:tc>
        <w:tc>
          <w:tcPr>
            <w:tcW w:w="1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P="005A1D5C">
            <w:pPr>
              <w:bidi w:val="0"/>
              <w:spacing w:after="0" w:line="125" w:lineRule="atLeast"/>
              <w:jc w:val="right"/>
              <w:rPr>
                <w:rFonts w:ascii="Times New Roman" w:hAnsi="Times New Roman"/>
                <w:b/>
                <w:bCs/>
                <w:iCs/>
              </w:rPr>
            </w:pPr>
          </w:p>
        </w:tc>
        <w:tc>
          <w:tcPr>
            <w:tcW w:w="16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P="005A1D5C">
            <w:pPr>
              <w:bidi w:val="0"/>
              <w:spacing w:after="0" w:line="125" w:lineRule="atLeast"/>
              <w:jc w:val="right"/>
              <w:rPr>
                <w:rFonts w:ascii="Times New Roman" w:hAnsi="Times New Roman"/>
                <w:b/>
                <w:bCs/>
                <w:iCs/>
              </w:rPr>
            </w:pPr>
          </w:p>
        </w:tc>
        <w:tc>
          <w:tcPr>
            <w:tcW w:w="18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6C121A" w:rsidP="005A1D5C">
            <w:pPr>
              <w:bidi w:val="0"/>
              <w:spacing w:after="0" w:line="125" w:lineRule="atLeast"/>
              <w:jc w:val="right"/>
              <w:rPr>
                <w:rFonts w:ascii="Times New Roman" w:hAnsi="Times New Roman"/>
              </w:rPr>
            </w:pPr>
          </w:p>
        </w:tc>
      </w:tr>
      <w:tr>
        <w:tblPrEx>
          <w:tblW w:w="9568" w:type="dxa"/>
          <w:tblLayout w:type="fixed"/>
          <w:tblCellMar>
            <w:left w:w="0" w:type="dxa"/>
            <w:right w:w="0" w:type="dxa"/>
          </w:tblCellMar>
        </w:tblPrEx>
        <w:trPr>
          <w:trHeight w:val="70"/>
        </w:trPr>
        <w:tc>
          <w:tcPr>
            <w:tcW w:w="30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26095" w:rsidRPr="004161A1" w:rsidP="005A1D5C">
            <w:pPr>
              <w:bidi w:val="0"/>
              <w:spacing w:after="0" w:line="70" w:lineRule="atLeast"/>
              <w:rPr>
                <w:rFonts w:ascii="Times New Roman" w:hAnsi="Times New Roman"/>
              </w:rPr>
            </w:pPr>
            <w:r w:rsidRPr="004161A1">
              <w:rPr>
                <w:rFonts w:ascii="Times New Roman" w:hAnsi="Times New Roman"/>
                <w:b/>
                <w:bCs/>
              </w:rPr>
              <w:t>Celkový vplyv na rozpočet verejnej správy ( - príjmy, + výdavky)</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26095" w:rsidRPr="006C121A" w:rsidP="005A1D5C">
            <w:pPr>
              <w:bidi w:val="0"/>
              <w:spacing w:after="0" w:line="125" w:lineRule="atLeast"/>
              <w:jc w:val="right"/>
              <w:rPr>
                <w:rFonts w:ascii="Times New Roman" w:hAnsi="Times New Roman"/>
                <w:b/>
                <w:bCs/>
                <w:iCs/>
              </w:rPr>
            </w:pPr>
            <w:r>
              <w:rPr>
                <w:rFonts w:ascii="Times New Roman" w:hAnsi="Times New Roman"/>
                <w:b/>
                <w:bCs/>
                <w:iCs/>
              </w:rPr>
              <w:t>0</w:t>
            </w:r>
          </w:p>
        </w:tc>
        <w:tc>
          <w:tcPr>
            <w:tcW w:w="1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26095" w:rsidRPr="006C121A" w:rsidP="005A1D5C">
            <w:pPr>
              <w:bidi w:val="0"/>
              <w:spacing w:after="0" w:line="125" w:lineRule="atLeast"/>
              <w:jc w:val="right"/>
              <w:rPr>
                <w:rFonts w:ascii="Times New Roman" w:hAnsi="Times New Roman"/>
                <w:b/>
                <w:bCs/>
                <w:iCs/>
              </w:rPr>
            </w:pPr>
            <w:r>
              <w:rPr>
                <w:rFonts w:ascii="Times New Roman" w:hAnsi="Times New Roman"/>
                <w:b/>
                <w:bCs/>
                <w:iCs/>
              </w:rPr>
              <w:t>0</w:t>
            </w:r>
          </w:p>
        </w:tc>
        <w:tc>
          <w:tcPr>
            <w:tcW w:w="16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26095" w:rsidRPr="006C121A" w:rsidP="005A1D5C">
            <w:pPr>
              <w:bidi w:val="0"/>
              <w:spacing w:after="0" w:line="125" w:lineRule="atLeast"/>
              <w:jc w:val="right"/>
              <w:rPr>
                <w:rFonts w:ascii="Times New Roman" w:hAnsi="Times New Roman"/>
                <w:b/>
                <w:bCs/>
                <w:iCs/>
              </w:rPr>
            </w:pPr>
            <w:r>
              <w:rPr>
                <w:rFonts w:ascii="Times New Roman" w:hAnsi="Times New Roman"/>
                <w:b/>
                <w:bCs/>
                <w:iCs/>
              </w:rPr>
              <w:t>0</w:t>
            </w:r>
          </w:p>
        </w:tc>
        <w:tc>
          <w:tcPr>
            <w:tcW w:w="18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26095" w:rsidRPr="006C121A" w:rsidP="005A1D5C">
            <w:pPr>
              <w:bidi w:val="0"/>
              <w:spacing w:after="0" w:line="125" w:lineRule="atLeast"/>
              <w:jc w:val="right"/>
              <w:rPr>
                <w:rFonts w:ascii="Times New Roman" w:hAnsi="Times New Roman"/>
                <w:b/>
                <w:bCs/>
                <w:iCs/>
              </w:rPr>
            </w:pPr>
            <w:r>
              <w:rPr>
                <w:rFonts w:ascii="Times New Roman" w:hAnsi="Times New Roman"/>
                <w:b/>
                <w:bCs/>
                <w:iCs/>
              </w:rPr>
              <w:t>0</w:t>
            </w:r>
          </w:p>
        </w:tc>
      </w:tr>
      <w:tr>
        <w:tblPrEx>
          <w:tblW w:w="9568" w:type="dxa"/>
          <w:tblLayout w:type="fixed"/>
          <w:tblCellMar>
            <w:left w:w="0" w:type="dxa"/>
            <w:right w:w="0" w:type="dxa"/>
          </w:tblCellMar>
        </w:tblPrEx>
        <w:trPr>
          <w:trHeight w:val="70"/>
        </w:trPr>
        <w:tc>
          <w:tcPr>
            <w:tcW w:w="30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P="005A1D5C">
            <w:pPr>
              <w:bidi w:val="0"/>
              <w:spacing w:after="0" w:line="70" w:lineRule="atLeast"/>
              <w:rPr>
                <w:rFonts w:ascii="Times New Roman" w:hAnsi="Times New Roman"/>
              </w:rPr>
            </w:pPr>
            <w:r>
              <w:rPr>
                <w:rFonts w:ascii="Times New Roman" w:hAnsi="Times New Roman"/>
              </w:rPr>
              <w:t xml:space="preserve"> na obce (+príjmy, -výdavky) </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DE6CB4" w:rsidP="005A1D5C">
            <w:pPr>
              <w:bidi w:val="0"/>
              <w:spacing w:after="0" w:line="70" w:lineRule="atLeast"/>
              <w:jc w:val="right"/>
              <w:rPr>
                <w:rFonts w:ascii="Times New Roman" w:hAnsi="Times New Roman"/>
                <w:b/>
              </w:rPr>
            </w:pPr>
            <w:r>
              <w:rPr>
                <w:rFonts w:ascii="Times New Roman" w:hAnsi="Times New Roman"/>
                <w:b/>
              </w:rPr>
              <w:t>0</w:t>
            </w:r>
          </w:p>
        </w:tc>
        <w:tc>
          <w:tcPr>
            <w:tcW w:w="1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41 859 120</w:t>
            </w:r>
          </w:p>
        </w:tc>
        <w:tc>
          <w:tcPr>
            <w:tcW w:w="16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45 965 220</w:t>
            </w:r>
          </w:p>
        </w:tc>
        <w:tc>
          <w:tcPr>
            <w:tcW w:w="18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50 505 661</w:t>
            </w:r>
          </w:p>
        </w:tc>
      </w:tr>
      <w:tr>
        <w:tblPrEx>
          <w:tblW w:w="9568" w:type="dxa"/>
          <w:tblLayout w:type="fixed"/>
          <w:tblCellMar>
            <w:left w:w="0" w:type="dxa"/>
            <w:right w:w="0" w:type="dxa"/>
          </w:tblCellMar>
        </w:tblPrEx>
        <w:trPr>
          <w:trHeight w:val="70"/>
        </w:trPr>
        <w:tc>
          <w:tcPr>
            <w:tcW w:w="30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26095" w:rsidRPr="00156B00" w:rsidP="005A1D5C">
            <w:pPr>
              <w:bidi w:val="0"/>
              <w:spacing w:after="0" w:line="70" w:lineRule="atLeast"/>
              <w:rPr>
                <w:rFonts w:ascii="Times New Roman" w:hAnsi="Times New Roman"/>
              </w:rPr>
            </w:pPr>
            <w:r w:rsidRPr="00156B00">
              <w:rPr>
                <w:rFonts w:ascii="Times New Roman" w:hAnsi="Times New Roman"/>
              </w:rPr>
              <w:t xml:space="preserve"> na VUC (+výdavky)</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26095" w:rsidRPr="00156B00" w:rsidP="005A1D5C">
            <w:pPr>
              <w:bidi w:val="0"/>
              <w:spacing w:after="0" w:line="70" w:lineRule="atLeast"/>
              <w:jc w:val="right"/>
              <w:rPr>
                <w:rFonts w:ascii="Times New Roman" w:hAnsi="Times New Roman"/>
              </w:rPr>
            </w:pPr>
            <w:r w:rsidRPr="00156B00">
              <w:rPr>
                <w:rFonts w:ascii="Times New Roman" w:hAnsi="Times New Roman"/>
              </w:rPr>
              <w:t>0</w:t>
            </w:r>
          </w:p>
        </w:tc>
        <w:tc>
          <w:tcPr>
            <w:tcW w:w="1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26095" w:rsidRPr="00156B00" w:rsidP="005A1D5C">
            <w:pPr>
              <w:bidi w:val="0"/>
              <w:spacing w:after="0" w:line="125" w:lineRule="atLeast"/>
              <w:jc w:val="right"/>
              <w:rPr>
                <w:rFonts w:ascii="Times New Roman" w:hAnsi="Times New Roman"/>
                <w:bCs/>
                <w:iCs/>
              </w:rPr>
            </w:pPr>
            <w:r w:rsidRPr="00156B00" w:rsidR="00156B00">
              <w:rPr>
                <w:rFonts w:ascii="Times New Roman" w:hAnsi="Times New Roman"/>
                <w:bCs/>
                <w:iCs/>
              </w:rPr>
              <w:t>0</w:t>
            </w:r>
          </w:p>
        </w:tc>
        <w:tc>
          <w:tcPr>
            <w:tcW w:w="16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26095" w:rsidRPr="00156B00" w:rsidP="005A1D5C">
            <w:pPr>
              <w:bidi w:val="0"/>
              <w:spacing w:after="0" w:line="125" w:lineRule="atLeast"/>
              <w:jc w:val="right"/>
              <w:rPr>
                <w:rFonts w:ascii="Times New Roman" w:hAnsi="Times New Roman"/>
                <w:bCs/>
                <w:iCs/>
              </w:rPr>
            </w:pPr>
            <w:r w:rsidRPr="00156B00" w:rsidR="00156B00">
              <w:rPr>
                <w:rFonts w:ascii="Times New Roman" w:hAnsi="Times New Roman"/>
                <w:bCs/>
                <w:iCs/>
              </w:rPr>
              <w:t>0</w:t>
            </w:r>
          </w:p>
        </w:tc>
        <w:tc>
          <w:tcPr>
            <w:tcW w:w="18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26095" w:rsidRPr="00156B00" w:rsidP="005A1D5C">
            <w:pPr>
              <w:bidi w:val="0"/>
              <w:spacing w:after="0" w:line="125" w:lineRule="atLeast"/>
              <w:jc w:val="right"/>
              <w:rPr>
                <w:rFonts w:ascii="Times New Roman" w:hAnsi="Times New Roman"/>
                <w:bCs/>
                <w:iCs/>
              </w:rPr>
            </w:pPr>
            <w:r w:rsidRPr="00156B00" w:rsidR="00156B00">
              <w:rPr>
                <w:rFonts w:ascii="Times New Roman" w:hAnsi="Times New Roman"/>
                <w:bCs/>
                <w:iCs/>
              </w:rPr>
              <w:t>0</w:t>
            </w:r>
          </w:p>
        </w:tc>
      </w:tr>
      <w:tr>
        <w:tblPrEx>
          <w:tblW w:w="9568" w:type="dxa"/>
          <w:tblLayout w:type="fixed"/>
          <w:tblCellMar>
            <w:left w:w="0" w:type="dxa"/>
            <w:right w:w="0" w:type="dxa"/>
          </w:tblCellMar>
        </w:tblPrEx>
        <w:trPr>
          <w:trHeight w:val="70"/>
        </w:trPr>
        <w:tc>
          <w:tcPr>
            <w:tcW w:w="30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P="005A1D5C">
            <w:pPr>
              <w:bidi w:val="0"/>
              <w:spacing w:after="0" w:line="70" w:lineRule="atLeast"/>
              <w:rPr>
                <w:rFonts w:ascii="Times New Roman" w:hAnsi="Times New Roman"/>
              </w:rPr>
            </w:pPr>
            <w:r>
              <w:rPr>
                <w:rFonts w:ascii="Times New Roman" w:hAnsi="Times New Roman"/>
              </w:rPr>
              <w:t xml:space="preserve">  </w:t>
            </w:r>
          </w:p>
          <w:p w:rsidR="00156B00" w:rsidRPr="004161A1" w:rsidP="005A1D5C">
            <w:pPr>
              <w:bidi w:val="0"/>
              <w:spacing w:after="0" w:line="70" w:lineRule="atLeast"/>
              <w:rPr>
                <w:rFonts w:ascii="Times New Roman" w:hAnsi="Times New Roman"/>
              </w:rPr>
            </w:pPr>
            <w:r>
              <w:rPr>
                <w:rFonts w:ascii="Times New Roman" w:hAnsi="Times New Roman"/>
              </w:rPr>
              <w:t>z toho vplyv na ŠR</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P="005A1D5C">
            <w:pPr>
              <w:bidi w:val="0"/>
              <w:spacing w:after="0" w:line="70" w:lineRule="atLeast"/>
              <w:jc w:val="right"/>
              <w:rPr>
                <w:rFonts w:ascii="Times New Roman" w:hAnsi="Times New Roman"/>
              </w:rPr>
            </w:pPr>
          </w:p>
          <w:p w:rsidR="00156B00" w:rsidRPr="004161A1" w:rsidP="005A1D5C">
            <w:pPr>
              <w:bidi w:val="0"/>
              <w:spacing w:after="0" w:line="70" w:lineRule="atLeast"/>
              <w:jc w:val="right"/>
              <w:rPr>
                <w:rFonts w:ascii="Times New Roman" w:hAnsi="Times New Roman"/>
              </w:rPr>
            </w:pPr>
            <w:r>
              <w:rPr>
                <w:rFonts w:ascii="Times New Roman" w:hAnsi="Times New Roman"/>
              </w:rPr>
              <w:t>0</w:t>
            </w:r>
          </w:p>
        </w:tc>
        <w:tc>
          <w:tcPr>
            <w:tcW w:w="1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-41 859 120</w:t>
            </w:r>
          </w:p>
        </w:tc>
        <w:tc>
          <w:tcPr>
            <w:tcW w:w="16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-45 965 220</w:t>
            </w:r>
          </w:p>
        </w:tc>
        <w:tc>
          <w:tcPr>
            <w:tcW w:w="18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-50 505 661</w:t>
            </w:r>
          </w:p>
        </w:tc>
      </w:tr>
      <w:tr>
        <w:tblPrEx>
          <w:tblW w:w="9568" w:type="dxa"/>
          <w:tblLayout w:type="fixed"/>
          <w:tblCellMar>
            <w:left w:w="0" w:type="dxa"/>
            <w:right w:w="0" w:type="dxa"/>
          </w:tblCellMar>
        </w:tblPrEx>
        <w:trPr>
          <w:trHeight w:val="151"/>
        </w:trPr>
        <w:tc>
          <w:tcPr>
            <w:tcW w:w="30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4161A1" w:rsidP="005A1D5C">
            <w:pPr>
              <w:bidi w:val="0"/>
              <w:spacing w:after="0" w:line="151" w:lineRule="atLeast"/>
              <w:rPr>
                <w:rFonts w:ascii="Times New Roman" w:hAnsi="Times New Roman"/>
              </w:rPr>
            </w:pPr>
            <w:r>
              <w:rPr>
                <w:rFonts w:ascii="Times New Roman" w:hAnsi="Times New Roman"/>
              </w:rPr>
              <w:t>  financovanie zabezpečené v rozpočte</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4161A1" w:rsidP="005A1D5C">
            <w:pPr>
              <w:bidi w:val="0"/>
              <w:spacing w:after="0" w:line="151" w:lineRule="atLeast"/>
              <w:jc w:val="right"/>
              <w:rPr>
                <w:rFonts w:ascii="Times New Roman" w:hAnsi="Times New Roman"/>
              </w:rPr>
            </w:pPr>
            <w:r>
              <w:rPr>
                <w:rFonts w:ascii="Times New Roman" w:hAnsi="Times New Roman"/>
              </w:rPr>
              <w:t>0</w:t>
            </w:r>
          </w:p>
        </w:tc>
        <w:tc>
          <w:tcPr>
            <w:tcW w:w="1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Pr>
                <w:rFonts w:ascii="Times New Roman" w:hAnsi="Times New Roman"/>
                <w:b/>
                <w:bCs/>
                <w:iCs/>
              </w:rPr>
              <w:t>41 859 120</w:t>
            </w:r>
          </w:p>
        </w:tc>
        <w:tc>
          <w:tcPr>
            <w:tcW w:w="16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sidR="00751D57">
              <w:rPr>
                <w:rFonts w:ascii="Times New Roman" w:hAnsi="Times New Roman"/>
                <w:b/>
                <w:bCs/>
                <w:iCs/>
              </w:rPr>
              <w:t>28 219 800</w:t>
            </w:r>
          </w:p>
        </w:tc>
        <w:tc>
          <w:tcPr>
            <w:tcW w:w="18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56B00" w:rsidRPr="006C121A" w:rsidP="007062A8">
            <w:pPr>
              <w:bidi w:val="0"/>
              <w:spacing w:after="0" w:line="125" w:lineRule="atLeast"/>
              <w:jc w:val="right"/>
              <w:rPr>
                <w:rFonts w:ascii="Times New Roman" w:hAnsi="Times New Roman"/>
                <w:b/>
                <w:bCs/>
                <w:iCs/>
              </w:rPr>
            </w:pPr>
            <w:r w:rsidR="00751D57">
              <w:rPr>
                <w:rFonts w:ascii="Times New Roman" w:hAnsi="Times New Roman"/>
                <w:b/>
                <w:bCs/>
                <w:iCs/>
              </w:rPr>
              <w:t>28 784 200</w:t>
            </w:r>
          </w:p>
        </w:tc>
      </w:tr>
      <w:tr>
        <w:tblPrEx>
          <w:tblW w:w="9568" w:type="dxa"/>
          <w:tblLayout w:type="fixed"/>
          <w:tblCellMar>
            <w:left w:w="0" w:type="dxa"/>
            <w:right w:w="0" w:type="dxa"/>
          </w:tblCellMar>
        </w:tblPrEx>
        <w:trPr>
          <w:trHeight w:val="135"/>
        </w:trPr>
        <w:tc>
          <w:tcPr>
            <w:tcW w:w="30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135" w:lineRule="atLeast"/>
              <w:rPr>
                <w:rFonts w:ascii="Times New Roman" w:hAnsi="Times New Roman"/>
              </w:rPr>
            </w:pPr>
            <w:r>
              <w:rPr>
                <w:rFonts w:ascii="Times New Roman" w:hAnsi="Times New Roman"/>
              </w:rPr>
              <w:t>  ostatné zdroje financovania</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135" w:lineRule="atLeast"/>
              <w:jc w:val="right"/>
              <w:rPr>
                <w:rFonts w:ascii="Times New Roman" w:hAnsi="Times New Roman"/>
              </w:rPr>
            </w:pPr>
            <w:r>
              <w:rPr>
                <w:rFonts w:ascii="Times New Roman" w:hAnsi="Times New Roman"/>
              </w:rPr>
              <w:t>0</w:t>
            </w:r>
          </w:p>
        </w:tc>
        <w:tc>
          <w:tcPr>
            <w:tcW w:w="1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135" w:lineRule="atLeast"/>
              <w:jc w:val="right"/>
              <w:rPr>
                <w:rFonts w:ascii="Times New Roman" w:hAnsi="Times New Roman"/>
              </w:rPr>
            </w:pPr>
            <w:r>
              <w:rPr>
                <w:rFonts w:ascii="Times New Roman" w:hAnsi="Times New Roman"/>
              </w:rPr>
              <w:t>0</w:t>
            </w:r>
          </w:p>
        </w:tc>
        <w:tc>
          <w:tcPr>
            <w:tcW w:w="16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135" w:lineRule="atLeast"/>
              <w:jc w:val="right"/>
              <w:rPr>
                <w:rFonts w:ascii="Times New Roman" w:hAnsi="Times New Roman"/>
              </w:rPr>
            </w:pPr>
            <w:r>
              <w:rPr>
                <w:rFonts w:ascii="Times New Roman" w:hAnsi="Times New Roman"/>
              </w:rPr>
              <w:t>0</w:t>
            </w:r>
          </w:p>
        </w:tc>
        <w:tc>
          <w:tcPr>
            <w:tcW w:w="18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135" w:lineRule="atLeast"/>
              <w:jc w:val="right"/>
              <w:rPr>
                <w:rFonts w:ascii="Times New Roman" w:hAnsi="Times New Roman"/>
              </w:rPr>
            </w:pPr>
            <w:r>
              <w:rPr>
                <w:rFonts w:ascii="Times New Roman" w:hAnsi="Times New Roman"/>
              </w:rPr>
              <w:t>0</w:t>
            </w:r>
          </w:p>
        </w:tc>
      </w:tr>
      <w:tr>
        <w:tblPrEx>
          <w:tblW w:w="9568" w:type="dxa"/>
          <w:tblLayout w:type="fixed"/>
          <w:tblCellMar>
            <w:left w:w="0" w:type="dxa"/>
            <w:right w:w="0" w:type="dxa"/>
          </w:tblCellMar>
        </w:tblPrEx>
        <w:trPr>
          <w:trHeight w:val="70"/>
        </w:trPr>
        <w:tc>
          <w:tcPr>
            <w:tcW w:w="30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70" w:lineRule="atLeast"/>
              <w:rPr>
                <w:rFonts w:ascii="Times New Roman" w:hAnsi="Times New Roman"/>
              </w:rPr>
            </w:pPr>
            <w:r w:rsidRPr="004161A1">
              <w:rPr>
                <w:rFonts w:ascii="Times New Roman" w:hAnsi="Times New Roman"/>
                <w:b/>
                <w:bCs/>
              </w:rPr>
              <w:t>Rozpočtovo nekrytý vplyv / úspora</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70" w:lineRule="atLeast"/>
              <w:jc w:val="right"/>
              <w:rPr>
                <w:rFonts w:ascii="Times New Roman" w:hAnsi="Times New Roman"/>
              </w:rPr>
            </w:pPr>
            <w:r w:rsidRPr="004161A1">
              <w:rPr>
                <w:rFonts w:ascii="Times New Roman" w:hAnsi="Times New Roman"/>
                <w:b/>
                <w:bCs/>
              </w:rPr>
              <w:t>0</w:t>
            </w:r>
          </w:p>
        </w:tc>
        <w:tc>
          <w:tcPr>
            <w:tcW w:w="17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70" w:lineRule="atLeast"/>
              <w:jc w:val="right"/>
              <w:rPr>
                <w:rFonts w:ascii="Times New Roman" w:hAnsi="Times New Roman"/>
              </w:rPr>
            </w:pPr>
            <w:r w:rsidRPr="004161A1">
              <w:rPr>
                <w:rFonts w:ascii="Times New Roman" w:hAnsi="Times New Roman"/>
                <w:b/>
                <w:bCs/>
              </w:rPr>
              <w:t>0</w:t>
            </w:r>
          </w:p>
        </w:tc>
        <w:tc>
          <w:tcPr>
            <w:tcW w:w="16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RPr="004161A1" w:rsidP="005A1D5C">
            <w:pPr>
              <w:bidi w:val="0"/>
              <w:spacing w:after="0" w:line="70" w:lineRule="atLeast"/>
              <w:jc w:val="right"/>
              <w:rPr>
                <w:rFonts w:ascii="Times New Roman" w:hAnsi="Times New Roman"/>
              </w:rPr>
            </w:pPr>
            <w:r w:rsidR="00751D57">
              <w:rPr>
                <w:rFonts w:ascii="Times New Roman" w:hAnsi="Times New Roman"/>
                <w:b/>
                <w:bCs/>
              </w:rPr>
              <w:t>17 745 420</w:t>
            </w:r>
          </w:p>
        </w:tc>
        <w:tc>
          <w:tcPr>
            <w:tcW w:w="18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6F4C" w:rsidP="005A1D5C">
            <w:pPr>
              <w:bidi w:val="0"/>
              <w:spacing w:after="0" w:line="70" w:lineRule="atLeast"/>
              <w:jc w:val="right"/>
              <w:rPr>
                <w:rFonts w:ascii="Times New Roman" w:hAnsi="Times New Roman"/>
                <w:b/>
                <w:bCs/>
              </w:rPr>
            </w:pPr>
            <w:r w:rsidR="00751D57">
              <w:rPr>
                <w:rFonts w:ascii="Times New Roman" w:hAnsi="Times New Roman"/>
                <w:b/>
                <w:bCs/>
              </w:rPr>
              <w:t>21 721 461</w:t>
            </w:r>
          </w:p>
          <w:p w:rsidR="00751D57" w:rsidRPr="004161A1" w:rsidP="005A1D5C">
            <w:pPr>
              <w:bidi w:val="0"/>
              <w:spacing w:after="0" w:line="70" w:lineRule="atLeast"/>
              <w:jc w:val="right"/>
              <w:rPr>
                <w:rFonts w:ascii="Times New Roman" w:hAnsi="Times New Roman"/>
              </w:rPr>
            </w:pPr>
          </w:p>
        </w:tc>
      </w:tr>
      <w:tr>
        <w:tblPrEx>
          <w:tblW w:w="9568" w:type="dxa"/>
          <w:tblLayout w:type="fixed"/>
          <w:tblCellMar>
            <w:left w:w="0" w:type="dxa"/>
            <w:right w:w="0" w:type="dxa"/>
          </w:tblCellMar>
        </w:tblPrEx>
        <w:tc>
          <w:tcPr>
            <w:tcW w:w="3006" w:type="dxa"/>
            <w:tcBorders>
              <w:top w:val="nil"/>
              <w:left w:val="nil"/>
              <w:bottom w:val="nil"/>
              <w:right w:val="nil"/>
            </w:tcBorders>
            <w:textDirection w:val="lrTb"/>
            <w:vAlign w:val="center"/>
          </w:tcPr>
          <w:p w:rsidR="00B56F4C" w:rsidRPr="004161A1" w:rsidP="005A1D5C">
            <w:pPr>
              <w:bidi w:val="0"/>
              <w:spacing w:after="0" w:line="240" w:lineRule="auto"/>
              <w:rPr>
                <w:rFonts w:ascii="Times New Roman" w:hAnsi="Times New Roman"/>
                <w:sz w:val="2"/>
              </w:rPr>
            </w:pPr>
          </w:p>
        </w:tc>
        <w:tc>
          <w:tcPr>
            <w:tcW w:w="1317" w:type="dxa"/>
            <w:tcBorders>
              <w:top w:val="nil"/>
              <w:left w:val="nil"/>
              <w:bottom w:val="nil"/>
              <w:right w:val="nil"/>
            </w:tcBorders>
            <w:textDirection w:val="lrTb"/>
            <w:vAlign w:val="center"/>
          </w:tcPr>
          <w:p w:rsidR="00B56F4C" w:rsidRPr="004161A1" w:rsidP="005A1D5C">
            <w:pPr>
              <w:bidi w:val="0"/>
              <w:spacing w:after="0" w:line="240" w:lineRule="auto"/>
              <w:rPr>
                <w:rFonts w:ascii="Times New Roman" w:hAnsi="Times New Roman"/>
                <w:sz w:val="2"/>
              </w:rPr>
            </w:pPr>
          </w:p>
        </w:tc>
        <w:tc>
          <w:tcPr>
            <w:tcW w:w="1723" w:type="dxa"/>
            <w:tcBorders>
              <w:top w:val="nil"/>
              <w:left w:val="nil"/>
              <w:bottom w:val="nil"/>
              <w:right w:val="nil"/>
            </w:tcBorders>
            <w:textDirection w:val="lrTb"/>
            <w:vAlign w:val="center"/>
          </w:tcPr>
          <w:p w:rsidR="00B56F4C" w:rsidRPr="004161A1" w:rsidP="005A1D5C">
            <w:pPr>
              <w:bidi w:val="0"/>
              <w:spacing w:after="0" w:line="240" w:lineRule="auto"/>
              <w:rPr>
                <w:rFonts w:ascii="Times New Roman" w:hAnsi="Times New Roman"/>
                <w:sz w:val="2"/>
              </w:rPr>
            </w:pPr>
          </w:p>
        </w:tc>
        <w:tc>
          <w:tcPr>
            <w:tcW w:w="1657" w:type="dxa"/>
            <w:tcBorders>
              <w:top w:val="nil"/>
              <w:left w:val="nil"/>
              <w:bottom w:val="nil"/>
              <w:right w:val="nil"/>
            </w:tcBorders>
            <w:textDirection w:val="lrTb"/>
            <w:vAlign w:val="center"/>
          </w:tcPr>
          <w:p w:rsidR="00B56F4C" w:rsidRPr="004161A1" w:rsidP="005A1D5C">
            <w:pPr>
              <w:bidi w:val="0"/>
              <w:spacing w:after="0" w:line="240" w:lineRule="auto"/>
              <w:rPr>
                <w:rFonts w:ascii="Times New Roman" w:hAnsi="Times New Roman"/>
                <w:sz w:val="2"/>
              </w:rPr>
            </w:pPr>
          </w:p>
        </w:tc>
        <w:tc>
          <w:tcPr>
            <w:tcW w:w="1865" w:type="dxa"/>
            <w:tcBorders>
              <w:top w:val="nil"/>
              <w:left w:val="nil"/>
              <w:bottom w:val="nil"/>
              <w:right w:val="nil"/>
            </w:tcBorders>
            <w:textDirection w:val="lrTb"/>
            <w:vAlign w:val="center"/>
          </w:tcPr>
          <w:p w:rsidR="00B56F4C" w:rsidRPr="004161A1" w:rsidP="005A1D5C">
            <w:pPr>
              <w:bidi w:val="0"/>
              <w:spacing w:after="0" w:line="240" w:lineRule="auto"/>
              <w:rPr>
                <w:rFonts w:ascii="Times New Roman" w:hAnsi="Times New Roman"/>
                <w:sz w:val="2"/>
              </w:rPr>
            </w:pPr>
          </w:p>
        </w:tc>
      </w:tr>
    </w:tbl>
    <w:p w:rsidR="00B56F4C" w:rsidP="00B56F4C">
      <w:pPr>
        <w:bidi w:val="0"/>
        <w:rPr>
          <w:rFonts w:ascii="Times New Roman" w:hAnsi="Times New Roman"/>
        </w:rPr>
      </w:pPr>
      <w:r>
        <w:rPr>
          <w:rFonts w:ascii="Times New Roman" w:hAnsi="Times New Roman"/>
        </w:rPr>
        <w:t> </w:t>
      </w:r>
    </w:p>
    <w:p w:rsidR="00B56F4C" w:rsidP="00B56F4C">
      <w:pPr>
        <w:bidi w:val="0"/>
        <w:rPr>
          <w:rFonts w:ascii="Times New Roman" w:hAnsi="Times New Roman"/>
        </w:rPr>
      </w:pPr>
      <w:r w:rsidRPr="004161A1">
        <w:rPr>
          <w:rFonts w:ascii="Times New Roman" w:hAnsi="Times New Roman"/>
          <w:b/>
          <w:bCs/>
        </w:rPr>
        <w:t> </w:t>
      </w:r>
    </w:p>
    <w:p w:rsidR="00B56F4C" w:rsidP="00104478">
      <w:pPr>
        <w:bidi w:val="0"/>
        <w:jc w:val="both"/>
        <w:rPr>
          <w:rFonts w:ascii="Times New Roman" w:hAnsi="Times New Roman"/>
        </w:rPr>
      </w:pPr>
      <w:r w:rsidRPr="004161A1">
        <w:rPr>
          <w:rFonts w:ascii="Times New Roman" w:hAnsi="Times New Roman"/>
          <w:b/>
          <w:bCs/>
        </w:rPr>
        <w:t>Návrh na riešenie úbytku príjmov alebo zvýšených výdavkov podľa § 33 ods. 1 zákona</w:t>
      </w:r>
      <w:r w:rsidR="00104478">
        <w:rPr>
          <w:rFonts w:ascii="Times New Roman" w:hAnsi="Times New Roman"/>
          <w:b/>
          <w:bCs/>
        </w:rPr>
        <w:t xml:space="preserve">          </w:t>
      </w:r>
      <w:r w:rsidRPr="004161A1">
        <w:rPr>
          <w:rFonts w:ascii="Times New Roman" w:hAnsi="Times New Roman"/>
          <w:b/>
          <w:bCs/>
        </w:rPr>
        <w:t xml:space="preserve"> č. 523/2004 Z. z. o rozpočtových pravidlách verejnej správy:</w:t>
      </w:r>
    </w:p>
    <w:p w:rsidR="0012679B" w:rsidP="0012679B">
      <w:pPr>
        <w:bidi w:val="0"/>
        <w:rPr>
          <w:rFonts w:ascii="Times New Roman" w:hAnsi="Times New Roman"/>
          <w:bCs/>
          <w:iCs/>
        </w:rPr>
      </w:pPr>
    </w:p>
    <w:p w:rsidR="00477B7F" w:rsidP="00477B7F">
      <w:pPr>
        <w:pBdr>
          <w:top w:val="single" w:sz="4" w:space="1" w:color="auto"/>
          <w:left w:val="single" w:sz="4" w:space="4" w:color="auto"/>
          <w:bottom w:val="single" w:sz="4" w:space="1" w:color="auto"/>
          <w:right w:val="single" w:sz="4" w:space="4" w:color="auto"/>
        </w:pBdr>
        <w:bidi w:val="0"/>
        <w:rPr>
          <w:rFonts w:ascii="Times New Roman" w:hAnsi="Times New Roman"/>
        </w:rPr>
      </w:pPr>
    </w:p>
    <w:p w:rsidR="0012679B" w:rsidP="00477B7F">
      <w:pPr>
        <w:pBdr>
          <w:top w:val="single" w:sz="4" w:space="1" w:color="auto"/>
          <w:left w:val="single" w:sz="4" w:space="4" w:color="auto"/>
          <w:bottom w:val="single" w:sz="4" w:space="1" w:color="auto"/>
          <w:right w:val="single" w:sz="4" w:space="4" w:color="auto"/>
        </w:pBdr>
        <w:bidi w:val="0"/>
        <w:rPr>
          <w:rFonts w:ascii="Times New Roman" w:hAnsi="Times New Roman"/>
        </w:rPr>
      </w:pPr>
      <w:r w:rsidRPr="00477B7F">
        <w:rPr>
          <w:rFonts w:ascii="Times New Roman" w:hAnsi="Times New Roman"/>
        </w:rPr>
        <w:t xml:space="preserve">Výdavky  štátneho rozpočtu na sociálne služby, v súlade s predkladaným návrhom, budú v roku 2012 finančne kryté z kapitoly Všeobecnej pokladničnej správy Ministerstva financií SR, a to z dotácie pre zariadenia sociálnych služieb vo výške 27 509 tis. eur a rezervy štátneho rozpočtu na rok 2012 vo výške 20 mil. eur určenej na sociálne služby, spolu v objeme 47 509 tis. eur.  Tieto finančné prostriedky budú presunuté do rozpočtu kapitoly Ministerstva práce, sociálnych vecí a rodiny SR a obciam budú poskytované formou účelovej dotácie Ministerstva práce, sociálnych vecí a rodiny SR v súlade s príslušnými ustanoveniami návrhu novely zákona o sociálnych službách. </w:t>
      </w:r>
    </w:p>
    <w:p w:rsidR="00477B7F" w:rsidRPr="00477B7F" w:rsidP="00477B7F">
      <w:pPr>
        <w:pBdr>
          <w:top w:val="single" w:sz="4" w:space="1" w:color="auto"/>
          <w:left w:val="single" w:sz="4" w:space="4" w:color="auto"/>
          <w:bottom w:val="single" w:sz="4" w:space="1" w:color="auto"/>
          <w:right w:val="single" w:sz="4" w:space="4" w:color="auto"/>
        </w:pBdr>
        <w:bidi w:val="0"/>
        <w:rPr>
          <w:rFonts w:ascii="Times New Roman" w:hAnsi="Times New Roman"/>
        </w:rPr>
      </w:pPr>
      <w:r w:rsidR="00751D57">
        <w:rPr>
          <w:rFonts w:ascii="Times New Roman" w:hAnsi="Times New Roman"/>
        </w:rPr>
        <w:t>Rovnako ako v roku 2012 aj v roku 2013 a 2014 je potrebné v štátnom rozpočte vytvoriť rezervu vo výške cca 20 mil. eur určenej na sociálne služby, aby bolo možné implementovať návrh novely zákona o sociálnych službách.</w:t>
      </w:r>
    </w:p>
    <w:p w:rsidR="0012679B" w:rsidP="0012679B">
      <w:pPr>
        <w:bidi w:val="0"/>
        <w:rPr>
          <w:rFonts w:ascii="Calibri" w:hAnsi="Calibri"/>
          <w:color w:val="1F497D"/>
          <w:sz w:val="22"/>
          <w:szCs w:val="22"/>
        </w:rPr>
      </w:pPr>
      <w:r>
        <w:rPr>
          <w:rFonts w:ascii="Calibri" w:hAnsi="Calibri"/>
          <w:color w:val="1F497D"/>
          <w:sz w:val="22"/>
          <w:szCs w:val="22"/>
        </w:rPr>
        <w:t> </w:t>
      </w:r>
    </w:p>
    <w:p w:rsidR="0012679B" w:rsidP="0012679B">
      <w:pPr>
        <w:bidi w:val="0"/>
        <w:rPr>
          <w:rFonts w:ascii="Calibri" w:hAnsi="Calibri"/>
          <w:color w:val="1F497D"/>
          <w:sz w:val="22"/>
          <w:szCs w:val="22"/>
        </w:rPr>
      </w:pPr>
    </w:p>
    <w:p w:rsidR="00B56F4C" w:rsidP="00B56F4C">
      <w:pPr>
        <w:bidi w:val="0"/>
        <w:rPr>
          <w:rFonts w:ascii="Times New Roman" w:hAnsi="Times New Roman"/>
          <w:b/>
          <w:bCs/>
        </w:rPr>
      </w:pPr>
    </w:p>
    <w:p w:rsidR="00B56F4C" w:rsidP="00B56F4C">
      <w:pPr>
        <w:bidi w:val="0"/>
        <w:rPr>
          <w:rFonts w:ascii="Times New Roman" w:hAnsi="Times New Roman"/>
        </w:rPr>
      </w:pPr>
      <w:r w:rsidRPr="004161A1">
        <w:rPr>
          <w:rFonts w:ascii="Times New Roman" w:hAnsi="Times New Roman"/>
          <w:b/>
          <w:bCs/>
        </w:rPr>
        <w:t>2.3. Popis a charakteristika návrhu</w:t>
      </w:r>
    </w:p>
    <w:p w:rsidR="00B56F4C" w:rsidP="00B56F4C">
      <w:pPr>
        <w:bidi w:val="0"/>
        <w:rPr>
          <w:rFonts w:ascii="Times New Roman" w:hAnsi="Times New Roman"/>
        </w:rPr>
      </w:pPr>
      <w:r>
        <w:rPr>
          <w:rFonts w:ascii="Times New Roman" w:hAnsi="Times New Roman"/>
        </w:rPr>
        <w:t> </w:t>
      </w:r>
    </w:p>
    <w:p w:rsidR="00B56F4C" w:rsidP="00B56F4C">
      <w:pPr>
        <w:bidi w:val="0"/>
        <w:jc w:val="both"/>
        <w:rPr>
          <w:rFonts w:ascii="Times New Roman" w:hAnsi="Times New Roman"/>
        </w:rPr>
      </w:pPr>
      <w:r w:rsidRPr="004161A1">
        <w:rPr>
          <w:rFonts w:ascii="Times New Roman" w:hAnsi="Times New Roman"/>
          <w:b/>
          <w:bCs/>
        </w:rPr>
        <w:t>2.3.1. Popis návrhu:</w:t>
      </w:r>
    </w:p>
    <w:p w:rsidR="00B56F4C" w:rsidP="00B56F4C">
      <w:pPr>
        <w:bidi w:val="0"/>
        <w:jc w:val="both"/>
        <w:rPr>
          <w:rFonts w:ascii="Times New Roman" w:hAnsi="Times New Roman"/>
        </w:rPr>
      </w:pPr>
      <w:r w:rsidRPr="004161A1">
        <w:rPr>
          <w:rFonts w:ascii="Times New Roman" w:hAnsi="Times New Roman"/>
          <w:b/>
          <w:bCs/>
        </w:rPr>
        <w:t> </w:t>
      </w:r>
    </w:p>
    <w:p w:rsidR="00B56F4C" w:rsidP="00B56F4C">
      <w:pPr>
        <w:bidi w:val="0"/>
        <w:ind w:firstLine="708"/>
        <w:jc w:val="both"/>
        <w:rPr>
          <w:rFonts w:ascii="Times New Roman" w:hAnsi="Times New Roman"/>
        </w:rPr>
      </w:pPr>
      <w:r>
        <w:rPr>
          <w:rFonts w:ascii="Times New Roman" w:hAnsi="Times New Roman"/>
        </w:rPr>
        <w:t>Akú problematiku návrhu rieši? Kto bude návrh implementovať? Kde sa budú služby poskytovať?</w:t>
      </w:r>
    </w:p>
    <w:p w:rsidR="00B56F4C" w:rsidP="00B56F4C">
      <w:pPr>
        <w:bidi w:val="0"/>
        <w:ind w:firstLine="708"/>
        <w:jc w:val="both"/>
        <w:rPr>
          <w:rFonts w:ascii="Times New Roman" w:hAnsi="Times New Roman"/>
        </w:rPr>
      </w:pPr>
      <w:r>
        <w:rPr>
          <w:rFonts w:ascii="Times New Roman" w:hAnsi="Times New Roman"/>
        </w:rPr>
        <w:t> </w:t>
      </w:r>
    </w:p>
    <w:p w:rsidR="00DF1242" w:rsidP="00DF1242">
      <w:pPr>
        <w:bidi w:val="0"/>
        <w:ind w:firstLine="708"/>
        <w:jc w:val="both"/>
        <w:rPr>
          <w:rFonts w:ascii="Times New Roman" w:hAnsi="Times New Roman"/>
        </w:rPr>
      </w:pPr>
      <w:r>
        <w:rPr>
          <w:rFonts w:ascii="Times New Roman" w:hAnsi="Times New Roman"/>
        </w:rPr>
        <w:t>Navrhovaná právna úprava ustanovuje financovanie všetkých obecných zariadení sociálnych služieb, a to bez ohľadu na to, či boli zriadené alebo založené pred alebo po 1. 7. 2002, t.j. decentralizácii sociálnych služieb na územnú samosprávu z účelovej dotácie Ministerstva práce, sociálnych vecí a rodiny SR. Ide o tieto druhy zariadení sociálnych služieb, ktoré zriadili alebo založili obce: nocľaháreň, útulok, domov na pol ceste, zariadenie núdzového bývania, zariadenie dočasnej starostlivosti o deti, zariadenie podporovaného bývania, zariadenie pre seniorov, zariadenie opatrovateľskej služby, rehabilitačné stredisko, domov sociálnych služieb, špecializované zariadenie a denný stacionár.</w:t>
      </w:r>
      <w:r w:rsidRPr="00DF1242">
        <w:rPr>
          <w:rFonts w:ascii="Times New Roman" w:hAnsi="Times New Roman"/>
        </w:rPr>
        <w:t xml:space="preserve"> </w:t>
      </w:r>
      <w:r>
        <w:rPr>
          <w:rFonts w:ascii="Times New Roman" w:hAnsi="Times New Roman"/>
        </w:rPr>
        <w:t>Pri týchto druhoch sociálnych služieb sa určuje výška dotácie na jedn</w:t>
      </w:r>
      <w:r w:rsidR="0040269E">
        <w:rPr>
          <w:rFonts w:ascii="Times New Roman" w:hAnsi="Times New Roman"/>
        </w:rPr>
        <w:t>o miesto</w:t>
      </w:r>
      <w:r>
        <w:rPr>
          <w:rFonts w:ascii="Times New Roman" w:hAnsi="Times New Roman"/>
        </w:rPr>
        <w:t xml:space="preserve"> na mesiac a rozpočtový rok priamo zákonom o sociálnych službách.</w:t>
      </w:r>
    </w:p>
    <w:p w:rsidR="00B56F4C" w:rsidP="00B56F4C">
      <w:pPr>
        <w:bidi w:val="0"/>
        <w:ind w:firstLine="708"/>
        <w:jc w:val="both"/>
        <w:rPr>
          <w:rFonts w:ascii="Times New Roman" w:hAnsi="Times New Roman"/>
        </w:rPr>
      </w:pPr>
      <w:r>
        <w:rPr>
          <w:rFonts w:ascii="Times New Roman" w:hAnsi="Times New Roman"/>
        </w:rPr>
        <w:t xml:space="preserve"> Predkladaný návrh novely zákona upravuje </w:t>
      </w:r>
      <w:r w:rsidR="00DF1242">
        <w:rPr>
          <w:rFonts w:ascii="Times New Roman" w:hAnsi="Times New Roman"/>
        </w:rPr>
        <w:t>aj financovanie</w:t>
      </w:r>
      <w:r>
        <w:rPr>
          <w:rFonts w:ascii="Times New Roman" w:hAnsi="Times New Roman"/>
        </w:rPr>
        <w:t xml:space="preserve"> neverejných poskytovateľov sociálnej služby v nocľahárni, zariadení pre seniorov, v zariadení opatrovateľskej služby a dennom stacionári </w:t>
      </w:r>
      <w:r w:rsidR="00DF1242">
        <w:rPr>
          <w:rFonts w:ascii="Times New Roman" w:hAnsi="Times New Roman"/>
        </w:rPr>
        <w:t>obcou z účelovej dotácie</w:t>
      </w:r>
      <w:r w:rsidRPr="00DF1242" w:rsidR="00DF1242">
        <w:rPr>
          <w:rFonts w:ascii="Times New Roman" w:hAnsi="Times New Roman"/>
        </w:rPr>
        <w:t xml:space="preserve"> </w:t>
      </w:r>
      <w:r w:rsidR="00DF1242">
        <w:rPr>
          <w:rFonts w:ascii="Times New Roman" w:hAnsi="Times New Roman"/>
        </w:rPr>
        <w:t xml:space="preserve">Ministerstva práce, sociálnych vecí a rodiny SR. Pri týchto druhoch sociálnych služieb sa rovnako určuje výška dotácie na jedno </w:t>
      </w:r>
      <w:r w:rsidR="0040269E">
        <w:rPr>
          <w:rFonts w:ascii="Times New Roman" w:hAnsi="Times New Roman"/>
        </w:rPr>
        <w:t>miesto</w:t>
      </w:r>
      <w:r w:rsidR="00DF1242">
        <w:rPr>
          <w:rFonts w:ascii="Times New Roman" w:hAnsi="Times New Roman"/>
        </w:rPr>
        <w:t xml:space="preserve"> na mesiac a rozpočtový rok priamo zákonom o sociálnych službách.</w:t>
      </w:r>
    </w:p>
    <w:p w:rsidR="00DF1242" w:rsidP="00B56F4C">
      <w:pPr>
        <w:bidi w:val="0"/>
        <w:ind w:firstLine="708"/>
        <w:jc w:val="both"/>
        <w:rPr>
          <w:rFonts w:ascii="Times New Roman" w:hAnsi="Times New Roman"/>
        </w:rPr>
      </w:pPr>
    </w:p>
    <w:p w:rsidR="00B56F4C" w:rsidP="00DF1242">
      <w:pPr>
        <w:bidi w:val="0"/>
        <w:jc w:val="both"/>
        <w:rPr>
          <w:rFonts w:ascii="Times New Roman" w:hAnsi="Times New Roman"/>
        </w:rPr>
      </w:pPr>
      <w:r>
        <w:rPr>
          <w:rFonts w:ascii="Times New Roman" w:hAnsi="Times New Roman"/>
        </w:rPr>
        <w:tab/>
      </w:r>
    </w:p>
    <w:p w:rsidR="00B56F4C" w:rsidP="00B56F4C">
      <w:pPr>
        <w:bidi w:val="0"/>
        <w:ind w:firstLine="708"/>
        <w:jc w:val="both"/>
        <w:rPr>
          <w:rFonts w:ascii="Times New Roman" w:hAnsi="Times New Roman"/>
        </w:rPr>
      </w:pPr>
      <w:r>
        <w:rPr>
          <w:rFonts w:ascii="Times New Roman" w:hAnsi="Times New Roman"/>
        </w:rPr>
        <w:t>Ďalej predkladaný návrh novely obsahuje tieto zmeny a doplnky právnej úpravy:</w:t>
      </w:r>
    </w:p>
    <w:p w:rsidR="00B56F4C" w:rsidP="00B56F4C">
      <w:pPr>
        <w:bidi w:val="0"/>
        <w:jc w:val="both"/>
        <w:rPr>
          <w:rFonts w:ascii="Times New Roman" w:hAnsi="Times New Roman"/>
        </w:rPr>
      </w:pPr>
    </w:p>
    <w:p w:rsidR="00B56F4C" w:rsidP="00104478">
      <w:pPr>
        <w:numPr>
          <w:numId w:val="2"/>
        </w:numPr>
        <w:bidi w:val="0"/>
        <w:ind w:left="142" w:hanging="142"/>
        <w:jc w:val="both"/>
        <w:rPr>
          <w:rFonts w:ascii="Times New Roman" w:hAnsi="Times New Roman"/>
        </w:rPr>
      </w:pPr>
      <w:r>
        <w:rPr>
          <w:rFonts w:ascii="Times New Roman" w:hAnsi="Times New Roman"/>
        </w:rPr>
        <w:t>novo sa ustanovuje pôsobnosť MPSVR SR rozhodovať v správnom konaní o zastavení činnosti osobe podľa § 99 ods. 5 (nelegálny poskytovateľ sociálnej služby) a súvisiaca rozhodovacia pôsobnosť a ukladanie pokuty tejto osobe vo výške 35 000 eur,</w:t>
      </w:r>
    </w:p>
    <w:p w:rsidR="00B56F4C" w:rsidP="00B56F4C">
      <w:pPr>
        <w:bidi w:val="0"/>
        <w:jc w:val="both"/>
        <w:rPr>
          <w:rFonts w:ascii="Times New Roman" w:hAnsi="Times New Roman"/>
        </w:rPr>
      </w:pPr>
    </w:p>
    <w:p w:rsidR="00B56F4C" w:rsidP="00104478">
      <w:pPr>
        <w:bidi w:val="0"/>
        <w:ind w:left="142" w:hanging="142"/>
        <w:jc w:val="both"/>
        <w:rPr>
          <w:rFonts w:ascii="Times New Roman" w:hAnsi="Times New Roman"/>
        </w:rPr>
      </w:pPr>
      <w:r>
        <w:rPr>
          <w:rFonts w:ascii="Times New Roman" w:hAnsi="Times New Roman"/>
        </w:rPr>
        <w:t>- v rámci kvalifikačných predpokladov na výkon odbornej činnosti opatrovateľa  sa pripúšťajú aj iné formy špecifikovaného dosiahnutého vzdelania a upúšťa sa z požiadavky tohto vzdelania u f</w:t>
      </w:r>
      <w:r w:rsidR="00C85D5A">
        <w:rPr>
          <w:rFonts w:ascii="Times New Roman" w:hAnsi="Times New Roman"/>
        </w:rPr>
        <w:t>yzických osôb, ktoré dovŕšili 55</w:t>
      </w:r>
      <w:r>
        <w:rPr>
          <w:rFonts w:ascii="Times New Roman" w:hAnsi="Times New Roman"/>
        </w:rPr>
        <w:t xml:space="preserve"> rokov veku a vykonávajú opatrovanie najmenej tri roky,</w:t>
      </w:r>
    </w:p>
    <w:p w:rsidR="00B56F4C" w:rsidP="00104478">
      <w:pPr>
        <w:bidi w:val="0"/>
        <w:ind w:left="142" w:hanging="142"/>
        <w:jc w:val="both"/>
        <w:rPr>
          <w:rFonts w:ascii="Times New Roman" w:hAnsi="Times New Roman"/>
        </w:rPr>
      </w:pPr>
    </w:p>
    <w:p w:rsidR="00B56F4C" w:rsidP="00104478">
      <w:pPr>
        <w:bidi w:val="0"/>
        <w:ind w:left="142" w:hanging="142"/>
        <w:jc w:val="both"/>
        <w:rPr>
          <w:rFonts w:ascii="Times New Roman" w:hAnsi="Times New Roman"/>
        </w:rPr>
      </w:pPr>
      <w:r>
        <w:rPr>
          <w:rFonts w:ascii="Times New Roman" w:hAnsi="Times New Roman"/>
        </w:rPr>
        <w:t>- predlžuje sa lehota na splnenie povinnosti poskytovateľa sociálnej služby splniť všeobecné technické požiadavky na výstavbu a všeobecné technické požiadavky na stavby užívané fyzickými osobami s obmedzenou schopnosťou pohybu a orientácie z lehoty do 31.12.2013 na lehotu do 31.12.2015,</w:t>
      </w:r>
    </w:p>
    <w:p w:rsidR="00B56F4C" w:rsidP="00104478">
      <w:pPr>
        <w:bidi w:val="0"/>
        <w:ind w:left="142" w:hanging="142"/>
        <w:jc w:val="both"/>
        <w:rPr>
          <w:rFonts w:ascii="Times New Roman" w:hAnsi="Times New Roman"/>
        </w:rPr>
      </w:pPr>
    </w:p>
    <w:p w:rsidR="00B56F4C" w:rsidP="00104478">
      <w:pPr>
        <w:bidi w:val="0"/>
        <w:ind w:left="142" w:hanging="142"/>
        <w:jc w:val="both"/>
        <w:rPr>
          <w:rFonts w:ascii="Times New Roman" w:hAnsi="Times New Roman"/>
        </w:rPr>
      </w:pPr>
      <w:r>
        <w:rPr>
          <w:rFonts w:ascii="Times New Roman" w:hAnsi="Times New Roman"/>
        </w:rPr>
        <w:t>- predlžuje sa lehota na splnenie povinnosti poskytovateľa sociálnej služby splniť podmienku podľa prílohy č. 1 k zákonu- maximálny počet prijímateľov sociálnej služby na jedného zamestnanca a minimálny percentuálny podiel odborných zamestnancov na celkovom počte zamestnancov (personálny normatív) z lehoty do 31.12.2012 na lehotu do 31.12.2015,</w:t>
      </w:r>
    </w:p>
    <w:p w:rsidR="00B56F4C" w:rsidP="00104478">
      <w:pPr>
        <w:bidi w:val="0"/>
        <w:ind w:left="142" w:hanging="142"/>
        <w:jc w:val="both"/>
        <w:rPr>
          <w:rFonts w:ascii="Times New Roman" w:hAnsi="Times New Roman"/>
        </w:rPr>
      </w:pPr>
    </w:p>
    <w:p w:rsidR="00B56F4C" w:rsidP="00104478">
      <w:pPr>
        <w:numPr>
          <w:numId w:val="2"/>
        </w:numPr>
        <w:bidi w:val="0"/>
        <w:ind w:left="284" w:hanging="284"/>
        <w:jc w:val="both"/>
        <w:rPr>
          <w:rFonts w:ascii="Times New Roman" w:hAnsi="Times New Roman"/>
        </w:rPr>
      </w:pPr>
      <w:r>
        <w:rPr>
          <w:rFonts w:ascii="Times New Roman" w:hAnsi="Times New Roman"/>
        </w:rPr>
        <w:t xml:space="preserve">sprísnenie podmienok  na poskytovanie sociálnej služby v zariadení pre seniorov – ustanovenie podmienky stupňa odkázanosti na pomoc inej osoby najmenej </w:t>
      </w:r>
      <w:r w:rsidR="00C85D5A">
        <w:rPr>
          <w:rFonts w:ascii="Times New Roman" w:hAnsi="Times New Roman"/>
        </w:rPr>
        <w:t>IV</w:t>
      </w:r>
      <w:r>
        <w:rPr>
          <w:rFonts w:ascii="Times New Roman" w:hAnsi="Times New Roman"/>
        </w:rPr>
        <w:t>, na rozdiel od doterajšej právnej úpravy, ktorá ustanovovala nižší stupeň odkázanosti - od II. stupňa odkázanosti),</w:t>
      </w:r>
    </w:p>
    <w:p w:rsidR="00B56F4C" w:rsidP="00104478">
      <w:pPr>
        <w:bidi w:val="0"/>
        <w:ind w:left="284" w:hanging="284"/>
        <w:jc w:val="both"/>
        <w:rPr>
          <w:rFonts w:ascii="Times New Roman" w:hAnsi="Times New Roman"/>
        </w:rPr>
      </w:pPr>
    </w:p>
    <w:p w:rsidR="00B56F4C" w:rsidP="00104478">
      <w:pPr>
        <w:numPr>
          <w:numId w:val="2"/>
        </w:numPr>
        <w:bidi w:val="0"/>
        <w:ind w:left="284" w:hanging="284"/>
        <w:jc w:val="both"/>
        <w:rPr>
          <w:rFonts w:ascii="Times New Roman" w:hAnsi="Times New Roman"/>
        </w:rPr>
      </w:pPr>
      <w:r>
        <w:rPr>
          <w:rFonts w:ascii="Times New Roman" w:hAnsi="Times New Roman"/>
        </w:rPr>
        <w:t>upustenie od vykonávania posudkovej činnosti a od rozhodovania o odkázanosti na sociálnu službu v správnom konaní u tzv. sam</w:t>
      </w:r>
      <w:r w:rsidR="0040269E">
        <w:rPr>
          <w:rFonts w:ascii="Times New Roman" w:hAnsi="Times New Roman"/>
        </w:rPr>
        <w:t>oplatcov, u ktorých sa na úhradu</w:t>
      </w:r>
      <w:r>
        <w:rPr>
          <w:rFonts w:ascii="Times New Roman" w:hAnsi="Times New Roman"/>
        </w:rPr>
        <w:t xml:space="preserve"> nákladov za poskytovanú sociálnu službu ne</w:t>
      </w:r>
      <w:r w:rsidR="0040269E">
        <w:rPr>
          <w:rFonts w:ascii="Times New Roman" w:hAnsi="Times New Roman"/>
        </w:rPr>
        <w:t>poskytujú</w:t>
      </w:r>
      <w:r>
        <w:rPr>
          <w:rFonts w:ascii="Times New Roman" w:hAnsi="Times New Roman"/>
        </w:rPr>
        <w:t xml:space="preserve"> verejné finančné prostriedky - úhradu za poskytovanú sociálnu službu platí prijímateľ sociálnej služby najmenej vo výške ekonomicky oprávnených nákladov spojených s poskytovaním tejto sociálnej služby,</w:t>
      </w:r>
    </w:p>
    <w:p w:rsidR="00B56F4C" w:rsidP="00104478">
      <w:pPr>
        <w:bidi w:val="0"/>
        <w:ind w:left="142" w:hanging="142"/>
        <w:jc w:val="both"/>
        <w:rPr>
          <w:rFonts w:ascii="Times New Roman" w:hAnsi="Times New Roman"/>
        </w:rPr>
      </w:pPr>
    </w:p>
    <w:p w:rsidR="00B56F4C" w:rsidP="00104478">
      <w:pPr>
        <w:numPr>
          <w:numId w:val="2"/>
        </w:numPr>
        <w:bidi w:val="0"/>
        <w:ind w:left="284" w:hanging="284"/>
        <w:jc w:val="both"/>
        <w:rPr>
          <w:rFonts w:ascii="Times New Roman" w:hAnsi="Times New Roman"/>
        </w:rPr>
      </w:pPr>
      <w:r>
        <w:rPr>
          <w:rFonts w:ascii="Times New Roman" w:hAnsi="Times New Roman"/>
        </w:rPr>
        <w:t>ustanovuje sa minimálna výška úhrady za sociálnu službu uvedenú v § 34 až 41 (zariadenie podporovaného bývania, zariadenie pre seniorov, zariadenie opatrovateľskej služby, rehabilitačné stredisko, domov sociálnych služieb, špecializované zariadenie, denný stacionár, opatrovateľská služba), a to vo výške 50 % priemerných ekonomicky oprávnených nákladov na túto sociálnu službu u poskytovateľov sociálnej služby v územnom obvode za predchádzajúci rozpočtový rok, ktorou sú obce a vyššie územné celky viazané pri úprave úhrady vo všeobecne záväznom nariadení,</w:t>
      </w:r>
    </w:p>
    <w:p w:rsidR="00B56F4C" w:rsidP="00B56F4C">
      <w:pPr>
        <w:bidi w:val="0"/>
        <w:jc w:val="both"/>
        <w:rPr>
          <w:rFonts w:ascii="Times New Roman" w:hAnsi="Times New Roman"/>
        </w:rPr>
      </w:pPr>
    </w:p>
    <w:p w:rsidR="00B56F4C" w:rsidP="00104478">
      <w:pPr>
        <w:bidi w:val="0"/>
        <w:ind w:left="284" w:hanging="284"/>
        <w:jc w:val="both"/>
        <w:rPr>
          <w:rFonts w:ascii="Times New Roman" w:hAnsi="Times New Roman"/>
        </w:rPr>
      </w:pPr>
      <w:r>
        <w:rPr>
          <w:rFonts w:ascii="Times New Roman" w:hAnsi="Times New Roman"/>
        </w:rPr>
        <w:t xml:space="preserve">- </w:t>
      </w:r>
      <w:r w:rsidR="00104478">
        <w:rPr>
          <w:rFonts w:ascii="Times New Roman" w:hAnsi="Times New Roman"/>
        </w:rPr>
        <w:t xml:space="preserve"> </w:t>
      </w:r>
      <w:r>
        <w:rPr>
          <w:rFonts w:ascii="Times New Roman" w:hAnsi="Times New Roman"/>
        </w:rPr>
        <w:t xml:space="preserve">na účely platenia úhrady za poskytovanú sociálnu službu sa novo ustanovuje prihliadať okrem príjmu klienta a jeho rodiny aj na ich majetok, ako aj na predaj alebo darovanie nehnuteľného majetku prijímateľa sociálnej služby alebo na iný právny úkon prijímateľa sociálnej služby, ktorým sa zmenšil jeho majetok bez primeraného protiplnenia v období piatich po sebe nasledujúcich  kalendárnych rokov, ktoré predchádzajú posudzovaniu majetku na účely platenia úhrady. </w:t>
      </w:r>
    </w:p>
    <w:p w:rsidR="00B56F4C" w:rsidP="00B56F4C">
      <w:pPr>
        <w:bidi w:val="0"/>
        <w:jc w:val="both"/>
        <w:rPr>
          <w:rFonts w:ascii="Times New Roman" w:hAnsi="Times New Roman"/>
        </w:rPr>
      </w:pPr>
    </w:p>
    <w:p w:rsidR="00B56F4C" w:rsidP="00104478">
      <w:pPr>
        <w:bidi w:val="0"/>
        <w:ind w:left="284" w:hanging="284"/>
        <w:jc w:val="both"/>
        <w:rPr>
          <w:rFonts w:ascii="Times New Roman" w:hAnsi="Times New Roman"/>
        </w:rPr>
      </w:pPr>
      <w:r>
        <w:rPr>
          <w:rFonts w:ascii="Times New Roman" w:hAnsi="Times New Roman"/>
        </w:rPr>
        <w:t>- v nadväznosti na prihliadanie na majetok pri určení výšky úhrady sa adekvátne neuplatňuje ochrana príjmu pred neprimeranou úhradou za zákonom stanovených podmienok.</w:t>
      </w:r>
    </w:p>
    <w:p w:rsidR="00B56F4C" w:rsidP="00B56F4C">
      <w:pPr>
        <w:bidi w:val="0"/>
        <w:jc w:val="both"/>
        <w:rPr>
          <w:rFonts w:ascii="Times New Roman" w:hAnsi="Times New Roman"/>
        </w:rPr>
      </w:pPr>
    </w:p>
    <w:p w:rsidR="00B56F4C" w:rsidP="00B56F4C">
      <w:pPr>
        <w:bidi w:val="0"/>
        <w:jc w:val="both"/>
        <w:rPr>
          <w:rFonts w:ascii="Times New Roman" w:hAnsi="Times New Roman"/>
        </w:rPr>
      </w:pPr>
      <w:r>
        <w:rPr>
          <w:rFonts w:ascii="Times New Roman" w:hAnsi="Times New Roman"/>
        </w:rPr>
        <w:t xml:space="preserve"> </w:t>
      </w:r>
    </w:p>
    <w:p w:rsidR="00B56F4C" w:rsidP="00B56F4C">
      <w:pPr>
        <w:bidi w:val="0"/>
        <w:rPr>
          <w:rFonts w:ascii="Times New Roman" w:hAnsi="Times New Roman"/>
        </w:rPr>
      </w:pPr>
    </w:p>
    <w:p w:rsidR="00B56F4C" w:rsidP="00B56F4C">
      <w:pPr>
        <w:bidi w:val="0"/>
        <w:rPr>
          <w:rFonts w:ascii="Times New Roman" w:hAnsi="Times New Roman"/>
        </w:rPr>
      </w:pPr>
      <w:r>
        <w:rPr>
          <w:rFonts w:ascii="Times New Roman" w:hAnsi="Times New Roman"/>
        </w:rPr>
        <w:t>................................................................................................................................................</w:t>
      </w:r>
    </w:p>
    <w:p w:rsidR="00B56F4C" w:rsidP="00B56F4C">
      <w:pPr>
        <w:bidi w:val="0"/>
        <w:rPr>
          <w:rFonts w:ascii="Times New Roman" w:hAnsi="Times New Roman"/>
        </w:rPr>
      </w:pPr>
      <w:r>
        <w:rPr>
          <w:rFonts w:ascii="Times New Roman" w:hAnsi="Times New Roman"/>
        </w:rPr>
        <w:t> </w:t>
      </w:r>
    </w:p>
    <w:p w:rsidR="00B56F4C" w:rsidP="00B56F4C">
      <w:pPr>
        <w:bidi w:val="0"/>
        <w:rPr>
          <w:rFonts w:ascii="Times New Roman" w:hAnsi="Times New Roman"/>
        </w:rPr>
      </w:pPr>
      <w:r w:rsidRPr="004161A1">
        <w:rPr>
          <w:rFonts w:ascii="Times New Roman" w:hAnsi="Times New Roman"/>
          <w:b/>
          <w:bCs/>
        </w:rPr>
        <w:t>2.3.2. Charakteristika návrhu podľa bodu  2.3.2. Metodiky :</w:t>
      </w:r>
    </w:p>
    <w:p w:rsidR="00B56F4C" w:rsidP="00B56F4C">
      <w:pPr>
        <w:bidi w:val="0"/>
        <w:rPr>
          <w:rFonts w:ascii="Times New Roman" w:hAnsi="Times New Roman"/>
        </w:rPr>
      </w:pPr>
      <w:r>
        <w:rPr>
          <w:rFonts w:ascii="Times New Roman" w:hAnsi="Times New Roman"/>
        </w:rPr>
        <w:t> </w:t>
      </w:r>
    </w:p>
    <w:p w:rsidR="00B56F4C" w:rsidP="00B56F4C">
      <w:pPr>
        <w:bidi w:val="0"/>
        <w:rPr>
          <w:rFonts w:ascii="Times New Roman" w:hAnsi="Times New Roman"/>
        </w:rPr>
      </w:pPr>
      <w:r w:rsidRPr="004161A1">
        <w:rPr>
          <w:rFonts w:ascii="Times New Roman" w:hAnsi="Times New Roman"/>
          <w:b/>
          <w:bCs/>
          <w:bdr w:val="single" w:sz="4" w:space="0" w:color="000000" w:frame="1"/>
        </w:rPr>
        <w:t xml:space="preserve">     </w:t>
      </w:r>
      <w:r w:rsidRPr="004161A1">
        <w:rPr>
          <w:rFonts w:ascii="Times New Roman" w:hAnsi="Times New Roman"/>
          <w:b/>
          <w:bCs/>
        </w:rPr>
        <w:t xml:space="preserve">  </w:t>
      </w:r>
      <w:r>
        <w:rPr>
          <w:rFonts w:ascii="Times New Roman" w:hAnsi="Times New Roman"/>
        </w:rPr>
        <w:t>zmena sadzby</w:t>
      </w:r>
    </w:p>
    <w:p w:rsidR="00B56F4C" w:rsidP="00B56F4C">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B56F4C" w:rsidP="00B56F4C">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B56F4C" w:rsidP="00B56F4C">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B56F4C" w:rsidP="00B56F4C">
      <w:pPr>
        <w:bidi w:val="0"/>
        <w:rPr>
          <w:rFonts w:ascii="Times New Roman" w:hAnsi="Times New Roman"/>
        </w:rPr>
      </w:pPr>
      <w:r>
        <w:rPr>
          <w:rFonts w:ascii="Times New Roman" w:hAnsi="Times New Roman"/>
          <w:bdr w:val="single" w:sz="4" w:space="0" w:color="000000" w:frame="1"/>
        </w:rPr>
        <w:t xml:space="preserve"> x  </w:t>
      </w:r>
      <w:r>
        <w:rPr>
          <w:rFonts w:ascii="Times New Roman" w:hAnsi="Times New Roman"/>
        </w:rPr>
        <w:t xml:space="preserve">  iné </w:t>
      </w:r>
    </w:p>
    <w:p w:rsidR="00B56F4C" w:rsidP="00B56F4C">
      <w:pPr>
        <w:bidi w:val="0"/>
        <w:rPr>
          <w:rFonts w:ascii="Times New Roman" w:hAnsi="Times New Roman"/>
        </w:rPr>
      </w:pPr>
      <w:r>
        <w:rPr>
          <w:rFonts w:ascii="Times New Roman" w:hAnsi="Times New Roman"/>
        </w:rPr>
        <w:t> </w:t>
      </w:r>
    </w:p>
    <w:p w:rsidR="00A351C2" w:rsidP="00B56F4C">
      <w:pPr>
        <w:bidi w:val="0"/>
        <w:rPr>
          <w:rFonts w:ascii="Times New Roman" w:hAnsi="Times New Roman"/>
        </w:rPr>
      </w:pPr>
    </w:p>
    <w:p w:rsidR="00B56F4C" w:rsidP="00B56F4C">
      <w:pPr>
        <w:bidi w:val="0"/>
        <w:rPr>
          <w:rFonts w:ascii="Times New Roman" w:hAnsi="Times New Roman"/>
        </w:rPr>
      </w:pPr>
      <w:r>
        <w:rPr>
          <w:rFonts w:ascii="Times New Roman" w:hAnsi="Times New Roman"/>
        </w:rPr>
        <w:t> </w:t>
      </w:r>
    </w:p>
    <w:p w:rsidR="00B56F4C" w:rsidP="00B56F4C">
      <w:pPr>
        <w:bidi w:val="0"/>
        <w:rPr>
          <w:rFonts w:ascii="Times New Roman" w:hAnsi="Times New Roman"/>
        </w:rPr>
      </w:pPr>
      <w:r w:rsidRPr="004161A1">
        <w:rPr>
          <w:rFonts w:ascii="Times New Roman" w:hAnsi="Times New Roman"/>
          <w:b/>
          <w:bCs/>
        </w:rPr>
        <w:t>2.3.3. Predpoklady vývoja objemu aktivít:</w:t>
      </w:r>
    </w:p>
    <w:p w:rsidR="00B56F4C" w:rsidP="00B56F4C">
      <w:pPr>
        <w:bidi w:val="0"/>
        <w:rPr>
          <w:rFonts w:ascii="Times New Roman" w:hAnsi="Times New Roman"/>
        </w:rPr>
      </w:pPr>
      <w:r>
        <w:rPr>
          <w:rFonts w:ascii="Times New Roman" w:hAnsi="Times New Roman"/>
        </w:rPr>
        <w:t> </w:t>
      </w:r>
    </w:p>
    <w:p w:rsidR="00B56F4C" w:rsidP="00B56F4C">
      <w:pPr>
        <w:bidi w:val="0"/>
        <w:ind w:firstLine="708"/>
        <w:jc w:val="both"/>
        <w:rPr>
          <w:rFonts w:ascii="Times New Roman" w:hAnsi="Times New Roman"/>
        </w:rPr>
      </w:pPr>
      <w:r>
        <w:rPr>
          <w:rFonts w:ascii="Times New Roman" w:hAnsi="Times New Roman"/>
        </w:rPr>
        <w:t>Jasne popíšte, v prípade potreby použite nižšie uvedenú tabuľku. Uveďte aj odhady základov daní a/alebo poplatkov, ak sa ich táto zmena týka.</w:t>
      </w:r>
    </w:p>
    <w:p w:rsidR="00A351C2" w:rsidP="00B56F4C">
      <w:pPr>
        <w:bidi w:val="0"/>
        <w:ind w:firstLine="708"/>
        <w:jc w:val="both"/>
        <w:rPr>
          <w:rFonts w:ascii="Times New Roman" w:hAnsi="Times New Roman"/>
        </w:rPr>
      </w:pPr>
    </w:p>
    <w:p w:rsidR="00A351C2" w:rsidP="00B56F4C">
      <w:pPr>
        <w:bidi w:val="0"/>
        <w:ind w:firstLine="708"/>
        <w:jc w:val="both"/>
        <w:rPr>
          <w:rFonts w:ascii="Times New Roman" w:hAnsi="Times New Roman"/>
        </w:rPr>
      </w:pPr>
    </w:p>
    <w:p w:rsidR="00B56F4C" w:rsidP="00B56F4C">
      <w:pPr>
        <w:bidi w:val="0"/>
        <w:jc w:val="right"/>
        <w:rPr>
          <w:rFonts w:ascii="Times New Roman" w:hAnsi="Times New Roman"/>
        </w:rPr>
      </w:pPr>
      <w:r w:rsidRPr="004161A1">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B56F4C" w:rsidRPr="004161A1" w:rsidP="005A1D5C">
            <w:pPr>
              <w:bidi w:val="0"/>
              <w:spacing w:after="0" w:line="70" w:lineRule="atLeast"/>
              <w:jc w:val="center"/>
              <w:rPr>
                <w:rFonts w:ascii="Times New Roman" w:hAnsi="Times New Roman"/>
              </w:rPr>
            </w:pPr>
            <w:r w:rsidRPr="004161A1">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B56F4C" w:rsidRPr="004161A1" w:rsidP="005A1D5C">
            <w:pPr>
              <w:bidi w:val="0"/>
              <w:spacing w:after="0" w:line="70" w:lineRule="atLeast"/>
              <w:jc w:val="center"/>
              <w:rPr>
                <w:rFonts w:ascii="Times New Roman" w:hAnsi="Times New Roman"/>
              </w:rPr>
            </w:pPr>
            <w:r w:rsidRPr="004161A1">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B56F4C" w:rsidRPr="004161A1" w:rsidP="005A1D5C">
            <w:pPr>
              <w:bidi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B56F4C" w:rsidRPr="004161A1" w:rsidP="005A1D5C">
            <w:pPr>
              <w:bidi w:val="0"/>
              <w:spacing w:after="0" w:line="70" w:lineRule="atLeast"/>
              <w:jc w:val="center"/>
              <w:rPr>
                <w:rFonts w:ascii="Times New Roman" w:hAnsi="Times New Roman"/>
              </w:rPr>
            </w:pPr>
            <w:r w:rsidRPr="004161A1">
              <w:rPr>
                <w:rFonts w:ascii="Times New Roman" w:hAnsi="Times New Roman"/>
                <w:b/>
                <w:bCs/>
                <w:color w:val="FFFFFF"/>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B56F4C" w:rsidRPr="004161A1" w:rsidP="005A1D5C">
            <w:pPr>
              <w:bidi w:val="0"/>
              <w:spacing w:after="0" w:line="70" w:lineRule="atLeast"/>
              <w:jc w:val="center"/>
              <w:rPr>
                <w:rFonts w:ascii="Times New Roman" w:hAnsi="Times New Roman"/>
              </w:rPr>
            </w:pPr>
            <w:r w:rsidRPr="004161A1">
              <w:rPr>
                <w:rFonts w:ascii="Times New Roman" w:hAnsi="Times New Roman"/>
                <w:b/>
                <w:bCs/>
                <w:color w:val="FFFFFF"/>
              </w:rPr>
              <w:t>r + 1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B56F4C" w:rsidRPr="004161A1" w:rsidP="005A1D5C">
            <w:pPr>
              <w:bidi w:val="0"/>
              <w:spacing w:after="0" w:line="70" w:lineRule="atLeast"/>
              <w:jc w:val="center"/>
              <w:rPr>
                <w:rFonts w:ascii="Times New Roman" w:hAnsi="Times New Roman"/>
              </w:rPr>
            </w:pPr>
            <w:r w:rsidRPr="004161A1">
              <w:rPr>
                <w:rFonts w:ascii="Times New Roman" w:hAnsi="Times New Roman"/>
                <w:b/>
                <w:bCs/>
                <w:color w:val="FFFFFF"/>
              </w:rPr>
              <w:t>r + 2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B56F4C" w:rsidRPr="004161A1" w:rsidP="005A1D5C">
            <w:pPr>
              <w:bidi w:val="0"/>
              <w:spacing w:after="0" w:line="70" w:lineRule="atLeast"/>
              <w:jc w:val="center"/>
              <w:rPr>
                <w:rFonts w:ascii="Times New Roman" w:hAnsi="Times New Roman"/>
              </w:rPr>
            </w:pPr>
            <w:r w:rsidRPr="004161A1">
              <w:rPr>
                <w:rFonts w:ascii="Times New Roman" w:hAnsi="Times New Roman"/>
                <w:b/>
                <w:bCs/>
                <w:color w:val="FFFFFF"/>
              </w:rPr>
              <w:t>r + 3</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rPr>
                <w:rFonts w:ascii="Times New Roman" w:hAnsi="Times New Roman"/>
              </w:rPr>
            </w:pPr>
            <w:r w:rsidRPr="004161A1">
              <w:rPr>
                <w:rFonts w:ascii="Times New Roman" w:hAnsi="Times New Roman"/>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rPr>
                <w:rFonts w:ascii="Times New Roman" w:hAnsi="Times New Roman"/>
              </w:rPr>
            </w:pPr>
            <w:r w:rsidRPr="004161A1">
              <w:rPr>
                <w:rFonts w:ascii="Times New Roman" w:hAnsi="Times New Roman"/>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rPr>
                <w:rFonts w:ascii="Times New Roman" w:hAnsi="Times New Roman"/>
              </w:rPr>
            </w:pPr>
            <w:r w:rsidRPr="004161A1">
              <w:rPr>
                <w:rFonts w:ascii="Times New Roman" w:hAnsi="Times New Roman"/>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B56F4C" w:rsidRPr="004161A1" w:rsidP="005A1D5C">
            <w:pPr>
              <w:bidi w:val="0"/>
              <w:spacing w:after="0"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B56F4C" w:rsidRPr="004161A1" w:rsidP="005A1D5C">
            <w:pPr>
              <w:bidi w:val="0"/>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B56F4C" w:rsidRPr="004161A1" w:rsidP="005A1D5C">
            <w:pPr>
              <w:bidi w:val="0"/>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B56F4C" w:rsidRPr="004161A1" w:rsidP="005A1D5C">
            <w:pPr>
              <w:bidi w:val="0"/>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B56F4C" w:rsidRPr="004161A1" w:rsidP="005A1D5C">
            <w:pPr>
              <w:bidi w:val="0"/>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B56F4C" w:rsidRPr="004161A1" w:rsidP="005A1D5C">
            <w:pPr>
              <w:bidi w:val="0"/>
              <w:spacing w:after="0" w:line="240" w:lineRule="auto"/>
              <w:rPr>
                <w:rFonts w:ascii="Times New Roman" w:hAnsi="Times New Roman"/>
                <w:sz w:val="2"/>
              </w:rPr>
            </w:pPr>
          </w:p>
        </w:tc>
      </w:tr>
    </w:tbl>
    <w:p w:rsidR="00B56F4C" w:rsidP="00B56F4C">
      <w:pPr>
        <w:bidi w:val="0"/>
        <w:rPr>
          <w:rFonts w:ascii="Times New Roman" w:hAnsi="Times New Roman"/>
        </w:rPr>
      </w:pPr>
      <w:r>
        <w:rPr>
          <w:rFonts w:ascii="Times New Roman" w:hAnsi="Times New Roman"/>
        </w:rPr>
        <w:t> </w:t>
      </w:r>
    </w:p>
    <w:p w:rsidR="00B56F4C" w:rsidP="00B56F4C">
      <w:pPr>
        <w:bidi w:val="0"/>
        <w:rPr>
          <w:rFonts w:ascii="Times New Roman" w:hAnsi="Times New Roman"/>
        </w:rPr>
      </w:pPr>
      <w:r>
        <w:rPr>
          <w:rFonts w:ascii="Times New Roman" w:hAnsi="Times New Roman"/>
        </w:rPr>
        <w:t> </w:t>
      </w:r>
    </w:p>
    <w:p w:rsidR="00A351C2" w:rsidP="00B56F4C">
      <w:pPr>
        <w:bidi w:val="0"/>
        <w:rPr>
          <w:rFonts w:ascii="Times New Roman" w:hAnsi="Times New Roman"/>
        </w:rPr>
      </w:pPr>
    </w:p>
    <w:p w:rsidR="00B56F4C" w:rsidP="00B56F4C">
      <w:pPr>
        <w:bidi w:val="0"/>
        <w:rPr>
          <w:rFonts w:ascii="Times New Roman" w:hAnsi="Times New Roman"/>
        </w:rPr>
      </w:pPr>
      <w:r w:rsidRPr="004161A1">
        <w:rPr>
          <w:rFonts w:ascii="Times New Roman" w:hAnsi="Times New Roman"/>
          <w:b/>
          <w:bCs/>
        </w:rPr>
        <w:t>2.3.4. Výpočty vplyvov na verejné financie</w:t>
      </w:r>
    </w:p>
    <w:p w:rsidR="00B56F4C" w:rsidP="00B56F4C">
      <w:pPr>
        <w:bidi w:val="0"/>
        <w:rPr>
          <w:rFonts w:ascii="Times New Roman" w:hAnsi="Times New Roman"/>
        </w:rPr>
      </w:pPr>
      <w:r>
        <w:rPr>
          <w:rFonts w:ascii="Times New Roman" w:hAnsi="Times New Roman"/>
        </w:rPr>
        <w:t> </w:t>
      </w:r>
    </w:p>
    <w:p w:rsidR="00B56F4C" w:rsidP="00B56F4C">
      <w:pPr>
        <w:bidi w:val="0"/>
        <w:ind w:firstLine="708"/>
        <w:jc w:val="both"/>
        <w:rPr>
          <w:rFonts w:ascii="Times New Roman" w:hAnsi="Times New Roman"/>
        </w:rPr>
      </w:pPr>
      <w:r>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B56F4C" w:rsidP="00B56F4C">
      <w:pPr>
        <w:bidi w:val="0"/>
        <w:jc w:val="both"/>
        <w:rPr>
          <w:rFonts w:ascii="Times New Roman" w:hAnsi="Times New Roman"/>
        </w:rPr>
      </w:pPr>
      <w:r>
        <w:rPr>
          <w:rFonts w:ascii="Times New Roman" w:hAnsi="Times New Roman"/>
        </w:rPr>
        <w:t> </w:t>
      </w:r>
    </w:p>
    <w:p w:rsidR="00DF1242" w:rsidP="00604501">
      <w:pPr>
        <w:bidi w:val="0"/>
        <w:jc w:val="both"/>
        <w:rPr>
          <w:rFonts w:ascii="Times New Roman" w:hAnsi="Times New Roman"/>
        </w:rPr>
      </w:pPr>
      <w:r w:rsidR="00B56F4C">
        <w:rPr>
          <w:rFonts w:ascii="Times New Roman" w:hAnsi="Times New Roman"/>
        </w:rPr>
        <w:t> </w:t>
        <w:tab/>
        <w:t xml:space="preserve"> </w:t>
      </w:r>
      <w:r>
        <w:rPr>
          <w:rFonts w:ascii="Times New Roman" w:hAnsi="Times New Roman"/>
        </w:rPr>
        <w:t xml:space="preserve">Navrhovaná právna úprava ustanovuje financovanie všetkých obecných zariadení sociálnych služieb, a to bez ohľadu na to, či boli zriadené alebo založené pred alebo po 1. </w:t>
      </w:r>
      <w:r w:rsidR="00104478">
        <w:rPr>
          <w:rFonts w:ascii="Times New Roman" w:hAnsi="Times New Roman"/>
        </w:rPr>
        <w:t>júli</w:t>
      </w:r>
      <w:r>
        <w:rPr>
          <w:rFonts w:ascii="Times New Roman" w:hAnsi="Times New Roman"/>
        </w:rPr>
        <w:t xml:space="preserve"> 2002, t.j. decentralizácii sociálnych služieb na územnú samosprávu</w:t>
      </w:r>
      <w:r w:rsidR="001022CB">
        <w:rPr>
          <w:rFonts w:ascii="Times New Roman" w:hAnsi="Times New Roman"/>
        </w:rPr>
        <w:t>,</w:t>
      </w:r>
      <w:r>
        <w:rPr>
          <w:rFonts w:ascii="Times New Roman" w:hAnsi="Times New Roman"/>
        </w:rPr>
        <w:t xml:space="preserve"> z účelovej dotácie z rozpočtovej kapitoly Ministerstva práce, sociálnych vecí a rodiny S</w:t>
      </w:r>
      <w:r w:rsidR="00A351C2">
        <w:rPr>
          <w:rFonts w:ascii="Times New Roman" w:hAnsi="Times New Roman"/>
        </w:rPr>
        <w:t>lovenskej republiky</w:t>
      </w:r>
      <w:r>
        <w:rPr>
          <w:rFonts w:ascii="Times New Roman" w:hAnsi="Times New Roman"/>
        </w:rPr>
        <w:t>. Ide celkom o 217 zariadení sociálnych služieb s celkovou kapacitou  8 932 miest (vrátane cca 85 zariadení, ktoré s</w:t>
      </w:r>
      <w:r w:rsidR="00A351C2">
        <w:rPr>
          <w:rFonts w:ascii="Times New Roman" w:hAnsi="Times New Roman"/>
        </w:rPr>
        <w:t>ú</w:t>
      </w:r>
      <w:r>
        <w:rPr>
          <w:rFonts w:ascii="Times New Roman" w:hAnsi="Times New Roman"/>
        </w:rPr>
        <w:t xml:space="preserve"> v súčasnosti financované zo Všeobecnej pokladničnej správy). Predpokladané náklady na financovanie uvedených zariadení na rok 2012 predstavujú 32 084 304 eur.</w:t>
      </w:r>
      <w:r w:rsidRPr="006D4F6E">
        <w:rPr>
          <w:rFonts w:ascii="Times New Roman" w:hAnsi="Times New Roman"/>
        </w:rPr>
        <w:t xml:space="preserve"> </w:t>
      </w:r>
      <w:r>
        <w:rPr>
          <w:rFonts w:ascii="Times New Roman" w:hAnsi="Times New Roman"/>
        </w:rPr>
        <w:t>Kvantifikácia vplyvov na ďalšie roky (2013 a 2014) vychádza z predpokladaného medziročného nárastu počtu prijímateľov sociálnej služby o cca 7</w:t>
      </w:r>
      <w:r w:rsidR="00A351C2">
        <w:rPr>
          <w:rFonts w:ascii="Times New Roman" w:hAnsi="Times New Roman"/>
        </w:rPr>
        <w:t xml:space="preserve"> </w:t>
      </w:r>
      <w:r>
        <w:rPr>
          <w:rFonts w:ascii="Times New Roman" w:hAnsi="Times New Roman"/>
        </w:rPr>
        <w:t xml:space="preserve">%. </w:t>
      </w:r>
    </w:p>
    <w:p w:rsidR="00104478" w:rsidP="00604501">
      <w:pPr>
        <w:bidi w:val="0"/>
        <w:jc w:val="both"/>
        <w:rPr>
          <w:rFonts w:ascii="Times New Roman" w:hAnsi="Times New Roman"/>
        </w:rPr>
      </w:pPr>
    </w:p>
    <w:p w:rsidR="00C63A3A" w:rsidP="00C63A3A">
      <w:pPr>
        <w:bidi w:val="0"/>
        <w:jc w:val="both"/>
        <w:rPr>
          <w:rFonts w:ascii="Times New Roman" w:hAnsi="Times New Roman"/>
        </w:rPr>
      </w:pPr>
      <w:r>
        <w:rPr>
          <w:rFonts w:ascii="Times New Roman" w:hAnsi="Times New Roman"/>
        </w:rPr>
        <w:tab/>
        <w:t xml:space="preserve">Rovnako sa v návrhu zákona ustanovuje osobitný spôsob financovania </w:t>
      </w:r>
      <w:r w:rsidR="00B56F4C">
        <w:rPr>
          <w:rFonts w:ascii="Times New Roman" w:hAnsi="Times New Roman"/>
        </w:rPr>
        <w:t xml:space="preserve">neverejných poskytovateľov sociálnej služby v nocľahárni, zariadení pre seniorov, v zariadení opatrovateľskej služby a v dennom stacionári </w:t>
      </w:r>
      <w:r>
        <w:rPr>
          <w:rFonts w:ascii="Times New Roman" w:hAnsi="Times New Roman"/>
        </w:rPr>
        <w:t>obcami z účelovej dotácie z rozpočtovej kapitoly Ministerstva práce, sociálnych vecí a rodiny S</w:t>
      </w:r>
      <w:r w:rsidR="00A351C2">
        <w:rPr>
          <w:rFonts w:ascii="Times New Roman" w:hAnsi="Times New Roman"/>
        </w:rPr>
        <w:t>lovenskej republiky</w:t>
      </w:r>
      <w:r>
        <w:rPr>
          <w:rFonts w:ascii="Times New Roman" w:hAnsi="Times New Roman"/>
        </w:rPr>
        <w:t>. Ide o</w:t>
      </w:r>
      <w:r w:rsidR="00B56F4C">
        <w:rPr>
          <w:rFonts w:ascii="Times New Roman" w:hAnsi="Times New Roman"/>
        </w:rPr>
        <w:t xml:space="preserve"> 101 zariadení sociálnych služieb s počtom miest 2644 (podľa údajov k 31. </w:t>
      </w:r>
      <w:r w:rsidR="00104478">
        <w:rPr>
          <w:rFonts w:ascii="Times New Roman" w:hAnsi="Times New Roman"/>
        </w:rPr>
        <w:t>decembru</w:t>
      </w:r>
      <w:r w:rsidR="00B56F4C">
        <w:rPr>
          <w:rFonts w:ascii="Times New Roman" w:hAnsi="Times New Roman"/>
        </w:rPr>
        <w:t xml:space="preserve"> 2010). </w:t>
      </w:r>
      <w:r>
        <w:rPr>
          <w:rFonts w:ascii="Times New Roman" w:hAnsi="Times New Roman"/>
        </w:rPr>
        <w:t>Predpokladané náklady na financovanie uvedených zariadení na rok 2012 predstavujú 9 774 816 eur.</w:t>
      </w:r>
      <w:r w:rsidRPr="006D4F6E">
        <w:rPr>
          <w:rFonts w:ascii="Times New Roman" w:hAnsi="Times New Roman"/>
        </w:rPr>
        <w:t xml:space="preserve"> </w:t>
      </w:r>
      <w:r>
        <w:rPr>
          <w:rFonts w:ascii="Times New Roman" w:hAnsi="Times New Roman"/>
        </w:rPr>
        <w:t>Kvantifikácia vplyvov na ďalšie roky (2013 a 2014) vychádza z predpokladaného medziročného nárastu počtu prijímateľov sociálnej služby o</w:t>
      </w:r>
      <w:r w:rsidR="00A351C2">
        <w:rPr>
          <w:rFonts w:ascii="Times New Roman" w:hAnsi="Times New Roman"/>
        </w:rPr>
        <w:t> </w:t>
      </w:r>
      <w:r>
        <w:rPr>
          <w:rFonts w:ascii="Times New Roman" w:hAnsi="Times New Roman"/>
        </w:rPr>
        <w:t>cca</w:t>
      </w:r>
      <w:r w:rsidR="00A351C2">
        <w:rPr>
          <w:rFonts w:ascii="Times New Roman" w:hAnsi="Times New Roman"/>
        </w:rPr>
        <w:t xml:space="preserve">  </w:t>
      </w:r>
      <w:r>
        <w:rPr>
          <w:rFonts w:ascii="Times New Roman" w:hAnsi="Times New Roman"/>
        </w:rPr>
        <w:t>7</w:t>
      </w:r>
      <w:r w:rsidR="00A351C2">
        <w:rPr>
          <w:rFonts w:ascii="Times New Roman" w:hAnsi="Times New Roman"/>
        </w:rPr>
        <w:t xml:space="preserve"> </w:t>
      </w:r>
      <w:r>
        <w:rPr>
          <w:rFonts w:ascii="Times New Roman" w:hAnsi="Times New Roman"/>
        </w:rPr>
        <w:t xml:space="preserve">%. </w:t>
      </w:r>
    </w:p>
    <w:p w:rsidR="00B56F4C" w:rsidP="00604501">
      <w:pPr>
        <w:bidi w:val="0"/>
        <w:jc w:val="both"/>
        <w:rPr>
          <w:rFonts w:ascii="Times New Roman" w:hAnsi="Times New Roman"/>
        </w:rPr>
      </w:pPr>
    </w:p>
    <w:p w:rsidR="00B56F4C" w:rsidP="00B56F4C">
      <w:pPr>
        <w:bidi w:val="0"/>
        <w:jc w:val="both"/>
        <w:rPr>
          <w:rFonts w:ascii="Times New Roman" w:hAnsi="Times New Roman"/>
        </w:rPr>
      </w:pPr>
      <w:r>
        <w:rPr>
          <w:rFonts w:ascii="Times New Roman" w:hAnsi="Times New Roman"/>
        </w:rPr>
        <w:tab/>
        <w:t>Vplyv na rozpočty obcí vychádza zo skutočnosti, že obec bude naďalej verejným poskytovateľom týchto sociálnych služieb</w:t>
      </w:r>
      <w:r w:rsidR="00EE5302">
        <w:rPr>
          <w:rFonts w:ascii="Times New Roman" w:hAnsi="Times New Roman"/>
        </w:rPr>
        <w:t xml:space="preserve"> a bude poskytovať osobitný finančný príspevok pre neverejných poskytovateľov vybraných druhov sociálnych služieb</w:t>
      </w:r>
      <w:r>
        <w:rPr>
          <w:rFonts w:ascii="Times New Roman" w:hAnsi="Times New Roman"/>
        </w:rPr>
        <w:t xml:space="preserve">, avšak financovaných zo štátneho rozpočtu vo výške </w:t>
      </w:r>
      <w:r w:rsidR="00EE5302">
        <w:rPr>
          <w:rFonts w:ascii="Times New Roman" w:hAnsi="Times New Roman"/>
        </w:rPr>
        <w:t xml:space="preserve">určenej </w:t>
      </w:r>
      <w:r>
        <w:rPr>
          <w:rFonts w:ascii="Times New Roman" w:hAnsi="Times New Roman"/>
        </w:rPr>
        <w:t>zákonom</w:t>
      </w:r>
      <w:r w:rsidR="00EE5302">
        <w:rPr>
          <w:rFonts w:ascii="Times New Roman" w:hAnsi="Times New Roman"/>
        </w:rPr>
        <w:t xml:space="preserve"> o sociálnych službách</w:t>
      </w:r>
      <w:r>
        <w:rPr>
          <w:rFonts w:ascii="Times New Roman" w:hAnsi="Times New Roman"/>
        </w:rPr>
        <w:t xml:space="preserve"> (príloha č. 4a</w:t>
      </w:r>
      <w:r w:rsidR="00C85D5A">
        <w:rPr>
          <w:rFonts w:ascii="Times New Roman" w:hAnsi="Times New Roman"/>
        </w:rPr>
        <w:t xml:space="preserve"> a 6</w:t>
      </w:r>
      <w:r>
        <w:rPr>
          <w:rFonts w:ascii="Times New Roman" w:hAnsi="Times New Roman"/>
        </w:rPr>
        <w:t>)</w:t>
      </w:r>
      <w:r w:rsidR="00EE5302">
        <w:rPr>
          <w:rFonts w:ascii="Times New Roman" w:hAnsi="Times New Roman"/>
        </w:rPr>
        <w:t>.</w:t>
      </w:r>
      <w:r>
        <w:rPr>
          <w:rFonts w:ascii="Times New Roman" w:hAnsi="Times New Roman"/>
        </w:rPr>
        <w:t xml:space="preserve"> Táto skutočnosť sa prejaví vo zvýšení prí</w:t>
      </w:r>
      <w:r w:rsidR="001A7651">
        <w:rPr>
          <w:rFonts w:ascii="Times New Roman" w:hAnsi="Times New Roman"/>
        </w:rPr>
        <w:t>jmov obcí</w:t>
      </w:r>
      <w:r>
        <w:rPr>
          <w:rFonts w:ascii="Times New Roman" w:hAnsi="Times New Roman"/>
        </w:rPr>
        <w:t>.</w:t>
      </w:r>
    </w:p>
    <w:p w:rsidR="00B56F4C" w:rsidP="00B56F4C">
      <w:pPr>
        <w:bidi w:val="0"/>
        <w:jc w:val="both"/>
        <w:rPr>
          <w:rFonts w:ascii="Times New Roman" w:hAnsi="Times New Roman"/>
        </w:rPr>
      </w:pPr>
    </w:p>
    <w:p w:rsidR="00B56F4C" w:rsidP="00B56F4C">
      <w:pPr>
        <w:bidi w:val="0"/>
        <w:jc w:val="both"/>
        <w:rPr>
          <w:rFonts w:ascii="Times New Roman" w:hAnsi="Times New Roman"/>
        </w:rPr>
      </w:pPr>
      <w:r>
        <w:rPr>
          <w:rFonts w:ascii="Times New Roman" w:hAnsi="Times New Roman"/>
        </w:rPr>
        <w:tab/>
        <w:t>Dopad právnej úpravy sa na strane druhej prejaví vo zvýšení výdavkov štátneho rozpočtu na poskytovanie finančného príspevku obciam</w:t>
      </w:r>
      <w:r w:rsidR="006D4F6E">
        <w:rPr>
          <w:rFonts w:ascii="Times New Roman" w:hAnsi="Times New Roman"/>
        </w:rPr>
        <w:t xml:space="preserve"> (</w:t>
      </w:r>
      <w:r>
        <w:rPr>
          <w:rFonts w:ascii="Times New Roman" w:hAnsi="Times New Roman"/>
        </w:rPr>
        <w:t>obec ako poskytovateľ sociálnej služby resp. ako zriaďovateľ alebo zakladateľ zariadenia sociálnych služieb ustanoveného druhu) vo výš</w:t>
      </w:r>
      <w:r w:rsidR="006D4F6E">
        <w:rPr>
          <w:rFonts w:ascii="Times New Roman" w:hAnsi="Times New Roman"/>
        </w:rPr>
        <w:t>ke zákonom určeného príspevku (</w:t>
      </w:r>
      <w:r>
        <w:rPr>
          <w:rFonts w:ascii="Times New Roman" w:hAnsi="Times New Roman"/>
        </w:rPr>
        <w:t>príloha č. 4a). Ďalej ide o zvýšenie výdavkov štátneho rozpočtu na poskytovanie finančných príspevkov neverejným poskytovateľom do</w:t>
      </w:r>
      <w:r w:rsidR="006D4F6E">
        <w:rPr>
          <w:rFonts w:ascii="Times New Roman" w:hAnsi="Times New Roman"/>
        </w:rPr>
        <w:t xml:space="preserve"> </w:t>
      </w:r>
      <w:r>
        <w:rPr>
          <w:rFonts w:ascii="Times New Roman" w:hAnsi="Times New Roman"/>
        </w:rPr>
        <w:t xml:space="preserve">rozpočtov </w:t>
      </w:r>
      <w:r w:rsidR="00EE5302">
        <w:rPr>
          <w:rFonts w:ascii="Times New Roman" w:hAnsi="Times New Roman"/>
        </w:rPr>
        <w:t>obcí</w:t>
      </w:r>
      <w:r>
        <w:rPr>
          <w:rFonts w:ascii="Times New Roman" w:hAnsi="Times New Roman"/>
        </w:rPr>
        <w:t>.</w:t>
      </w:r>
    </w:p>
    <w:p w:rsidR="00B56F4C" w:rsidP="00B56F4C">
      <w:pPr>
        <w:bidi w:val="0"/>
        <w:jc w:val="both"/>
        <w:rPr>
          <w:rFonts w:ascii="Times New Roman" w:hAnsi="Times New Roman"/>
        </w:rPr>
      </w:pPr>
    </w:p>
    <w:p w:rsidR="00B56F4C" w:rsidRPr="005A1D5C" w:rsidP="00EE5302">
      <w:pPr>
        <w:bidi w:val="0"/>
        <w:jc w:val="both"/>
        <w:rPr>
          <w:rFonts w:ascii="Times New Roman" w:hAnsi="Times New Roman"/>
        </w:rPr>
      </w:pPr>
      <w:r>
        <w:rPr>
          <w:rFonts w:ascii="Times New Roman" w:hAnsi="Times New Roman"/>
        </w:rPr>
        <w:tab/>
      </w:r>
      <w:r w:rsidRPr="005A1D5C">
        <w:rPr>
          <w:rFonts w:ascii="Times New Roman" w:hAnsi="Times New Roman"/>
        </w:rPr>
        <w:t xml:space="preserve"> Výsledný vplyv na štátny rozpočet sa oproti kvantifikácií uvádzanej v tabuľkách zníži o objem finančných prostriedkov vynakladaných </w:t>
      </w:r>
      <w:r w:rsidR="005A1D5C">
        <w:rPr>
          <w:rFonts w:ascii="Times New Roman" w:hAnsi="Times New Roman"/>
        </w:rPr>
        <w:t xml:space="preserve">už od roku 2002 </w:t>
      </w:r>
      <w:r w:rsidRPr="005A1D5C">
        <w:rPr>
          <w:rFonts w:ascii="Times New Roman" w:hAnsi="Times New Roman"/>
        </w:rPr>
        <w:t>zo štátneho rozpočtu z kapitoly všeobecnej pokladničnej správy na zariadenia sociálnych služieb, ktoré boli predmetom delimitácie z príslušných orgánov štátu do samosprávnej pôsobnosti obcí pri decentralizácií</w:t>
      </w:r>
      <w:r w:rsidR="00EE5302">
        <w:rPr>
          <w:rFonts w:ascii="Times New Roman" w:hAnsi="Times New Roman"/>
        </w:rPr>
        <w:t xml:space="preserve"> (cca 85 nariadení s</w:t>
      </w:r>
      <w:r w:rsidR="005A1D5C">
        <w:rPr>
          <w:rFonts w:ascii="Times New Roman" w:hAnsi="Times New Roman"/>
        </w:rPr>
        <w:t> celkovou výškou účelovej dotácie na rok 2011 vo výške 27</w:t>
      </w:r>
      <w:r w:rsidR="00EE5302">
        <w:rPr>
          <w:rFonts w:ascii="Times New Roman" w:hAnsi="Times New Roman"/>
        </w:rPr>
        <w:t>,5</w:t>
      </w:r>
      <w:r w:rsidR="005A1D5C">
        <w:rPr>
          <w:rFonts w:ascii="Times New Roman" w:hAnsi="Times New Roman"/>
        </w:rPr>
        <w:t xml:space="preserve"> mil. eur vrátane kapitálových výdavkov). </w:t>
      </w:r>
    </w:p>
    <w:p w:rsidR="00B56F4C" w:rsidRPr="007604CA" w:rsidP="00B56F4C">
      <w:pPr>
        <w:bidi w:val="0"/>
        <w:jc w:val="both"/>
        <w:rPr>
          <w:rFonts w:ascii="Times New Roman" w:hAnsi="Times New Roman"/>
          <w:b/>
        </w:rPr>
      </w:pPr>
    </w:p>
    <w:p w:rsidR="00B56F4C" w:rsidP="00B56F4C">
      <w:pPr>
        <w:bidi w:val="0"/>
        <w:jc w:val="both"/>
        <w:rPr>
          <w:rFonts w:ascii="Times New Roman" w:hAnsi="Times New Roman"/>
        </w:rPr>
      </w:pPr>
      <w:r>
        <w:rPr>
          <w:rFonts w:ascii="Times New Roman" w:hAnsi="Times New Roman"/>
        </w:rPr>
        <w:tab/>
        <w:t xml:space="preserve">Rozpočtové dôsledky ďalších navrhovaných právnych úprav sa prejavia priaznivo v znížení výdavkov rozpočtov obcí a vyšších územných celkov a v zvýšení ich príjmov z platenia úhrady za poskytovanú sociálnu službu, avšak nie je možné </w:t>
      </w:r>
      <w:r w:rsidR="005A1D5C">
        <w:rPr>
          <w:rFonts w:ascii="Times New Roman" w:hAnsi="Times New Roman"/>
        </w:rPr>
        <w:t xml:space="preserve">ich </w:t>
      </w:r>
      <w:r>
        <w:rPr>
          <w:rFonts w:ascii="Times New Roman" w:hAnsi="Times New Roman"/>
        </w:rPr>
        <w:t>kvantifikovať vzhľadom na individuálne podmienky a východiská jednotlivých obcí a vyšších územných celkov.</w:t>
      </w:r>
    </w:p>
    <w:p w:rsidR="00B56F4C" w:rsidP="00B56F4C">
      <w:pPr>
        <w:bidi w:val="0"/>
        <w:jc w:val="both"/>
        <w:rPr>
          <w:rFonts w:ascii="Times New Roman" w:hAnsi="Times New Roman"/>
        </w:rPr>
      </w:pPr>
    </w:p>
    <w:p w:rsidR="00B56F4C" w:rsidP="00B56F4C">
      <w:pPr>
        <w:bidi w:val="0"/>
        <w:jc w:val="both"/>
        <w:rPr>
          <w:rFonts w:ascii="Times New Roman" w:hAnsi="Times New Roman"/>
        </w:rPr>
      </w:pPr>
      <w:r>
        <w:rPr>
          <w:rFonts w:ascii="Times New Roman" w:hAnsi="Times New Roman"/>
        </w:rPr>
        <w:tab/>
        <w:t xml:space="preserve">Východiskové údaje, ktoré boli </w:t>
      </w:r>
      <w:r w:rsidR="005A1D5C">
        <w:rPr>
          <w:rFonts w:ascii="Times New Roman" w:hAnsi="Times New Roman"/>
        </w:rPr>
        <w:t>pokladom</w:t>
      </w:r>
      <w:r>
        <w:rPr>
          <w:rFonts w:ascii="Times New Roman" w:hAnsi="Times New Roman"/>
        </w:rPr>
        <w:t xml:space="preserve"> pre kvantifikáciu rozpočtových dôsledkov sú obsiahnuté v samostatnej prílohe.</w:t>
      </w:r>
    </w:p>
    <w:p w:rsidR="00B56F4C" w:rsidP="00B56F4C">
      <w:pPr>
        <w:bidi w:val="0"/>
        <w:ind w:firstLine="708"/>
        <w:jc w:val="both"/>
        <w:rPr>
          <w:rFonts w:ascii="Times New Roman" w:hAnsi="Times New Roman"/>
        </w:rPr>
      </w:pPr>
    </w:p>
    <w:p w:rsidR="00B56F4C" w:rsidP="00B56F4C">
      <w:pPr>
        <w:bidi w:val="0"/>
        <w:jc w:val="both"/>
        <w:rPr>
          <w:rFonts w:ascii="Times New Roman" w:hAnsi="Times New Roman"/>
        </w:rPr>
        <w:sectPr>
          <w:footerReference w:type="even" r:id="rId4"/>
          <w:footerReference w:type="default" r:id="rId5"/>
          <w:pgSz w:w="12240" w:h="15840"/>
          <w:pgMar w:top="1417" w:right="1417" w:bottom="1417" w:left="1417" w:header="708" w:footer="708" w:gutter="0"/>
          <w:lnNumType w:distance="0"/>
          <w:cols w:space="708"/>
          <w:noEndnote w:val="0"/>
          <w:bidi w:val="0"/>
          <w:rtlGutter/>
        </w:sectPr>
      </w:pPr>
      <w:r>
        <w:rPr>
          <w:rFonts w:ascii="Times New Roman" w:hAnsi="Times New Roman"/>
        </w:rPr>
        <w:tab/>
        <w:t xml:space="preserve">        </w:t>
      </w:r>
    </w:p>
    <w:p w:rsidR="00B56F4C" w:rsidP="00B56F4C">
      <w:pPr>
        <w:pStyle w:val="NormalWeb"/>
        <w:bidi w:val="0"/>
        <w:spacing w:before="0" w:beforeAutospacing="0" w:after="0" w:afterAutospacing="0"/>
        <w:jc w:val="right"/>
        <w:rPr>
          <w:rFonts w:ascii="Times New Roman" w:hAnsi="Times New Roman"/>
        </w:rPr>
      </w:pPr>
      <w:r>
        <w:rPr>
          <w:rFonts w:ascii="Times New Roman" w:hAnsi="Times New Roman"/>
        </w:rPr>
        <w:t xml:space="preserve">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r>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B56F4C" w:rsidP="005A1D5C">
            <w:pPr>
              <w:bidi w:val="0"/>
              <w:spacing w:after="0" w:line="240" w:lineRule="auto"/>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 + 1</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 + 2</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 + 3</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B56F4C" w:rsidP="005A1D5C">
            <w:pPr>
              <w:bidi w:val="0"/>
              <w:spacing w:after="0" w:line="240" w:lineRule="auto"/>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Daňové príjmy (100)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Nedaňové príjmy (200)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Granty a transfery (300)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color w:val="FFFFFF"/>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3000"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r>
    </w:tbl>
    <w:p w:rsidR="00B56F4C" w:rsidP="00B56F4C">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1 –  príjmy rozpísať až do položiek platnej ekonomickej klasifikácie    </w:t>
      </w:r>
    </w:p>
    <w:p w:rsidR="00EE5302" w:rsidP="00B56F4C">
      <w:pPr>
        <w:pStyle w:val="NormalWeb"/>
        <w:bidi w:val="0"/>
        <w:spacing w:before="0" w:beforeAutospacing="0" w:after="0" w:afterAutospacing="0"/>
        <w:jc w:val="both"/>
        <w:rPr>
          <w:rFonts w:ascii="Times New Roman" w:hAnsi="Times New Roman"/>
          <w:sz w:val="20"/>
          <w:szCs w:val="20"/>
        </w:rPr>
      </w:pP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EE5302"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EE5302"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EE5302"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B06EB0" w:rsidP="007062A8">
            <w:pPr>
              <w:bidi w:val="0"/>
              <w:spacing w:after="0" w:line="240" w:lineRule="auto"/>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r</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2012</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2013</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B06EB0" w:rsidP="007062A8">
            <w:pPr>
              <w:bidi w:val="0"/>
              <w:spacing w:after="0" w:line="240" w:lineRule="auto"/>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41 859 120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45 965 220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50 505 661</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Tovary a služby (630)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41 859 120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45 965 220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50 505 661</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sidR="00682AF6">
              <w:rPr>
                <w:rFonts w:ascii="Times New Roman" w:hAnsi="Times New Roman"/>
                <w:b/>
                <w:bCs/>
                <w:sz w:val="20"/>
                <w:szCs w:val="20"/>
              </w:rPr>
              <w:t>0</w:t>
            </w: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r w:rsidR="00682AF6">
              <w:rPr>
                <w:rFonts w:ascii="Times New Roman" w:hAnsi="Times New Roman"/>
                <w:b/>
                <w:bCs/>
                <w:sz w:val="20"/>
                <w:szCs w:val="20"/>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r w:rsidR="00682AF6">
              <w:rPr>
                <w:rFonts w:ascii="Times New Roman" w:hAnsi="Times New Roman"/>
                <w:b/>
                <w:bCs/>
              </w:rPr>
              <w:t>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Obstarávanie kapitálových aktív (710)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sz w:val="20"/>
                <w:szCs w:val="20"/>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color w:val="FFFFFF"/>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41 859 120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45 965 220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50 505 661</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41 859 120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45 965 220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B06EB0" w:rsidRPr="006C121A" w:rsidP="007062A8">
            <w:pPr>
              <w:bidi w:val="0"/>
              <w:spacing w:after="0" w:line="125" w:lineRule="atLeast"/>
              <w:jc w:val="right"/>
              <w:rPr>
                <w:rFonts w:ascii="Times New Roman" w:hAnsi="Times New Roman"/>
                <w:b/>
                <w:bCs/>
                <w:iCs/>
              </w:rPr>
            </w:pPr>
            <w:r>
              <w:rPr>
                <w:rFonts w:ascii="Times New Roman" w:hAnsi="Times New Roman"/>
                <w:b/>
                <w:bCs/>
                <w:iCs/>
              </w:rPr>
              <w:t>50 505 661</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r w:rsidR="00682AF6">
              <w:rPr>
                <w:rFonts w:ascii="Times New Roman" w:hAnsi="Times New Roman"/>
                <w:b/>
                <w:bCs/>
                <w:sz w:val="20"/>
                <w:szCs w:val="20"/>
              </w:rPr>
              <w:t>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sidR="00682AF6">
              <w:rPr>
                <w:rFonts w:ascii="Times New Roman" w:hAnsi="Times New Roman"/>
                <w:b/>
                <w:bCs/>
                <w:sz w:val="20"/>
                <w:szCs w:val="20"/>
              </w:rPr>
              <w:t>0</w:t>
            </w: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sidR="00682AF6">
              <w:rPr>
                <w:rFonts w:ascii="Times New Roman" w:hAnsi="Times New Roman"/>
                <w:b/>
                <w:bCs/>
              </w:rPr>
              <w:t>0</w:t>
            </w: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06EB0" w:rsidP="007062A8">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06EB0" w:rsidP="007062A8">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c>
          <w:tcPr>
            <w:tcW w:w="7070" w:type="dxa"/>
            <w:tcBorders>
              <w:top w:val="nil"/>
              <w:left w:val="nil"/>
              <w:bottom w:val="nil"/>
              <w:right w:val="nil"/>
            </w:tcBorders>
            <w:textDirection w:val="lrTb"/>
            <w:vAlign w:val="center"/>
          </w:tcPr>
          <w:p w:rsidR="00B06EB0" w:rsidP="007062A8">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B06EB0" w:rsidP="007062A8">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B06EB0" w:rsidP="007062A8">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B06EB0" w:rsidP="007062A8">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B06EB0" w:rsidP="007062A8">
            <w:pPr>
              <w:bidi w:val="0"/>
              <w:spacing w:after="0" w:line="240" w:lineRule="auto"/>
              <w:rPr>
                <w:rFonts w:ascii="Times New Roman" w:hAnsi="Times New Roman"/>
                <w:sz w:val="2"/>
              </w:rPr>
            </w:pPr>
          </w:p>
        </w:tc>
        <w:tc>
          <w:tcPr>
            <w:tcW w:w="2220" w:type="dxa"/>
            <w:tcBorders>
              <w:top w:val="nil"/>
              <w:left w:val="nil"/>
              <w:bottom w:val="nil"/>
              <w:right w:val="nil"/>
            </w:tcBorders>
            <w:textDirection w:val="lrTb"/>
            <w:vAlign w:val="center"/>
          </w:tcPr>
          <w:p w:rsidR="00B06EB0" w:rsidP="007062A8">
            <w:pPr>
              <w:bidi w:val="0"/>
              <w:spacing w:after="0" w:line="240" w:lineRule="auto"/>
              <w:rPr>
                <w:rFonts w:ascii="Times New Roman" w:hAnsi="Times New Roman"/>
                <w:sz w:val="2"/>
              </w:rPr>
            </w:pPr>
          </w:p>
        </w:tc>
      </w:tr>
    </w:tbl>
    <w:p w:rsidR="00EE5302" w:rsidP="00B56F4C">
      <w:pPr>
        <w:pStyle w:val="NormalWeb"/>
        <w:bidi w:val="0"/>
        <w:spacing w:before="0" w:beforeAutospacing="0" w:after="0" w:afterAutospacing="0"/>
        <w:jc w:val="both"/>
        <w:rPr>
          <w:rFonts w:ascii="Times New Roman" w:hAnsi="Times New Roman"/>
          <w:sz w:val="20"/>
          <w:szCs w:val="20"/>
        </w:rPr>
      </w:pPr>
    </w:p>
    <w:p w:rsidR="00B56F4C" w:rsidP="00B56F4C">
      <w:pPr>
        <w:pStyle w:val="NormalWeb"/>
        <w:bidi w:val="0"/>
        <w:spacing w:before="0" w:beforeAutospacing="0" w:after="0" w:afterAutospacing="0"/>
        <w:jc w:val="both"/>
        <w:rPr>
          <w:rFonts w:ascii="Times New Roman" w:hAnsi="Times New Roman"/>
        </w:rPr>
      </w:pPr>
      <w:r>
        <w:rPr>
          <w:rFonts w:ascii="Times New Roman" w:hAnsi="Times New Roman"/>
          <w:sz w:val="20"/>
          <w:szCs w:val="20"/>
        </w:rPr>
        <w:t>2 –  výdavky rozpísať až do položiek platnej ekonomickej klasifikácie</w:t>
      </w:r>
    </w:p>
    <w:p w:rsidR="00B56F4C" w:rsidP="00B56F4C">
      <w:pPr>
        <w:pStyle w:val="NormalWeb"/>
        <w:bidi w:val="0"/>
        <w:spacing w:before="0" w:beforeAutospacing="0" w:after="0" w:afterAutospacing="0"/>
        <w:jc w:val="both"/>
        <w:rPr>
          <w:rFonts w:ascii="Times New Roman" w:hAnsi="Times New Roman"/>
        </w:rPr>
      </w:pPr>
      <w:r>
        <w:rPr>
          <w:rFonts w:ascii="Times New Roman" w:hAnsi="Times New Roman"/>
          <w:sz w:val="20"/>
          <w:szCs w:val="20"/>
        </w:rPr>
        <w:t xml:space="preserve">                                                                                                                                                                                                                       </w:t>
      </w:r>
      <w:r>
        <w:rPr>
          <w:rFonts w:ascii="Times New Roman" w:hAnsi="Times New Roman"/>
        </w:rPr>
        <w:t xml:space="preserve">                 Tabuľka č. 6 </w:t>
      </w:r>
    </w:p>
    <w:tbl>
      <w:tblPr>
        <w:tblStyle w:val="TableNormal"/>
        <w:tblpPr w:leftFromText="141" w:rightFromText="141" w:vertAnchor="text" w:horzAnchor="margin" w:tblpXSpec="center" w:tblpY="170"/>
        <w:tblW w:w="15114" w:type="dxa"/>
        <w:tblCellMar>
          <w:left w:w="0" w:type="dxa"/>
          <w:right w:w="0" w:type="dxa"/>
        </w:tblCellMar>
      </w:tblPr>
      <w:tblGrid>
        <w:gridCol w:w="5932"/>
        <w:gridCol w:w="1500"/>
        <w:gridCol w:w="1598"/>
        <w:gridCol w:w="564"/>
        <w:gridCol w:w="1491"/>
        <w:gridCol w:w="1550"/>
        <w:gridCol w:w="933"/>
        <w:gridCol w:w="1546"/>
      </w:tblGrid>
      <w:tr>
        <w:tblPrEx>
          <w:tblW w:w="15114" w:type="dxa"/>
          <w:tblCellMar>
            <w:left w:w="0" w:type="dxa"/>
            <w:right w:w="0" w:type="dxa"/>
          </w:tblCellMar>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Zamestnanosť</w:t>
            </w:r>
          </w:p>
        </w:tc>
        <w:tc>
          <w:tcPr>
            <w:tcW w:w="0" w:type="auto"/>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poznámka</w:t>
            </w:r>
          </w:p>
        </w:tc>
      </w:tr>
      <w:tr>
        <w:tblPrEx>
          <w:tblW w:w="15114" w:type="dxa"/>
          <w:tblCellMar>
            <w:left w:w="0" w:type="dxa"/>
            <w:right w:w="0" w:type="dxa"/>
          </w:tblCellMar>
        </w:tblPrEx>
        <w:trPr>
          <w:trHeight w:val="255"/>
        </w:trPr>
        <w:tc>
          <w:tcPr>
            <w:tcW w:w="5932" w:type="dxa"/>
            <w:vMerge/>
            <w:tcBorders>
              <w:top w:val="single" w:sz="4" w:space="0" w:color="000000"/>
              <w:left w:val="single" w:sz="4" w:space="0" w:color="000000"/>
              <w:bottom w:val="single" w:sz="4" w:space="0" w:color="000000"/>
              <w:right w:val="single" w:sz="4" w:space="0" w:color="000000"/>
            </w:tcBorders>
            <w:textDirection w:val="lrTb"/>
            <w:vAlign w:val="center"/>
          </w:tcPr>
          <w:p w:rsidR="00B56F4C" w:rsidP="005A1D5C">
            <w:pPr>
              <w:bidi w:val="0"/>
              <w:spacing w:after="0" w:line="240" w:lineRule="auto"/>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w:t>
            </w: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 + 1</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 + 2</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r + 3</w:t>
            </w:r>
          </w:p>
        </w:tc>
        <w:tc>
          <w:tcPr>
            <w:tcW w:w="0" w:type="auto"/>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B56F4C" w:rsidP="005A1D5C">
            <w:pPr>
              <w:bidi w:val="0"/>
              <w:spacing w:after="0" w:line="240" w:lineRule="auto"/>
              <w:rPr>
                <w:rFonts w:ascii="Times New Roman" w:hAnsi="Times New Roman"/>
              </w:rPr>
            </w:pP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Počet zamestnancov celkom*</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Priemerný mzdový výdavok (v eurách)*</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rPr>
              <w:t>Osobné výdavky celkom (v eurách)</w:t>
            </w:r>
          </w:p>
        </w:tc>
        <w:tc>
          <w:tcPr>
            <w:tcW w:w="150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 xml:space="preserve">Mzdy, platy, služobné príjmy a ostatné osobné vyrovnania (610)* </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Poistné a príspevok do poisťovní (620)*</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b/>
                <w:bCs/>
              </w:rPr>
              <w:t>Poznámky:</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12635"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Priemerný mzdový výdavok je tvorený podielom mzdových výdavkov na jedného 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114" w:type="dxa"/>
          <w:tblCellMar>
            <w:left w:w="0" w:type="dxa"/>
            <w:right w:w="0" w:type="dxa"/>
          </w:tblCellMar>
        </w:tblPrEx>
        <w:trPr>
          <w:trHeight w:val="255"/>
        </w:trPr>
        <w:tc>
          <w:tcPr>
            <w:tcW w:w="9594" w:type="dxa"/>
            <w:gridSpan w:val="4"/>
            <w:tcBorders>
              <w:top w:val="none" w:sz="0" w:space="0" w:color="auto"/>
              <w:left w:val="none" w:sz="0" w:space="0" w:color="auto"/>
              <w:bottom w:val="none" w:sz="0" w:space="0" w:color="auto"/>
              <w:right w:val="none" w:sz="0" w:space="0" w:color="auto"/>
            </w:tcBorders>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Kategórie 610 a 620 sú z tejto prílohy automaticky prenášané do príslušných kategórií prílohy „výdavky“</w:t>
            </w:r>
          </w:p>
        </w:tc>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B56F4C" w:rsidP="005A1D5C">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c>
          <w:tcPr>
            <w:tcW w:w="5932"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1598"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564"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1491"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1550"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933"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c>
          <w:tcPr>
            <w:tcW w:w="1546" w:type="dxa"/>
            <w:tcBorders>
              <w:top w:val="nil"/>
              <w:left w:val="nil"/>
              <w:bottom w:val="nil"/>
              <w:right w:val="nil"/>
            </w:tcBorders>
            <w:textDirection w:val="lrTb"/>
            <w:vAlign w:val="center"/>
          </w:tcPr>
          <w:p w:rsidR="00B56F4C" w:rsidP="005A1D5C">
            <w:pPr>
              <w:bidi w:val="0"/>
              <w:spacing w:after="0" w:line="240" w:lineRule="auto"/>
              <w:rPr>
                <w:rFonts w:ascii="Times New Roman" w:hAnsi="Times New Roman"/>
                <w:sz w:val="2"/>
              </w:rPr>
            </w:pPr>
          </w:p>
        </w:tc>
      </w:tr>
    </w:tbl>
    <w:p w:rsidR="00B56F4C" w:rsidP="00B56F4C">
      <w:pPr>
        <w:pStyle w:val="NormalWeb"/>
        <w:bidi w:val="0"/>
        <w:spacing w:before="0" w:beforeAutospacing="0" w:after="0" w:afterAutospacing="0"/>
        <w:jc w:val="both"/>
        <w:rPr>
          <w:rFonts w:ascii="Times New Roman" w:hAnsi="Times New Roman"/>
        </w:rPr>
      </w:pPr>
      <w:r>
        <w:rPr>
          <w:rFonts w:ascii="Times New Roman" w:hAnsi="Times New Roman"/>
        </w:rPr>
        <w:t> </w:t>
      </w:r>
    </w:p>
    <w:p w:rsidR="00B56F4C" w:rsidP="00B56F4C">
      <w:pPr>
        <w:pStyle w:val="NormalWeb"/>
        <w:bidi w:val="0"/>
        <w:spacing w:before="0" w:beforeAutospacing="0" w:after="0" w:afterAutospacing="0"/>
        <w:rPr>
          <w:rFonts w:ascii="Times New Roman" w:hAnsi="Times New Roman"/>
        </w:rPr>
      </w:pPr>
      <w:r>
        <w:rPr>
          <w:rFonts w:ascii="Times New Roman" w:hAnsi="Times New Roman"/>
          <w:b/>
          <w:bCs/>
        </w:rPr>
        <w:t>* počet zamestnancov,  mzdy a poistné rozpísať podľa spôsobu odmeňovania (napr. policajti, colníci ...)</w:t>
      </w:r>
    </w:p>
    <w:p w:rsidR="00B56F4C" w:rsidP="00B56F4C">
      <w:pPr>
        <w:bidi w:val="0"/>
        <w:rPr>
          <w:rFonts w:ascii="Times New Roman" w:hAnsi="Times New Roman"/>
        </w:rPr>
      </w:pPr>
      <w:r w:rsidRPr="004161A1">
        <w:rPr>
          <w:rFonts w:ascii="Times New Roman" w:hAnsi="Times New Roman"/>
          <w:b/>
          <w:bCs/>
        </w:rPr>
        <w:t> </w:t>
      </w:r>
    </w:p>
    <w:p w:rsidR="00B56F4C" w:rsidP="00B56F4C">
      <w:pPr>
        <w:bidi w:val="0"/>
        <w:rPr>
          <w:rFonts w:ascii="Times New Roman" w:hAnsi="Times New Roman"/>
        </w:rPr>
      </w:pPr>
    </w:p>
    <w:p w:rsidR="00D650D8" w:rsidP="006F280B">
      <w:pPr>
        <w:bidi w:val="0"/>
        <w:jc w:val="both"/>
        <w:rPr>
          <w:rFonts w:ascii="Times New Roman" w:hAnsi="Times New Roman"/>
          <w:b/>
          <w:sz w:val="28"/>
          <w:szCs w:val="28"/>
        </w:rPr>
      </w:pPr>
    </w:p>
    <w:p w:rsidR="005A1D5C" w:rsidP="006F280B">
      <w:pPr>
        <w:bidi w:val="0"/>
        <w:jc w:val="both"/>
        <w:rPr>
          <w:rFonts w:ascii="Times New Roman" w:hAnsi="Times New Roman"/>
          <w:b/>
          <w:sz w:val="28"/>
          <w:szCs w:val="28"/>
        </w:rPr>
        <w:sectPr w:rsidSect="00B56F4C">
          <w:pgSz w:w="16838" w:h="11906" w:orient="landscape"/>
          <w:pgMar w:top="1418" w:right="1418" w:bottom="1418" w:left="1418" w:header="709" w:footer="709" w:gutter="0"/>
          <w:lnNumType w:distance="0"/>
          <w:cols w:space="708"/>
          <w:noEndnote w:val="0"/>
          <w:bidi w:val="0"/>
          <w:docGrid w:linePitch="360"/>
        </w:sectPr>
      </w:pPr>
    </w:p>
    <w:p w:rsidR="00B56F4C" w:rsidP="006F280B">
      <w:pPr>
        <w:bidi w:val="0"/>
        <w:jc w:val="both"/>
        <w:rPr>
          <w:rFonts w:ascii="Times New Roman" w:hAnsi="Times New Roman"/>
          <w:b/>
          <w:sz w:val="28"/>
          <w:szCs w:val="28"/>
        </w:rPr>
      </w:pPr>
    </w:p>
    <w:p w:rsidR="00A2110A" w:rsidP="006F280B">
      <w:pPr>
        <w:bidi w:val="0"/>
        <w:jc w:val="both"/>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0E6D9C" w:rsidP="006F280B">
      <w:pPr>
        <w:bidi w:val="0"/>
        <w:jc w:val="both"/>
        <w:rPr>
          <w:rFonts w:ascii="Times New Roman" w:hAnsi="Times New Roman"/>
          <w:b/>
          <w:sz w:val="28"/>
          <w:szCs w:val="28"/>
        </w:rPr>
      </w:pPr>
    </w:p>
    <w:p w:rsidR="000E6D9C" w:rsidP="006F280B">
      <w:pPr>
        <w:bidi w:val="0"/>
        <w:jc w:val="both"/>
        <w:rPr>
          <w:rFonts w:ascii="Times New Roman" w:hAnsi="Times New Roman"/>
          <w:b/>
          <w:sz w:val="28"/>
          <w:szCs w:val="28"/>
        </w:rPr>
      </w:pPr>
    </w:p>
    <w:p w:rsidR="00A2110A" w:rsidP="00A2110A">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A2110A" w:rsidP="00B041C1">
            <w:pPr>
              <w:bidi w:val="0"/>
              <w:spacing w:after="0" w:line="240" w:lineRule="auto"/>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A2110A" w:rsidP="00B041C1">
            <w:pPr>
              <w:bidi w:val="0"/>
              <w:spacing w:after="0" w:line="240" w:lineRule="auto"/>
              <w:jc w:val="both"/>
              <w:rPr>
                <w:rFonts w:ascii="Times New Roman" w:hAnsi="Times New Roman"/>
              </w:rPr>
            </w:pPr>
            <w:r>
              <w:rPr>
                <w:rFonts w:ascii="Times New Roman" w:hAnsi="Times New Roman"/>
                <w:b/>
              </w:rPr>
              <w:t>4.1.</w:t>
            </w:r>
            <w:r>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A2110A" w:rsidP="00104478">
            <w:pPr>
              <w:bidi w:val="0"/>
              <w:spacing w:after="0" w:line="240" w:lineRule="auto"/>
              <w:jc w:val="both"/>
              <w:rPr>
                <w:rFonts w:ascii="Times New Roman" w:hAnsi="Times New Roman"/>
              </w:rPr>
            </w:pPr>
            <w:r w:rsidR="00004C53">
              <w:rPr>
                <w:rFonts w:ascii="Times New Roman" w:hAnsi="Times New Roman"/>
              </w:rPr>
              <w:t>Návrhom sa zvyšuje participácia klientov a ich rodiny na úhrade nákladov za sociálnu službu</w:t>
            </w:r>
            <w:r w:rsidR="00126095">
              <w:rPr>
                <w:rFonts w:ascii="Times New Roman" w:hAnsi="Times New Roman"/>
              </w:rPr>
              <w:t xml:space="preserve"> dlhodobej starostlivosti (</w:t>
            </w:r>
            <w:r w:rsidR="0087111F">
              <w:rPr>
                <w:rFonts w:ascii="Times New Roman" w:hAnsi="Times New Roman"/>
              </w:rPr>
              <w:t xml:space="preserve">ustanovuje sa </w:t>
            </w:r>
            <w:r w:rsidR="00126095">
              <w:rPr>
                <w:rFonts w:ascii="Times New Roman" w:hAnsi="Times New Roman"/>
              </w:rPr>
              <w:t>minimáln</w:t>
            </w:r>
            <w:r w:rsidR="0087111F">
              <w:rPr>
                <w:rFonts w:ascii="Times New Roman" w:hAnsi="Times New Roman"/>
              </w:rPr>
              <w:t>a</w:t>
            </w:r>
            <w:r w:rsidR="00126095">
              <w:rPr>
                <w:rFonts w:ascii="Times New Roman" w:hAnsi="Times New Roman"/>
              </w:rPr>
              <w:t xml:space="preserve"> </w:t>
            </w:r>
            <w:r w:rsidR="0087111F">
              <w:rPr>
                <w:rFonts w:ascii="Times New Roman" w:hAnsi="Times New Roman"/>
              </w:rPr>
              <w:t xml:space="preserve"> úhrada vo výške </w:t>
            </w:r>
            <w:r w:rsidR="00126095">
              <w:rPr>
                <w:rFonts w:ascii="Times New Roman" w:hAnsi="Times New Roman"/>
              </w:rPr>
              <w:t>50%  náklado</w:t>
            </w:r>
            <w:r w:rsidR="0087111F">
              <w:rPr>
                <w:rFonts w:ascii="Times New Roman" w:hAnsi="Times New Roman"/>
              </w:rPr>
              <w:t>v</w:t>
            </w:r>
            <w:r w:rsidR="00126095">
              <w:rPr>
                <w:rFonts w:ascii="Times New Roman" w:hAnsi="Times New Roman"/>
              </w:rPr>
              <w:t xml:space="preserve"> služby u verejných poskytovateľov a</w:t>
            </w:r>
            <w:r w:rsidR="0087111F">
              <w:rPr>
                <w:rFonts w:ascii="Times New Roman" w:hAnsi="Times New Roman"/>
              </w:rPr>
              <w:t xml:space="preserve"> zohľadňovanie </w:t>
            </w:r>
            <w:r w:rsidR="00126095">
              <w:rPr>
                <w:rFonts w:ascii="Times New Roman" w:hAnsi="Times New Roman"/>
              </w:rPr>
              <w:t>majetku, aj darovaného a predaného)</w:t>
            </w:r>
            <w:r w:rsidR="00004C53">
              <w:rPr>
                <w:rFonts w:ascii="Times New Roman" w:hAnsi="Times New Roman"/>
              </w:rPr>
              <w:t>, čo negatívne ovplyvní ich príjmy</w:t>
            </w:r>
            <w:r w:rsidR="001022CB">
              <w:rPr>
                <w:rFonts w:ascii="Times New Roman" w:hAnsi="Times New Roman"/>
              </w:rPr>
              <w:t>.</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A2110A" w:rsidP="00B041C1">
            <w:pPr>
              <w:bidi w:val="0"/>
              <w:spacing w:after="0" w:line="240" w:lineRule="auto"/>
              <w:ind w:firstLine="480" w:firstLineChars="200"/>
              <w:jc w:val="both"/>
              <w:rPr>
                <w:rFonts w:ascii="Times New Roman" w:hAnsi="Times New Roman"/>
              </w:rPr>
            </w:pPr>
            <w:r>
              <w:rPr>
                <w:rFonts w:ascii="Times New Roman" w:hAnsi="Times New Roman"/>
              </w:rPr>
              <w:t xml:space="preserve">Kvantifikujte: </w:t>
            </w:r>
          </w:p>
        </w:tc>
        <w:tc>
          <w:tcPr>
            <w:tcW w:w="4140" w:type="dxa"/>
            <w:vMerge w:val="restart"/>
            <w:tcBorders>
              <w:top w:val="none" w:sz="0" w:space="0" w:color="auto"/>
              <w:left w:val="nil"/>
              <w:bottom w:val="single" w:sz="4" w:space="0" w:color="auto"/>
              <w:right w:val="single" w:sz="4" w:space="0" w:color="auto"/>
            </w:tcBorders>
            <w:textDirection w:val="lrTb"/>
            <w:vAlign w:val="top"/>
          </w:tcPr>
          <w:p w:rsidR="00A2110A" w:rsidP="00104478">
            <w:pPr>
              <w:bidi w:val="0"/>
              <w:spacing w:after="0" w:line="240" w:lineRule="auto"/>
              <w:jc w:val="both"/>
              <w:rPr>
                <w:rFonts w:ascii="Times New Roman" w:hAnsi="Times New Roman"/>
              </w:rPr>
            </w:pPr>
            <w:r w:rsidR="00004C53">
              <w:rPr>
                <w:rFonts w:ascii="Times New Roman" w:hAnsi="Times New Roman"/>
              </w:rPr>
              <w:t>Dopad nie je možné kvantifikovať, nakoľko príjmová štruktúra prijímateľov sociálnych služieb a ich rodinných príslušníkov nie je známa.</w:t>
            </w:r>
          </w:p>
          <w:p w:rsidR="00126095" w:rsidP="00104478">
            <w:pPr>
              <w:bidi w:val="0"/>
              <w:spacing w:after="0" w:line="240" w:lineRule="auto"/>
              <w:jc w:val="both"/>
              <w:rPr>
                <w:rFonts w:ascii="Times New Roman" w:hAnsi="Times New Roman"/>
              </w:rPr>
            </w:pPr>
            <w:r>
              <w:rPr>
                <w:rFonts w:ascii="Times New Roman" w:hAnsi="Times New Roman"/>
              </w:rPr>
              <w:t>Návrh na zvýšenie participácie klienta a jeho rodiny prostredníctvom  minimálne 50</w:t>
            </w:r>
            <w:r w:rsidR="00104478">
              <w:rPr>
                <w:rFonts w:ascii="Times New Roman" w:hAnsi="Times New Roman"/>
              </w:rPr>
              <w:t xml:space="preserve"> </w:t>
            </w:r>
            <w:r>
              <w:rPr>
                <w:rFonts w:ascii="Times New Roman" w:hAnsi="Times New Roman"/>
              </w:rPr>
              <w:t>% účasti na nákladoch služby u verejných poskytovateľov sa dotkne prijímateľov sociálnych služieb dlhodobej starostlivosti u verejných poskytovateľov, t. j. celkom 28 656 osôb. Majetok sa bude posudzovať aj pri poskytovaní sociálnej služby u neverejného poskytovateľa</w:t>
            </w:r>
            <w:r w:rsidR="0087111F">
              <w:rPr>
                <w:rFonts w:ascii="Times New Roman" w:hAnsi="Times New Roman"/>
              </w:rPr>
              <w:t>, ak je podporovaný z verejných zdrojov</w:t>
            </w:r>
            <w:r>
              <w:rPr>
                <w:rFonts w:ascii="Times New Roman" w:hAnsi="Times New Roman"/>
              </w:rPr>
              <w:t xml:space="preserve">, t. j. takáto úprava sa dotkne celkom </w:t>
            </w:r>
            <w:r w:rsidR="00EE507E">
              <w:rPr>
                <w:rFonts w:ascii="Times New Roman" w:hAnsi="Times New Roman"/>
              </w:rPr>
              <w:t>30 685 osôb.</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A2110A" w:rsidP="005D5F2E">
            <w:pPr>
              <w:bidi w:val="0"/>
              <w:spacing w:after="0" w:line="240" w:lineRule="auto"/>
              <w:ind w:firstLine="43" w:firstLineChars="18"/>
              <w:jc w:val="both"/>
              <w:rPr>
                <w:rFonts w:ascii="Times New Roman" w:hAnsi="Times New Roman"/>
              </w:rPr>
            </w:pPr>
            <w:r>
              <w:rPr>
                <w:rFonts w:ascii="Times New Roman" w:hAnsi="Times New Roman"/>
              </w:rPr>
              <w:t>- Rast alebo pokles príjmov/výdavkov            na priemerného obyvateľa</w:t>
            </w:r>
          </w:p>
        </w:tc>
        <w:tc>
          <w:tcPr>
            <w:tcW w:w="4140" w:type="dxa"/>
            <w:vMerge/>
            <w:tcBorders>
              <w:top w:val="nil"/>
              <w:left w:val="nil"/>
              <w:bottom w:val="single" w:sz="4" w:space="0" w:color="auto"/>
              <w:right w:val="single" w:sz="4" w:space="0" w:color="auto"/>
            </w:tcBorders>
            <w:textDirection w:val="lrTb"/>
            <w:vAlign w:val="center"/>
          </w:tcPr>
          <w:p w:rsidR="00A2110A" w:rsidP="00156B00">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A2110A" w:rsidP="005D5F2E">
            <w:pPr>
              <w:bidi w:val="0"/>
              <w:spacing w:after="0" w:line="240" w:lineRule="auto"/>
              <w:ind w:firstLine="43" w:firstLineChars="18"/>
              <w:jc w:val="both"/>
              <w:rPr>
                <w:rFonts w:ascii="Times New Roman" w:hAnsi="Times New Roman"/>
              </w:rPr>
            </w:pPr>
            <w:r>
              <w:rPr>
                <w:rFonts w:ascii="Times New Roman" w:hAnsi="Times New Roman"/>
              </w:rPr>
              <w:t>- Rast alebo pokles príjmov/výdavkov                  za jednotlivé ovplyvnené  skupiny domácností</w:t>
            </w:r>
          </w:p>
          <w:p w:rsidR="00A2110A" w:rsidP="005D5F2E">
            <w:pPr>
              <w:bidi w:val="0"/>
              <w:spacing w:after="0" w:line="240" w:lineRule="auto"/>
              <w:ind w:firstLine="43" w:firstLineChars="18"/>
              <w:jc w:val="both"/>
              <w:rPr>
                <w:rFonts w:ascii="Times New Roman" w:hAnsi="Times New Roman"/>
              </w:rPr>
            </w:pPr>
            <w:r>
              <w:rPr>
                <w:rFonts w:ascii="Times New Roman" w:hAnsi="Times New Roman"/>
              </w:rPr>
              <w:t>- Celkový počet obyvateľstva/domácností ovplyvnených predkladaným materiálom</w:t>
            </w:r>
          </w:p>
        </w:tc>
        <w:tc>
          <w:tcPr>
            <w:tcW w:w="4140" w:type="dxa"/>
            <w:vMerge/>
            <w:tcBorders>
              <w:top w:val="nil"/>
              <w:left w:val="nil"/>
              <w:bottom w:val="single" w:sz="4" w:space="0" w:color="auto"/>
              <w:right w:val="single" w:sz="4" w:space="0" w:color="auto"/>
            </w:tcBorders>
            <w:textDirection w:val="lrTb"/>
            <w:vAlign w:val="center"/>
          </w:tcPr>
          <w:p w:rsidR="00A2110A" w:rsidP="00156B00">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A2110A" w:rsidP="00B041C1">
            <w:pPr>
              <w:bidi w:val="0"/>
              <w:spacing w:after="0" w:line="240" w:lineRule="auto"/>
              <w:ind w:firstLine="720" w:firstLineChars="300"/>
              <w:jc w:val="both"/>
              <w:rPr>
                <w:rFonts w:ascii="Times New Roman" w:hAnsi="Times New Roman"/>
              </w:rPr>
            </w:pPr>
          </w:p>
        </w:tc>
        <w:tc>
          <w:tcPr>
            <w:tcW w:w="4140" w:type="dxa"/>
            <w:vMerge/>
            <w:tcBorders>
              <w:top w:val="nil"/>
              <w:left w:val="nil"/>
              <w:bottom w:val="single" w:sz="4" w:space="0" w:color="auto"/>
              <w:right w:val="single" w:sz="4" w:space="0" w:color="auto"/>
            </w:tcBorders>
            <w:textDirection w:val="lrTb"/>
            <w:vAlign w:val="center"/>
          </w:tcPr>
          <w:p w:rsidR="00A2110A" w:rsidP="00156B00">
            <w:pPr>
              <w:bidi w:val="0"/>
              <w:spacing w:after="0" w:line="240" w:lineRule="auto"/>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A2110A" w:rsidP="00B041C1">
            <w:pPr>
              <w:bidi w:val="0"/>
              <w:spacing w:after="0" w:line="240" w:lineRule="auto"/>
              <w:jc w:val="both"/>
              <w:rPr>
                <w:rFonts w:ascii="Times New Roman" w:hAnsi="Times New Roman"/>
              </w:rPr>
            </w:pPr>
            <w:r>
              <w:rPr>
                <w:rFonts w:ascii="Times New Roman" w:hAnsi="Times New Roman"/>
                <w:b/>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A2110A" w:rsidP="00104478">
            <w:pPr>
              <w:bidi w:val="0"/>
              <w:spacing w:after="0" w:line="240" w:lineRule="auto"/>
              <w:jc w:val="both"/>
              <w:rPr>
                <w:rFonts w:ascii="Times New Roman" w:hAnsi="Times New Roman"/>
              </w:rPr>
            </w:pPr>
            <w:r w:rsidR="00614ECB">
              <w:rPr>
                <w:rFonts w:ascii="Times New Roman" w:hAnsi="Times New Roman"/>
              </w:rPr>
              <w:t>Návrhom</w:t>
            </w:r>
            <w:r w:rsidR="00F06E06">
              <w:rPr>
                <w:rFonts w:ascii="Times New Roman" w:hAnsi="Times New Roman"/>
              </w:rPr>
              <w:t xml:space="preserve"> sa zvýši garancia poskytovania a financovania sociálnych služieb pre tie fyzické osoby, ktorým sa poskytujú sociálne služby v zariadeniach zriadených alebo založených obcou alebo u neverejných poskytovateľov vybraných druhov sociálnych služieb, nakoľko týmto zariadeniam sa navrhuje poskytovať finančné prostriedky z účelovej dotácie MPSVR SR. Pôjde cca o 11 576 osôb.</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A2110A" w:rsidP="00B041C1">
            <w:pPr>
              <w:bidi w:val="0"/>
              <w:spacing w:after="0" w:line="240" w:lineRule="auto"/>
              <w:jc w:val="both"/>
              <w:rPr>
                <w:rFonts w:ascii="Times New Roman" w:hAnsi="Times New Roman"/>
              </w:rPr>
            </w:pPr>
          </w:p>
          <w:p w:rsidR="00A2110A" w:rsidP="00B041C1">
            <w:pPr>
              <w:bidi w:val="0"/>
              <w:spacing w:after="0" w:line="240" w:lineRule="auto"/>
              <w:jc w:val="both"/>
              <w:rPr>
                <w:rFonts w:ascii="Times New Roman" w:hAnsi="Times New Roman"/>
              </w:rPr>
            </w:pPr>
            <w:r>
              <w:rPr>
                <w:rFonts w:ascii="Times New Roman" w:hAnsi="Times New Roman"/>
                <w:b/>
              </w:rPr>
              <w:t>4.3.</w:t>
            </w:r>
            <w:r>
              <w:rPr>
                <w:rFonts w:ascii="Times New Roman" w:hAnsi="Times New Roman"/>
                <w:sz w:val="22"/>
                <w:szCs w:val="22"/>
              </w:rPr>
              <w:t xml:space="preserve">  </w:t>
            </w:r>
            <w:r>
              <w:rPr>
                <w:rFonts w:ascii="Times New Roman" w:hAnsi="Times New Roman"/>
              </w:rPr>
              <w:t>Zhodnoťte vplyv na rovnosť príležitostí:</w:t>
            </w:r>
          </w:p>
          <w:p w:rsidR="00A2110A" w:rsidP="00B041C1">
            <w:pPr>
              <w:bidi w:val="0"/>
              <w:spacing w:after="0" w:line="240" w:lineRule="auto"/>
              <w:jc w:val="both"/>
              <w:rPr>
                <w:rFonts w:ascii="Times New Roman" w:hAnsi="Times New Roman"/>
              </w:rPr>
            </w:pPr>
          </w:p>
          <w:p w:rsidR="00A2110A" w:rsidP="00B041C1">
            <w:pPr>
              <w:bidi w:val="0"/>
              <w:spacing w:after="0" w:line="240" w:lineRule="auto"/>
              <w:jc w:val="both"/>
              <w:rPr>
                <w:rFonts w:ascii="Times New Roman" w:hAnsi="Times New Roman"/>
              </w:rPr>
            </w:pPr>
            <w:r>
              <w:rPr>
                <w:rFonts w:ascii="Times New Roman" w:hAnsi="Times New Roman"/>
              </w:rPr>
              <w:t>Zhodnoťte vplyv na rodovú rovnosť.</w:t>
            </w:r>
          </w:p>
          <w:p w:rsidR="00A2110A" w:rsidP="00B041C1">
            <w:pPr>
              <w:bidi w:val="0"/>
              <w:spacing w:after="0" w:line="240" w:lineRule="auto"/>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A2110A" w:rsidP="00B041C1">
            <w:pPr>
              <w:bidi w:val="0"/>
              <w:spacing w:after="0" w:line="240" w:lineRule="auto"/>
              <w:jc w:val="both"/>
              <w:rPr>
                <w:rFonts w:ascii="Times New Roman" w:hAnsi="Times New Roman"/>
              </w:rPr>
            </w:pPr>
            <w:r>
              <w:rPr>
                <w:rFonts w:ascii="Times New Roman" w:hAnsi="Times New Roman"/>
              </w:rPr>
              <w:t> bezpredmetné</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A2110A" w:rsidP="00B041C1">
            <w:pPr>
              <w:bidi w:val="0"/>
              <w:spacing w:after="0" w:line="240" w:lineRule="auto"/>
              <w:jc w:val="both"/>
              <w:rPr>
                <w:rFonts w:ascii="Times New Roman" w:hAnsi="Times New Roman"/>
              </w:rPr>
            </w:pPr>
            <w:r>
              <w:rPr>
                <w:rFonts w:ascii="Times New Roman" w:hAnsi="Times New Roman"/>
                <w:b/>
              </w:rPr>
              <w:t xml:space="preserve">4.4. </w:t>
            </w:r>
            <w:r>
              <w:rPr>
                <w:rFonts w:ascii="Times New Roman" w:hAnsi="Times New Roman"/>
              </w:rPr>
              <w:t>Zhodnoťte vplyvy na zamestnanosť.</w:t>
            </w:r>
          </w:p>
          <w:p w:rsidR="00A2110A" w:rsidP="00B041C1">
            <w:pPr>
              <w:bidi w:val="0"/>
              <w:spacing w:after="0" w:line="240" w:lineRule="auto"/>
              <w:jc w:val="both"/>
              <w:rPr>
                <w:rFonts w:ascii="Times New Roman" w:hAnsi="Times New Roman"/>
                <w:b/>
              </w:rPr>
            </w:pPr>
          </w:p>
          <w:p w:rsidR="00A2110A" w:rsidP="00B041C1">
            <w:pPr>
              <w:bidi w:val="0"/>
              <w:spacing w:after="0" w:line="240" w:lineRule="auto"/>
              <w:jc w:val="both"/>
              <w:rPr>
                <w:rFonts w:ascii="Times New Roman" w:hAnsi="Times New Roman"/>
                <w:bCs/>
              </w:rPr>
            </w:pPr>
            <w:r>
              <w:rPr>
                <w:rFonts w:ascii="Times New Roman" w:hAnsi="Times New Roman"/>
                <w:bCs/>
              </w:rPr>
              <w:t>Aké sú  vplyvy na zamestnanosť?</w:t>
            </w:r>
          </w:p>
          <w:p w:rsidR="00A2110A" w:rsidP="00B041C1">
            <w:pPr>
              <w:bidi w:val="0"/>
              <w:spacing w:after="0" w:line="240" w:lineRule="auto"/>
              <w:jc w:val="both"/>
              <w:rPr>
                <w:rFonts w:ascii="Times New Roman" w:hAnsi="Times New Roman"/>
              </w:rPr>
            </w:pPr>
            <w:r>
              <w:rPr>
                <w:rFonts w:ascii="Times New Roman" w:hAnsi="Times New Roman"/>
                <w:bCs/>
              </w:rPr>
              <w:t>Ktoré skupiny zamestnancov budú ohrozené schválením predkladaného materiálu?</w:t>
            </w:r>
          </w:p>
          <w:p w:rsidR="00A2110A" w:rsidP="00012058">
            <w:pPr>
              <w:bidi w:val="0"/>
              <w:spacing w:after="0" w:line="240" w:lineRule="auto"/>
              <w:jc w:val="both"/>
              <w:rPr>
                <w:rFonts w:ascii="Times New Roman" w:hAnsi="Times New Roman"/>
                <w:bCs/>
              </w:rPr>
            </w:pPr>
            <w:r>
              <w:rPr>
                <w:rFonts w:ascii="Times New Roman" w:hAnsi="Times New Roman"/>
                <w:bCs/>
              </w:rPr>
              <w:t>Hrozí v prípade schválenia predkladaného materiálu hromadné prepúšťanie?</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A2110A" w:rsidP="00B041C1">
            <w:pPr>
              <w:bidi w:val="0"/>
              <w:spacing w:after="0" w:line="240" w:lineRule="auto"/>
              <w:jc w:val="both"/>
              <w:rPr>
                <w:rFonts w:ascii="Times New Roman" w:hAnsi="Times New Roman"/>
              </w:rPr>
            </w:pPr>
            <w:r>
              <w:rPr>
                <w:rFonts w:ascii="Times New Roman" w:hAnsi="Times New Roman"/>
              </w:rPr>
              <w:t> </w:t>
            </w:r>
            <w:r w:rsidR="00A83E37">
              <w:rPr>
                <w:rFonts w:ascii="Times New Roman" w:hAnsi="Times New Roman"/>
              </w:rPr>
              <w:t>bezpredmetné</w:t>
            </w:r>
          </w:p>
          <w:p w:rsidR="00A2110A" w:rsidP="00B041C1">
            <w:pPr>
              <w:bidi w:val="0"/>
              <w:spacing w:after="0" w:line="240" w:lineRule="auto"/>
              <w:jc w:val="both"/>
              <w:rPr>
                <w:rFonts w:ascii="Times New Roman" w:hAnsi="Times New Roman"/>
              </w:rPr>
            </w:pPr>
          </w:p>
          <w:p w:rsidR="00A2110A" w:rsidP="00B041C1">
            <w:pPr>
              <w:bidi w:val="0"/>
              <w:spacing w:after="0" w:line="240" w:lineRule="auto"/>
              <w:jc w:val="both"/>
              <w:rPr>
                <w:rFonts w:ascii="Times New Roman" w:hAnsi="Times New Roman"/>
              </w:rPr>
            </w:pPr>
          </w:p>
          <w:p w:rsidR="00A2110A" w:rsidP="00B041C1">
            <w:pPr>
              <w:bidi w:val="0"/>
              <w:spacing w:after="0" w:line="240" w:lineRule="auto"/>
              <w:jc w:val="both"/>
              <w:rPr>
                <w:rFonts w:ascii="Times New Roman" w:hAnsi="Times New Roman"/>
              </w:rPr>
            </w:pPr>
          </w:p>
          <w:p w:rsidR="00A2110A" w:rsidP="00B041C1">
            <w:pPr>
              <w:bidi w:val="0"/>
              <w:spacing w:after="0" w:line="240" w:lineRule="auto"/>
              <w:jc w:val="both"/>
              <w:rPr>
                <w:rFonts w:ascii="Times New Roman" w:hAnsi="Times New Roman"/>
              </w:rPr>
            </w:pPr>
          </w:p>
        </w:tc>
      </w:tr>
    </w:tbl>
    <w:p w:rsidR="00A2110A" w:rsidP="00A2110A">
      <w:pPr>
        <w:pStyle w:val="BodyText"/>
        <w:tabs>
          <w:tab w:val="num" w:pos="1080"/>
        </w:tabs>
        <w:bidi w:val="0"/>
        <w:jc w:val="both"/>
        <w:rPr>
          <w:rFonts w:ascii="Times New Roman" w:hAnsi="Times New Roman"/>
          <w:b w:val="0"/>
          <w:bCs/>
        </w:rPr>
      </w:pPr>
    </w:p>
    <w:p w:rsidR="005A1D5C" w:rsidP="00A2110A">
      <w:pPr>
        <w:pStyle w:val="BodyText"/>
        <w:tabs>
          <w:tab w:val="num" w:pos="1080"/>
        </w:tabs>
        <w:bidi w:val="0"/>
        <w:jc w:val="both"/>
        <w:rPr>
          <w:rFonts w:ascii="Times New Roman" w:hAnsi="Times New Roman"/>
          <w:b w:val="0"/>
          <w:bCs/>
        </w:rPr>
      </w:pPr>
    </w:p>
    <w:p w:rsidR="005A1D5C" w:rsidP="00A2110A">
      <w:pPr>
        <w:pStyle w:val="BodyText"/>
        <w:tabs>
          <w:tab w:val="num" w:pos="1080"/>
        </w:tabs>
        <w:bidi w:val="0"/>
        <w:jc w:val="both"/>
        <w:rPr>
          <w:rFonts w:ascii="Times New Roman" w:hAnsi="Times New Roman"/>
          <w:b w:val="0"/>
          <w:bCs/>
        </w:rPr>
      </w:pPr>
    </w:p>
    <w:p w:rsidR="005A1D5C" w:rsidP="00A2110A">
      <w:pPr>
        <w:pStyle w:val="BodyText"/>
        <w:tabs>
          <w:tab w:val="num" w:pos="1080"/>
        </w:tabs>
        <w:bidi w:val="0"/>
        <w:jc w:val="both"/>
        <w:rPr>
          <w:rFonts w:ascii="Times New Roman" w:hAnsi="Times New Roman"/>
          <w:b w:val="0"/>
          <w:bCs/>
        </w:rPr>
      </w:pPr>
    </w:p>
    <w:p w:rsidR="005A1D5C" w:rsidP="00A2110A">
      <w:pPr>
        <w:pStyle w:val="BodyText"/>
        <w:tabs>
          <w:tab w:val="num" w:pos="1080"/>
        </w:tabs>
        <w:bidi w:val="0"/>
        <w:jc w:val="both"/>
        <w:rPr>
          <w:rFonts w:ascii="Times New Roman" w:hAnsi="Times New Roman"/>
          <w:b w:val="0"/>
          <w:bCs/>
        </w:rPr>
      </w:pPr>
    </w:p>
    <w:p w:rsidR="005A1D5C" w:rsidP="005A1D5C">
      <w:pPr>
        <w:bidi w:val="0"/>
        <w:rPr>
          <w:rFonts w:ascii="Times New Roman" w:hAnsi="Times New Roman"/>
          <w:b/>
          <w:bCs/>
          <w:sz w:val="28"/>
          <w:szCs w:val="28"/>
        </w:rPr>
        <w:sectPr w:rsidSect="005A1D5C">
          <w:pgSz w:w="11906" w:h="16838"/>
          <w:pgMar w:top="1418" w:right="1418" w:bottom="1418" w:left="1418" w:header="709" w:footer="709" w:gutter="0"/>
          <w:lnNumType w:distance="0"/>
          <w:cols w:space="708"/>
          <w:noEndnote w:val="0"/>
          <w:bidi w:val="0"/>
          <w:docGrid w:linePitch="360"/>
        </w:sectPr>
      </w:pPr>
    </w:p>
    <w:p w:rsidR="005A1D5C" w:rsidP="005A1D5C">
      <w:pPr>
        <w:bidi w:val="0"/>
        <w:rPr>
          <w:rFonts w:ascii="Times New Roman" w:hAnsi="Times New Roman"/>
        </w:rPr>
      </w:pPr>
      <w:r w:rsidRPr="005A1D5C">
        <w:rPr>
          <w:rFonts w:ascii="Times New Roman" w:hAnsi="Times New Roman"/>
          <w:b/>
          <w:bCs/>
          <w:sz w:val="28"/>
          <w:szCs w:val="28"/>
        </w:rPr>
        <w:t>Príloha k v</w:t>
      </w:r>
      <w:r w:rsidRPr="004161A1">
        <w:rPr>
          <w:rFonts w:ascii="Times New Roman" w:hAnsi="Times New Roman"/>
          <w:b/>
          <w:bCs/>
          <w:sz w:val="28"/>
          <w:szCs w:val="28"/>
        </w:rPr>
        <w:t>plyv</w:t>
      </w:r>
      <w:r>
        <w:rPr>
          <w:rFonts w:ascii="Times New Roman" w:hAnsi="Times New Roman"/>
          <w:b/>
          <w:bCs/>
          <w:sz w:val="28"/>
          <w:szCs w:val="28"/>
        </w:rPr>
        <w:t>om</w:t>
      </w:r>
      <w:r w:rsidRPr="004161A1">
        <w:rPr>
          <w:rFonts w:ascii="Times New Roman" w:hAnsi="Times New Roman"/>
          <w:b/>
          <w:bCs/>
          <w:sz w:val="28"/>
          <w:szCs w:val="28"/>
        </w:rPr>
        <w:t xml:space="preserve"> na rozpočet verejnej správy,</w:t>
      </w:r>
      <w:r>
        <w:rPr>
          <w:rFonts w:ascii="Times New Roman" w:hAnsi="Times New Roman"/>
          <w:b/>
          <w:bCs/>
          <w:sz w:val="28"/>
          <w:szCs w:val="28"/>
        </w:rPr>
        <w:t xml:space="preserve"> </w:t>
      </w:r>
      <w:r w:rsidRPr="004161A1">
        <w:rPr>
          <w:rFonts w:ascii="Times New Roman" w:hAnsi="Times New Roman"/>
          <w:b/>
          <w:bCs/>
          <w:sz w:val="28"/>
          <w:szCs w:val="28"/>
        </w:rPr>
        <w:t>na zamestnanosť vo verejnej správe a financovanie návrhu</w:t>
      </w:r>
    </w:p>
    <w:p w:rsidR="005A1D5C" w:rsidP="005A1D5C">
      <w:pPr>
        <w:bidi w:val="0"/>
        <w:jc w:val="both"/>
        <w:rPr>
          <w:rFonts w:ascii="Times New Roman" w:hAnsi="Times New Roman"/>
        </w:rPr>
      </w:pPr>
    </w:p>
    <w:p w:rsidR="005A1D5C" w:rsidP="00A2110A">
      <w:pPr>
        <w:pStyle w:val="BodyText"/>
        <w:tabs>
          <w:tab w:val="num" w:pos="1080"/>
        </w:tabs>
        <w:bidi w:val="0"/>
        <w:jc w:val="both"/>
        <w:rPr>
          <w:rFonts w:ascii="Times New Roman" w:hAnsi="Times New Roman"/>
          <w:b w:val="0"/>
          <w:bCs/>
        </w:rPr>
      </w:pPr>
    </w:p>
    <w:p w:rsidR="005A1D5C" w:rsidP="00A2110A">
      <w:pPr>
        <w:pStyle w:val="BodyText"/>
        <w:tabs>
          <w:tab w:val="num" w:pos="1080"/>
        </w:tabs>
        <w:bidi w:val="0"/>
        <w:jc w:val="both"/>
        <w:rPr>
          <w:rFonts w:ascii="Times New Roman" w:hAnsi="Times New Roman"/>
          <w:b w:val="0"/>
          <w:bCs/>
        </w:rPr>
      </w:pPr>
    </w:p>
    <w:p w:rsidR="005A1D5C" w:rsidP="00A2110A">
      <w:pPr>
        <w:pStyle w:val="BodyText"/>
        <w:tabs>
          <w:tab w:val="num" w:pos="1080"/>
        </w:tabs>
        <w:bidi w:val="0"/>
        <w:jc w:val="both"/>
        <w:rPr>
          <w:rFonts w:ascii="Times New Roman" w:hAnsi="Times New Roman"/>
          <w:b w:val="0"/>
          <w:bCs/>
        </w:rPr>
      </w:pPr>
    </w:p>
    <w:p w:rsidR="005A1D5C" w:rsidP="00A2110A">
      <w:pPr>
        <w:pStyle w:val="BodyText"/>
        <w:tabs>
          <w:tab w:val="num" w:pos="1080"/>
        </w:tabs>
        <w:bidi w:val="0"/>
        <w:jc w:val="both"/>
        <w:rPr>
          <w:rFonts w:ascii="Times New Roman" w:hAnsi="Times New Roman"/>
          <w:b w:val="0"/>
          <w:bCs/>
        </w:rPr>
      </w:pPr>
      <w:r w:rsidR="00BE1000">
        <w:rPr>
          <w:rFonts w:ascii="Times New Roman" w:hAnsi="Times New Roman"/>
          <w:b w:val="0"/>
          <w:bCs/>
        </w:rPr>
        <w:t>Tab. č. 1 Predpokladaný dopad na financovanie zariadení zriadených alebo založených obcou z účelovej dotácie MF SR</w:t>
      </w:r>
    </w:p>
    <w:tbl>
      <w:tblPr>
        <w:tblStyle w:val="TableNormal"/>
        <w:tblW w:w="11175" w:type="dxa"/>
        <w:tblInd w:w="55" w:type="dxa"/>
        <w:tblCellMar>
          <w:left w:w="70" w:type="dxa"/>
          <w:right w:w="70" w:type="dxa"/>
        </w:tblCellMar>
      </w:tblPr>
      <w:tblGrid>
        <w:gridCol w:w="3277"/>
        <w:gridCol w:w="960"/>
        <w:gridCol w:w="960"/>
        <w:gridCol w:w="1003"/>
        <w:gridCol w:w="1555"/>
        <w:gridCol w:w="1620"/>
        <w:gridCol w:w="1800"/>
      </w:tblGrid>
      <w:tr>
        <w:tblPrEx>
          <w:tblW w:w="11175" w:type="dxa"/>
          <w:tblInd w:w="55" w:type="dxa"/>
          <w:tblCellMar>
            <w:left w:w="70" w:type="dxa"/>
            <w:right w:w="70" w:type="dxa"/>
          </w:tblCellMar>
        </w:tblPrEx>
        <w:trPr>
          <w:trHeight w:val="255"/>
        </w:trPr>
        <w:tc>
          <w:tcPr>
            <w:tcW w:w="3277" w:type="dxa"/>
            <w:vMerge w:val="restart"/>
            <w:tcBorders>
              <w:top w:val="single" w:sz="8" w:space="0" w:color="auto"/>
              <w:left w:val="single" w:sz="8" w:space="0" w:color="auto"/>
              <w:bottom w:val="nil"/>
              <w:right w:val="single" w:sz="4" w:space="0" w:color="auto"/>
            </w:tcBorders>
            <w:shd w:val="clear" w:color="auto" w:fill="C0C0C0"/>
            <w:textDirection w:val="lrTb"/>
            <w:vAlign w:val="bottom"/>
          </w:tcPr>
          <w:p w:rsidR="00BE1000" w:rsidRPr="00BE1000" w:rsidP="00BE1000">
            <w:pPr>
              <w:bidi w:val="0"/>
              <w:spacing w:after="0" w:line="240" w:lineRule="auto"/>
              <w:jc w:val="center"/>
              <w:rPr>
                <w:rFonts w:ascii="Arial" w:hAnsi="Arial" w:cs="Arial"/>
                <w:sz w:val="16"/>
                <w:szCs w:val="16"/>
              </w:rPr>
            </w:pPr>
            <w:r w:rsidRPr="00BE1000">
              <w:rPr>
                <w:rFonts w:ascii="Arial" w:hAnsi="Arial" w:cs="Arial"/>
                <w:sz w:val="16"/>
                <w:szCs w:val="16"/>
              </w:rPr>
              <w:t>Druh zariadenia</w:t>
            </w:r>
          </w:p>
        </w:tc>
        <w:tc>
          <w:tcPr>
            <w:tcW w:w="960" w:type="dxa"/>
            <w:vMerge w:val="restart"/>
            <w:tcBorders>
              <w:top w:val="single" w:sz="8" w:space="0" w:color="auto"/>
              <w:left w:val="single" w:sz="4" w:space="0" w:color="auto"/>
              <w:bottom w:val="nil"/>
              <w:right w:val="nil"/>
            </w:tcBorders>
            <w:shd w:val="clear" w:color="auto" w:fill="C0C0C0"/>
            <w:textDirection w:val="lrTb"/>
            <w:vAlign w:val="bottom"/>
          </w:tcPr>
          <w:p w:rsidR="00BE1000" w:rsidRPr="00BE1000" w:rsidP="00BE1000">
            <w:pPr>
              <w:bidi w:val="0"/>
              <w:spacing w:after="0" w:line="240" w:lineRule="auto"/>
              <w:jc w:val="center"/>
              <w:rPr>
                <w:rFonts w:ascii="Arial" w:hAnsi="Arial" w:cs="Arial"/>
                <w:sz w:val="16"/>
                <w:szCs w:val="16"/>
              </w:rPr>
            </w:pPr>
            <w:r w:rsidRPr="00BE1000">
              <w:rPr>
                <w:rFonts w:ascii="Arial" w:hAnsi="Arial" w:cs="Arial"/>
                <w:sz w:val="16"/>
                <w:szCs w:val="16"/>
              </w:rPr>
              <w:t>Počet zariadení</w:t>
            </w:r>
          </w:p>
        </w:tc>
        <w:tc>
          <w:tcPr>
            <w:tcW w:w="960" w:type="dxa"/>
            <w:vMerge w:val="restart"/>
            <w:tcBorders>
              <w:top w:val="single" w:sz="8" w:space="0" w:color="auto"/>
              <w:left w:val="single" w:sz="4" w:space="0" w:color="auto"/>
              <w:bottom w:val="nil"/>
              <w:right w:val="nil"/>
            </w:tcBorders>
            <w:shd w:val="clear" w:color="auto" w:fill="C0C0C0"/>
            <w:textDirection w:val="lrTb"/>
            <w:vAlign w:val="bottom"/>
          </w:tcPr>
          <w:p w:rsidR="00BE1000" w:rsidRPr="00BE1000" w:rsidP="00BE1000">
            <w:pPr>
              <w:bidi w:val="0"/>
              <w:spacing w:after="0" w:line="240" w:lineRule="auto"/>
              <w:jc w:val="center"/>
              <w:rPr>
                <w:rFonts w:ascii="Arial" w:hAnsi="Arial" w:cs="Arial"/>
                <w:sz w:val="16"/>
                <w:szCs w:val="16"/>
              </w:rPr>
            </w:pPr>
            <w:r w:rsidRPr="00BE1000">
              <w:rPr>
                <w:rFonts w:ascii="Arial" w:hAnsi="Arial" w:cs="Arial"/>
                <w:sz w:val="16"/>
                <w:szCs w:val="16"/>
              </w:rPr>
              <w:t>Počet miest k 31.12.2010</w:t>
            </w:r>
          </w:p>
        </w:tc>
        <w:tc>
          <w:tcPr>
            <w:tcW w:w="1003" w:type="dxa"/>
            <w:vMerge w:val="restart"/>
            <w:tcBorders>
              <w:top w:val="single" w:sz="8" w:space="0" w:color="auto"/>
              <w:left w:val="single" w:sz="4" w:space="0" w:color="auto"/>
              <w:bottom w:val="nil"/>
              <w:right w:val="nil"/>
            </w:tcBorders>
            <w:shd w:val="clear" w:color="auto" w:fill="C0C0C0"/>
            <w:textDirection w:val="lrTb"/>
            <w:vAlign w:val="bottom"/>
          </w:tcPr>
          <w:p w:rsidR="00BE1000" w:rsidRPr="00BE1000" w:rsidP="00BE1000">
            <w:pPr>
              <w:bidi w:val="0"/>
              <w:spacing w:after="0" w:line="240" w:lineRule="auto"/>
              <w:jc w:val="center"/>
              <w:rPr>
                <w:rFonts w:ascii="Arial" w:hAnsi="Arial" w:cs="Arial"/>
                <w:sz w:val="16"/>
                <w:szCs w:val="16"/>
              </w:rPr>
            </w:pPr>
            <w:r w:rsidRPr="00BE1000">
              <w:rPr>
                <w:rFonts w:ascii="Arial" w:hAnsi="Arial" w:cs="Arial"/>
                <w:sz w:val="16"/>
                <w:szCs w:val="16"/>
              </w:rPr>
              <w:t xml:space="preserve">Navrhovaná mesačná  výška príspevku (v </w:t>
            </w:r>
            <w:r w:rsidR="00515D5F">
              <w:rPr>
                <w:rFonts w:ascii="Arial" w:hAnsi="Arial" w:cs="Arial"/>
                <w:sz w:val="16"/>
                <w:szCs w:val="16"/>
              </w:rPr>
              <w:t>eurách</w:t>
            </w:r>
            <w:r w:rsidRPr="00BE1000">
              <w:rPr>
                <w:rFonts w:ascii="Arial" w:hAnsi="Arial" w:cs="Arial"/>
                <w:sz w:val="16"/>
                <w:szCs w:val="16"/>
              </w:rPr>
              <w:t xml:space="preserve">) </w:t>
            </w:r>
          </w:p>
        </w:tc>
        <w:tc>
          <w:tcPr>
            <w:tcW w:w="1555" w:type="dxa"/>
            <w:vMerge w:val="restart"/>
            <w:tcBorders>
              <w:top w:val="single" w:sz="8" w:space="0" w:color="auto"/>
              <w:left w:val="single" w:sz="4" w:space="0" w:color="auto"/>
              <w:bottom w:val="single" w:sz="4" w:space="0" w:color="auto"/>
              <w:right w:val="single" w:sz="4" w:space="0" w:color="auto"/>
            </w:tcBorders>
            <w:shd w:val="clear" w:color="auto" w:fill="C0C0C0"/>
            <w:textDirection w:val="lrTb"/>
            <w:vAlign w:val="bottom"/>
          </w:tcPr>
          <w:p w:rsidR="00BE1000" w:rsidRPr="00BE1000" w:rsidP="00BE1000">
            <w:pPr>
              <w:bidi w:val="0"/>
              <w:spacing w:after="0" w:line="240" w:lineRule="auto"/>
              <w:jc w:val="center"/>
              <w:rPr>
                <w:rFonts w:ascii="Arial" w:hAnsi="Arial" w:cs="Arial"/>
                <w:sz w:val="16"/>
                <w:szCs w:val="16"/>
              </w:rPr>
            </w:pPr>
            <w:r w:rsidRPr="00BE1000">
              <w:rPr>
                <w:rFonts w:ascii="Arial" w:hAnsi="Arial" w:cs="Arial"/>
                <w:sz w:val="16"/>
                <w:szCs w:val="16"/>
              </w:rPr>
              <w:t>Predpokladaný dopad na rozpočtový rok 2012</w:t>
            </w:r>
          </w:p>
        </w:tc>
        <w:tc>
          <w:tcPr>
            <w:tcW w:w="1620" w:type="dxa"/>
            <w:vMerge w:val="restart"/>
            <w:tcBorders>
              <w:top w:val="single" w:sz="8" w:space="0" w:color="auto"/>
              <w:left w:val="single" w:sz="4" w:space="0" w:color="auto"/>
              <w:bottom w:val="single" w:sz="4" w:space="0" w:color="auto"/>
              <w:right w:val="single" w:sz="4" w:space="0" w:color="auto"/>
            </w:tcBorders>
            <w:shd w:val="clear" w:color="auto" w:fill="C0C0C0"/>
            <w:textDirection w:val="lrTb"/>
            <w:vAlign w:val="bottom"/>
          </w:tcPr>
          <w:p w:rsidR="00BE1000" w:rsidRPr="00BE1000" w:rsidP="00BE1000">
            <w:pPr>
              <w:bidi w:val="0"/>
              <w:spacing w:after="0" w:line="240" w:lineRule="auto"/>
              <w:jc w:val="center"/>
              <w:rPr>
                <w:rFonts w:ascii="Arial" w:hAnsi="Arial" w:cs="Arial"/>
                <w:sz w:val="16"/>
                <w:szCs w:val="16"/>
              </w:rPr>
            </w:pPr>
            <w:r w:rsidRPr="00BE1000">
              <w:rPr>
                <w:rFonts w:ascii="Arial" w:hAnsi="Arial" w:cs="Arial"/>
                <w:sz w:val="16"/>
                <w:szCs w:val="16"/>
              </w:rPr>
              <w:t>Predpokladaný dopad na rozpočtový rok 2013</w:t>
            </w:r>
          </w:p>
        </w:tc>
        <w:tc>
          <w:tcPr>
            <w:tcW w:w="1800" w:type="dxa"/>
            <w:vMerge w:val="restart"/>
            <w:tcBorders>
              <w:top w:val="single" w:sz="8" w:space="0" w:color="auto"/>
              <w:left w:val="single" w:sz="4" w:space="0" w:color="auto"/>
              <w:bottom w:val="single" w:sz="4" w:space="0" w:color="auto"/>
              <w:right w:val="single" w:sz="8" w:space="0" w:color="auto"/>
            </w:tcBorders>
            <w:shd w:val="clear" w:color="auto" w:fill="C0C0C0"/>
            <w:textDirection w:val="lrTb"/>
            <w:vAlign w:val="bottom"/>
          </w:tcPr>
          <w:p w:rsidR="00BE1000" w:rsidRPr="00BE1000" w:rsidP="00BE1000">
            <w:pPr>
              <w:bidi w:val="0"/>
              <w:spacing w:after="0" w:line="240" w:lineRule="auto"/>
              <w:jc w:val="center"/>
              <w:rPr>
                <w:rFonts w:ascii="Arial" w:hAnsi="Arial" w:cs="Arial"/>
                <w:sz w:val="16"/>
                <w:szCs w:val="16"/>
              </w:rPr>
            </w:pPr>
            <w:r w:rsidRPr="00BE1000">
              <w:rPr>
                <w:rFonts w:ascii="Arial" w:hAnsi="Arial" w:cs="Arial"/>
                <w:sz w:val="16"/>
                <w:szCs w:val="16"/>
              </w:rPr>
              <w:t>Predpokladaný dopad na rozpočtový rok 2014</w:t>
            </w:r>
          </w:p>
        </w:tc>
      </w:tr>
      <w:tr>
        <w:tblPrEx>
          <w:tblW w:w="11175" w:type="dxa"/>
          <w:tblInd w:w="55" w:type="dxa"/>
          <w:tblCellMar>
            <w:left w:w="70" w:type="dxa"/>
            <w:right w:w="70" w:type="dxa"/>
          </w:tblCellMar>
        </w:tblPrEx>
        <w:trPr>
          <w:trHeight w:val="255"/>
        </w:trPr>
        <w:tc>
          <w:tcPr>
            <w:tcW w:w="3277" w:type="dxa"/>
            <w:vMerge/>
            <w:tcBorders>
              <w:top w:val="single" w:sz="8" w:space="0" w:color="auto"/>
              <w:left w:val="single" w:sz="8" w:space="0" w:color="auto"/>
              <w:bottom w:val="nil"/>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1003"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1555" w:type="dxa"/>
            <w:vMerge/>
            <w:tcBorders>
              <w:top w:val="single" w:sz="8" w:space="0" w:color="auto"/>
              <w:left w:val="single" w:sz="4" w:space="0" w:color="auto"/>
              <w:bottom w:val="single" w:sz="4" w:space="0" w:color="auto"/>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1620" w:type="dxa"/>
            <w:vMerge/>
            <w:tcBorders>
              <w:top w:val="single" w:sz="8" w:space="0" w:color="auto"/>
              <w:left w:val="single" w:sz="4" w:space="0" w:color="auto"/>
              <w:bottom w:val="single" w:sz="4" w:space="0" w:color="auto"/>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1800" w:type="dxa"/>
            <w:vMerge/>
            <w:tcBorders>
              <w:top w:val="single" w:sz="8" w:space="0" w:color="auto"/>
              <w:left w:val="single" w:sz="4" w:space="0" w:color="auto"/>
              <w:bottom w:val="single" w:sz="4" w:space="0" w:color="auto"/>
              <w:right w:val="single" w:sz="8" w:space="0" w:color="auto"/>
            </w:tcBorders>
            <w:textDirection w:val="lrTb"/>
            <w:vAlign w:val="center"/>
          </w:tcPr>
          <w:p w:rsidR="00BE1000" w:rsidRPr="00BE1000" w:rsidP="00BE1000">
            <w:pPr>
              <w:bidi w:val="0"/>
              <w:spacing w:after="0" w:line="240" w:lineRule="auto"/>
              <w:rPr>
                <w:rFonts w:ascii="Arial" w:hAnsi="Arial" w:cs="Arial"/>
                <w:sz w:val="16"/>
                <w:szCs w:val="16"/>
              </w:rPr>
            </w:pPr>
          </w:p>
        </w:tc>
      </w:tr>
      <w:tr>
        <w:tblPrEx>
          <w:tblW w:w="11175" w:type="dxa"/>
          <w:tblInd w:w="55" w:type="dxa"/>
          <w:tblCellMar>
            <w:left w:w="70" w:type="dxa"/>
            <w:right w:w="70" w:type="dxa"/>
          </w:tblCellMar>
        </w:tblPrEx>
        <w:trPr>
          <w:trHeight w:val="255"/>
        </w:trPr>
        <w:tc>
          <w:tcPr>
            <w:tcW w:w="3277" w:type="dxa"/>
            <w:vMerge/>
            <w:tcBorders>
              <w:top w:val="single" w:sz="8" w:space="0" w:color="auto"/>
              <w:left w:val="single" w:sz="8" w:space="0" w:color="auto"/>
              <w:bottom w:val="nil"/>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1003"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1555" w:type="dxa"/>
            <w:vMerge/>
            <w:tcBorders>
              <w:top w:val="single" w:sz="8" w:space="0" w:color="auto"/>
              <w:left w:val="single" w:sz="4" w:space="0" w:color="auto"/>
              <w:bottom w:val="single" w:sz="4" w:space="0" w:color="auto"/>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1620" w:type="dxa"/>
            <w:vMerge/>
            <w:tcBorders>
              <w:top w:val="single" w:sz="8" w:space="0" w:color="auto"/>
              <w:left w:val="single" w:sz="4" w:space="0" w:color="auto"/>
              <w:bottom w:val="single" w:sz="4" w:space="0" w:color="auto"/>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1800" w:type="dxa"/>
            <w:vMerge/>
            <w:tcBorders>
              <w:top w:val="single" w:sz="8" w:space="0" w:color="auto"/>
              <w:left w:val="single" w:sz="4" w:space="0" w:color="auto"/>
              <w:bottom w:val="single" w:sz="4" w:space="0" w:color="auto"/>
              <w:right w:val="single" w:sz="8" w:space="0" w:color="auto"/>
            </w:tcBorders>
            <w:textDirection w:val="lrTb"/>
            <w:vAlign w:val="center"/>
          </w:tcPr>
          <w:p w:rsidR="00BE1000" w:rsidRPr="00BE1000" w:rsidP="00BE1000">
            <w:pPr>
              <w:bidi w:val="0"/>
              <w:spacing w:after="0" w:line="240" w:lineRule="auto"/>
              <w:rPr>
                <w:rFonts w:ascii="Arial" w:hAnsi="Arial" w:cs="Arial"/>
                <w:sz w:val="16"/>
                <w:szCs w:val="16"/>
              </w:rPr>
            </w:pPr>
          </w:p>
        </w:tc>
      </w:tr>
      <w:tr>
        <w:tblPrEx>
          <w:tblW w:w="11175" w:type="dxa"/>
          <w:tblInd w:w="55" w:type="dxa"/>
          <w:tblCellMar>
            <w:left w:w="70" w:type="dxa"/>
            <w:right w:w="70" w:type="dxa"/>
          </w:tblCellMar>
        </w:tblPrEx>
        <w:trPr>
          <w:trHeight w:val="255"/>
        </w:trPr>
        <w:tc>
          <w:tcPr>
            <w:tcW w:w="3277" w:type="dxa"/>
            <w:vMerge/>
            <w:tcBorders>
              <w:top w:val="single" w:sz="8" w:space="0" w:color="auto"/>
              <w:left w:val="single" w:sz="8" w:space="0" w:color="auto"/>
              <w:bottom w:val="nil"/>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1003"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1555" w:type="dxa"/>
            <w:vMerge/>
            <w:tcBorders>
              <w:top w:val="single" w:sz="8" w:space="0" w:color="auto"/>
              <w:left w:val="single" w:sz="4" w:space="0" w:color="auto"/>
              <w:bottom w:val="single" w:sz="4" w:space="0" w:color="auto"/>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1620" w:type="dxa"/>
            <w:vMerge/>
            <w:tcBorders>
              <w:top w:val="single" w:sz="8" w:space="0" w:color="auto"/>
              <w:left w:val="single" w:sz="4" w:space="0" w:color="auto"/>
              <w:bottom w:val="single" w:sz="4" w:space="0" w:color="auto"/>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1800" w:type="dxa"/>
            <w:vMerge/>
            <w:tcBorders>
              <w:top w:val="single" w:sz="8" w:space="0" w:color="auto"/>
              <w:left w:val="single" w:sz="4" w:space="0" w:color="auto"/>
              <w:bottom w:val="single" w:sz="4" w:space="0" w:color="auto"/>
              <w:right w:val="single" w:sz="8" w:space="0" w:color="auto"/>
            </w:tcBorders>
            <w:textDirection w:val="lrTb"/>
            <w:vAlign w:val="center"/>
          </w:tcPr>
          <w:p w:rsidR="00BE1000" w:rsidRPr="00BE1000" w:rsidP="00BE1000">
            <w:pPr>
              <w:bidi w:val="0"/>
              <w:spacing w:after="0" w:line="240" w:lineRule="auto"/>
              <w:rPr>
                <w:rFonts w:ascii="Arial" w:hAnsi="Arial" w:cs="Arial"/>
                <w:sz w:val="16"/>
                <w:szCs w:val="16"/>
              </w:rPr>
            </w:pPr>
          </w:p>
        </w:tc>
      </w:tr>
      <w:tr>
        <w:tblPrEx>
          <w:tblW w:w="11175" w:type="dxa"/>
          <w:tblInd w:w="55" w:type="dxa"/>
          <w:tblCellMar>
            <w:left w:w="70" w:type="dxa"/>
            <w:right w:w="70" w:type="dxa"/>
          </w:tblCellMar>
        </w:tblPrEx>
        <w:trPr>
          <w:trHeight w:val="270"/>
        </w:trPr>
        <w:tc>
          <w:tcPr>
            <w:tcW w:w="3277" w:type="dxa"/>
            <w:vMerge/>
            <w:tcBorders>
              <w:top w:val="single" w:sz="8" w:space="0" w:color="auto"/>
              <w:left w:val="single" w:sz="8" w:space="0" w:color="auto"/>
              <w:bottom w:val="nil"/>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1003" w:type="dxa"/>
            <w:vMerge/>
            <w:tcBorders>
              <w:top w:val="single" w:sz="8" w:space="0" w:color="auto"/>
              <w:left w:val="single" w:sz="4" w:space="0" w:color="auto"/>
              <w:bottom w:val="nil"/>
              <w:right w:val="nil"/>
            </w:tcBorders>
            <w:textDirection w:val="lrTb"/>
            <w:vAlign w:val="center"/>
          </w:tcPr>
          <w:p w:rsidR="00BE1000" w:rsidRPr="00BE1000" w:rsidP="00BE1000">
            <w:pPr>
              <w:bidi w:val="0"/>
              <w:spacing w:after="0" w:line="240" w:lineRule="auto"/>
              <w:rPr>
                <w:rFonts w:ascii="Arial" w:hAnsi="Arial" w:cs="Arial"/>
                <w:sz w:val="16"/>
                <w:szCs w:val="16"/>
              </w:rPr>
            </w:pPr>
          </w:p>
        </w:tc>
        <w:tc>
          <w:tcPr>
            <w:tcW w:w="1555" w:type="dxa"/>
            <w:vMerge/>
            <w:tcBorders>
              <w:top w:val="single" w:sz="8" w:space="0" w:color="auto"/>
              <w:left w:val="single" w:sz="4" w:space="0" w:color="auto"/>
              <w:bottom w:val="single" w:sz="4" w:space="0" w:color="auto"/>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1620" w:type="dxa"/>
            <w:vMerge/>
            <w:tcBorders>
              <w:top w:val="single" w:sz="8" w:space="0" w:color="auto"/>
              <w:left w:val="single" w:sz="4" w:space="0" w:color="auto"/>
              <w:bottom w:val="single" w:sz="4" w:space="0" w:color="auto"/>
              <w:right w:val="single" w:sz="4" w:space="0" w:color="auto"/>
            </w:tcBorders>
            <w:textDirection w:val="lrTb"/>
            <w:vAlign w:val="center"/>
          </w:tcPr>
          <w:p w:rsidR="00BE1000" w:rsidRPr="00BE1000" w:rsidP="00BE1000">
            <w:pPr>
              <w:bidi w:val="0"/>
              <w:spacing w:after="0" w:line="240" w:lineRule="auto"/>
              <w:rPr>
                <w:rFonts w:ascii="Arial" w:hAnsi="Arial" w:cs="Arial"/>
                <w:sz w:val="16"/>
                <w:szCs w:val="16"/>
              </w:rPr>
            </w:pPr>
          </w:p>
        </w:tc>
        <w:tc>
          <w:tcPr>
            <w:tcW w:w="1800" w:type="dxa"/>
            <w:vMerge/>
            <w:tcBorders>
              <w:top w:val="single" w:sz="8" w:space="0" w:color="auto"/>
              <w:left w:val="single" w:sz="4" w:space="0" w:color="auto"/>
              <w:bottom w:val="single" w:sz="4" w:space="0" w:color="auto"/>
              <w:right w:val="single" w:sz="8" w:space="0" w:color="auto"/>
            </w:tcBorders>
            <w:textDirection w:val="lrTb"/>
            <w:vAlign w:val="center"/>
          </w:tcPr>
          <w:p w:rsidR="00BE1000" w:rsidRPr="00BE1000" w:rsidP="00BE1000">
            <w:pPr>
              <w:bidi w:val="0"/>
              <w:spacing w:after="0" w:line="240" w:lineRule="auto"/>
              <w:rPr>
                <w:rFonts w:ascii="Arial" w:hAnsi="Arial" w:cs="Arial"/>
                <w:sz w:val="16"/>
                <w:szCs w:val="16"/>
              </w:rPr>
            </w:pPr>
          </w:p>
        </w:tc>
      </w:tr>
      <w:tr>
        <w:tblPrEx>
          <w:tblW w:w="11175" w:type="dxa"/>
          <w:tblInd w:w="55" w:type="dxa"/>
          <w:tblCellMar>
            <w:left w:w="70" w:type="dxa"/>
            <w:right w:w="70" w:type="dxa"/>
          </w:tblCellMar>
        </w:tblPrEx>
        <w:trPr>
          <w:trHeight w:val="255"/>
        </w:trPr>
        <w:tc>
          <w:tcPr>
            <w:tcW w:w="3277" w:type="dxa"/>
            <w:tcBorders>
              <w:top w:val="single" w:sz="8" w:space="0" w:color="auto"/>
              <w:left w:val="single" w:sz="8" w:space="0" w:color="auto"/>
              <w:bottom w:val="single" w:sz="4" w:space="0" w:color="auto"/>
              <w:right w:val="single" w:sz="4" w:space="0" w:color="auto"/>
            </w:tcBorders>
            <w:shd w:val="clear" w:color="auto" w:fill="FFFF00"/>
            <w:textDirection w:val="lrTb"/>
            <w:vAlign w:val="bottom"/>
          </w:tcPr>
          <w:p w:rsidR="00BE1000" w:rsidRPr="00BE1000" w:rsidP="00BE1000">
            <w:pPr>
              <w:bidi w:val="0"/>
              <w:spacing w:after="0" w:line="240" w:lineRule="auto"/>
              <w:rPr>
                <w:rFonts w:ascii="Arial" w:hAnsi="Arial" w:cs="Arial"/>
                <w:b/>
                <w:bCs/>
                <w:color w:val="000000"/>
                <w:sz w:val="18"/>
                <w:szCs w:val="18"/>
              </w:rPr>
            </w:pPr>
            <w:r w:rsidRPr="00BE1000">
              <w:rPr>
                <w:rFonts w:ascii="Arial" w:hAnsi="Arial" w:cs="Arial"/>
                <w:b/>
                <w:bCs/>
                <w:color w:val="000000"/>
                <w:sz w:val="18"/>
                <w:szCs w:val="18"/>
              </w:rPr>
              <w:t>Obec </w:t>
            </w:r>
          </w:p>
        </w:tc>
        <w:tc>
          <w:tcPr>
            <w:tcW w:w="960" w:type="dxa"/>
            <w:tcBorders>
              <w:top w:val="single" w:sz="8" w:space="0" w:color="auto"/>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b/>
                <w:bCs/>
                <w:color w:val="000000"/>
                <w:sz w:val="18"/>
                <w:szCs w:val="18"/>
              </w:rPr>
            </w:pPr>
            <w:r w:rsidRPr="00BE1000">
              <w:rPr>
                <w:rFonts w:ascii="Arial" w:hAnsi="Arial" w:cs="Arial"/>
                <w:b/>
                <w:bCs/>
                <w:color w:val="000000"/>
                <w:sz w:val="18"/>
                <w:szCs w:val="18"/>
              </w:rPr>
              <w:t>217</w:t>
            </w:r>
          </w:p>
        </w:tc>
        <w:tc>
          <w:tcPr>
            <w:tcW w:w="960" w:type="dxa"/>
            <w:tcBorders>
              <w:top w:val="single" w:sz="8" w:space="0" w:color="auto"/>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b/>
                <w:bCs/>
                <w:color w:val="000000"/>
                <w:sz w:val="18"/>
                <w:szCs w:val="18"/>
              </w:rPr>
            </w:pPr>
            <w:r w:rsidRPr="00BE1000">
              <w:rPr>
                <w:rFonts w:ascii="Arial" w:hAnsi="Arial" w:cs="Arial"/>
                <w:b/>
                <w:bCs/>
                <w:color w:val="000000"/>
                <w:sz w:val="18"/>
                <w:szCs w:val="18"/>
              </w:rPr>
              <w:t>8 932</w:t>
            </w:r>
          </w:p>
        </w:tc>
        <w:tc>
          <w:tcPr>
            <w:tcW w:w="1003" w:type="dxa"/>
            <w:tcBorders>
              <w:top w:val="single" w:sz="8" w:space="0" w:color="auto"/>
              <w:left w:val="nil"/>
              <w:bottom w:val="single" w:sz="4" w:space="0" w:color="auto"/>
              <w:right w:val="single" w:sz="4" w:space="0" w:color="auto"/>
            </w:tcBorders>
            <w:noWrap/>
            <w:textDirection w:val="lrTb"/>
            <w:vAlign w:val="bottom"/>
          </w:tcPr>
          <w:p w:rsidR="00BE1000" w:rsidRPr="00BE1000" w:rsidP="00BE1000">
            <w:pPr>
              <w:bidi w:val="0"/>
              <w:spacing w:after="0" w:line="240" w:lineRule="auto"/>
              <w:rPr>
                <w:rFonts w:ascii="Arial" w:hAnsi="Arial" w:cs="Arial"/>
                <w:sz w:val="20"/>
                <w:szCs w:val="20"/>
              </w:rPr>
            </w:pPr>
            <w:r w:rsidRPr="00BE1000">
              <w:rPr>
                <w:rFonts w:ascii="Arial" w:hAnsi="Arial" w:cs="Arial"/>
                <w:sz w:val="20"/>
                <w:szCs w:val="20"/>
              </w:rPr>
              <w:t> </w:t>
            </w:r>
          </w:p>
        </w:tc>
        <w:tc>
          <w:tcPr>
            <w:tcW w:w="1555" w:type="dxa"/>
            <w:tcBorders>
              <w:top w:val="single" w:sz="8" w:space="0" w:color="auto"/>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b/>
                <w:bCs/>
                <w:sz w:val="20"/>
                <w:szCs w:val="20"/>
              </w:rPr>
            </w:pPr>
            <w:r w:rsidRPr="00BE1000">
              <w:rPr>
                <w:rFonts w:ascii="Arial" w:hAnsi="Arial" w:cs="Arial"/>
                <w:b/>
                <w:bCs/>
                <w:sz w:val="20"/>
                <w:szCs w:val="20"/>
              </w:rPr>
              <w:t>32 084 304,00</w:t>
            </w:r>
          </w:p>
        </w:tc>
        <w:tc>
          <w:tcPr>
            <w:tcW w:w="1620" w:type="dxa"/>
            <w:tcBorders>
              <w:top w:val="single" w:sz="4" w:space="0" w:color="auto"/>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b/>
                <w:bCs/>
                <w:sz w:val="20"/>
                <w:szCs w:val="20"/>
              </w:rPr>
            </w:pPr>
            <w:r w:rsidRPr="00BE1000">
              <w:rPr>
                <w:rFonts w:ascii="Arial" w:hAnsi="Arial" w:cs="Arial"/>
                <w:b/>
                <w:bCs/>
                <w:sz w:val="20"/>
                <w:szCs w:val="20"/>
              </w:rPr>
              <w:t>35 222 210,40</w:t>
            </w:r>
          </w:p>
        </w:tc>
        <w:tc>
          <w:tcPr>
            <w:tcW w:w="1800" w:type="dxa"/>
            <w:tcBorders>
              <w:top w:val="single" w:sz="4" w:space="0" w:color="auto"/>
              <w:left w:val="nil"/>
              <w:bottom w:val="single" w:sz="4"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b/>
                <w:bCs/>
                <w:sz w:val="20"/>
                <w:szCs w:val="20"/>
              </w:rPr>
            </w:pPr>
            <w:r w:rsidRPr="00BE1000">
              <w:rPr>
                <w:rFonts w:ascii="Arial" w:hAnsi="Arial" w:cs="Arial"/>
                <w:b/>
                <w:bCs/>
                <w:sz w:val="20"/>
                <w:szCs w:val="20"/>
              </w:rPr>
              <w:t>38 698 102,63</w:t>
            </w:r>
          </w:p>
        </w:tc>
      </w:tr>
      <w:tr>
        <w:tblPrEx>
          <w:tblW w:w="11175" w:type="dxa"/>
          <w:tblInd w:w="55" w:type="dxa"/>
          <w:tblCellMar>
            <w:left w:w="70" w:type="dxa"/>
            <w:right w:w="70" w:type="dxa"/>
          </w:tblCellMar>
        </w:tblPrEx>
        <w:trPr>
          <w:trHeight w:val="255"/>
        </w:trPr>
        <w:tc>
          <w:tcPr>
            <w:tcW w:w="3277" w:type="dxa"/>
            <w:tcBorders>
              <w:top w:val="nil"/>
              <w:left w:val="single" w:sz="8" w:space="0" w:color="auto"/>
              <w:bottom w:val="single" w:sz="4"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zariadenie pre seniorov </w:t>
            </w:r>
          </w:p>
        </w:tc>
        <w:tc>
          <w:tcPr>
            <w:tcW w:w="960"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77</w:t>
            </w:r>
          </w:p>
        </w:tc>
        <w:tc>
          <w:tcPr>
            <w:tcW w:w="960" w:type="dxa"/>
            <w:tcBorders>
              <w:top w:val="nil"/>
              <w:left w:val="nil"/>
              <w:bottom w:val="single" w:sz="4"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5 879</w:t>
            </w:r>
          </w:p>
        </w:tc>
        <w:tc>
          <w:tcPr>
            <w:tcW w:w="1003"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320</w:t>
            </w:r>
          </w:p>
        </w:tc>
        <w:tc>
          <w:tcPr>
            <w:tcW w:w="1555" w:type="dxa"/>
            <w:tcBorders>
              <w:top w:val="nil"/>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22 575 360,00</w:t>
            </w:r>
          </w:p>
        </w:tc>
        <w:tc>
          <w:tcPr>
            <w:tcW w:w="1620" w:type="dxa"/>
            <w:tcBorders>
              <w:top w:val="nil"/>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24 832 896</w:t>
            </w:r>
          </w:p>
        </w:tc>
        <w:tc>
          <w:tcPr>
            <w:tcW w:w="1800" w:type="dxa"/>
            <w:tcBorders>
              <w:top w:val="nil"/>
              <w:left w:val="nil"/>
              <w:bottom w:val="single" w:sz="4"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27 316 186</w:t>
            </w:r>
          </w:p>
        </w:tc>
      </w:tr>
      <w:tr>
        <w:tblPrEx>
          <w:tblW w:w="11175" w:type="dxa"/>
          <w:tblInd w:w="55" w:type="dxa"/>
          <w:tblCellMar>
            <w:left w:w="70" w:type="dxa"/>
            <w:right w:w="70" w:type="dxa"/>
          </w:tblCellMar>
        </w:tblPrEx>
        <w:trPr>
          <w:trHeight w:val="255"/>
        </w:trPr>
        <w:tc>
          <w:tcPr>
            <w:tcW w:w="3277" w:type="dxa"/>
            <w:tcBorders>
              <w:top w:val="nil"/>
              <w:left w:val="single" w:sz="8" w:space="0" w:color="auto"/>
              <w:bottom w:val="single" w:sz="4"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 xml:space="preserve">domovy sociálnych služieb </w:t>
            </w:r>
          </w:p>
        </w:tc>
        <w:tc>
          <w:tcPr>
            <w:tcW w:w="960"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25</w:t>
            </w:r>
          </w:p>
        </w:tc>
        <w:tc>
          <w:tcPr>
            <w:tcW w:w="960" w:type="dxa"/>
            <w:tcBorders>
              <w:top w:val="nil"/>
              <w:left w:val="nil"/>
              <w:bottom w:val="single" w:sz="4"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738</w:t>
            </w:r>
          </w:p>
        </w:tc>
        <w:tc>
          <w:tcPr>
            <w:tcW w:w="1003"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330</w:t>
            </w:r>
          </w:p>
        </w:tc>
        <w:tc>
          <w:tcPr>
            <w:tcW w:w="1555" w:type="dxa"/>
            <w:tcBorders>
              <w:top w:val="nil"/>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2 922 480,00</w:t>
            </w:r>
          </w:p>
        </w:tc>
        <w:tc>
          <w:tcPr>
            <w:tcW w:w="1620" w:type="dxa"/>
            <w:tcBorders>
              <w:top w:val="nil"/>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3 214 728</w:t>
            </w:r>
          </w:p>
        </w:tc>
        <w:tc>
          <w:tcPr>
            <w:tcW w:w="1800" w:type="dxa"/>
            <w:tcBorders>
              <w:top w:val="nil"/>
              <w:left w:val="nil"/>
              <w:bottom w:val="single" w:sz="4"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3 536 200,80</w:t>
            </w:r>
          </w:p>
        </w:tc>
      </w:tr>
      <w:tr>
        <w:tblPrEx>
          <w:tblW w:w="11175" w:type="dxa"/>
          <w:tblInd w:w="55" w:type="dxa"/>
          <w:tblCellMar>
            <w:left w:w="70" w:type="dxa"/>
            <w:right w:w="70" w:type="dxa"/>
          </w:tblCellMar>
        </w:tblPrEx>
        <w:trPr>
          <w:trHeight w:val="255"/>
        </w:trPr>
        <w:tc>
          <w:tcPr>
            <w:tcW w:w="3277" w:type="dxa"/>
            <w:tcBorders>
              <w:top w:val="nil"/>
              <w:left w:val="single" w:sz="8" w:space="0" w:color="auto"/>
              <w:bottom w:val="single" w:sz="4"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špecializované zariadenie </w:t>
            </w:r>
          </w:p>
        </w:tc>
        <w:tc>
          <w:tcPr>
            <w:tcW w:w="960"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1</w:t>
            </w:r>
          </w:p>
        </w:tc>
        <w:tc>
          <w:tcPr>
            <w:tcW w:w="960" w:type="dxa"/>
            <w:tcBorders>
              <w:top w:val="nil"/>
              <w:left w:val="nil"/>
              <w:bottom w:val="single" w:sz="4"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34</w:t>
            </w:r>
          </w:p>
        </w:tc>
        <w:tc>
          <w:tcPr>
            <w:tcW w:w="1003"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330</w:t>
            </w:r>
          </w:p>
        </w:tc>
        <w:tc>
          <w:tcPr>
            <w:tcW w:w="1555" w:type="dxa"/>
            <w:tcBorders>
              <w:top w:val="nil"/>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134 640,00</w:t>
            </w:r>
          </w:p>
        </w:tc>
        <w:tc>
          <w:tcPr>
            <w:tcW w:w="1620" w:type="dxa"/>
            <w:tcBorders>
              <w:top w:val="nil"/>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148 104</w:t>
            </w:r>
          </w:p>
        </w:tc>
        <w:tc>
          <w:tcPr>
            <w:tcW w:w="1800" w:type="dxa"/>
            <w:tcBorders>
              <w:top w:val="nil"/>
              <w:left w:val="nil"/>
              <w:bottom w:val="single" w:sz="4"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162 914</w:t>
            </w:r>
          </w:p>
        </w:tc>
      </w:tr>
      <w:tr>
        <w:tblPrEx>
          <w:tblW w:w="11175" w:type="dxa"/>
          <w:tblInd w:w="55" w:type="dxa"/>
          <w:tblCellMar>
            <w:left w:w="70" w:type="dxa"/>
            <w:right w:w="70" w:type="dxa"/>
          </w:tblCellMar>
        </w:tblPrEx>
        <w:trPr>
          <w:trHeight w:val="255"/>
        </w:trPr>
        <w:tc>
          <w:tcPr>
            <w:tcW w:w="3277" w:type="dxa"/>
            <w:tcBorders>
              <w:top w:val="nil"/>
              <w:left w:val="single" w:sz="8" w:space="0" w:color="auto"/>
              <w:bottom w:val="single" w:sz="4"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denný stacionár </w:t>
            </w:r>
          </w:p>
        </w:tc>
        <w:tc>
          <w:tcPr>
            <w:tcW w:w="960"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7</w:t>
            </w:r>
          </w:p>
        </w:tc>
        <w:tc>
          <w:tcPr>
            <w:tcW w:w="960" w:type="dxa"/>
            <w:tcBorders>
              <w:top w:val="nil"/>
              <w:left w:val="nil"/>
              <w:bottom w:val="single" w:sz="4"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93</w:t>
            </w:r>
          </w:p>
        </w:tc>
        <w:tc>
          <w:tcPr>
            <w:tcW w:w="1003"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184</w:t>
            </w:r>
          </w:p>
        </w:tc>
        <w:tc>
          <w:tcPr>
            <w:tcW w:w="1555" w:type="dxa"/>
            <w:tcBorders>
              <w:top w:val="nil"/>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205 344,00</w:t>
            </w:r>
          </w:p>
        </w:tc>
        <w:tc>
          <w:tcPr>
            <w:tcW w:w="1620" w:type="dxa"/>
            <w:tcBorders>
              <w:top w:val="nil"/>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225 878,40</w:t>
            </w:r>
          </w:p>
        </w:tc>
        <w:tc>
          <w:tcPr>
            <w:tcW w:w="1800" w:type="dxa"/>
            <w:tcBorders>
              <w:top w:val="nil"/>
              <w:left w:val="nil"/>
              <w:bottom w:val="single" w:sz="4"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248 466,24</w:t>
            </w:r>
          </w:p>
        </w:tc>
      </w:tr>
      <w:tr>
        <w:tblPrEx>
          <w:tblW w:w="11175" w:type="dxa"/>
          <w:tblInd w:w="55" w:type="dxa"/>
          <w:tblCellMar>
            <w:left w:w="70" w:type="dxa"/>
            <w:right w:w="70" w:type="dxa"/>
          </w:tblCellMar>
        </w:tblPrEx>
        <w:trPr>
          <w:trHeight w:val="255"/>
        </w:trPr>
        <w:tc>
          <w:tcPr>
            <w:tcW w:w="3277" w:type="dxa"/>
            <w:tcBorders>
              <w:top w:val="nil"/>
              <w:left w:val="single" w:sz="8" w:space="0" w:color="auto"/>
              <w:bottom w:val="single" w:sz="4"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zariadenia opatrovateľskej služby </w:t>
            </w:r>
          </w:p>
        </w:tc>
        <w:tc>
          <w:tcPr>
            <w:tcW w:w="960"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65</w:t>
            </w:r>
          </w:p>
        </w:tc>
        <w:tc>
          <w:tcPr>
            <w:tcW w:w="960" w:type="dxa"/>
            <w:tcBorders>
              <w:top w:val="nil"/>
              <w:left w:val="nil"/>
              <w:bottom w:val="single" w:sz="4"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1 245</w:t>
            </w:r>
          </w:p>
        </w:tc>
        <w:tc>
          <w:tcPr>
            <w:tcW w:w="1003"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320</w:t>
            </w:r>
          </w:p>
        </w:tc>
        <w:tc>
          <w:tcPr>
            <w:tcW w:w="1555" w:type="dxa"/>
            <w:tcBorders>
              <w:top w:val="nil"/>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4 780 800,00</w:t>
            </w:r>
          </w:p>
        </w:tc>
        <w:tc>
          <w:tcPr>
            <w:tcW w:w="1620" w:type="dxa"/>
            <w:tcBorders>
              <w:top w:val="nil"/>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5 258 880</w:t>
            </w:r>
          </w:p>
        </w:tc>
        <w:tc>
          <w:tcPr>
            <w:tcW w:w="1800" w:type="dxa"/>
            <w:tcBorders>
              <w:top w:val="nil"/>
              <w:left w:val="nil"/>
              <w:bottom w:val="single" w:sz="4"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5 784 768</w:t>
            </w:r>
          </w:p>
        </w:tc>
      </w:tr>
      <w:tr>
        <w:tblPrEx>
          <w:tblW w:w="11175" w:type="dxa"/>
          <w:tblInd w:w="55" w:type="dxa"/>
          <w:tblCellMar>
            <w:left w:w="70" w:type="dxa"/>
            <w:right w:w="70" w:type="dxa"/>
          </w:tblCellMar>
        </w:tblPrEx>
        <w:trPr>
          <w:trHeight w:val="255"/>
        </w:trPr>
        <w:tc>
          <w:tcPr>
            <w:tcW w:w="3277" w:type="dxa"/>
            <w:tcBorders>
              <w:top w:val="nil"/>
              <w:left w:val="single" w:sz="8" w:space="0" w:color="auto"/>
              <w:bottom w:val="single" w:sz="4"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rehabilitačné stredisko</w:t>
            </w:r>
          </w:p>
        </w:tc>
        <w:tc>
          <w:tcPr>
            <w:tcW w:w="960"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0</w:t>
            </w:r>
          </w:p>
        </w:tc>
        <w:tc>
          <w:tcPr>
            <w:tcW w:w="960" w:type="dxa"/>
            <w:tcBorders>
              <w:top w:val="nil"/>
              <w:left w:val="nil"/>
              <w:bottom w:val="single" w:sz="4"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0</w:t>
            </w:r>
          </w:p>
        </w:tc>
        <w:tc>
          <w:tcPr>
            <w:tcW w:w="1003"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184</w:t>
            </w:r>
          </w:p>
        </w:tc>
        <w:tc>
          <w:tcPr>
            <w:tcW w:w="1555" w:type="dxa"/>
            <w:tcBorders>
              <w:top w:val="nil"/>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0,00</w:t>
            </w:r>
          </w:p>
        </w:tc>
        <w:tc>
          <w:tcPr>
            <w:tcW w:w="1620" w:type="dxa"/>
            <w:tcBorders>
              <w:top w:val="nil"/>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rPr>
                <w:rFonts w:ascii="Arial" w:hAnsi="Arial" w:cs="Arial"/>
                <w:sz w:val="20"/>
                <w:szCs w:val="20"/>
              </w:rPr>
            </w:pPr>
            <w:r w:rsidRPr="00BE1000">
              <w:rPr>
                <w:rFonts w:ascii="Arial" w:hAnsi="Arial" w:cs="Arial"/>
                <w:sz w:val="20"/>
                <w:szCs w:val="20"/>
              </w:rPr>
              <w:t> </w:t>
            </w:r>
          </w:p>
        </w:tc>
        <w:tc>
          <w:tcPr>
            <w:tcW w:w="1800" w:type="dxa"/>
            <w:tcBorders>
              <w:top w:val="nil"/>
              <w:left w:val="nil"/>
              <w:bottom w:val="single" w:sz="4" w:space="0" w:color="auto"/>
              <w:right w:val="single" w:sz="8" w:space="0" w:color="auto"/>
            </w:tcBorders>
            <w:noWrap/>
            <w:textDirection w:val="lrTb"/>
            <w:vAlign w:val="bottom"/>
          </w:tcPr>
          <w:p w:rsidR="00BE1000" w:rsidRPr="00BE1000" w:rsidP="00BE1000">
            <w:pPr>
              <w:bidi w:val="0"/>
              <w:spacing w:after="0" w:line="240" w:lineRule="auto"/>
              <w:rPr>
                <w:rFonts w:ascii="Arial" w:hAnsi="Arial" w:cs="Arial"/>
                <w:sz w:val="20"/>
                <w:szCs w:val="20"/>
              </w:rPr>
            </w:pPr>
            <w:r w:rsidRPr="00BE1000">
              <w:rPr>
                <w:rFonts w:ascii="Arial" w:hAnsi="Arial" w:cs="Arial"/>
                <w:sz w:val="20"/>
                <w:szCs w:val="20"/>
              </w:rPr>
              <w:t> </w:t>
            </w:r>
          </w:p>
        </w:tc>
      </w:tr>
      <w:tr>
        <w:tblPrEx>
          <w:tblW w:w="11175" w:type="dxa"/>
          <w:tblInd w:w="55" w:type="dxa"/>
          <w:tblCellMar>
            <w:left w:w="70" w:type="dxa"/>
            <w:right w:w="70" w:type="dxa"/>
          </w:tblCellMar>
        </w:tblPrEx>
        <w:trPr>
          <w:trHeight w:val="255"/>
        </w:trPr>
        <w:tc>
          <w:tcPr>
            <w:tcW w:w="3277" w:type="dxa"/>
            <w:tcBorders>
              <w:top w:val="nil"/>
              <w:left w:val="single" w:sz="8" w:space="0" w:color="auto"/>
              <w:bottom w:val="single" w:sz="4"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zariadenia podporovaného bývania </w:t>
            </w:r>
          </w:p>
        </w:tc>
        <w:tc>
          <w:tcPr>
            <w:tcW w:w="960"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2</w:t>
            </w:r>
          </w:p>
        </w:tc>
        <w:tc>
          <w:tcPr>
            <w:tcW w:w="960" w:type="dxa"/>
            <w:tcBorders>
              <w:top w:val="nil"/>
              <w:left w:val="nil"/>
              <w:bottom w:val="single" w:sz="4"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23</w:t>
            </w:r>
          </w:p>
        </w:tc>
        <w:tc>
          <w:tcPr>
            <w:tcW w:w="1003"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200</w:t>
            </w:r>
          </w:p>
        </w:tc>
        <w:tc>
          <w:tcPr>
            <w:tcW w:w="1555" w:type="dxa"/>
            <w:tcBorders>
              <w:top w:val="nil"/>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55 200,00</w:t>
            </w:r>
          </w:p>
        </w:tc>
        <w:tc>
          <w:tcPr>
            <w:tcW w:w="1620" w:type="dxa"/>
            <w:tcBorders>
              <w:top w:val="nil"/>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60 720</w:t>
            </w:r>
          </w:p>
        </w:tc>
        <w:tc>
          <w:tcPr>
            <w:tcW w:w="1800" w:type="dxa"/>
            <w:tcBorders>
              <w:top w:val="nil"/>
              <w:left w:val="nil"/>
              <w:bottom w:val="single" w:sz="4"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66 792</w:t>
            </w:r>
          </w:p>
        </w:tc>
      </w:tr>
      <w:tr>
        <w:tblPrEx>
          <w:tblW w:w="11175" w:type="dxa"/>
          <w:tblInd w:w="55" w:type="dxa"/>
          <w:tblCellMar>
            <w:left w:w="70" w:type="dxa"/>
            <w:right w:w="70" w:type="dxa"/>
          </w:tblCellMar>
        </w:tblPrEx>
        <w:trPr>
          <w:trHeight w:val="255"/>
        </w:trPr>
        <w:tc>
          <w:tcPr>
            <w:tcW w:w="3277" w:type="dxa"/>
            <w:tcBorders>
              <w:top w:val="nil"/>
              <w:left w:val="single" w:sz="8" w:space="0" w:color="auto"/>
              <w:bottom w:val="single" w:sz="4"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zariadenie núdzového bývania </w:t>
            </w:r>
          </w:p>
        </w:tc>
        <w:tc>
          <w:tcPr>
            <w:tcW w:w="960"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8</w:t>
            </w:r>
          </w:p>
        </w:tc>
        <w:tc>
          <w:tcPr>
            <w:tcW w:w="960" w:type="dxa"/>
            <w:tcBorders>
              <w:top w:val="nil"/>
              <w:left w:val="nil"/>
              <w:bottom w:val="single" w:sz="4"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218</w:t>
            </w:r>
          </w:p>
        </w:tc>
        <w:tc>
          <w:tcPr>
            <w:tcW w:w="1003"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150</w:t>
            </w:r>
          </w:p>
        </w:tc>
        <w:tc>
          <w:tcPr>
            <w:tcW w:w="1555" w:type="dxa"/>
            <w:tcBorders>
              <w:top w:val="nil"/>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392 400,00</w:t>
            </w:r>
          </w:p>
        </w:tc>
        <w:tc>
          <w:tcPr>
            <w:tcW w:w="1620" w:type="dxa"/>
            <w:tcBorders>
              <w:top w:val="nil"/>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412 020</w:t>
            </w:r>
          </w:p>
        </w:tc>
        <w:tc>
          <w:tcPr>
            <w:tcW w:w="1800" w:type="dxa"/>
            <w:tcBorders>
              <w:top w:val="nil"/>
              <w:left w:val="nil"/>
              <w:bottom w:val="single" w:sz="4"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453 222</w:t>
            </w:r>
          </w:p>
        </w:tc>
      </w:tr>
      <w:tr>
        <w:tblPrEx>
          <w:tblW w:w="11175" w:type="dxa"/>
          <w:tblInd w:w="55" w:type="dxa"/>
          <w:tblCellMar>
            <w:left w:w="70" w:type="dxa"/>
            <w:right w:w="70" w:type="dxa"/>
          </w:tblCellMar>
        </w:tblPrEx>
        <w:trPr>
          <w:trHeight w:val="255"/>
        </w:trPr>
        <w:tc>
          <w:tcPr>
            <w:tcW w:w="3277" w:type="dxa"/>
            <w:tcBorders>
              <w:top w:val="nil"/>
              <w:left w:val="single" w:sz="8" w:space="0" w:color="auto"/>
              <w:bottom w:val="single" w:sz="4"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útulky </w:t>
            </w:r>
          </w:p>
        </w:tc>
        <w:tc>
          <w:tcPr>
            <w:tcW w:w="960"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15</w:t>
            </w:r>
          </w:p>
        </w:tc>
        <w:tc>
          <w:tcPr>
            <w:tcW w:w="960" w:type="dxa"/>
            <w:tcBorders>
              <w:top w:val="nil"/>
              <w:left w:val="nil"/>
              <w:bottom w:val="single" w:sz="4"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351</w:t>
            </w:r>
          </w:p>
        </w:tc>
        <w:tc>
          <w:tcPr>
            <w:tcW w:w="1003"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120</w:t>
            </w:r>
          </w:p>
        </w:tc>
        <w:tc>
          <w:tcPr>
            <w:tcW w:w="1555" w:type="dxa"/>
            <w:tcBorders>
              <w:top w:val="nil"/>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505 440,00</w:t>
            </w:r>
          </w:p>
        </w:tc>
        <w:tc>
          <w:tcPr>
            <w:tcW w:w="1620" w:type="dxa"/>
            <w:tcBorders>
              <w:top w:val="nil"/>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530 712</w:t>
            </w:r>
          </w:p>
        </w:tc>
        <w:tc>
          <w:tcPr>
            <w:tcW w:w="1800" w:type="dxa"/>
            <w:tcBorders>
              <w:top w:val="nil"/>
              <w:left w:val="nil"/>
              <w:bottom w:val="single" w:sz="4"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557 251,20</w:t>
            </w:r>
          </w:p>
        </w:tc>
      </w:tr>
      <w:tr>
        <w:tblPrEx>
          <w:tblW w:w="11175" w:type="dxa"/>
          <w:tblInd w:w="55" w:type="dxa"/>
          <w:tblCellMar>
            <w:left w:w="70" w:type="dxa"/>
            <w:right w:w="70" w:type="dxa"/>
          </w:tblCellMar>
        </w:tblPrEx>
        <w:trPr>
          <w:trHeight w:val="480"/>
        </w:trPr>
        <w:tc>
          <w:tcPr>
            <w:tcW w:w="3277" w:type="dxa"/>
            <w:tcBorders>
              <w:top w:val="nil"/>
              <w:left w:val="single" w:sz="8" w:space="0" w:color="auto"/>
              <w:bottom w:val="single" w:sz="4"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zariadenie dočasnej starostlivosti pre deti </w:t>
            </w:r>
          </w:p>
        </w:tc>
        <w:tc>
          <w:tcPr>
            <w:tcW w:w="960"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1</w:t>
            </w:r>
          </w:p>
        </w:tc>
        <w:tc>
          <w:tcPr>
            <w:tcW w:w="960" w:type="dxa"/>
            <w:tcBorders>
              <w:top w:val="nil"/>
              <w:left w:val="nil"/>
              <w:bottom w:val="single" w:sz="4"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5</w:t>
            </w:r>
          </w:p>
        </w:tc>
        <w:tc>
          <w:tcPr>
            <w:tcW w:w="1003"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180</w:t>
            </w:r>
          </w:p>
        </w:tc>
        <w:tc>
          <w:tcPr>
            <w:tcW w:w="1555" w:type="dxa"/>
            <w:tcBorders>
              <w:top w:val="nil"/>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10 800,00</w:t>
            </w:r>
          </w:p>
        </w:tc>
        <w:tc>
          <w:tcPr>
            <w:tcW w:w="1620" w:type="dxa"/>
            <w:tcBorders>
              <w:top w:val="nil"/>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11 340</w:t>
            </w:r>
          </w:p>
        </w:tc>
        <w:tc>
          <w:tcPr>
            <w:tcW w:w="1800" w:type="dxa"/>
            <w:tcBorders>
              <w:top w:val="nil"/>
              <w:left w:val="nil"/>
              <w:bottom w:val="single" w:sz="4"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11 901,60</w:t>
            </w:r>
          </w:p>
        </w:tc>
      </w:tr>
      <w:tr>
        <w:tblPrEx>
          <w:tblW w:w="11175" w:type="dxa"/>
          <w:tblInd w:w="55" w:type="dxa"/>
          <w:tblCellMar>
            <w:left w:w="70" w:type="dxa"/>
            <w:right w:w="70" w:type="dxa"/>
          </w:tblCellMar>
        </w:tblPrEx>
        <w:trPr>
          <w:trHeight w:val="255"/>
        </w:trPr>
        <w:tc>
          <w:tcPr>
            <w:tcW w:w="3277" w:type="dxa"/>
            <w:tcBorders>
              <w:top w:val="nil"/>
              <w:left w:val="single" w:sz="8" w:space="0" w:color="auto"/>
              <w:bottom w:val="single" w:sz="4"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nocľaháreň </w:t>
            </w:r>
          </w:p>
        </w:tc>
        <w:tc>
          <w:tcPr>
            <w:tcW w:w="960"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15</w:t>
            </w:r>
          </w:p>
        </w:tc>
        <w:tc>
          <w:tcPr>
            <w:tcW w:w="960" w:type="dxa"/>
            <w:tcBorders>
              <w:top w:val="nil"/>
              <w:left w:val="nil"/>
              <w:bottom w:val="single" w:sz="4"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336</w:t>
            </w:r>
          </w:p>
        </w:tc>
        <w:tc>
          <w:tcPr>
            <w:tcW w:w="1003" w:type="dxa"/>
            <w:tcBorders>
              <w:top w:val="nil"/>
              <w:left w:val="nil"/>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120</w:t>
            </w:r>
          </w:p>
        </w:tc>
        <w:tc>
          <w:tcPr>
            <w:tcW w:w="1555" w:type="dxa"/>
            <w:tcBorders>
              <w:top w:val="nil"/>
              <w:left w:val="nil"/>
              <w:bottom w:val="single" w:sz="4"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483 840,00</w:t>
            </w:r>
          </w:p>
        </w:tc>
        <w:tc>
          <w:tcPr>
            <w:tcW w:w="1620" w:type="dxa"/>
            <w:tcBorders>
              <w:top w:val="nil"/>
              <w:left w:val="single" w:sz="4" w:space="0" w:color="auto"/>
              <w:bottom w:val="single" w:sz="4"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508 032</w:t>
            </w:r>
          </w:p>
        </w:tc>
        <w:tc>
          <w:tcPr>
            <w:tcW w:w="1800" w:type="dxa"/>
            <w:tcBorders>
              <w:top w:val="nil"/>
              <w:left w:val="nil"/>
              <w:bottom w:val="single" w:sz="4"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533 433,60</w:t>
            </w:r>
          </w:p>
        </w:tc>
      </w:tr>
      <w:tr>
        <w:tblPrEx>
          <w:tblW w:w="11175" w:type="dxa"/>
          <w:tblInd w:w="55" w:type="dxa"/>
          <w:tblCellMar>
            <w:left w:w="70" w:type="dxa"/>
            <w:right w:w="70" w:type="dxa"/>
          </w:tblCellMar>
        </w:tblPrEx>
        <w:trPr>
          <w:trHeight w:val="270"/>
        </w:trPr>
        <w:tc>
          <w:tcPr>
            <w:tcW w:w="3277" w:type="dxa"/>
            <w:tcBorders>
              <w:top w:val="nil"/>
              <w:left w:val="single" w:sz="8" w:space="0" w:color="auto"/>
              <w:bottom w:val="single" w:sz="8" w:space="0" w:color="auto"/>
              <w:right w:val="single" w:sz="4" w:space="0" w:color="auto"/>
            </w:tcBorders>
            <w:textDirection w:val="lrTb"/>
            <w:vAlign w:val="bottom"/>
          </w:tcPr>
          <w:p w:rsidR="00BE1000" w:rsidRPr="00BE1000" w:rsidP="00BE1000">
            <w:pPr>
              <w:bidi w:val="0"/>
              <w:spacing w:after="0" w:line="240" w:lineRule="auto"/>
              <w:rPr>
                <w:rFonts w:ascii="Arial" w:hAnsi="Arial" w:cs="Arial"/>
                <w:color w:val="000000"/>
                <w:sz w:val="18"/>
                <w:szCs w:val="18"/>
              </w:rPr>
            </w:pPr>
            <w:r w:rsidRPr="00BE1000">
              <w:rPr>
                <w:rFonts w:ascii="Arial" w:hAnsi="Arial" w:cs="Arial"/>
                <w:color w:val="000000"/>
                <w:sz w:val="18"/>
                <w:szCs w:val="18"/>
              </w:rPr>
              <w:t>domov na pol ceste </w:t>
            </w:r>
          </w:p>
        </w:tc>
        <w:tc>
          <w:tcPr>
            <w:tcW w:w="960" w:type="dxa"/>
            <w:tcBorders>
              <w:top w:val="nil"/>
              <w:left w:val="nil"/>
              <w:bottom w:val="single" w:sz="8"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1</w:t>
            </w:r>
          </w:p>
        </w:tc>
        <w:tc>
          <w:tcPr>
            <w:tcW w:w="960" w:type="dxa"/>
            <w:tcBorders>
              <w:top w:val="nil"/>
              <w:left w:val="nil"/>
              <w:bottom w:val="single" w:sz="8" w:space="0" w:color="auto"/>
              <w:right w:val="single" w:sz="4" w:space="0" w:color="auto"/>
            </w:tcBorders>
            <w:textDirection w:val="lrTb"/>
            <w:vAlign w:val="bottom"/>
          </w:tcPr>
          <w:p w:rsidR="00BE1000" w:rsidRPr="00BE1000" w:rsidP="00BE1000">
            <w:pPr>
              <w:bidi w:val="0"/>
              <w:spacing w:after="0" w:line="240" w:lineRule="auto"/>
              <w:jc w:val="right"/>
              <w:rPr>
                <w:rFonts w:ascii="Arial" w:hAnsi="Arial" w:cs="Arial"/>
                <w:color w:val="000000"/>
                <w:sz w:val="18"/>
                <w:szCs w:val="18"/>
              </w:rPr>
            </w:pPr>
            <w:r w:rsidRPr="00BE1000">
              <w:rPr>
                <w:rFonts w:ascii="Arial" w:hAnsi="Arial" w:cs="Arial"/>
                <w:color w:val="000000"/>
                <w:sz w:val="18"/>
                <w:szCs w:val="18"/>
              </w:rPr>
              <w:t>10</w:t>
            </w:r>
          </w:p>
        </w:tc>
        <w:tc>
          <w:tcPr>
            <w:tcW w:w="1003" w:type="dxa"/>
            <w:tcBorders>
              <w:top w:val="nil"/>
              <w:left w:val="nil"/>
              <w:bottom w:val="single" w:sz="8"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150</w:t>
            </w:r>
          </w:p>
        </w:tc>
        <w:tc>
          <w:tcPr>
            <w:tcW w:w="1555" w:type="dxa"/>
            <w:tcBorders>
              <w:top w:val="nil"/>
              <w:left w:val="nil"/>
              <w:bottom w:val="single" w:sz="8" w:space="0" w:color="auto"/>
              <w:right w:val="nil"/>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18 000,00</w:t>
            </w:r>
          </w:p>
        </w:tc>
        <w:tc>
          <w:tcPr>
            <w:tcW w:w="1620" w:type="dxa"/>
            <w:tcBorders>
              <w:top w:val="nil"/>
              <w:left w:val="single" w:sz="4" w:space="0" w:color="auto"/>
              <w:bottom w:val="single" w:sz="8" w:space="0" w:color="auto"/>
              <w:right w:val="single" w:sz="4"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18 900</w:t>
            </w:r>
          </w:p>
        </w:tc>
        <w:tc>
          <w:tcPr>
            <w:tcW w:w="1800" w:type="dxa"/>
            <w:tcBorders>
              <w:top w:val="nil"/>
              <w:left w:val="nil"/>
              <w:bottom w:val="single" w:sz="8" w:space="0" w:color="auto"/>
              <w:right w:val="single" w:sz="8" w:space="0" w:color="auto"/>
            </w:tcBorders>
            <w:noWrap/>
            <w:textDirection w:val="lrTb"/>
            <w:vAlign w:val="bottom"/>
          </w:tcPr>
          <w:p w:rsidR="00BE1000" w:rsidRPr="00BE1000" w:rsidP="00BE1000">
            <w:pPr>
              <w:bidi w:val="0"/>
              <w:spacing w:after="0" w:line="240" w:lineRule="auto"/>
              <w:jc w:val="right"/>
              <w:rPr>
                <w:rFonts w:ascii="Arial" w:hAnsi="Arial" w:cs="Arial"/>
                <w:sz w:val="20"/>
                <w:szCs w:val="20"/>
              </w:rPr>
            </w:pPr>
            <w:r w:rsidRPr="00BE1000">
              <w:rPr>
                <w:rFonts w:ascii="Arial" w:hAnsi="Arial" w:cs="Arial"/>
                <w:sz w:val="20"/>
                <w:szCs w:val="20"/>
              </w:rPr>
              <w:t>19 854</w:t>
            </w:r>
          </w:p>
        </w:tc>
      </w:tr>
      <w:tr>
        <w:tblPrEx>
          <w:tblW w:w="11175" w:type="dxa"/>
          <w:tblInd w:w="55" w:type="dxa"/>
          <w:tblCellMar>
            <w:left w:w="70" w:type="dxa"/>
            <w:right w:w="70" w:type="dxa"/>
          </w:tblCellMar>
        </w:tblPrEx>
        <w:trPr>
          <w:trHeight w:val="270"/>
        </w:trPr>
        <w:tc>
          <w:tcPr>
            <w:tcW w:w="11175" w:type="dxa"/>
            <w:gridSpan w:val="7"/>
            <w:tcBorders>
              <w:top w:val="nil"/>
              <w:left w:val="single" w:sz="8" w:space="0" w:color="auto"/>
              <w:bottom w:val="single" w:sz="8" w:space="0" w:color="auto"/>
              <w:right w:val="single" w:sz="8" w:space="0" w:color="auto"/>
            </w:tcBorders>
            <w:textDirection w:val="lrTb"/>
            <w:vAlign w:val="bottom"/>
          </w:tcPr>
          <w:p w:rsidR="00BE1000" w:rsidRPr="005A1D5C" w:rsidP="00BE1000">
            <w:pPr>
              <w:bidi w:val="0"/>
              <w:spacing w:after="0" w:line="240" w:lineRule="auto"/>
              <w:rPr>
                <w:rFonts w:ascii="Arial" w:hAnsi="Arial" w:cs="Arial"/>
                <w:sz w:val="20"/>
                <w:szCs w:val="20"/>
              </w:rPr>
            </w:pPr>
            <w:r w:rsidRPr="00BE1000">
              <w:rPr>
                <w:rFonts w:ascii="Arial" w:hAnsi="Arial" w:cs="Arial"/>
                <w:color w:val="000000"/>
                <w:sz w:val="18"/>
                <w:szCs w:val="18"/>
              </w:rPr>
              <w:t>Zdroj: Soc V1-</w:t>
            </w:r>
            <w:smartTag w:uri="urn:schemas-microsoft-com:office:smarttags" w:element="metricconverter">
              <w:smartTagPr>
                <w:attr w:name="ProductID" w:val="01 a"/>
              </w:smartTagPr>
              <w:r w:rsidRPr="00BE1000">
                <w:rPr>
                  <w:rFonts w:ascii="Arial" w:hAnsi="Arial" w:cs="Arial"/>
                  <w:color w:val="000000"/>
                  <w:sz w:val="18"/>
                  <w:szCs w:val="18"/>
                </w:rPr>
                <w:t>01 a</w:t>
              </w:r>
            </w:smartTag>
            <w:r w:rsidRPr="00BE1000">
              <w:rPr>
                <w:rFonts w:ascii="Arial" w:hAnsi="Arial" w:cs="Arial"/>
                <w:color w:val="000000"/>
                <w:sz w:val="18"/>
                <w:szCs w:val="18"/>
              </w:rPr>
              <w:t xml:space="preserve"> výberové zisťovanie MPSVR SR</w:t>
            </w:r>
          </w:p>
        </w:tc>
      </w:tr>
    </w:tbl>
    <w:p w:rsidR="005A1D5C" w:rsidP="00A2110A">
      <w:pPr>
        <w:pStyle w:val="BodyText"/>
        <w:tabs>
          <w:tab w:val="num" w:pos="1080"/>
        </w:tabs>
        <w:bidi w:val="0"/>
        <w:jc w:val="both"/>
        <w:rPr>
          <w:rFonts w:ascii="Times New Roman" w:hAnsi="Times New Roman"/>
          <w:b w:val="0"/>
          <w:bCs/>
        </w:rPr>
      </w:pPr>
    </w:p>
    <w:p w:rsidR="005A1D5C" w:rsidP="00A2110A">
      <w:pPr>
        <w:pStyle w:val="BodyText"/>
        <w:tabs>
          <w:tab w:val="num" w:pos="1080"/>
        </w:tabs>
        <w:bidi w:val="0"/>
        <w:jc w:val="both"/>
        <w:rPr>
          <w:rFonts w:ascii="Times New Roman" w:hAnsi="Times New Roman"/>
          <w:b w:val="0"/>
          <w:bCs/>
        </w:rPr>
      </w:pPr>
    </w:p>
    <w:p w:rsidR="00BE1000" w:rsidRPr="00A57790" w:rsidP="00A2110A">
      <w:pPr>
        <w:pStyle w:val="BodyText"/>
        <w:tabs>
          <w:tab w:val="num" w:pos="1080"/>
        </w:tabs>
        <w:bidi w:val="0"/>
        <w:jc w:val="both"/>
        <w:rPr>
          <w:rFonts w:ascii="Times New Roman" w:hAnsi="Times New Roman"/>
          <w:b w:val="0"/>
          <w:bCs/>
        </w:rPr>
      </w:pPr>
      <w:r w:rsidRPr="00A57790" w:rsidR="00A57790">
        <w:rPr>
          <w:rFonts w:ascii="Times New Roman" w:hAnsi="Times New Roman"/>
          <w:b w:val="0"/>
        </w:rPr>
        <w:t>Pozn.: Navrhovaná suma príspevku na mesiac pri službách dlhodobej starostlivosti tvorí polovicu sumy ekonomicky oprávnených nákladov pre konkrétny druh služby a pri službách krízovej intervencie podľa kvalifikovaného odhadu</w:t>
      </w:r>
    </w:p>
    <w:p w:rsidR="00BE1000" w:rsidRPr="00A57790" w:rsidP="00A2110A">
      <w:pPr>
        <w:pStyle w:val="BodyText"/>
        <w:tabs>
          <w:tab w:val="num" w:pos="1080"/>
        </w:tabs>
        <w:bidi w:val="0"/>
        <w:jc w:val="both"/>
        <w:rPr>
          <w:rFonts w:ascii="Times New Roman" w:hAnsi="Times New Roman"/>
          <w:b w:val="0"/>
          <w:bCs/>
        </w:rPr>
      </w:pPr>
    </w:p>
    <w:p w:rsidR="00BE1000" w:rsidRPr="00A57790" w:rsidP="00A2110A">
      <w:pPr>
        <w:pStyle w:val="BodyText"/>
        <w:tabs>
          <w:tab w:val="num" w:pos="1080"/>
        </w:tabs>
        <w:bidi w:val="0"/>
        <w:jc w:val="both"/>
        <w:rPr>
          <w:rFonts w:ascii="Times New Roman" w:hAnsi="Times New Roman"/>
          <w:b w:val="0"/>
          <w:bCs/>
        </w:rPr>
      </w:pPr>
    </w:p>
    <w:p w:rsidR="00BE1000" w:rsidP="00A2110A">
      <w:pPr>
        <w:pStyle w:val="BodyText"/>
        <w:tabs>
          <w:tab w:val="num" w:pos="1080"/>
        </w:tabs>
        <w:bidi w:val="0"/>
        <w:jc w:val="both"/>
        <w:rPr>
          <w:rFonts w:ascii="Times New Roman" w:hAnsi="Times New Roman"/>
          <w:b w:val="0"/>
          <w:bCs/>
        </w:rPr>
      </w:pPr>
    </w:p>
    <w:p w:rsidR="005A1D5C" w:rsidP="00A2110A">
      <w:pPr>
        <w:pStyle w:val="BodyText"/>
        <w:tabs>
          <w:tab w:val="num" w:pos="1080"/>
        </w:tabs>
        <w:bidi w:val="0"/>
        <w:jc w:val="both"/>
        <w:rPr>
          <w:rFonts w:ascii="Times New Roman" w:hAnsi="Times New Roman"/>
          <w:b w:val="0"/>
          <w:bCs/>
        </w:rPr>
      </w:pPr>
    </w:p>
    <w:p w:rsidR="00BE1000" w:rsidP="00BE1000">
      <w:pPr>
        <w:pStyle w:val="BodyText"/>
        <w:tabs>
          <w:tab w:val="num" w:pos="1080"/>
        </w:tabs>
        <w:bidi w:val="0"/>
        <w:jc w:val="both"/>
        <w:rPr>
          <w:rFonts w:ascii="Times New Roman" w:hAnsi="Times New Roman"/>
          <w:b w:val="0"/>
          <w:bCs/>
        </w:rPr>
      </w:pPr>
      <w:r>
        <w:rPr>
          <w:rFonts w:ascii="Times New Roman" w:hAnsi="Times New Roman"/>
          <w:b w:val="0"/>
          <w:bCs/>
        </w:rPr>
        <w:t>Tab. č. 1 Predpokladaný dopad na financovanie vybraných druhov sociálnych služieb poskytovaných neverejnými poskytovateľmi z účelovej dotácie MF SR</w:t>
      </w:r>
    </w:p>
    <w:p w:rsidR="005D037C" w:rsidP="00A2110A">
      <w:pPr>
        <w:pStyle w:val="BodyText"/>
        <w:tabs>
          <w:tab w:val="num" w:pos="1080"/>
        </w:tabs>
        <w:bidi w:val="0"/>
        <w:jc w:val="both"/>
        <w:rPr>
          <w:rFonts w:ascii="Times New Roman" w:hAnsi="Times New Roman"/>
          <w:b w:val="0"/>
          <w:bCs/>
        </w:rPr>
      </w:pPr>
    </w:p>
    <w:tbl>
      <w:tblPr>
        <w:tblStyle w:val="TableNormal"/>
        <w:tblW w:w="10080" w:type="dxa"/>
        <w:tblInd w:w="55" w:type="dxa"/>
        <w:tblCellMar>
          <w:left w:w="70" w:type="dxa"/>
          <w:right w:w="70" w:type="dxa"/>
        </w:tblCellMar>
      </w:tblPr>
      <w:tblGrid>
        <w:gridCol w:w="2917"/>
        <w:gridCol w:w="960"/>
        <w:gridCol w:w="960"/>
        <w:gridCol w:w="1003"/>
        <w:gridCol w:w="1360"/>
        <w:gridCol w:w="1540"/>
        <w:gridCol w:w="1340"/>
      </w:tblGrid>
      <w:tr>
        <w:tblPrEx>
          <w:tblW w:w="10080" w:type="dxa"/>
          <w:tblInd w:w="55" w:type="dxa"/>
          <w:tblCellMar>
            <w:left w:w="70" w:type="dxa"/>
            <w:right w:w="70" w:type="dxa"/>
          </w:tblCellMar>
        </w:tblPrEx>
        <w:trPr>
          <w:trHeight w:val="255"/>
        </w:trPr>
        <w:tc>
          <w:tcPr>
            <w:tcW w:w="2917" w:type="dxa"/>
            <w:vMerge w:val="restart"/>
            <w:tcBorders>
              <w:top w:val="single" w:sz="8" w:space="0" w:color="auto"/>
              <w:left w:val="single" w:sz="8" w:space="0" w:color="auto"/>
              <w:bottom w:val="single" w:sz="4" w:space="0" w:color="auto"/>
              <w:right w:val="single" w:sz="4" w:space="0" w:color="auto"/>
            </w:tcBorders>
            <w:shd w:val="clear" w:color="auto" w:fill="C0C0C0"/>
            <w:textDirection w:val="lrTb"/>
            <w:vAlign w:val="bottom"/>
          </w:tcPr>
          <w:p w:rsidR="005D037C" w:rsidRPr="005D037C" w:rsidP="005D037C">
            <w:pPr>
              <w:bidi w:val="0"/>
              <w:spacing w:after="0" w:line="240" w:lineRule="auto"/>
              <w:jc w:val="center"/>
              <w:rPr>
                <w:rFonts w:ascii="Arial" w:hAnsi="Arial" w:cs="Arial"/>
                <w:sz w:val="16"/>
                <w:szCs w:val="16"/>
              </w:rPr>
            </w:pPr>
            <w:r w:rsidRPr="005D037C">
              <w:rPr>
                <w:rFonts w:ascii="Arial" w:hAnsi="Arial" w:cs="Arial"/>
                <w:sz w:val="16"/>
                <w:szCs w:val="16"/>
              </w:rPr>
              <w:t>Druh zariadenia</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C0C0C0"/>
            <w:textDirection w:val="lrTb"/>
            <w:vAlign w:val="bottom"/>
          </w:tcPr>
          <w:p w:rsidR="005D037C" w:rsidRPr="005D037C" w:rsidP="005D037C">
            <w:pPr>
              <w:bidi w:val="0"/>
              <w:spacing w:after="0" w:line="240" w:lineRule="auto"/>
              <w:jc w:val="center"/>
              <w:rPr>
                <w:rFonts w:ascii="Arial" w:hAnsi="Arial" w:cs="Arial"/>
                <w:sz w:val="16"/>
                <w:szCs w:val="16"/>
              </w:rPr>
            </w:pPr>
            <w:r w:rsidRPr="005D037C">
              <w:rPr>
                <w:rFonts w:ascii="Arial" w:hAnsi="Arial" w:cs="Arial"/>
                <w:sz w:val="16"/>
                <w:szCs w:val="16"/>
              </w:rPr>
              <w:t>Počet zariadení</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C0C0C0"/>
            <w:textDirection w:val="lrTb"/>
            <w:vAlign w:val="bottom"/>
          </w:tcPr>
          <w:p w:rsidR="005D037C" w:rsidRPr="005D037C" w:rsidP="005D037C">
            <w:pPr>
              <w:bidi w:val="0"/>
              <w:spacing w:after="0" w:line="240" w:lineRule="auto"/>
              <w:jc w:val="center"/>
              <w:rPr>
                <w:rFonts w:ascii="Arial" w:hAnsi="Arial" w:cs="Arial"/>
                <w:sz w:val="16"/>
                <w:szCs w:val="16"/>
              </w:rPr>
            </w:pPr>
            <w:r w:rsidRPr="005D037C">
              <w:rPr>
                <w:rFonts w:ascii="Arial" w:hAnsi="Arial" w:cs="Arial"/>
                <w:sz w:val="16"/>
                <w:szCs w:val="16"/>
              </w:rPr>
              <w:t>Počet miest k 31.12.2010</w:t>
            </w:r>
          </w:p>
        </w:tc>
        <w:tc>
          <w:tcPr>
            <w:tcW w:w="1003" w:type="dxa"/>
            <w:vMerge w:val="restart"/>
            <w:tcBorders>
              <w:top w:val="single" w:sz="8" w:space="0" w:color="auto"/>
              <w:left w:val="single" w:sz="4" w:space="0" w:color="auto"/>
              <w:bottom w:val="single" w:sz="4" w:space="0" w:color="auto"/>
              <w:right w:val="single" w:sz="4" w:space="0" w:color="auto"/>
            </w:tcBorders>
            <w:shd w:val="clear" w:color="auto" w:fill="C0C0C0"/>
            <w:textDirection w:val="lrTb"/>
            <w:vAlign w:val="bottom"/>
          </w:tcPr>
          <w:p w:rsidR="005D037C" w:rsidRPr="005D037C" w:rsidP="005D037C">
            <w:pPr>
              <w:bidi w:val="0"/>
              <w:spacing w:after="0" w:line="240" w:lineRule="auto"/>
              <w:jc w:val="center"/>
              <w:rPr>
                <w:rFonts w:ascii="Arial" w:hAnsi="Arial" w:cs="Arial"/>
                <w:sz w:val="16"/>
                <w:szCs w:val="16"/>
              </w:rPr>
            </w:pPr>
            <w:r w:rsidRPr="005D037C">
              <w:rPr>
                <w:rFonts w:ascii="Arial" w:hAnsi="Arial" w:cs="Arial"/>
                <w:sz w:val="16"/>
                <w:szCs w:val="16"/>
              </w:rPr>
              <w:t>Navrhovaná suma príspevku</w:t>
            </w:r>
          </w:p>
        </w:tc>
        <w:tc>
          <w:tcPr>
            <w:tcW w:w="1360" w:type="dxa"/>
            <w:vMerge w:val="restart"/>
            <w:tcBorders>
              <w:top w:val="single" w:sz="8" w:space="0" w:color="auto"/>
              <w:left w:val="single" w:sz="4" w:space="0" w:color="auto"/>
              <w:bottom w:val="single" w:sz="4" w:space="0" w:color="auto"/>
              <w:right w:val="single" w:sz="4" w:space="0" w:color="auto"/>
            </w:tcBorders>
            <w:shd w:val="clear" w:color="auto" w:fill="C0C0C0"/>
            <w:textDirection w:val="lrTb"/>
            <w:vAlign w:val="bottom"/>
          </w:tcPr>
          <w:p w:rsidR="005D037C" w:rsidRPr="005D037C" w:rsidP="005D037C">
            <w:pPr>
              <w:bidi w:val="0"/>
              <w:spacing w:after="0" w:line="240" w:lineRule="auto"/>
              <w:jc w:val="center"/>
              <w:rPr>
                <w:rFonts w:ascii="Arial" w:hAnsi="Arial" w:cs="Arial"/>
                <w:color w:val="000000"/>
                <w:sz w:val="16"/>
                <w:szCs w:val="16"/>
              </w:rPr>
            </w:pPr>
            <w:r w:rsidRPr="005D037C">
              <w:rPr>
                <w:rFonts w:ascii="Arial" w:hAnsi="Arial" w:cs="Arial"/>
                <w:color w:val="000000"/>
                <w:sz w:val="16"/>
                <w:szCs w:val="16"/>
              </w:rPr>
              <w:t xml:space="preserve">Predpokladaný dopad na rozpočtový rok 2012 (v </w:t>
            </w:r>
            <w:r w:rsidR="00515D5F">
              <w:rPr>
                <w:rFonts w:ascii="Arial" w:hAnsi="Arial" w:cs="Arial"/>
                <w:color w:val="000000"/>
                <w:sz w:val="16"/>
                <w:szCs w:val="16"/>
              </w:rPr>
              <w:t>eurách</w:t>
            </w:r>
            <w:r w:rsidRPr="005D037C">
              <w:rPr>
                <w:rFonts w:ascii="Arial" w:hAnsi="Arial" w:cs="Arial"/>
                <w:color w:val="000000"/>
                <w:sz w:val="16"/>
                <w:szCs w:val="16"/>
              </w:rPr>
              <w:t>)</w:t>
            </w:r>
          </w:p>
        </w:tc>
        <w:tc>
          <w:tcPr>
            <w:tcW w:w="1540" w:type="dxa"/>
            <w:vMerge w:val="restart"/>
            <w:tcBorders>
              <w:top w:val="single" w:sz="8" w:space="0" w:color="auto"/>
              <w:left w:val="single" w:sz="4" w:space="0" w:color="auto"/>
              <w:bottom w:val="single" w:sz="4" w:space="0" w:color="auto"/>
              <w:right w:val="single" w:sz="4" w:space="0" w:color="auto"/>
            </w:tcBorders>
            <w:shd w:val="clear" w:color="auto" w:fill="C0C0C0"/>
            <w:textDirection w:val="lrTb"/>
            <w:vAlign w:val="bottom"/>
          </w:tcPr>
          <w:p w:rsidR="005D037C" w:rsidRPr="005D037C" w:rsidP="005D037C">
            <w:pPr>
              <w:bidi w:val="0"/>
              <w:spacing w:after="0" w:line="240" w:lineRule="auto"/>
              <w:jc w:val="center"/>
              <w:rPr>
                <w:rFonts w:ascii="Arial" w:hAnsi="Arial" w:cs="Arial"/>
                <w:color w:val="000000"/>
                <w:sz w:val="16"/>
                <w:szCs w:val="16"/>
              </w:rPr>
            </w:pPr>
            <w:r w:rsidRPr="005D037C">
              <w:rPr>
                <w:rFonts w:ascii="Arial" w:hAnsi="Arial" w:cs="Arial"/>
                <w:color w:val="000000"/>
                <w:sz w:val="16"/>
                <w:szCs w:val="16"/>
              </w:rPr>
              <w:t xml:space="preserve">Predpokladaný dopad na rozpočtový rok 2013 (v </w:t>
            </w:r>
            <w:r w:rsidR="00515D5F">
              <w:rPr>
                <w:rFonts w:ascii="Arial" w:hAnsi="Arial" w:cs="Arial"/>
                <w:color w:val="000000"/>
                <w:sz w:val="16"/>
                <w:szCs w:val="16"/>
              </w:rPr>
              <w:t>eurách</w:t>
            </w:r>
            <w:r w:rsidRPr="005D037C">
              <w:rPr>
                <w:rFonts w:ascii="Arial" w:hAnsi="Arial" w:cs="Arial"/>
                <w:color w:val="000000"/>
                <w:sz w:val="16"/>
                <w:szCs w:val="16"/>
              </w:rPr>
              <w:t>)</w:t>
            </w:r>
          </w:p>
        </w:tc>
        <w:tc>
          <w:tcPr>
            <w:tcW w:w="1340" w:type="dxa"/>
            <w:vMerge w:val="restart"/>
            <w:tcBorders>
              <w:top w:val="single" w:sz="8" w:space="0" w:color="auto"/>
              <w:left w:val="single" w:sz="4" w:space="0" w:color="auto"/>
              <w:bottom w:val="single" w:sz="4" w:space="0" w:color="auto"/>
              <w:right w:val="single" w:sz="8" w:space="0" w:color="auto"/>
            </w:tcBorders>
            <w:shd w:val="clear" w:color="auto" w:fill="C0C0C0"/>
            <w:textDirection w:val="lrTb"/>
            <w:vAlign w:val="bottom"/>
          </w:tcPr>
          <w:p w:rsidR="005D037C" w:rsidRPr="005D037C" w:rsidP="005D037C">
            <w:pPr>
              <w:bidi w:val="0"/>
              <w:spacing w:after="0" w:line="240" w:lineRule="auto"/>
              <w:jc w:val="center"/>
              <w:rPr>
                <w:rFonts w:ascii="Arial" w:hAnsi="Arial" w:cs="Arial"/>
                <w:color w:val="000000"/>
                <w:sz w:val="16"/>
                <w:szCs w:val="16"/>
              </w:rPr>
            </w:pPr>
            <w:r w:rsidRPr="005D037C">
              <w:rPr>
                <w:rFonts w:ascii="Arial" w:hAnsi="Arial" w:cs="Arial"/>
                <w:color w:val="000000"/>
                <w:sz w:val="16"/>
                <w:szCs w:val="16"/>
              </w:rPr>
              <w:t>Predpokladaný d</w:t>
            </w:r>
            <w:r w:rsidR="00515D5F">
              <w:rPr>
                <w:rFonts w:ascii="Arial" w:hAnsi="Arial" w:cs="Arial"/>
                <w:color w:val="000000"/>
                <w:sz w:val="16"/>
                <w:szCs w:val="16"/>
              </w:rPr>
              <w:t>opad na rozpočtový rok 2014 (v eurách</w:t>
            </w:r>
            <w:r w:rsidRPr="005D037C">
              <w:rPr>
                <w:rFonts w:ascii="Arial" w:hAnsi="Arial" w:cs="Arial"/>
                <w:color w:val="000000"/>
                <w:sz w:val="16"/>
                <w:szCs w:val="16"/>
              </w:rPr>
              <w:t>)</w:t>
            </w:r>
          </w:p>
        </w:tc>
      </w:tr>
      <w:tr>
        <w:tblPrEx>
          <w:tblW w:w="10080" w:type="dxa"/>
          <w:tblInd w:w="55" w:type="dxa"/>
          <w:tblCellMar>
            <w:left w:w="70" w:type="dxa"/>
            <w:right w:w="70" w:type="dxa"/>
          </w:tblCellMar>
        </w:tblPrEx>
        <w:trPr>
          <w:trHeight w:val="255"/>
        </w:trPr>
        <w:tc>
          <w:tcPr>
            <w:tcW w:w="2917" w:type="dxa"/>
            <w:vMerge/>
            <w:tcBorders>
              <w:top w:val="single" w:sz="8" w:space="0" w:color="auto"/>
              <w:left w:val="single" w:sz="8"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1003"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13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c>
          <w:tcPr>
            <w:tcW w:w="154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c>
          <w:tcPr>
            <w:tcW w:w="1340" w:type="dxa"/>
            <w:vMerge/>
            <w:tcBorders>
              <w:top w:val="single" w:sz="8" w:space="0" w:color="auto"/>
              <w:left w:val="single" w:sz="4" w:space="0" w:color="auto"/>
              <w:bottom w:val="single" w:sz="4" w:space="0" w:color="auto"/>
              <w:right w:val="single" w:sz="8"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r>
      <w:tr>
        <w:tblPrEx>
          <w:tblW w:w="10080" w:type="dxa"/>
          <w:tblInd w:w="55" w:type="dxa"/>
          <w:tblCellMar>
            <w:left w:w="70" w:type="dxa"/>
            <w:right w:w="70" w:type="dxa"/>
          </w:tblCellMar>
        </w:tblPrEx>
        <w:trPr>
          <w:trHeight w:val="255"/>
        </w:trPr>
        <w:tc>
          <w:tcPr>
            <w:tcW w:w="2917" w:type="dxa"/>
            <w:vMerge/>
            <w:tcBorders>
              <w:top w:val="single" w:sz="8" w:space="0" w:color="auto"/>
              <w:left w:val="single" w:sz="8"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1003"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13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c>
          <w:tcPr>
            <w:tcW w:w="154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c>
          <w:tcPr>
            <w:tcW w:w="1340" w:type="dxa"/>
            <w:vMerge/>
            <w:tcBorders>
              <w:top w:val="single" w:sz="8" w:space="0" w:color="auto"/>
              <w:left w:val="single" w:sz="4" w:space="0" w:color="auto"/>
              <w:bottom w:val="single" w:sz="4" w:space="0" w:color="auto"/>
              <w:right w:val="single" w:sz="8"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r>
      <w:tr>
        <w:tblPrEx>
          <w:tblW w:w="10080" w:type="dxa"/>
          <w:tblInd w:w="55" w:type="dxa"/>
          <w:tblCellMar>
            <w:left w:w="70" w:type="dxa"/>
            <w:right w:w="70" w:type="dxa"/>
          </w:tblCellMar>
        </w:tblPrEx>
        <w:trPr>
          <w:trHeight w:val="255"/>
        </w:trPr>
        <w:tc>
          <w:tcPr>
            <w:tcW w:w="2917" w:type="dxa"/>
            <w:vMerge/>
            <w:tcBorders>
              <w:top w:val="single" w:sz="8" w:space="0" w:color="auto"/>
              <w:left w:val="single" w:sz="8"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1003"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13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c>
          <w:tcPr>
            <w:tcW w:w="154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c>
          <w:tcPr>
            <w:tcW w:w="1340" w:type="dxa"/>
            <w:vMerge/>
            <w:tcBorders>
              <w:top w:val="single" w:sz="8" w:space="0" w:color="auto"/>
              <w:left w:val="single" w:sz="4" w:space="0" w:color="auto"/>
              <w:bottom w:val="single" w:sz="4" w:space="0" w:color="auto"/>
              <w:right w:val="single" w:sz="8"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r>
      <w:tr>
        <w:tblPrEx>
          <w:tblW w:w="10080" w:type="dxa"/>
          <w:tblInd w:w="55" w:type="dxa"/>
          <w:tblCellMar>
            <w:left w:w="70" w:type="dxa"/>
            <w:right w:w="70" w:type="dxa"/>
          </w:tblCellMar>
        </w:tblPrEx>
        <w:trPr>
          <w:trHeight w:val="255"/>
        </w:trPr>
        <w:tc>
          <w:tcPr>
            <w:tcW w:w="2917" w:type="dxa"/>
            <w:vMerge/>
            <w:tcBorders>
              <w:top w:val="single" w:sz="8" w:space="0" w:color="auto"/>
              <w:left w:val="single" w:sz="8"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9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1003"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sz w:val="16"/>
                <w:szCs w:val="16"/>
              </w:rPr>
            </w:pPr>
          </w:p>
        </w:tc>
        <w:tc>
          <w:tcPr>
            <w:tcW w:w="136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c>
          <w:tcPr>
            <w:tcW w:w="1540" w:type="dxa"/>
            <w:vMerge/>
            <w:tcBorders>
              <w:top w:val="single" w:sz="8" w:space="0" w:color="auto"/>
              <w:left w:val="single" w:sz="4" w:space="0" w:color="auto"/>
              <w:bottom w:val="single" w:sz="4" w:space="0" w:color="auto"/>
              <w:right w:val="single" w:sz="4"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c>
          <w:tcPr>
            <w:tcW w:w="1340" w:type="dxa"/>
            <w:vMerge/>
            <w:tcBorders>
              <w:top w:val="single" w:sz="8" w:space="0" w:color="auto"/>
              <w:left w:val="single" w:sz="4" w:space="0" w:color="auto"/>
              <w:bottom w:val="single" w:sz="4" w:space="0" w:color="auto"/>
              <w:right w:val="single" w:sz="8" w:space="0" w:color="auto"/>
            </w:tcBorders>
            <w:textDirection w:val="lrTb"/>
            <w:vAlign w:val="center"/>
          </w:tcPr>
          <w:p w:rsidR="005D037C" w:rsidRPr="005D037C" w:rsidP="005D037C">
            <w:pPr>
              <w:bidi w:val="0"/>
              <w:spacing w:after="0" w:line="240" w:lineRule="auto"/>
              <w:rPr>
                <w:rFonts w:ascii="Arial" w:hAnsi="Arial" w:cs="Arial"/>
                <w:color w:val="000000"/>
                <w:sz w:val="16"/>
                <w:szCs w:val="16"/>
              </w:rPr>
            </w:pPr>
          </w:p>
        </w:tc>
      </w:tr>
      <w:tr>
        <w:tblPrEx>
          <w:tblW w:w="10080" w:type="dxa"/>
          <w:tblInd w:w="55" w:type="dxa"/>
          <w:tblCellMar>
            <w:left w:w="70" w:type="dxa"/>
            <w:right w:w="70" w:type="dxa"/>
          </w:tblCellMar>
        </w:tblPrEx>
        <w:trPr>
          <w:trHeight w:val="255"/>
        </w:trPr>
        <w:tc>
          <w:tcPr>
            <w:tcW w:w="2917" w:type="dxa"/>
            <w:tcBorders>
              <w:top w:val="nil"/>
              <w:left w:val="single" w:sz="8" w:space="0" w:color="auto"/>
              <w:bottom w:val="single" w:sz="4" w:space="0" w:color="auto"/>
              <w:right w:val="single" w:sz="4" w:space="0" w:color="auto"/>
            </w:tcBorders>
            <w:shd w:val="clear" w:color="auto" w:fill="FFFF00"/>
            <w:textDirection w:val="lrTb"/>
            <w:vAlign w:val="bottom"/>
          </w:tcPr>
          <w:p w:rsidR="005D037C" w:rsidRPr="005D037C" w:rsidP="005D037C">
            <w:pPr>
              <w:bidi w:val="0"/>
              <w:spacing w:after="0" w:line="240" w:lineRule="auto"/>
              <w:rPr>
                <w:rFonts w:ascii="Arial" w:hAnsi="Arial" w:cs="Arial"/>
                <w:b/>
                <w:bCs/>
                <w:color w:val="000000"/>
                <w:sz w:val="18"/>
                <w:szCs w:val="18"/>
              </w:rPr>
            </w:pPr>
            <w:r w:rsidRPr="005D037C">
              <w:rPr>
                <w:rFonts w:ascii="Arial" w:hAnsi="Arial" w:cs="Arial"/>
                <w:b/>
                <w:bCs/>
                <w:color w:val="000000"/>
                <w:sz w:val="18"/>
                <w:szCs w:val="18"/>
              </w:rPr>
              <w:t>Neverejní poskytovatelia</w:t>
            </w:r>
          </w:p>
        </w:tc>
        <w:tc>
          <w:tcPr>
            <w:tcW w:w="9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b/>
                <w:bCs/>
                <w:color w:val="000000"/>
                <w:sz w:val="18"/>
                <w:szCs w:val="18"/>
              </w:rPr>
            </w:pPr>
            <w:r w:rsidRPr="005D037C">
              <w:rPr>
                <w:rFonts w:ascii="Arial" w:hAnsi="Arial" w:cs="Arial"/>
                <w:b/>
                <w:bCs/>
                <w:color w:val="000000"/>
                <w:sz w:val="18"/>
                <w:szCs w:val="18"/>
              </w:rPr>
              <w:t>101</w:t>
            </w:r>
          </w:p>
        </w:tc>
        <w:tc>
          <w:tcPr>
            <w:tcW w:w="9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b/>
                <w:bCs/>
                <w:color w:val="000000"/>
                <w:sz w:val="18"/>
                <w:szCs w:val="18"/>
              </w:rPr>
            </w:pPr>
            <w:r w:rsidRPr="005D037C">
              <w:rPr>
                <w:rFonts w:ascii="Arial" w:hAnsi="Arial" w:cs="Arial"/>
                <w:b/>
                <w:bCs/>
                <w:color w:val="000000"/>
                <w:sz w:val="18"/>
                <w:szCs w:val="18"/>
              </w:rPr>
              <w:t>2 644</w:t>
            </w:r>
          </w:p>
        </w:tc>
        <w:tc>
          <w:tcPr>
            <w:tcW w:w="1003"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rPr>
                <w:rFonts w:ascii="Arial" w:hAnsi="Arial" w:cs="Arial"/>
                <w:sz w:val="20"/>
                <w:szCs w:val="20"/>
              </w:rPr>
            </w:pPr>
            <w:r w:rsidRPr="005D037C">
              <w:rPr>
                <w:rFonts w:ascii="Arial" w:hAnsi="Arial" w:cs="Arial"/>
                <w:sz w:val="20"/>
                <w:szCs w:val="20"/>
              </w:rPr>
              <w:t> </w:t>
            </w:r>
          </w:p>
        </w:tc>
        <w:tc>
          <w:tcPr>
            <w:tcW w:w="13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b/>
                <w:bCs/>
                <w:sz w:val="20"/>
                <w:szCs w:val="20"/>
              </w:rPr>
            </w:pPr>
            <w:r w:rsidRPr="005D037C">
              <w:rPr>
                <w:rFonts w:ascii="Arial" w:hAnsi="Arial" w:cs="Arial"/>
                <w:b/>
                <w:bCs/>
                <w:sz w:val="20"/>
                <w:szCs w:val="20"/>
              </w:rPr>
              <w:t>9 774 816</w:t>
            </w:r>
          </w:p>
        </w:tc>
        <w:tc>
          <w:tcPr>
            <w:tcW w:w="154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b/>
                <w:bCs/>
                <w:sz w:val="20"/>
                <w:szCs w:val="20"/>
              </w:rPr>
            </w:pPr>
            <w:r w:rsidRPr="005D037C">
              <w:rPr>
                <w:rFonts w:ascii="Arial" w:hAnsi="Arial" w:cs="Arial"/>
                <w:b/>
                <w:bCs/>
                <w:sz w:val="20"/>
                <w:szCs w:val="20"/>
              </w:rPr>
              <w:t>10 743 010</w:t>
            </w:r>
          </w:p>
        </w:tc>
        <w:tc>
          <w:tcPr>
            <w:tcW w:w="1340" w:type="dxa"/>
            <w:tcBorders>
              <w:top w:val="nil"/>
              <w:left w:val="nil"/>
              <w:bottom w:val="single" w:sz="4" w:space="0" w:color="auto"/>
              <w:right w:val="single" w:sz="8" w:space="0" w:color="auto"/>
            </w:tcBorders>
            <w:noWrap/>
            <w:textDirection w:val="lrTb"/>
            <w:vAlign w:val="bottom"/>
          </w:tcPr>
          <w:p w:rsidR="005D037C" w:rsidRPr="005D037C" w:rsidP="005D037C">
            <w:pPr>
              <w:bidi w:val="0"/>
              <w:spacing w:after="0" w:line="240" w:lineRule="auto"/>
              <w:jc w:val="right"/>
              <w:rPr>
                <w:rFonts w:ascii="Arial" w:hAnsi="Arial" w:cs="Arial"/>
                <w:b/>
                <w:bCs/>
                <w:sz w:val="20"/>
                <w:szCs w:val="20"/>
              </w:rPr>
            </w:pPr>
            <w:r w:rsidRPr="005D037C">
              <w:rPr>
                <w:rFonts w:ascii="Arial" w:hAnsi="Arial" w:cs="Arial"/>
                <w:b/>
                <w:bCs/>
                <w:sz w:val="20"/>
                <w:szCs w:val="20"/>
              </w:rPr>
              <w:t>11 807 558</w:t>
            </w:r>
          </w:p>
        </w:tc>
      </w:tr>
      <w:tr>
        <w:tblPrEx>
          <w:tblW w:w="10080" w:type="dxa"/>
          <w:tblInd w:w="55" w:type="dxa"/>
          <w:tblCellMar>
            <w:left w:w="70" w:type="dxa"/>
            <w:right w:w="70" w:type="dxa"/>
          </w:tblCellMar>
        </w:tblPrEx>
        <w:trPr>
          <w:trHeight w:val="255"/>
        </w:trPr>
        <w:tc>
          <w:tcPr>
            <w:tcW w:w="2917" w:type="dxa"/>
            <w:tcBorders>
              <w:top w:val="nil"/>
              <w:left w:val="single" w:sz="8" w:space="0" w:color="auto"/>
              <w:bottom w:val="single" w:sz="4" w:space="0" w:color="auto"/>
              <w:right w:val="single" w:sz="4" w:space="0" w:color="auto"/>
            </w:tcBorders>
            <w:textDirection w:val="lrTb"/>
            <w:vAlign w:val="bottom"/>
          </w:tcPr>
          <w:p w:rsidR="005D037C" w:rsidRPr="005D037C" w:rsidP="005D037C">
            <w:pPr>
              <w:bidi w:val="0"/>
              <w:spacing w:after="0" w:line="240" w:lineRule="auto"/>
              <w:rPr>
                <w:rFonts w:ascii="Arial" w:hAnsi="Arial" w:cs="Arial"/>
                <w:color w:val="000000"/>
                <w:sz w:val="18"/>
                <w:szCs w:val="18"/>
              </w:rPr>
            </w:pPr>
            <w:r w:rsidRPr="005D037C">
              <w:rPr>
                <w:rFonts w:ascii="Arial" w:hAnsi="Arial" w:cs="Arial"/>
                <w:color w:val="000000"/>
                <w:sz w:val="18"/>
                <w:szCs w:val="18"/>
              </w:rPr>
              <w:t>zariadenie pre seniorov </w:t>
            </w:r>
          </w:p>
        </w:tc>
        <w:tc>
          <w:tcPr>
            <w:tcW w:w="9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color w:val="000000"/>
                <w:sz w:val="18"/>
                <w:szCs w:val="18"/>
              </w:rPr>
            </w:pPr>
            <w:r w:rsidRPr="005D037C">
              <w:rPr>
                <w:rFonts w:ascii="Arial" w:hAnsi="Arial" w:cs="Arial"/>
                <w:color w:val="000000"/>
                <w:sz w:val="18"/>
                <w:szCs w:val="18"/>
              </w:rPr>
              <w:t>72</w:t>
            </w:r>
          </w:p>
        </w:tc>
        <w:tc>
          <w:tcPr>
            <w:tcW w:w="9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color w:val="000000"/>
                <w:sz w:val="18"/>
                <w:szCs w:val="18"/>
              </w:rPr>
            </w:pPr>
            <w:r w:rsidRPr="005D037C">
              <w:rPr>
                <w:rFonts w:ascii="Arial" w:hAnsi="Arial" w:cs="Arial"/>
                <w:color w:val="000000"/>
                <w:sz w:val="18"/>
                <w:szCs w:val="18"/>
              </w:rPr>
              <w:t>2 121</w:t>
            </w:r>
          </w:p>
        </w:tc>
        <w:tc>
          <w:tcPr>
            <w:tcW w:w="1003"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320</w:t>
            </w:r>
          </w:p>
        </w:tc>
        <w:tc>
          <w:tcPr>
            <w:tcW w:w="13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8 144 640</w:t>
            </w:r>
          </w:p>
        </w:tc>
        <w:tc>
          <w:tcPr>
            <w:tcW w:w="154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8 959 104</w:t>
            </w:r>
          </w:p>
        </w:tc>
        <w:tc>
          <w:tcPr>
            <w:tcW w:w="1340" w:type="dxa"/>
            <w:tcBorders>
              <w:top w:val="nil"/>
              <w:left w:val="nil"/>
              <w:bottom w:val="single" w:sz="4" w:space="0" w:color="auto"/>
              <w:right w:val="single" w:sz="8"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9 855 014</w:t>
            </w:r>
          </w:p>
        </w:tc>
      </w:tr>
      <w:tr>
        <w:tblPrEx>
          <w:tblW w:w="10080" w:type="dxa"/>
          <w:tblInd w:w="55" w:type="dxa"/>
          <w:tblCellMar>
            <w:left w:w="70" w:type="dxa"/>
            <w:right w:w="70" w:type="dxa"/>
          </w:tblCellMar>
        </w:tblPrEx>
        <w:trPr>
          <w:trHeight w:val="255"/>
        </w:trPr>
        <w:tc>
          <w:tcPr>
            <w:tcW w:w="2917" w:type="dxa"/>
            <w:tcBorders>
              <w:top w:val="nil"/>
              <w:left w:val="single" w:sz="8" w:space="0" w:color="auto"/>
              <w:bottom w:val="single" w:sz="4" w:space="0" w:color="auto"/>
              <w:right w:val="single" w:sz="4" w:space="0" w:color="auto"/>
            </w:tcBorders>
            <w:textDirection w:val="lrTb"/>
            <w:vAlign w:val="bottom"/>
          </w:tcPr>
          <w:p w:rsidR="005D037C" w:rsidRPr="005D037C" w:rsidP="005D037C">
            <w:pPr>
              <w:bidi w:val="0"/>
              <w:spacing w:after="0" w:line="240" w:lineRule="auto"/>
              <w:rPr>
                <w:rFonts w:ascii="Arial" w:hAnsi="Arial" w:cs="Arial"/>
                <w:color w:val="000000"/>
                <w:sz w:val="18"/>
                <w:szCs w:val="18"/>
              </w:rPr>
            </w:pPr>
            <w:r w:rsidRPr="005D037C">
              <w:rPr>
                <w:rFonts w:ascii="Arial" w:hAnsi="Arial" w:cs="Arial"/>
                <w:color w:val="000000"/>
                <w:sz w:val="18"/>
                <w:szCs w:val="18"/>
              </w:rPr>
              <w:t>denný stacionár </w:t>
            </w:r>
          </w:p>
        </w:tc>
        <w:tc>
          <w:tcPr>
            <w:tcW w:w="9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color w:val="000000"/>
                <w:sz w:val="18"/>
                <w:szCs w:val="18"/>
              </w:rPr>
            </w:pPr>
            <w:r w:rsidRPr="005D037C">
              <w:rPr>
                <w:rFonts w:ascii="Arial" w:hAnsi="Arial" w:cs="Arial"/>
                <w:color w:val="000000"/>
                <w:sz w:val="18"/>
                <w:szCs w:val="18"/>
              </w:rPr>
              <w:t>3</w:t>
            </w:r>
          </w:p>
        </w:tc>
        <w:tc>
          <w:tcPr>
            <w:tcW w:w="9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color w:val="000000"/>
                <w:sz w:val="18"/>
                <w:szCs w:val="18"/>
              </w:rPr>
            </w:pPr>
            <w:r w:rsidRPr="005D037C">
              <w:rPr>
                <w:rFonts w:ascii="Arial" w:hAnsi="Arial" w:cs="Arial"/>
                <w:color w:val="000000"/>
                <w:sz w:val="18"/>
                <w:szCs w:val="18"/>
              </w:rPr>
              <w:t>42</w:t>
            </w:r>
          </w:p>
        </w:tc>
        <w:tc>
          <w:tcPr>
            <w:tcW w:w="1003"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184</w:t>
            </w:r>
          </w:p>
        </w:tc>
        <w:tc>
          <w:tcPr>
            <w:tcW w:w="13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92 736</w:t>
            </w:r>
          </w:p>
        </w:tc>
        <w:tc>
          <w:tcPr>
            <w:tcW w:w="154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102 010</w:t>
            </w:r>
          </w:p>
        </w:tc>
        <w:tc>
          <w:tcPr>
            <w:tcW w:w="1340" w:type="dxa"/>
            <w:tcBorders>
              <w:top w:val="nil"/>
              <w:left w:val="nil"/>
              <w:bottom w:val="single" w:sz="4" w:space="0" w:color="auto"/>
              <w:right w:val="single" w:sz="8"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112 211</w:t>
            </w:r>
          </w:p>
        </w:tc>
      </w:tr>
      <w:tr>
        <w:tblPrEx>
          <w:tblW w:w="10080" w:type="dxa"/>
          <w:tblInd w:w="55" w:type="dxa"/>
          <w:tblCellMar>
            <w:left w:w="70" w:type="dxa"/>
            <w:right w:w="70" w:type="dxa"/>
          </w:tblCellMar>
        </w:tblPrEx>
        <w:trPr>
          <w:trHeight w:val="255"/>
        </w:trPr>
        <w:tc>
          <w:tcPr>
            <w:tcW w:w="2917" w:type="dxa"/>
            <w:tcBorders>
              <w:top w:val="nil"/>
              <w:left w:val="single" w:sz="8" w:space="0" w:color="auto"/>
              <w:bottom w:val="single" w:sz="4" w:space="0" w:color="auto"/>
              <w:right w:val="single" w:sz="4" w:space="0" w:color="auto"/>
            </w:tcBorders>
            <w:textDirection w:val="lrTb"/>
            <w:vAlign w:val="bottom"/>
          </w:tcPr>
          <w:p w:rsidR="005D037C" w:rsidRPr="005D037C" w:rsidP="005D037C">
            <w:pPr>
              <w:bidi w:val="0"/>
              <w:spacing w:after="0" w:line="240" w:lineRule="auto"/>
              <w:rPr>
                <w:rFonts w:ascii="Arial" w:hAnsi="Arial" w:cs="Arial"/>
                <w:color w:val="000000"/>
                <w:sz w:val="18"/>
                <w:szCs w:val="18"/>
              </w:rPr>
            </w:pPr>
            <w:r w:rsidRPr="005D037C">
              <w:rPr>
                <w:rFonts w:ascii="Arial" w:hAnsi="Arial" w:cs="Arial"/>
                <w:color w:val="000000"/>
                <w:sz w:val="18"/>
                <w:szCs w:val="18"/>
              </w:rPr>
              <w:t>zariadenia opatrovateľskej služby </w:t>
            </w:r>
          </w:p>
        </w:tc>
        <w:tc>
          <w:tcPr>
            <w:tcW w:w="9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color w:val="000000"/>
                <w:sz w:val="18"/>
                <w:szCs w:val="18"/>
              </w:rPr>
            </w:pPr>
            <w:r w:rsidRPr="005D037C">
              <w:rPr>
                <w:rFonts w:ascii="Arial" w:hAnsi="Arial" w:cs="Arial"/>
                <w:color w:val="000000"/>
                <w:sz w:val="18"/>
                <w:szCs w:val="18"/>
              </w:rPr>
              <w:t>19</w:t>
            </w:r>
          </w:p>
        </w:tc>
        <w:tc>
          <w:tcPr>
            <w:tcW w:w="9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color w:val="000000"/>
                <w:sz w:val="18"/>
                <w:szCs w:val="18"/>
              </w:rPr>
            </w:pPr>
            <w:r w:rsidRPr="005D037C">
              <w:rPr>
                <w:rFonts w:ascii="Arial" w:hAnsi="Arial" w:cs="Arial"/>
                <w:color w:val="000000"/>
                <w:sz w:val="18"/>
                <w:szCs w:val="18"/>
              </w:rPr>
              <w:t>352</w:t>
            </w:r>
          </w:p>
        </w:tc>
        <w:tc>
          <w:tcPr>
            <w:tcW w:w="1003"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320</w:t>
            </w:r>
          </w:p>
        </w:tc>
        <w:tc>
          <w:tcPr>
            <w:tcW w:w="136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1 351 680</w:t>
            </w:r>
          </w:p>
        </w:tc>
        <w:tc>
          <w:tcPr>
            <w:tcW w:w="1540" w:type="dxa"/>
            <w:tcBorders>
              <w:top w:val="nil"/>
              <w:left w:val="nil"/>
              <w:bottom w:val="single" w:sz="4"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1 486 848</w:t>
            </w:r>
          </w:p>
        </w:tc>
        <w:tc>
          <w:tcPr>
            <w:tcW w:w="1340" w:type="dxa"/>
            <w:tcBorders>
              <w:top w:val="nil"/>
              <w:left w:val="nil"/>
              <w:bottom w:val="single" w:sz="4" w:space="0" w:color="auto"/>
              <w:right w:val="single" w:sz="8"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1 635 533</w:t>
            </w:r>
          </w:p>
        </w:tc>
      </w:tr>
      <w:tr>
        <w:tblPrEx>
          <w:tblW w:w="10080" w:type="dxa"/>
          <w:tblInd w:w="55" w:type="dxa"/>
          <w:tblCellMar>
            <w:left w:w="70" w:type="dxa"/>
            <w:right w:w="70" w:type="dxa"/>
          </w:tblCellMar>
        </w:tblPrEx>
        <w:trPr>
          <w:trHeight w:val="270"/>
        </w:trPr>
        <w:tc>
          <w:tcPr>
            <w:tcW w:w="2917" w:type="dxa"/>
            <w:tcBorders>
              <w:top w:val="nil"/>
              <w:left w:val="single" w:sz="8" w:space="0" w:color="auto"/>
              <w:bottom w:val="single" w:sz="8" w:space="0" w:color="auto"/>
              <w:right w:val="single" w:sz="4" w:space="0" w:color="auto"/>
            </w:tcBorders>
            <w:textDirection w:val="lrTb"/>
            <w:vAlign w:val="bottom"/>
          </w:tcPr>
          <w:p w:rsidR="005D037C" w:rsidRPr="005D037C" w:rsidP="005D037C">
            <w:pPr>
              <w:bidi w:val="0"/>
              <w:spacing w:after="0" w:line="240" w:lineRule="auto"/>
              <w:rPr>
                <w:rFonts w:ascii="Arial" w:hAnsi="Arial" w:cs="Arial"/>
                <w:color w:val="000000"/>
                <w:sz w:val="18"/>
                <w:szCs w:val="18"/>
              </w:rPr>
            </w:pPr>
            <w:r w:rsidRPr="005D037C">
              <w:rPr>
                <w:rFonts w:ascii="Arial" w:hAnsi="Arial" w:cs="Arial"/>
                <w:color w:val="000000"/>
                <w:sz w:val="18"/>
                <w:szCs w:val="18"/>
              </w:rPr>
              <w:t>nocľaháreň </w:t>
            </w:r>
          </w:p>
        </w:tc>
        <w:tc>
          <w:tcPr>
            <w:tcW w:w="960" w:type="dxa"/>
            <w:tcBorders>
              <w:top w:val="nil"/>
              <w:left w:val="nil"/>
              <w:bottom w:val="single" w:sz="8"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color w:val="000000"/>
                <w:sz w:val="18"/>
                <w:szCs w:val="18"/>
              </w:rPr>
            </w:pPr>
            <w:r w:rsidRPr="005D037C">
              <w:rPr>
                <w:rFonts w:ascii="Arial" w:hAnsi="Arial" w:cs="Arial"/>
                <w:color w:val="000000"/>
                <w:sz w:val="18"/>
                <w:szCs w:val="18"/>
              </w:rPr>
              <w:t>7</w:t>
            </w:r>
          </w:p>
        </w:tc>
        <w:tc>
          <w:tcPr>
            <w:tcW w:w="960" w:type="dxa"/>
            <w:tcBorders>
              <w:top w:val="nil"/>
              <w:left w:val="nil"/>
              <w:bottom w:val="single" w:sz="8"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color w:val="000000"/>
                <w:sz w:val="18"/>
                <w:szCs w:val="18"/>
              </w:rPr>
            </w:pPr>
            <w:r w:rsidRPr="005D037C">
              <w:rPr>
                <w:rFonts w:ascii="Arial" w:hAnsi="Arial" w:cs="Arial"/>
                <w:color w:val="000000"/>
                <w:sz w:val="18"/>
                <w:szCs w:val="18"/>
              </w:rPr>
              <w:t>129</w:t>
            </w:r>
          </w:p>
        </w:tc>
        <w:tc>
          <w:tcPr>
            <w:tcW w:w="1003" w:type="dxa"/>
            <w:tcBorders>
              <w:top w:val="nil"/>
              <w:left w:val="nil"/>
              <w:bottom w:val="single" w:sz="8"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120</w:t>
            </w:r>
          </w:p>
        </w:tc>
        <w:tc>
          <w:tcPr>
            <w:tcW w:w="1360" w:type="dxa"/>
            <w:tcBorders>
              <w:top w:val="nil"/>
              <w:left w:val="nil"/>
              <w:bottom w:val="single" w:sz="8"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185 760</w:t>
            </w:r>
          </w:p>
        </w:tc>
        <w:tc>
          <w:tcPr>
            <w:tcW w:w="1540" w:type="dxa"/>
            <w:tcBorders>
              <w:top w:val="nil"/>
              <w:left w:val="nil"/>
              <w:bottom w:val="single" w:sz="8" w:space="0" w:color="auto"/>
              <w:right w:val="single" w:sz="4"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195 048</w:t>
            </w:r>
          </w:p>
        </w:tc>
        <w:tc>
          <w:tcPr>
            <w:tcW w:w="1340" w:type="dxa"/>
            <w:tcBorders>
              <w:top w:val="nil"/>
              <w:left w:val="nil"/>
              <w:bottom w:val="single" w:sz="8" w:space="0" w:color="auto"/>
              <w:right w:val="single" w:sz="8" w:space="0" w:color="auto"/>
            </w:tcBorders>
            <w:noWrap/>
            <w:textDirection w:val="lrTb"/>
            <w:vAlign w:val="bottom"/>
          </w:tcPr>
          <w:p w:rsidR="005D037C" w:rsidRPr="005D037C" w:rsidP="005D037C">
            <w:pPr>
              <w:bidi w:val="0"/>
              <w:spacing w:after="0" w:line="240" w:lineRule="auto"/>
              <w:jc w:val="right"/>
              <w:rPr>
                <w:rFonts w:ascii="Arial" w:hAnsi="Arial" w:cs="Arial"/>
                <w:sz w:val="20"/>
                <w:szCs w:val="20"/>
              </w:rPr>
            </w:pPr>
            <w:r w:rsidRPr="005D037C">
              <w:rPr>
                <w:rFonts w:ascii="Arial" w:hAnsi="Arial" w:cs="Arial"/>
                <w:sz w:val="20"/>
                <w:szCs w:val="20"/>
              </w:rPr>
              <w:t>204 800</w:t>
            </w:r>
          </w:p>
        </w:tc>
      </w:tr>
      <w:tr>
        <w:tblPrEx>
          <w:tblW w:w="10080" w:type="dxa"/>
          <w:tblInd w:w="55" w:type="dxa"/>
          <w:tblCellMar>
            <w:left w:w="70" w:type="dxa"/>
            <w:right w:w="70" w:type="dxa"/>
          </w:tblCellMar>
        </w:tblPrEx>
        <w:trPr>
          <w:trHeight w:val="270"/>
        </w:trPr>
        <w:tc>
          <w:tcPr>
            <w:tcW w:w="10080" w:type="dxa"/>
            <w:gridSpan w:val="7"/>
            <w:tcBorders>
              <w:top w:val="nil"/>
              <w:left w:val="single" w:sz="8" w:space="0" w:color="auto"/>
              <w:bottom w:val="single" w:sz="8" w:space="0" w:color="auto"/>
              <w:right w:val="single" w:sz="8" w:space="0" w:color="auto"/>
            </w:tcBorders>
            <w:textDirection w:val="lrTb"/>
            <w:vAlign w:val="bottom"/>
          </w:tcPr>
          <w:p w:rsidR="005D037C" w:rsidRPr="005A1D5C" w:rsidP="005D037C">
            <w:pPr>
              <w:bidi w:val="0"/>
              <w:spacing w:after="0" w:line="240" w:lineRule="auto"/>
              <w:rPr>
                <w:rFonts w:ascii="Arial" w:hAnsi="Arial" w:cs="Arial"/>
                <w:sz w:val="20"/>
                <w:szCs w:val="20"/>
              </w:rPr>
            </w:pPr>
            <w:r w:rsidRPr="005D037C">
              <w:rPr>
                <w:rFonts w:ascii="Arial" w:hAnsi="Arial" w:cs="Arial"/>
                <w:color w:val="000000"/>
                <w:sz w:val="18"/>
                <w:szCs w:val="18"/>
              </w:rPr>
              <w:t>Zdroj: Soc V1-</w:t>
            </w:r>
            <w:smartTag w:uri="urn:schemas-microsoft-com:office:smarttags" w:element="metricconverter">
              <w:smartTagPr>
                <w:attr w:name="ProductID" w:val="01 a"/>
              </w:smartTagPr>
              <w:r w:rsidRPr="005D037C">
                <w:rPr>
                  <w:rFonts w:ascii="Arial" w:hAnsi="Arial" w:cs="Arial"/>
                  <w:color w:val="000000"/>
                  <w:sz w:val="18"/>
                  <w:szCs w:val="18"/>
                </w:rPr>
                <w:t>01 a</w:t>
              </w:r>
            </w:smartTag>
            <w:r w:rsidRPr="005D037C">
              <w:rPr>
                <w:rFonts w:ascii="Arial" w:hAnsi="Arial" w:cs="Arial"/>
                <w:color w:val="000000"/>
                <w:sz w:val="18"/>
                <w:szCs w:val="18"/>
              </w:rPr>
              <w:t xml:space="preserve"> výberové zisťovanie MPSVR SR</w:t>
            </w:r>
          </w:p>
        </w:tc>
      </w:tr>
    </w:tbl>
    <w:p w:rsidR="005D037C" w:rsidP="00A2110A">
      <w:pPr>
        <w:pStyle w:val="BodyText"/>
        <w:tabs>
          <w:tab w:val="num" w:pos="1080"/>
        </w:tabs>
        <w:bidi w:val="0"/>
        <w:jc w:val="both"/>
        <w:rPr>
          <w:rFonts w:ascii="Times New Roman" w:hAnsi="Times New Roman"/>
          <w:b w:val="0"/>
          <w:bCs/>
        </w:rPr>
      </w:pPr>
    </w:p>
    <w:sectPr w:rsidSect="005A1D5C">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D5C" w:rsidP="005A1D5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A1D5C" w:rsidP="005A1D5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D5C" w:rsidP="005A1D5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34370">
      <w:rPr>
        <w:rStyle w:val="PageNumber"/>
        <w:rFonts w:ascii="Times New Roman" w:hAnsi="Times New Roman"/>
        <w:noProof/>
      </w:rPr>
      <w:t>11</w:t>
    </w:r>
    <w:r>
      <w:rPr>
        <w:rStyle w:val="PageNumber"/>
        <w:rFonts w:ascii="Times New Roman" w:hAnsi="Times New Roman"/>
      </w:rPr>
      <w:fldChar w:fldCharType="end"/>
    </w:r>
  </w:p>
  <w:p w:rsidR="005A1D5C" w:rsidP="005A1D5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90ED6"/>
    <w:multiLevelType w:val="hybridMultilevel"/>
    <w:tmpl w:val="6502722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70622944"/>
    <w:multiLevelType w:val="hybridMultilevel"/>
    <w:tmpl w:val="F6E0966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C37F40"/>
    <w:rsid w:val="00004C53"/>
    <w:rsid w:val="00012058"/>
    <w:rsid w:val="000D0466"/>
    <w:rsid w:val="000E6D9C"/>
    <w:rsid w:val="001022CB"/>
    <w:rsid w:val="00104478"/>
    <w:rsid w:val="001047C6"/>
    <w:rsid w:val="00126095"/>
    <w:rsid w:val="0012679B"/>
    <w:rsid w:val="00137DE9"/>
    <w:rsid w:val="00156B00"/>
    <w:rsid w:val="001A7651"/>
    <w:rsid w:val="001C18B8"/>
    <w:rsid w:val="001D1753"/>
    <w:rsid w:val="001E3698"/>
    <w:rsid w:val="00203017"/>
    <w:rsid w:val="00243F2C"/>
    <w:rsid w:val="00255AAE"/>
    <w:rsid w:val="0026626D"/>
    <w:rsid w:val="00267FB0"/>
    <w:rsid w:val="002A4243"/>
    <w:rsid w:val="002B33ED"/>
    <w:rsid w:val="00316E96"/>
    <w:rsid w:val="003205A1"/>
    <w:rsid w:val="003336F1"/>
    <w:rsid w:val="00353F37"/>
    <w:rsid w:val="0037059D"/>
    <w:rsid w:val="00395711"/>
    <w:rsid w:val="003E2822"/>
    <w:rsid w:val="0040269E"/>
    <w:rsid w:val="004139B5"/>
    <w:rsid w:val="004161A1"/>
    <w:rsid w:val="0042164E"/>
    <w:rsid w:val="00477B7F"/>
    <w:rsid w:val="004A33EA"/>
    <w:rsid w:val="004C19F1"/>
    <w:rsid w:val="004E61D3"/>
    <w:rsid w:val="004E7BEB"/>
    <w:rsid w:val="00515D5F"/>
    <w:rsid w:val="00534774"/>
    <w:rsid w:val="005A1D5C"/>
    <w:rsid w:val="005B3CB9"/>
    <w:rsid w:val="005D037C"/>
    <w:rsid w:val="005D2CBA"/>
    <w:rsid w:val="005D5F2E"/>
    <w:rsid w:val="00600271"/>
    <w:rsid w:val="00602ABE"/>
    <w:rsid w:val="00604501"/>
    <w:rsid w:val="00614ECB"/>
    <w:rsid w:val="00682AF6"/>
    <w:rsid w:val="00685C0A"/>
    <w:rsid w:val="006A79CD"/>
    <w:rsid w:val="006B3EE9"/>
    <w:rsid w:val="006C121A"/>
    <w:rsid w:val="006D4F6E"/>
    <w:rsid w:val="006F280B"/>
    <w:rsid w:val="007062A8"/>
    <w:rsid w:val="007219ED"/>
    <w:rsid w:val="007341B5"/>
    <w:rsid w:val="00734370"/>
    <w:rsid w:val="00751D57"/>
    <w:rsid w:val="007604CA"/>
    <w:rsid w:val="00792CDA"/>
    <w:rsid w:val="007C14F6"/>
    <w:rsid w:val="00845F28"/>
    <w:rsid w:val="0087111F"/>
    <w:rsid w:val="00880B99"/>
    <w:rsid w:val="008C448C"/>
    <w:rsid w:val="008D588D"/>
    <w:rsid w:val="008F2D80"/>
    <w:rsid w:val="0097432F"/>
    <w:rsid w:val="00A0194F"/>
    <w:rsid w:val="00A2110A"/>
    <w:rsid w:val="00A22AEE"/>
    <w:rsid w:val="00A351C2"/>
    <w:rsid w:val="00A57790"/>
    <w:rsid w:val="00A83E37"/>
    <w:rsid w:val="00A860EF"/>
    <w:rsid w:val="00A90FFA"/>
    <w:rsid w:val="00AA1FFA"/>
    <w:rsid w:val="00AF33EC"/>
    <w:rsid w:val="00B041C1"/>
    <w:rsid w:val="00B06EB0"/>
    <w:rsid w:val="00B2023F"/>
    <w:rsid w:val="00B27114"/>
    <w:rsid w:val="00B34E70"/>
    <w:rsid w:val="00B56F4C"/>
    <w:rsid w:val="00B8314B"/>
    <w:rsid w:val="00B8647A"/>
    <w:rsid w:val="00BA382B"/>
    <w:rsid w:val="00BE1000"/>
    <w:rsid w:val="00C060D2"/>
    <w:rsid w:val="00C37F40"/>
    <w:rsid w:val="00C43B2B"/>
    <w:rsid w:val="00C44243"/>
    <w:rsid w:val="00C53DB4"/>
    <w:rsid w:val="00C63A3A"/>
    <w:rsid w:val="00C85D5A"/>
    <w:rsid w:val="00C95E5D"/>
    <w:rsid w:val="00C97BC1"/>
    <w:rsid w:val="00CB5434"/>
    <w:rsid w:val="00CE7926"/>
    <w:rsid w:val="00CE79A7"/>
    <w:rsid w:val="00D2028D"/>
    <w:rsid w:val="00D4116C"/>
    <w:rsid w:val="00D43830"/>
    <w:rsid w:val="00D650D8"/>
    <w:rsid w:val="00D92396"/>
    <w:rsid w:val="00DC62A0"/>
    <w:rsid w:val="00DE6CB4"/>
    <w:rsid w:val="00DF1242"/>
    <w:rsid w:val="00DF3D99"/>
    <w:rsid w:val="00DF6AF9"/>
    <w:rsid w:val="00E902FF"/>
    <w:rsid w:val="00EB00E3"/>
    <w:rsid w:val="00EE507E"/>
    <w:rsid w:val="00EE5302"/>
    <w:rsid w:val="00F06E06"/>
    <w:rsid w:val="00F20BD5"/>
    <w:rsid w:val="00FC7F9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4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A2110A"/>
    <w:pPr>
      <w:jc w:val="left"/>
    </w:pPr>
    <w:rPr>
      <w:b/>
      <w:szCs w:val="20"/>
    </w:rPr>
  </w:style>
  <w:style w:type="character" w:customStyle="1" w:styleId="ZkladntextChar">
    <w:name w:val="Základný text Char"/>
    <w:basedOn w:val="DefaultParagraphFont"/>
    <w:link w:val="BodyText"/>
    <w:uiPriority w:val="99"/>
    <w:semiHidden/>
    <w:locked/>
    <w:rPr>
      <w:rFonts w:ascii="Times New Roman" w:hAnsi="Times New Roman" w:cs="Times New Roman"/>
      <w:sz w:val="24"/>
      <w:szCs w:val="24"/>
      <w:rtl w:val="0"/>
      <w:cs w:val="0"/>
    </w:rPr>
  </w:style>
  <w:style w:type="paragraph" w:styleId="NormalWeb">
    <w:name w:val="Normal (Web)"/>
    <w:basedOn w:val="Normal"/>
    <w:uiPriority w:val="99"/>
    <w:rsid w:val="0026626D"/>
    <w:pPr>
      <w:spacing w:before="100" w:beforeAutospacing="1" w:after="100" w:afterAutospacing="1"/>
      <w:jc w:val="left"/>
    </w:pPr>
  </w:style>
  <w:style w:type="paragraph" w:styleId="Footer">
    <w:name w:val="footer"/>
    <w:basedOn w:val="Normal"/>
    <w:link w:val="PtaChar"/>
    <w:uiPriority w:val="99"/>
    <w:rsid w:val="00B56F4C"/>
    <w:pPr>
      <w:tabs>
        <w:tab w:val="center" w:pos="4536"/>
        <w:tab w:val="right" w:pos="9072"/>
      </w:tabs>
      <w:jc w:val="left"/>
    </w:pPr>
  </w:style>
  <w:style w:type="character" w:customStyle="1" w:styleId="PtaChar">
    <w:name w:val="Päta Char"/>
    <w:basedOn w:val="DefaultParagraphFont"/>
    <w:link w:val="Footer"/>
    <w:uiPriority w:val="99"/>
    <w:semiHidden/>
    <w:locked/>
    <w:rsid w:val="00B56F4C"/>
    <w:rPr>
      <w:rFonts w:cs="Times New Roman"/>
      <w:sz w:val="24"/>
      <w:szCs w:val="24"/>
      <w:rtl w:val="0"/>
      <w:cs w:val="0"/>
      <w:lang w:val="sk-SK" w:eastAsia="sk-SK" w:bidi="ar-SA"/>
    </w:rPr>
  </w:style>
  <w:style w:type="character" w:styleId="PageNumber">
    <w:name w:val="page number"/>
    <w:basedOn w:val="DefaultParagraphFont"/>
    <w:uiPriority w:val="99"/>
    <w:rsid w:val="00B56F4C"/>
    <w:rPr>
      <w:rFonts w:cs="Times New Roman"/>
      <w:rtl w:val="0"/>
      <w:cs w:val="0"/>
    </w:rPr>
  </w:style>
  <w:style w:type="paragraph" w:styleId="Header">
    <w:name w:val="header"/>
    <w:basedOn w:val="Normal"/>
    <w:link w:val="HlavikaChar"/>
    <w:uiPriority w:val="99"/>
    <w:rsid w:val="00B56F4C"/>
    <w:pPr>
      <w:tabs>
        <w:tab w:val="center" w:pos="4536"/>
        <w:tab w:val="right" w:pos="9072"/>
      </w:tabs>
      <w:jc w:val="left"/>
    </w:pPr>
  </w:style>
  <w:style w:type="character" w:customStyle="1" w:styleId="HlavikaChar">
    <w:name w:val="Hlavička Char"/>
    <w:basedOn w:val="DefaultParagraphFont"/>
    <w:link w:val="Header"/>
    <w:uiPriority w:val="99"/>
    <w:semiHidden/>
    <w:locked/>
    <w:rsid w:val="00B56F4C"/>
    <w:rPr>
      <w:rFonts w:cs="Times New Roman"/>
      <w:sz w:val="24"/>
      <w:szCs w:val="24"/>
      <w:rtl w:val="0"/>
      <w:cs w:val="0"/>
      <w:lang w:val="sk-SK" w:eastAsia="sk-SK" w:bidi="ar-SA"/>
    </w:rPr>
  </w:style>
  <w:style w:type="paragraph" w:styleId="BalloonText">
    <w:name w:val="Balloon Text"/>
    <w:basedOn w:val="Normal"/>
    <w:link w:val="TextbublinyChar"/>
    <w:uiPriority w:val="99"/>
    <w:semiHidden/>
    <w:rsid w:val="00C97BC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97BC1"/>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2890</Words>
  <Characters>17569</Characters>
  <Application>Microsoft Office Word</Application>
  <DocSecurity>0</DocSecurity>
  <Lines>0</Lines>
  <Paragraphs>0</Paragraphs>
  <ScaleCrop>false</ScaleCrop>
  <Company>MPSVR</Company>
  <LinksUpToDate>false</LinksUpToDate>
  <CharactersWithSpaces>20419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dc:title>
  <dc:creator>janikova</dc:creator>
  <cp:lastModifiedBy>cebulakova</cp:lastModifiedBy>
  <cp:revision>2</cp:revision>
  <cp:lastPrinted>2011-10-13T09:58:00Z</cp:lastPrinted>
  <dcterms:created xsi:type="dcterms:W3CDTF">2011-11-23T11:32:00Z</dcterms:created>
  <dcterms:modified xsi:type="dcterms:W3CDTF">2011-11-23T11:32:00Z</dcterms:modified>
</cp:coreProperties>
</file>