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1A84">
      <w:pPr>
        <w:pStyle w:val="Title"/>
        <w:tabs>
          <w:tab w:val="left" w:pos="1200"/>
          <w:tab w:val="center" w:pos="4402"/>
        </w:tabs>
        <w:bidi w:val="0"/>
        <w:rPr>
          <w:rFonts w:ascii="Times New Roman" w:hAnsi="Times New Roman"/>
        </w:rPr>
      </w:pPr>
      <w:r w:rsidR="008C401F">
        <w:rPr>
          <w:rFonts w:ascii="Times New Roman" w:hAnsi="Times New Roman"/>
        </w:rPr>
        <w:t>NÁRODNÁ RADA SLOVENSKEJ REPUBLIKY</w:t>
      </w:r>
    </w:p>
    <w:p w:rsidR="007A1A84">
      <w:pPr>
        <w:bidi w:val="0"/>
        <w:jc w:val="center"/>
        <w:rPr>
          <w:rFonts w:ascii="Times New Roman" w:hAnsi="Times New Roman"/>
          <w:lang w:val="sk-SK"/>
        </w:rPr>
      </w:pPr>
      <w:r w:rsidR="008C401F">
        <w:rPr>
          <w:rFonts w:ascii="Times New Roman" w:hAnsi="Times New Roman"/>
          <w:lang w:val="sk-SK"/>
        </w:rPr>
        <w:t>V. volebné obdobie</w:t>
      </w:r>
    </w:p>
    <w:p w:rsidR="007A1A84">
      <w:pPr>
        <w:bidi w:val="0"/>
        <w:jc w:val="center"/>
        <w:rPr>
          <w:rFonts w:ascii="Times New Roman" w:hAnsi="Times New Roman"/>
          <w:lang w:val="sk-SK"/>
        </w:rPr>
      </w:pPr>
      <w:r w:rsidR="008C401F">
        <w:rPr>
          <w:rFonts w:ascii="Times New Roman" w:hAnsi="Times New Roman"/>
          <w:lang w:val="sk-SK"/>
        </w:rPr>
        <w:t>__________________________________________________________</w:t>
      </w:r>
    </w:p>
    <w:p w:rsidR="007A1A84">
      <w:pPr>
        <w:bidi w:val="0"/>
        <w:jc w:val="center"/>
        <w:rPr>
          <w:rFonts w:ascii="Times New Roman" w:hAnsi="Times New Roman"/>
          <w:b/>
          <w:bCs/>
          <w:lang w:val="sk-SK"/>
        </w:rPr>
      </w:pPr>
    </w:p>
    <w:p w:rsidR="007A1A84">
      <w:pPr>
        <w:bidi w:val="0"/>
        <w:jc w:val="center"/>
        <w:rPr>
          <w:rFonts w:ascii="Times New Roman" w:hAnsi="Times New Roman"/>
          <w:b/>
          <w:bCs/>
          <w:lang w:val="sk-SK"/>
        </w:rPr>
      </w:pPr>
    </w:p>
    <w:p w:rsidR="007A1A84">
      <w:pPr>
        <w:bidi w:val="0"/>
        <w:jc w:val="center"/>
        <w:rPr>
          <w:rFonts w:ascii="Times New Roman" w:hAnsi="Times New Roman"/>
          <w:b/>
          <w:bCs/>
          <w:lang w:val="sk-SK"/>
        </w:rPr>
      </w:pPr>
      <w:r w:rsidR="008C401F">
        <w:rPr>
          <w:rFonts w:ascii="Times New Roman" w:hAnsi="Times New Roman"/>
          <w:b/>
          <w:bCs/>
          <w:lang w:val="sk-SK"/>
        </w:rPr>
        <w:t>NÁVRH</w:t>
      </w:r>
    </w:p>
    <w:p w:rsidR="007A1A84">
      <w:pPr>
        <w:bidi w:val="0"/>
        <w:jc w:val="center"/>
        <w:rPr>
          <w:rFonts w:ascii="Times New Roman" w:hAnsi="Times New Roman"/>
          <w:b/>
          <w:bCs/>
          <w:lang w:val="sk-SK"/>
        </w:rPr>
      </w:pPr>
    </w:p>
    <w:p w:rsidR="007A1A84">
      <w:pPr>
        <w:bidi w:val="0"/>
        <w:jc w:val="center"/>
        <w:rPr>
          <w:rFonts w:ascii="Times New Roman" w:hAnsi="Times New Roman"/>
          <w:b/>
          <w:bCs/>
          <w:lang w:val="sk-SK"/>
        </w:rPr>
      </w:pPr>
      <w:r w:rsidR="008C401F">
        <w:rPr>
          <w:rFonts w:ascii="Times New Roman" w:hAnsi="Times New Roman"/>
          <w:b/>
          <w:bCs/>
          <w:lang w:val="sk-SK"/>
        </w:rPr>
        <w:t>Z á k o n</w:t>
      </w:r>
    </w:p>
    <w:p w:rsidR="007A1A84">
      <w:pPr>
        <w:bidi w:val="0"/>
        <w:jc w:val="center"/>
        <w:rPr>
          <w:rFonts w:ascii="Times New Roman" w:hAnsi="Times New Roman"/>
          <w:b/>
          <w:bCs/>
          <w:lang w:val="sk-SK"/>
        </w:rPr>
      </w:pPr>
    </w:p>
    <w:p w:rsidR="007A1A84">
      <w:pPr>
        <w:bidi w:val="0"/>
        <w:jc w:val="center"/>
        <w:rPr>
          <w:rFonts w:ascii="Times New Roman" w:hAnsi="Times New Roman"/>
        </w:rPr>
      </w:pPr>
      <w:r w:rsidR="008C401F">
        <w:rPr>
          <w:rFonts w:ascii="Times New Roman" w:hAnsi="Times New Roman"/>
          <w:b/>
          <w:bCs/>
          <w:lang w:val="sk-SK"/>
        </w:rPr>
        <w:t xml:space="preserve">z  </w:t>
      </w:r>
      <w:r w:rsidR="008C401F">
        <w:rPr>
          <w:rFonts w:ascii="Times New Roman" w:hAnsi="Times New Roman"/>
          <w:lang w:val="sk-SK"/>
        </w:rPr>
        <w:t>..............</w:t>
      </w:r>
      <w:r w:rsidR="008C401F">
        <w:rPr>
          <w:rFonts w:ascii="Times New Roman" w:hAnsi="Times New Roman"/>
          <w:b/>
          <w:lang w:val="sk-SK"/>
        </w:rPr>
        <w:t>2011</w:t>
      </w:r>
      <w:r w:rsidR="008C401F">
        <w:rPr>
          <w:rFonts w:ascii="Times New Roman" w:hAnsi="Times New Roman"/>
          <w:lang w:val="sk-SK"/>
        </w:rPr>
        <w:t>,</w:t>
      </w:r>
      <w:r w:rsidR="008C401F">
        <w:rPr>
          <w:rFonts w:ascii="Times New Roman" w:hAnsi="Times New Roman"/>
          <w:b/>
          <w:bCs/>
          <w:lang w:val="sk-SK"/>
        </w:rPr>
        <w:t xml:space="preserve"> </w:t>
      </w:r>
    </w:p>
    <w:p w:rsidR="007A1A84">
      <w:pPr>
        <w:bidi w:val="0"/>
        <w:jc w:val="center"/>
        <w:rPr>
          <w:rFonts w:ascii="Times New Roman" w:hAnsi="Times New Roman"/>
          <w:b/>
          <w:bCs/>
          <w:lang w:val="sk-SK"/>
        </w:rPr>
      </w:pPr>
    </w:p>
    <w:p w:rsidR="007A1A84">
      <w:pPr>
        <w:pStyle w:val="BodyTextIndent"/>
        <w:bidi w:val="0"/>
        <w:rPr>
          <w:rFonts w:ascii="Times New Roman" w:hAnsi="Times New Roman"/>
        </w:rPr>
      </w:pPr>
      <w:r w:rsidR="008C401F">
        <w:rPr>
          <w:rFonts w:ascii="Times New Roman" w:hAnsi="Times New Roman"/>
        </w:rPr>
        <w:t>ktorým sa mení a dopĺňa zákon  č. 40/1964 Zb.  Občiansky zákonník v znení neskorších predpisov a ktorým sa dopĺňa zákon č. 323/1992 Zb. o notároch a notárskej činnosti (Notársky poriadok) v znení neskorších predpisov</w:t>
      </w:r>
    </w:p>
    <w:p w:rsidR="007A1A84">
      <w:pPr>
        <w:bidi w:val="0"/>
        <w:rPr>
          <w:rFonts w:ascii="Times New Roman" w:hAnsi="Times New Roman"/>
          <w:lang w:val="sk-SK"/>
        </w:rPr>
      </w:pPr>
    </w:p>
    <w:p w:rsidR="007A1A84">
      <w:pPr>
        <w:bidi w:val="0"/>
        <w:rPr>
          <w:rFonts w:ascii="Times New Roman" w:hAnsi="Times New Roman"/>
          <w:lang w:val="sk-SK"/>
        </w:rPr>
      </w:pPr>
      <w:r w:rsidR="008C401F">
        <w:rPr>
          <w:rFonts w:ascii="Times New Roman" w:hAnsi="Times New Roman"/>
          <w:lang w:val="sk-SK"/>
        </w:rPr>
        <w:t>Národná rada Slovenskej republiky sa uzniesla na tomto zákone:</w:t>
      </w:r>
    </w:p>
    <w:p w:rsidR="007A1A84">
      <w:pPr>
        <w:bidi w:val="0"/>
        <w:jc w:val="center"/>
        <w:rPr>
          <w:rFonts w:ascii="Times New Roman" w:hAnsi="Times New Roman"/>
          <w:lang w:val="sk-SK"/>
        </w:rPr>
      </w:pPr>
    </w:p>
    <w:p w:rsidR="007A1A84">
      <w:pPr>
        <w:pStyle w:val="Heading1"/>
        <w:bidi w:val="0"/>
        <w:spacing w:line="240" w:lineRule="auto"/>
        <w:rPr>
          <w:rFonts w:ascii="Times New Roman" w:hAnsi="Times New Roman"/>
        </w:rPr>
      </w:pPr>
      <w:r w:rsidR="008C401F">
        <w:rPr>
          <w:rFonts w:ascii="Times New Roman" w:hAnsi="Times New Roman"/>
        </w:rPr>
        <w:t>Čl. I</w:t>
      </w:r>
    </w:p>
    <w:p w:rsidR="007A1A84">
      <w:pPr>
        <w:bidi w:val="0"/>
        <w:jc w:val="both"/>
        <w:rPr>
          <w:rFonts w:ascii="Times New Roman" w:hAnsi="Times New Roman"/>
          <w:b/>
          <w:lang w:val="sk-SK"/>
        </w:rPr>
      </w:pPr>
    </w:p>
    <w:p w:rsidR="007A1A84">
      <w:pPr>
        <w:bidi w:val="0"/>
        <w:jc w:val="both"/>
        <w:rPr>
          <w:rFonts w:ascii="Times New Roman" w:hAnsi="Times New Roman"/>
          <w:b/>
          <w:lang w:val="sk-SK"/>
        </w:rPr>
      </w:pPr>
      <w:r w:rsidR="008C401F">
        <w:rPr>
          <w:rFonts w:ascii="Times New Roman" w:hAnsi="Times New Roman"/>
          <w:b/>
          <w:lang w:val="sk-SK"/>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209/2007 Z. z., zákona č. 335/2007 Z. z., zákona č. 568/2007 Z. z., zákona č. 214/2008 Z. z., zákona č. 379/2008 Z. z., zákona č. 477/2008 Z. z., zákona č. 186/2009 Z. z., zákona č. 575/2009 Z. z., zákona č. 129/2010 Z. z., zákona č. 546/2010 Z. z., zákona č. 130/2011 Z. z. a zákona č. 161/2011 Z. z.  sa dopĺňa takto:</w:t>
      </w:r>
    </w:p>
    <w:p w:rsidR="007A1A84">
      <w:pPr>
        <w:bidi w:val="0"/>
        <w:rPr>
          <w:rFonts w:ascii="Times New Roman" w:hAnsi="Times New Roman"/>
          <w:lang w:val="sk-SK"/>
        </w:rPr>
      </w:pPr>
    </w:p>
    <w:p w:rsidR="007A1A84">
      <w:pPr>
        <w:numPr>
          <w:numId w:val="1"/>
        </w:numPr>
        <w:bidi w:val="0"/>
        <w:jc w:val="both"/>
        <w:rPr>
          <w:rFonts w:ascii="Times New Roman" w:hAnsi="Times New Roman"/>
          <w:lang w:val="sk-SK"/>
        </w:rPr>
      </w:pPr>
      <w:r w:rsidR="008C401F">
        <w:rPr>
          <w:rFonts w:ascii="Times New Roman" w:hAnsi="Times New Roman"/>
          <w:lang w:val="sk-SK"/>
        </w:rPr>
        <w:t xml:space="preserve">§ 143a znie: </w:t>
      </w:r>
    </w:p>
    <w:p w:rsidR="007A1A84">
      <w:pPr>
        <w:bidi w:val="0"/>
        <w:ind w:left="720"/>
        <w:jc w:val="both"/>
        <w:rPr>
          <w:rFonts w:ascii="Times New Roman" w:hAnsi="Times New Roman"/>
          <w:lang w:val="sk-SK"/>
        </w:rPr>
      </w:pPr>
    </w:p>
    <w:p w:rsidR="007A1A84">
      <w:pPr>
        <w:bidi w:val="0"/>
        <w:ind w:left="720"/>
        <w:rPr>
          <w:rFonts w:ascii="Times New Roman" w:hAnsi="Times New Roman"/>
          <w:lang w:val="sk-SK"/>
        </w:rPr>
      </w:pPr>
      <w:r w:rsidR="008C401F">
        <w:rPr>
          <w:rFonts w:ascii="Times New Roman" w:hAnsi="Times New Roman"/>
          <w:lang w:val="sk-SK"/>
        </w:rPr>
        <w:tab/>
        <w:tab/>
        <w:tab/>
        <w:tab/>
        <w:tab/>
        <w:t>„§ 143a</w:t>
      </w:r>
    </w:p>
    <w:p w:rsidR="007A1A84">
      <w:pPr>
        <w:bidi w:val="0"/>
        <w:ind w:left="720"/>
        <w:jc w:val="both"/>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(1) Manželia môžu dohodou rozšíriť alebo zúžiť zákonom určený rozsah bezpodielového spoluvlastníctva, existujúceho i nadobudnutého v budúcnosti. Obdobne sa môžu dohodnúť aj o správe spoločného majetku.</w:t>
      </w:r>
    </w:p>
    <w:p w:rsidR="007A1A84">
      <w:pPr>
        <w:bidi w:val="0"/>
        <w:ind w:left="720"/>
        <w:jc w:val="both"/>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(2) Manželia môžu dohodou za trvania manželstva zrušiť bezpodielové spoluvlastníctvo alebo založiť bezpodielové spoluvlastníctvo. V dohode o zrušení bezpodielového spoluvlastníctva ho musia manželia vyporiadať. V dohode o založení bezpodielového spoluvlastníctva sa spravidla stanoví jeho rozsah. Ak manželia jeho rozsah nestanovia, stane sa súčasťou bezpodielového spoluvlastníctva všetko, čo niektorý z manželov vlastní, pokiaľ to nadobudol za trvania manželstva, s výnimkou vecí uvedených v § 143. Manželia sa tiež môžu dohodnúť, že vyhradia vznik bezpodielového spoluvlastníctva ku dňu zániku manželstva.</w:t>
      </w:r>
    </w:p>
    <w:p w:rsidR="007A1A84">
      <w:pPr>
        <w:bidi w:val="0"/>
        <w:jc w:val="both"/>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(3) Dohody podľa odsekov 1 a 2 vyžadujú formu notárskej zápisnice.”</w:t>
      </w:r>
    </w:p>
    <w:p w:rsidR="007A1A84">
      <w:pPr>
        <w:bidi w:val="0"/>
        <w:ind w:left="720"/>
        <w:jc w:val="both"/>
        <w:rPr>
          <w:rFonts w:ascii="Times New Roman" w:hAnsi="Times New Roman"/>
          <w:lang w:val="sk-SK"/>
        </w:rPr>
      </w:pPr>
    </w:p>
    <w:p w:rsidR="007A1A84">
      <w:pPr>
        <w:numPr>
          <w:numId w:val="1"/>
        </w:numPr>
        <w:bidi w:val="0"/>
        <w:jc w:val="both"/>
        <w:rPr>
          <w:rFonts w:ascii="Times New Roman" w:hAnsi="Times New Roman"/>
          <w:lang w:val="sk-SK"/>
        </w:rPr>
      </w:pPr>
      <w:r w:rsidR="008C401F">
        <w:rPr>
          <w:rFonts w:ascii="Times New Roman" w:hAnsi="Times New Roman"/>
          <w:lang w:val="sk-SK"/>
        </w:rPr>
        <w:t>Za § 143a sa vkladá nový § 143b, ktorý znie:</w:t>
      </w:r>
    </w:p>
    <w:p w:rsidR="007A1A84">
      <w:pPr>
        <w:bidi w:val="0"/>
        <w:ind w:left="720"/>
        <w:jc w:val="both"/>
        <w:rPr>
          <w:rFonts w:ascii="Times New Roman" w:hAnsi="Times New Roman"/>
          <w:lang w:val="sk-SK"/>
        </w:rPr>
      </w:pPr>
    </w:p>
    <w:p w:rsidR="007A1A84">
      <w:pPr>
        <w:bidi w:val="0"/>
        <w:ind w:left="720"/>
        <w:jc w:val="both"/>
        <w:rPr>
          <w:rFonts w:ascii="Times New Roman" w:hAnsi="Times New Roman"/>
          <w:lang w:val="sk-SK"/>
        </w:rPr>
      </w:pPr>
      <w:r w:rsidR="008C401F">
        <w:rPr>
          <w:rFonts w:ascii="Times New Roman" w:hAnsi="Times New Roman"/>
          <w:lang w:val="sk-SK"/>
        </w:rPr>
        <w:tab/>
        <w:tab/>
        <w:tab/>
        <w:tab/>
        <w:tab/>
        <w:t>„§ 143b</w:t>
      </w:r>
    </w:p>
    <w:p w:rsidR="007A1A84">
      <w:pPr>
        <w:bidi w:val="0"/>
        <w:jc w:val="both"/>
        <w:rPr>
          <w:rFonts w:ascii="Times New Roman" w:hAnsi="Times New Roman"/>
          <w:lang w:val="sk-SK"/>
        </w:rPr>
      </w:pPr>
      <w:r w:rsidR="008C401F">
        <w:rPr>
          <w:rFonts w:ascii="Times New Roman" w:hAnsi="Times New Roman"/>
          <w:lang w:val="sk-SK"/>
        </w:rPr>
        <w:t xml:space="preserve"> (1) Muž a žena, ktorí chcú spolu uzavrieť manželstvo (ďalej len „snúbenci“) môžu dohodou rozšíriť alebo zúžiť zákonom určený rozsah bezpodielového spoluvlastníctva manželov, ktoré vznikne uzavretím manželstva. Rovnako sa snúbenci môžu dohodnúť, že bezpodielové spoluvlastníctvo manželov uzavretím manželstva nevznikne alebo že vyhradia vznik bezpodielového spoluvlastníctva manželov ku dňu zániku manželstva.</w:t>
      </w:r>
    </w:p>
    <w:p w:rsidR="007A1A84">
      <w:pPr>
        <w:bidi w:val="0"/>
        <w:ind w:left="709"/>
        <w:jc w:val="both"/>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(2) Dohoda podľa odseku 1 vyžaduje formu notárskej zápisnice.</w:t>
      </w:r>
    </w:p>
    <w:p w:rsidR="007A1A84">
      <w:pPr>
        <w:bidi w:val="0"/>
        <w:ind w:left="1134"/>
        <w:jc w:val="both"/>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(3) Ak snúbenci neuzavrú manželstvo do 3 mesiacov od uzavretia dohody podľa odseku 1, má sa za to, že k uzavretiu dohody podľa odseku 1 nedošlo.“</w:t>
      </w:r>
    </w:p>
    <w:p w:rsidR="007A1A84">
      <w:pPr>
        <w:bidi w:val="0"/>
        <w:ind w:left="1770"/>
        <w:jc w:val="both"/>
        <w:rPr>
          <w:rFonts w:ascii="Times New Roman" w:hAnsi="Times New Roman"/>
          <w:lang w:val="sk-SK"/>
        </w:rPr>
      </w:pPr>
    </w:p>
    <w:p w:rsidR="007A1A84">
      <w:pPr>
        <w:numPr>
          <w:numId w:val="1"/>
        </w:numPr>
        <w:bidi w:val="0"/>
        <w:jc w:val="both"/>
        <w:rPr>
          <w:rFonts w:ascii="Times New Roman" w:hAnsi="Times New Roman"/>
          <w:lang w:val="sk-SK"/>
        </w:rPr>
      </w:pPr>
      <w:r w:rsidR="008C401F">
        <w:rPr>
          <w:rFonts w:ascii="Times New Roman" w:hAnsi="Times New Roman"/>
          <w:lang w:val="sk-SK"/>
        </w:rPr>
        <w:t xml:space="preserve">V § 147 ods. 2  sa za slová „§ 143a“ vkladajú slová „a § 143b“. </w:t>
      </w:r>
    </w:p>
    <w:p w:rsidR="007A1A84">
      <w:pPr>
        <w:bidi w:val="0"/>
        <w:jc w:val="both"/>
        <w:rPr>
          <w:rFonts w:ascii="Times New Roman" w:hAnsi="Times New Roman"/>
          <w:lang w:val="sk-SK"/>
        </w:rPr>
      </w:pPr>
    </w:p>
    <w:p w:rsidR="007A1A84">
      <w:pPr>
        <w:numPr>
          <w:numId w:val="1"/>
        </w:numPr>
        <w:bidi w:val="0"/>
        <w:jc w:val="both"/>
        <w:rPr>
          <w:rFonts w:ascii="Times New Roman" w:hAnsi="Times New Roman"/>
          <w:lang w:val="sk-SK"/>
        </w:rPr>
      </w:pPr>
      <w:r w:rsidR="008C401F">
        <w:rPr>
          <w:rFonts w:ascii="Times New Roman" w:hAnsi="Times New Roman"/>
          <w:lang w:val="sk-SK"/>
        </w:rPr>
        <w:t xml:space="preserve">§ 151 znie </w:t>
      </w:r>
    </w:p>
    <w:p w:rsidR="007A1A84">
      <w:pPr>
        <w:bidi w:val="0"/>
        <w:ind w:left="720"/>
        <w:jc w:val="both"/>
        <w:rPr>
          <w:rFonts w:ascii="Times New Roman" w:hAnsi="Times New Roman"/>
        </w:rPr>
      </w:pPr>
      <w:r w:rsidR="008C401F">
        <w:rPr>
          <w:rFonts w:ascii="Times New Roman" w:hAnsi="Times New Roman"/>
          <w:lang w:val="sk-SK"/>
        </w:rPr>
        <w:t xml:space="preserve"> </w:t>
      </w:r>
      <w:r w:rsidR="008C401F">
        <w:rPr>
          <w:rFonts w:ascii="Times New Roman" w:hAnsi="Times New Roman"/>
          <w:bCs/>
          <w:i/>
          <w:iCs/>
          <w:lang w:val="sk-SK"/>
        </w:rPr>
        <w:tab/>
        <w:tab/>
        <w:tab/>
        <w:tab/>
        <w:tab/>
        <w:t>„</w:t>
      </w:r>
      <w:r w:rsidR="008C401F">
        <w:rPr>
          <w:rFonts w:ascii="Times New Roman" w:hAnsi="Times New Roman"/>
          <w:bCs/>
          <w:iCs/>
          <w:lang w:val="sk-SK"/>
        </w:rPr>
        <w:t>§ 151</w:t>
      </w:r>
    </w:p>
    <w:p w:rsidR="007A1A84">
      <w:pPr>
        <w:bidi w:val="0"/>
        <w:jc w:val="both"/>
        <w:rPr>
          <w:rFonts w:ascii="Times New Roman" w:hAnsi="Times New Roman"/>
          <w:lang w:val="sk-SK"/>
        </w:rPr>
      </w:pPr>
      <w:r w:rsidR="008C401F">
        <w:rPr>
          <w:rFonts w:ascii="Times New Roman" w:hAnsi="Times New Roman"/>
          <w:lang w:val="sk-SK"/>
        </w:rPr>
        <w:t>Ak za trvania manželstva bezpodielové spoluvlastníctvo zaniklo inak než dohodou manželov, môže sa obnoviť rozhodnutím súdu vydaným na návrh jedného z manželov alebo dohodou manželov podľa § 143a odseku 2.”</w:t>
      </w:r>
    </w:p>
    <w:p w:rsidR="007A1A84">
      <w:pPr>
        <w:bidi w:val="0"/>
        <w:jc w:val="both"/>
        <w:rPr>
          <w:rFonts w:ascii="Times New Roman" w:hAnsi="Times New Roman"/>
          <w:lang w:val="sk-SK"/>
        </w:rPr>
      </w:pPr>
    </w:p>
    <w:p w:rsidR="007A1A84">
      <w:pPr>
        <w:numPr>
          <w:numId w:val="1"/>
        </w:numPr>
        <w:bidi w:val="0"/>
        <w:jc w:val="both"/>
        <w:rPr>
          <w:rFonts w:ascii="Times New Roman" w:hAnsi="Times New Roman"/>
          <w:lang w:val="sk-SK"/>
        </w:rPr>
      </w:pPr>
      <w:r w:rsidR="008C401F">
        <w:rPr>
          <w:rFonts w:ascii="Times New Roman" w:hAnsi="Times New Roman"/>
          <w:lang w:val="sk-SK"/>
        </w:rPr>
        <w:t xml:space="preserve">V deviatej časti sa za sedemnástu hlavu vkladá osemnásta hlava, ktorá vrátane nadpisu znie: </w:t>
      </w:r>
    </w:p>
    <w:p w:rsidR="007A1A84">
      <w:pPr>
        <w:bidi w:val="0"/>
        <w:jc w:val="both"/>
        <w:rPr>
          <w:rFonts w:ascii="Times New Roman" w:hAnsi="Times New Roman"/>
          <w:lang w:val="sk-SK"/>
        </w:rPr>
      </w:pPr>
    </w:p>
    <w:p w:rsidR="007A1A84">
      <w:pPr>
        <w:bidi w:val="0"/>
        <w:jc w:val="center"/>
        <w:rPr>
          <w:rFonts w:ascii="Times New Roman" w:hAnsi="Times New Roman"/>
          <w:lang w:val="sk-SK"/>
        </w:rPr>
      </w:pPr>
      <w:r w:rsidR="008C401F">
        <w:rPr>
          <w:rFonts w:ascii="Times New Roman" w:hAnsi="Times New Roman"/>
          <w:lang w:val="sk-SK"/>
        </w:rPr>
        <w:t>„OSEMNÁSTA HLAVA</w:t>
      </w:r>
    </w:p>
    <w:p w:rsidR="007A1A84">
      <w:pPr>
        <w:bidi w:val="0"/>
        <w:jc w:val="both"/>
        <w:rPr>
          <w:rFonts w:ascii="Times New Roman" w:hAnsi="Times New Roman"/>
          <w:lang w:val="sk-SK"/>
        </w:rPr>
      </w:pPr>
      <w:r w:rsidR="008C401F">
        <w:rPr>
          <w:rFonts w:ascii="Times New Roman" w:hAnsi="Times New Roman"/>
          <w:lang w:val="sk-SK"/>
        </w:rPr>
        <w:t xml:space="preserve"> </w:t>
      </w:r>
    </w:p>
    <w:p w:rsidR="007A1A84">
      <w:pPr>
        <w:bidi w:val="0"/>
        <w:ind w:firstLine="720"/>
        <w:jc w:val="both"/>
        <w:rPr>
          <w:rFonts w:ascii="Times New Roman" w:hAnsi="Times New Roman"/>
          <w:lang w:val="sk-SK"/>
        </w:rPr>
      </w:pPr>
      <w:r w:rsidR="008C401F">
        <w:rPr>
          <w:rFonts w:ascii="Times New Roman" w:hAnsi="Times New Roman"/>
          <w:lang w:val="sk-SK"/>
        </w:rPr>
        <w:t>PRECHODNÉ USTANOVENIA K ÚPRAVÁM ÚČINNÝM OD 1. MÁJA 2012</w:t>
      </w:r>
    </w:p>
    <w:p w:rsidR="007A1A84">
      <w:pPr>
        <w:bidi w:val="0"/>
        <w:jc w:val="both"/>
        <w:rPr>
          <w:rFonts w:ascii="Times New Roman" w:hAnsi="Times New Roman"/>
          <w:lang w:val="sk-SK"/>
        </w:rPr>
      </w:pPr>
    </w:p>
    <w:p w:rsidR="007A1A84">
      <w:pPr>
        <w:bidi w:val="0"/>
        <w:jc w:val="center"/>
        <w:rPr>
          <w:rFonts w:ascii="Times New Roman" w:hAnsi="Times New Roman"/>
          <w:lang w:val="sk-SK"/>
        </w:rPr>
      </w:pPr>
      <w:r w:rsidR="008C401F">
        <w:rPr>
          <w:rFonts w:ascii="Times New Roman" w:hAnsi="Times New Roman"/>
          <w:lang w:val="sk-SK"/>
        </w:rPr>
        <w:t>§ 879o</w:t>
      </w:r>
    </w:p>
    <w:p w:rsidR="007A1A84">
      <w:pPr>
        <w:bidi w:val="0"/>
        <w:jc w:val="center"/>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 xml:space="preserve">Ustanoveniami tohto zákona sa spravujú tiež právne vzťahy vzniknuté pred 1. májom 2012; vznik týchto právnych vzťahov, ako aj nároky z nich vzniknuté pred 1. májom 2012 sa však posudzujú podľa predpisov účinných do 30. Apríla 2012, ak nie je ustanovené inak.“ </w:t>
      </w:r>
    </w:p>
    <w:p w:rsidR="007A1A84">
      <w:pPr>
        <w:bidi w:val="0"/>
        <w:jc w:val="both"/>
        <w:rPr>
          <w:rFonts w:ascii="Times New Roman" w:hAnsi="Times New Roman"/>
          <w:lang w:val="sk-SK"/>
        </w:rPr>
      </w:pPr>
    </w:p>
    <w:p w:rsidR="007A1A84">
      <w:pPr>
        <w:bidi w:val="0"/>
        <w:jc w:val="center"/>
        <w:rPr>
          <w:rFonts w:ascii="Times New Roman" w:hAnsi="Times New Roman"/>
          <w:b/>
          <w:lang w:val="sk-SK"/>
        </w:rPr>
      </w:pPr>
      <w:r w:rsidR="008C401F">
        <w:rPr>
          <w:rFonts w:ascii="Times New Roman" w:hAnsi="Times New Roman"/>
          <w:b/>
          <w:lang w:val="sk-SK"/>
        </w:rPr>
        <w:t>Čl. II</w:t>
      </w:r>
    </w:p>
    <w:p w:rsidR="007A1A84">
      <w:pPr>
        <w:bidi w:val="0"/>
        <w:rPr>
          <w:rFonts w:ascii="Times New Roman" w:hAnsi="Times New Roman"/>
          <w:lang w:val="sk-SK"/>
        </w:rPr>
      </w:pPr>
    </w:p>
    <w:p w:rsidR="007A1A84">
      <w:pPr>
        <w:bidi w:val="0"/>
        <w:jc w:val="both"/>
        <w:rPr>
          <w:rFonts w:ascii="Times New Roman" w:hAnsi="Times New Roman"/>
          <w:b/>
          <w:lang w:val="sk-SK"/>
        </w:rPr>
      </w:pPr>
      <w:r w:rsidR="008C401F">
        <w:rPr>
          <w:rFonts w:ascii="Times New Roman" w:hAnsi="Times New Roman"/>
          <w:b/>
          <w:lang w:val="sk-SK"/>
        </w:rPr>
        <w:t>Zákon č. 323/1992 Zb. o notároch a notárskej činnosti (Notársky poriadok) v znení zákona č. 63/1993 Z. z., zákona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 zákona č. 304/2009 Z. z. a zákona č. 141/2010 Z. z. sa dopĺňa takto:</w:t>
      </w:r>
    </w:p>
    <w:p w:rsidR="007A1A84">
      <w:pPr>
        <w:bidi w:val="0"/>
        <w:rPr>
          <w:rFonts w:ascii="Times New Roman" w:hAnsi="Times New Roman"/>
          <w:lang w:val="sk-SK"/>
        </w:rPr>
      </w:pPr>
    </w:p>
    <w:p w:rsidR="007A1A84">
      <w:pPr>
        <w:bidi w:val="0"/>
        <w:rPr>
          <w:rFonts w:ascii="Times New Roman" w:hAnsi="Times New Roman"/>
          <w:lang w:val="sk-SK"/>
        </w:rPr>
      </w:pPr>
      <w:r w:rsidR="008C401F">
        <w:rPr>
          <w:rFonts w:ascii="Times New Roman" w:hAnsi="Times New Roman"/>
          <w:lang w:val="sk-SK"/>
        </w:rPr>
        <w:t>Za § 54 sa vkladá nový § 54a, ktorý znie:</w:t>
      </w:r>
    </w:p>
    <w:p w:rsidR="007A1A84">
      <w:pPr>
        <w:bidi w:val="0"/>
        <w:jc w:val="center"/>
        <w:rPr>
          <w:rFonts w:ascii="Times New Roman" w:hAnsi="Times New Roman"/>
          <w:lang w:val="sk-SK"/>
        </w:rPr>
      </w:pPr>
      <w:r w:rsidR="008C401F">
        <w:rPr>
          <w:rFonts w:ascii="Times New Roman" w:hAnsi="Times New Roman"/>
          <w:lang w:val="sk-SK"/>
        </w:rPr>
        <w:t>„54a</w:t>
      </w:r>
    </w:p>
    <w:p w:rsidR="007A1A84">
      <w:pPr>
        <w:bidi w:val="0"/>
        <w:jc w:val="center"/>
        <w:rPr>
          <w:rFonts w:ascii="Times New Roman" w:hAnsi="Times New Roman"/>
          <w:lang w:val="sk-SK"/>
        </w:rPr>
      </w:pPr>
    </w:p>
    <w:p w:rsidR="007A1A84">
      <w:pPr>
        <w:bidi w:val="0"/>
        <w:jc w:val="both"/>
        <w:rPr>
          <w:rFonts w:ascii="Times New Roman" w:hAnsi="Times New Roman"/>
          <w:lang w:val="sk-SK"/>
        </w:rPr>
      </w:pPr>
      <w:r w:rsidR="008C401F">
        <w:rPr>
          <w:rFonts w:ascii="Times New Roman" w:hAnsi="Times New Roman"/>
          <w:lang w:val="sk-SK"/>
        </w:rPr>
        <w:t>Predtým, ako notár spíše formou notárskej zápisnice dohodu</w:t>
      </w:r>
    </w:p>
    <w:p w:rsidR="007A1A84">
      <w:pPr>
        <w:bidi w:val="0"/>
        <w:jc w:val="both"/>
        <w:rPr>
          <w:rFonts w:ascii="Times New Roman" w:hAnsi="Times New Roman"/>
          <w:lang w:val="sk-SK"/>
        </w:rPr>
      </w:pPr>
      <w:r w:rsidR="008C401F">
        <w:rPr>
          <w:rFonts w:ascii="Times New Roman" w:hAnsi="Times New Roman"/>
          <w:lang w:val="sk-SK"/>
        </w:rPr>
        <w:t xml:space="preserve">a) medzi manželmi o zúžení, rozšírení, zrušení, založení bezpodielového spoluvlastníctva manželov alebo o tom, že bezpodielové spoluvlastníctvom manželov vznikne až ku dňu zániku manželstva, alebo </w:t>
      </w:r>
    </w:p>
    <w:p w:rsidR="007A1A84">
      <w:pPr>
        <w:bidi w:val="0"/>
        <w:jc w:val="both"/>
        <w:rPr>
          <w:rFonts w:ascii="Times New Roman" w:hAnsi="Times New Roman"/>
          <w:lang w:val="sk-SK"/>
        </w:rPr>
      </w:pPr>
      <w:r w:rsidR="008C401F">
        <w:rPr>
          <w:rFonts w:ascii="Times New Roman" w:hAnsi="Times New Roman"/>
          <w:lang w:val="sk-SK"/>
        </w:rPr>
        <w:t xml:space="preserve">b) medzi snúbencami o zúžení alebo rozšírení bezpodielového spoluvlastníctva manželov, o tom, že bezpodielové spoluvlastníctvom manželov vznikne až ku dňu zániku manželstva, alebo o tom, že bezpodielové spoluvlastníctvo uzavretím manželstva nevznikne, </w:t>
      </w:r>
    </w:p>
    <w:p w:rsidR="007A1A84">
      <w:pPr>
        <w:bidi w:val="0"/>
        <w:jc w:val="both"/>
        <w:rPr>
          <w:rFonts w:ascii="Times New Roman" w:hAnsi="Times New Roman"/>
          <w:lang w:val="sk-SK"/>
        </w:rPr>
      </w:pPr>
      <w:r w:rsidR="008C401F">
        <w:rPr>
          <w:rFonts w:ascii="Times New Roman" w:hAnsi="Times New Roman"/>
          <w:lang w:val="sk-SK"/>
        </w:rPr>
        <w:t xml:space="preserve">poučí manželov alebo snúbencov o dôsledkoch takejto dohody na ich budúce majetkové pomery za trvania manželstva a po jeho zániku rozvodom alebo smrťou niektorého z manželov. Nedostatok poučenia nezakladá neplatnosť takej dohody; zodpovednosť notára za škodu tým nie je dotknutá.“ </w:t>
      </w:r>
    </w:p>
    <w:p w:rsidR="007A1A84">
      <w:pPr>
        <w:bidi w:val="0"/>
        <w:rPr>
          <w:rFonts w:ascii="Times New Roman" w:hAnsi="Times New Roman"/>
          <w:lang w:val="sk-SK"/>
        </w:rPr>
      </w:pPr>
    </w:p>
    <w:p w:rsidR="007A1A84">
      <w:pPr>
        <w:pStyle w:val="Heading1"/>
        <w:bidi w:val="0"/>
        <w:spacing w:line="240" w:lineRule="auto"/>
        <w:rPr>
          <w:rFonts w:ascii="Times New Roman" w:hAnsi="Times New Roman"/>
        </w:rPr>
      </w:pPr>
      <w:r w:rsidR="008C401F">
        <w:rPr>
          <w:rFonts w:ascii="Times New Roman" w:hAnsi="Times New Roman"/>
        </w:rPr>
        <w:t>Čl. III</w:t>
      </w:r>
    </w:p>
    <w:p w:rsidR="007A1A84">
      <w:pPr>
        <w:bidi w:val="0"/>
        <w:jc w:val="center"/>
        <w:rPr>
          <w:rFonts w:ascii="Times New Roman" w:hAnsi="Times New Roman"/>
          <w:b/>
          <w:lang w:val="sk-SK"/>
        </w:rPr>
      </w:pPr>
      <w:r w:rsidR="008C401F">
        <w:rPr>
          <w:rFonts w:ascii="Times New Roman" w:hAnsi="Times New Roman"/>
          <w:b/>
          <w:lang w:val="sk-SK"/>
        </w:rPr>
        <w:t>Účinnosť</w:t>
      </w:r>
    </w:p>
    <w:p w:rsidR="007A1A84">
      <w:pPr>
        <w:bidi w:val="0"/>
        <w:rPr>
          <w:rFonts w:ascii="Times New Roman" w:hAnsi="Times New Roman"/>
          <w:lang w:val="sk-SK"/>
        </w:rPr>
      </w:pPr>
    </w:p>
    <w:p w:rsidR="007A1A84">
      <w:pPr>
        <w:bidi w:val="0"/>
        <w:ind w:firstLine="708"/>
        <w:rPr>
          <w:rFonts w:ascii="Times New Roman" w:hAnsi="Times New Roman"/>
          <w:lang w:val="sk-SK"/>
        </w:rPr>
      </w:pPr>
      <w:r w:rsidR="008C401F">
        <w:rPr>
          <w:rFonts w:ascii="Times New Roman" w:hAnsi="Times New Roman"/>
          <w:lang w:val="sk-SK"/>
        </w:rPr>
        <w:t>Tento zákon nadobúda účinnosť  1. mája  2012.</w:t>
      </w:r>
    </w:p>
    <w:p w:rsidR="007A1A84">
      <w:pPr>
        <w:bidi w:val="0"/>
        <w:ind w:firstLine="708"/>
        <w:rPr>
          <w:rFonts w:ascii="Times New Roman" w:hAnsi="Times New Roman"/>
          <w:lang w:val="sk-SK"/>
        </w:rPr>
      </w:pPr>
    </w:p>
    <w:p w:rsidR="007A1A84">
      <w:pPr>
        <w:bidi w:val="0"/>
        <w:ind w:firstLine="708"/>
        <w:rPr>
          <w:rFonts w:ascii="Times New Roman" w:hAnsi="Times New Roman"/>
          <w:lang w:val="sk-SK"/>
        </w:rPr>
      </w:pPr>
    </w:p>
    <w:p w:rsidR="007A1A84">
      <w:pPr>
        <w:bidi w:val="0"/>
        <w:rPr>
          <w:rFonts w:ascii="Times New Roman" w:hAnsi="Times New Roman"/>
          <w:lang w:val="sk-SK"/>
        </w:rPr>
      </w:pPr>
    </w:p>
    <w:sectPr w:rsidSect="007A1A84">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D7641"/>
    <w:multiLevelType w:val="multilevel"/>
    <w:tmpl w:val="0046E278"/>
    <w:lvl w:ilvl="0">
      <w:start w:val="1"/>
      <w:numFmt w:val="decimal"/>
      <w:lvlText w:val="%1."/>
      <w:lvlJc w:val="left"/>
      <w:pPr>
        <w:ind w:left="720" w:hanging="360"/>
      </w:pPr>
      <w:rPr>
        <w:rFonts w:ascii="Times New Roman" w:hAnsi="Times New Roman" w:cs="Times New Roman"/>
        <w:b/>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NotTrackMoves/>
  <w:defaultTabStop w:val="720"/>
  <w:autoHyphenation/>
  <w:hyphenationZone w:val="425"/>
  <w:characterSpacingControl w:val="doNotCompress"/>
  <w:compat>
    <w:doNotUseIndentAsNumberingTabStop/>
    <w:allowSpaceOfSameStyleInTable/>
    <w:splitPgBreakAndParaMark/>
    <w:useAnsiKerningPairs/>
  </w:compat>
  <w:rsids>
    <w:rsidRoot w:val="007A1A84"/>
    <w:rsid w:val="000A00DC"/>
    <w:rsid w:val="00520554"/>
    <w:rsid w:val="006D5247"/>
    <w:rsid w:val="007A1A84"/>
    <w:rsid w:val="008C401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1A84"/>
    <w:pPr>
      <w:framePr w:wrap="auto"/>
      <w:widowControl/>
      <w:suppressAutoHyphens/>
      <w:autoSpaceDE/>
      <w:autoSpaceDN w:val="0"/>
      <w:adjustRightInd/>
      <w:ind w:left="0" w:right="0"/>
      <w:jc w:val="left"/>
      <w:textAlignment w:val="baseline"/>
    </w:pPr>
    <w:rPr>
      <w:rFonts w:cs="Times New Roman"/>
      <w:sz w:val="24"/>
      <w:szCs w:val="24"/>
      <w:rtl w:val="0"/>
      <w:cs w:val="0"/>
      <w:lang w:val="en-US" w:eastAsia="en-US" w:bidi="ar-SA"/>
    </w:rPr>
  </w:style>
  <w:style w:type="paragraph" w:styleId="Heading1">
    <w:name w:val="heading 1"/>
    <w:basedOn w:val="Normal"/>
    <w:next w:val="Normal"/>
    <w:rsid w:val="007A1A84"/>
    <w:pPr>
      <w:keepNext/>
      <w:spacing w:line="300" w:lineRule="atLeast"/>
      <w:jc w:val="center"/>
      <w:outlineLvl w:val="0"/>
    </w:pPr>
    <w:rPr>
      <w:b/>
      <w:bCs/>
      <w:lang w:val="sk-SK" w:eastAsia="sk-SK"/>
    </w:rPr>
  </w:style>
  <w:style w:type="paragraph" w:styleId="Heading2">
    <w:name w:val="heading 2"/>
    <w:basedOn w:val="Normal"/>
    <w:next w:val="Normal"/>
    <w:rsid w:val="007A1A84"/>
    <w:pPr>
      <w:keepNext/>
      <w:spacing w:before="240" w:after="60"/>
      <w:jc w:val="left"/>
      <w:outlineLvl w:val="1"/>
    </w:pPr>
    <w:rPr>
      <w:rFonts w:ascii="Cambria" w:hAnsi="Cambria"/>
      <w:b/>
      <w:bCs/>
      <w:i/>
      <w:iCs/>
      <w:sz w:val="28"/>
      <w:szCs w:val="28"/>
    </w:rPr>
  </w:style>
  <w:style w:type="paragraph" w:styleId="Heading4">
    <w:name w:val="heading 4"/>
    <w:basedOn w:val="Normal"/>
    <w:next w:val="Normal"/>
    <w:rsid w:val="007A1A84"/>
    <w:pPr>
      <w:keepNext/>
      <w:spacing w:before="240" w:after="60"/>
      <w:jc w:val="left"/>
      <w:outlineLvl w:val="3"/>
    </w:pPr>
    <w:rPr>
      <w:rFonts w:ascii="Calibri" w:hAnsi="Calibri"/>
      <w:b/>
      <w:bCs/>
      <w:sz w:val="28"/>
      <w:szCs w:val="28"/>
    </w:rPr>
  </w:style>
  <w:style w:type="paragraph" w:styleId="Heading5">
    <w:name w:val="heading 5"/>
    <w:basedOn w:val="Normal"/>
    <w:next w:val="Normal"/>
    <w:rsid w:val="007A1A84"/>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7A1A84"/>
    <w:pPr>
      <w:spacing w:after="120"/>
      <w:jc w:val="left"/>
    </w:pPr>
    <w:rPr>
      <w:lang w:val="sk-SK"/>
    </w:rPr>
  </w:style>
  <w:style w:type="paragraph" w:styleId="Title">
    <w:name w:val="Title"/>
    <w:basedOn w:val="Normal"/>
    <w:rsid w:val="007A1A84"/>
    <w:pPr>
      <w:jc w:val="center"/>
    </w:pPr>
    <w:rPr>
      <w:b/>
      <w:bCs/>
      <w:lang w:val="sk-SK" w:eastAsia="sk-SK"/>
    </w:rPr>
  </w:style>
  <w:style w:type="paragraph" w:styleId="BodyTextIndent">
    <w:name w:val="Body Text Indent"/>
    <w:basedOn w:val="Normal"/>
    <w:rsid w:val="007A1A84"/>
    <w:pPr>
      <w:jc w:val="center"/>
    </w:pPr>
    <w:rPr>
      <w:b/>
      <w:bCs/>
      <w:lang w:val="sk-SK" w:eastAsia="sk-SK"/>
    </w:rPr>
  </w:style>
  <w:style w:type="paragraph" w:styleId="ListParagraph">
    <w:name w:val="List Paragraph"/>
    <w:basedOn w:val="Normal"/>
    <w:rsid w:val="007A1A84"/>
    <w:pPr>
      <w:ind w:left="708"/>
      <w:jc w:val="left"/>
    </w:pPr>
  </w:style>
  <w:style w:type="paragraph" w:styleId="BalloonText">
    <w:name w:val="Balloon Text"/>
    <w:basedOn w:val="Normal"/>
    <w:rsid w:val="007A1A84"/>
    <w:pPr>
      <w:jc w:val="left"/>
    </w:pPr>
    <w:rPr>
      <w:rFonts w:ascii="Tahoma" w:hAnsi="Tahoma"/>
      <w:sz w:val="16"/>
      <w:szCs w:val="16"/>
    </w:rPr>
  </w:style>
  <w:style w:type="character" w:customStyle="1" w:styleId="TextbublinyChar">
    <w:name w:val="Text bubliny Char"/>
    <w:rsid w:val="007A1A84"/>
    <w:rPr>
      <w:rFonts w:ascii="Tahoma" w:hAnsi="Tahoma" w:cs="Tahoma"/>
      <w:sz w:val="16"/>
      <w:lang w:val="en-US" w:eastAsia="en-US"/>
    </w:rPr>
  </w:style>
  <w:style w:type="character" w:styleId="CommentReference">
    <w:name w:val="annotation reference"/>
    <w:rsid w:val="007A1A84"/>
    <w:rPr>
      <w:sz w:val="16"/>
    </w:rPr>
  </w:style>
  <w:style w:type="paragraph" w:styleId="CommentText">
    <w:name w:val="annotation text"/>
    <w:basedOn w:val="Normal"/>
    <w:rsid w:val="007A1A84"/>
    <w:pPr>
      <w:jc w:val="left"/>
    </w:pPr>
    <w:rPr>
      <w:sz w:val="20"/>
      <w:szCs w:val="20"/>
    </w:rPr>
  </w:style>
  <w:style w:type="character" w:customStyle="1" w:styleId="TextkomentraChar">
    <w:name w:val="Text komentára Char"/>
    <w:rsid w:val="007A1A84"/>
    <w:rPr>
      <w:lang w:val="en-US" w:eastAsia="en-US"/>
    </w:rPr>
  </w:style>
  <w:style w:type="paragraph" w:styleId="CommentSubject">
    <w:name w:val="annotation subject"/>
    <w:basedOn w:val="CommentText"/>
    <w:next w:val="CommentText"/>
    <w:rsid w:val="007A1A84"/>
    <w:pPr>
      <w:jc w:val="left"/>
    </w:pPr>
    <w:rPr>
      <w:b/>
      <w:bCs/>
    </w:rPr>
  </w:style>
  <w:style w:type="character" w:customStyle="1" w:styleId="PredmetkomentraChar">
    <w:name w:val="Predmet komentára Char"/>
    <w:rsid w:val="007A1A84"/>
    <w:rPr>
      <w:b/>
      <w:lang w:val="en-US" w:eastAsia="en-US"/>
    </w:rPr>
  </w:style>
  <w:style w:type="character" w:customStyle="1" w:styleId="Nadpis5Char">
    <w:name w:val="Nadpis 5 Char"/>
    <w:rsid w:val="007A1A84"/>
    <w:rPr>
      <w:rFonts w:ascii="Calibri" w:hAnsi="Calibri" w:cs="Calibri"/>
      <w:b/>
      <w:i/>
      <w:sz w:val="26"/>
      <w:lang w:val="en-US" w:eastAsia="en-US"/>
    </w:rPr>
  </w:style>
  <w:style w:type="character" w:customStyle="1" w:styleId="Nadpis1Char">
    <w:name w:val="Nadpis 1 Char"/>
    <w:rsid w:val="007A1A84"/>
    <w:rPr>
      <w:b/>
      <w:sz w:val="24"/>
      <w:lang w:val="sk-SK" w:eastAsia="sk-SK"/>
    </w:rPr>
  </w:style>
  <w:style w:type="character" w:customStyle="1" w:styleId="ZkladntextChar">
    <w:name w:val="Základný text Char"/>
    <w:rsid w:val="007A1A84"/>
    <w:rPr>
      <w:sz w:val="24"/>
      <w:lang w:val="sk-SK" w:eastAsia="en-US"/>
    </w:rPr>
  </w:style>
  <w:style w:type="character" w:customStyle="1" w:styleId="Nadpis4Char">
    <w:name w:val="Nadpis 4 Char"/>
    <w:rsid w:val="007A1A84"/>
    <w:rPr>
      <w:rFonts w:ascii="Calibri" w:hAnsi="Calibri" w:cs="Calibri"/>
      <w:b/>
      <w:sz w:val="28"/>
      <w:lang w:val="en-US" w:eastAsia="en-US"/>
    </w:rPr>
  </w:style>
  <w:style w:type="paragraph" w:customStyle="1" w:styleId="CharCharCharCharChar">
    <w:name w:val="Char Char Char Char Char"/>
    <w:basedOn w:val="Normal"/>
    <w:next w:val="Normal"/>
    <w:rsid w:val="007A1A84"/>
    <w:pPr>
      <w:spacing w:after="160" w:line="240" w:lineRule="exact"/>
      <w:jc w:val="left"/>
    </w:pPr>
    <w:rPr>
      <w:rFonts w:ascii="Tahoma" w:hAnsi="Tahoma" w:cs="Tahoma"/>
    </w:rPr>
  </w:style>
  <w:style w:type="character" w:customStyle="1" w:styleId="Nadpis2Char">
    <w:name w:val="Nadpis 2 Char"/>
    <w:rsid w:val="007A1A84"/>
    <w:rPr>
      <w:rFonts w:ascii="Cambria" w:hAnsi="Cambria" w:cs="Cambria"/>
      <w:b/>
      <w:i/>
      <w:sz w:val="28"/>
      <w:lang w:val="en-US" w:eastAsia="en-US"/>
    </w:rPr>
  </w:style>
  <w:style w:type="paragraph" w:styleId="NormalWeb">
    <w:name w:val="Normal (Web)"/>
    <w:basedOn w:val="Normal"/>
    <w:rsid w:val="007A1A84"/>
    <w:pPr>
      <w:spacing w:before="100" w:after="100"/>
      <w:jc w:val="left"/>
    </w:pPr>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826</Words>
  <Characters>4710</Characters>
  <Application>Microsoft Office Word</Application>
  <DocSecurity>0</DocSecurity>
  <Lines>0</Lines>
  <Paragraphs>0</Paragraphs>
  <ScaleCrop>false</ScaleCrop>
  <Company>Kancelaria NR SR</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T-Mobile</dc:creator>
  <cp:lastModifiedBy>Gašparíková, Jarmila</cp:lastModifiedBy>
  <cp:revision>2</cp:revision>
  <cp:lastPrinted>2011-11-10T10:11:00Z</cp:lastPrinted>
  <dcterms:created xsi:type="dcterms:W3CDTF">2011-11-11T15:55:00Z</dcterms:created>
  <dcterms:modified xsi:type="dcterms:W3CDTF">2011-11-11T15:55:00Z</dcterms:modified>
</cp:coreProperties>
</file>