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0F0B" w:rsidRPr="004A5E1F" w:rsidP="00FC0F0B">
      <w:pPr>
        <w:bidi w:val="0"/>
        <w:jc w:val="center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DOLOŽKA ZLUČITEĽNOSTI</w:t>
      </w:r>
    </w:p>
    <w:p w:rsidR="00FC0F0B" w:rsidRPr="004A5E1F" w:rsidP="00FC0F0B">
      <w:pPr>
        <w:bidi w:val="0"/>
        <w:jc w:val="center"/>
        <w:rPr>
          <w:rFonts w:ascii="Calibri" w:hAnsi="Calibri"/>
          <w:b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>návrhu zákona s právom Európskej únie</w:t>
      </w:r>
    </w:p>
    <w:p w:rsidR="00FC0F0B" w:rsidRPr="004A5E1F" w:rsidP="00FC0F0B">
      <w:pPr>
        <w:bidi w:val="0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bCs/>
          <w:sz w:val="22"/>
          <w:szCs w:val="22"/>
        </w:rPr>
        <w:t>1.</w:t>
      </w:r>
      <w:r w:rsidRPr="004A5E1F">
        <w:rPr>
          <w:rFonts w:ascii="Calibri" w:hAnsi="Calibri"/>
          <w:b/>
          <w:sz w:val="22"/>
          <w:szCs w:val="22"/>
        </w:rPr>
        <w:t xml:space="preserve"> Navrhovateľ zákona</w:t>
      </w:r>
      <w:r w:rsidRPr="004A5E1F">
        <w:rPr>
          <w:rFonts w:ascii="Calibri" w:hAnsi="Calibri"/>
          <w:sz w:val="22"/>
          <w:szCs w:val="22"/>
        </w:rPr>
        <w:t xml:space="preserve">: poslanci Národnej rady Slovenskej republiky </w:t>
      </w: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</w:p>
    <w:p w:rsidR="00FC0F0B" w:rsidRPr="004A5E1F" w:rsidP="00FC0F0B">
      <w:pPr>
        <w:bidi w:val="0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2.</w:t>
      </w:r>
      <w:r w:rsidRPr="004A5E1F">
        <w:rPr>
          <w:rFonts w:ascii="Calibri" w:hAnsi="Calibri"/>
          <w:b/>
          <w:sz w:val="22"/>
          <w:szCs w:val="22"/>
        </w:rPr>
        <w:t xml:space="preserve"> Názov návrhu zákona</w:t>
      </w:r>
      <w:r w:rsidRPr="004A5E1F">
        <w:rPr>
          <w:rFonts w:ascii="Calibri" w:hAnsi="Calibri"/>
          <w:sz w:val="22"/>
          <w:szCs w:val="22"/>
        </w:rPr>
        <w:t xml:space="preserve">: Zákon, ktorým sa mení a dopĺňa zákon </w:t>
      </w:r>
      <w:r w:rsidRPr="008A6927" w:rsidR="000737B6">
        <w:rPr>
          <w:rFonts w:asciiTheme="minorHAnsi" w:hAnsiTheme="minorHAnsi"/>
          <w:sz w:val="22"/>
          <w:szCs w:val="22"/>
        </w:rPr>
        <w:t>č. 245/2008 Z. z. o výchove a vzdelávaní (školský zákon) a o zmene a doplnení niektorých zákonov v znení</w:t>
      </w:r>
      <w:r w:rsidRPr="004A5E1F" w:rsidR="000737B6">
        <w:rPr>
          <w:rFonts w:ascii="Calibri" w:hAnsi="Calibri"/>
          <w:sz w:val="22"/>
          <w:szCs w:val="22"/>
        </w:rPr>
        <w:t xml:space="preserve"> </w:t>
      </w:r>
      <w:r w:rsidRPr="004A5E1F">
        <w:rPr>
          <w:rFonts w:ascii="Calibri" w:hAnsi="Calibri"/>
          <w:sz w:val="22"/>
          <w:szCs w:val="22"/>
        </w:rPr>
        <w:t>neskorších predpisov</w:t>
      </w:r>
    </w:p>
    <w:p w:rsidR="00FC0F0B" w:rsidRPr="004A5E1F" w:rsidP="00FC0F0B">
      <w:pPr>
        <w:bidi w:val="0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 </w:t>
      </w: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3.</w:t>
      </w:r>
      <w:r w:rsidRPr="004A5E1F">
        <w:rPr>
          <w:rFonts w:ascii="Calibri" w:hAnsi="Calibri" w:cs="Times New Roman"/>
          <w:color w:val="000000"/>
          <w:sz w:val="22"/>
          <w:szCs w:val="22"/>
        </w:rPr>
        <w:t>        </w:t>
      </w: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Problematika návrhu zákona:</w:t>
      </w:r>
    </w:p>
    <w:p w:rsidR="00FC0F0B" w:rsidRPr="004A5E1F" w:rsidP="00FC0F0B">
      <w:pPr>
        <w:bidi w:val="0"/>
        <w:ind w:left="850" w:hanging="425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a) </w:t>
      </w:r>
      <w:r w:rsidR="000737B6">
        <w:rPr>
          <w:rFonts w:ascii="Calibri" w:hAnsi="Calibri" w:cs="Times New Roman"/>
          <w:color w:val="000000"/>
          <w:sz w:val="22"/>
          <w:szCs w:val="22"/>
        </w:rPr>
        <w:t xml:space="preserve">nie </w:t>
      </w:r>
      <w:r w:rsidRPr="004A5E1F">
        <w:rPr>
          <w:rFonts w:ascii="Calibri" w:hAnsi="Calibri" w:cs="Times New Roman"/>
          <w:color w:val="000000"/>
          <w:sz w:val="22"/>
          <w:szCs w:val="22"/>
        </w:rPr>
        <w:t>je upravená v práve Európskej únie:</w:t>
      </w:r>
    </w:p>
    <w:p w:rsidR="00FC0F0B" w:rsidRPr="004A5E1F" w:rsidP="00FC0F0B">
      <w:pPr>
        <w:bidi w:val="0"/>
        <w:ind w:firstLine="425"/>
        <w:rPr>
          <w:rFonts w:ascii="Calibri" w:hAnsi="Calibri" w:cs="Times New Roman"/>
          <w:color w:val="000000"/>
          <w:sz w:val="22"/>
          <w:szCs w:val="22"/>
        </w:rPr>
      </w:pPr>
    </w:p>
    <w:p w:rsidR="00FC0F0B" w:rsidRPr="004A5E1F" w:rsidP="00FC0F0B">
      <w:pPr>
        <w:bidi w:val="0"/>
        <w:ind w:left="850" w:hanging="425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b)</w:t>
      </w:r>
      <w:r w:rsidR="000737B6">
        <w:rPr>
          <w:rFonts w:ascii="Calibri" w:hAnsi="Calibri" w:cs="Times New Roman"/>
          <w:color w:val="000000"/>
          <w:sz w:val="22"/>
          <w:szCs w:val="22"/>
        </w:rPr>
        <w:t xml:space="preserve"> nie</w:t>
      </w:r>
      <w:r w:rsidRPr="004A5E1F">
        <w:rPr>
          <w:rFonts w:ascii="Calibri" w:hAnsi="Calibri" w:cs="Times New Roman"/>
          <w:color w:val="000000"/>
          <w:sz w:val="22"/>
          <w:szCs w:val="22"/>
        </w:rPr>
        <w:t> je obsiahnutá v judikatúre Súdneho dvora Európskej únie:</w:t>
      </w:r>
    </w:p>
    <w:p w:rsidR="00FC0F0B" w:rsidRPr="004A5E1F" w:rsidP="00FC0F0B">
      <w:pPr>
        <w:bidi w:val="0"/>
        <w:ind w:left="425"/>
        <w:rPr>
          <w:rFonts w:ascii="Calibri" w:hAnsi="Calibri" w:cs="Times New Roman"/>
          <w:color w:val="000000"/>
          <w:sz w:val="22"/>
          <w:szCs w:val="22"/>
        </w:rPr>
      </w:pP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4.</w:t>
      </w:r>
      <w:r w:rsidRPr="004A5E1F">
        <w:rPr>
          <w:rFonts w:ascii="Calibri" w:hAnsi="Calibri" w:cs="Times New Roman"/>
          <w:color w:val="000000"/>
          <w:sz w:val="22"/>
          <w:szCs w:val="22"/>
        </w:rPr>
        <w:t>        </w:t>
      </w: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Záväzky Slovenskej republiky vo vzťahu k Európskej únii:</w:t>
      </w:r>
    </w:p>
    <w:p w:rsidR="00FC0F0B" w:rsidRPr="004A5E1F" w:rsidP="00FC0F0B">
      <w:pPr>
        <w:bidi w:val="0"/>
        <w:ind w:left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a) Lehota na prebratie smernice alebo lehota na implementáciu nariadenia alebo rozhodnutia: bezpredmetné.</w:t>
      </w:r>
    </w:p>
    <w:p w:rsidR="00FC0F0B" w:rsidRPr="004A5E1F" w:rsidP="00FC0F0B">
      <w:pPr>
        <w:bidi w:val="0"/>
        <w:ind w:left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FC0F0B" w:rsidRPr="004A5E1F" w:rsidP="00FC0F0B">
      <w:pPr>
        <w:bidi w:val="0"/>
        <w:ind w:left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c) Proti SR nebolo začaté konanie o porušení Zmluvy o fungovaní Európskej únie podľa čl. 258 až 260 Zmluvy o fungovaní Európskej únie.</w:t>
      </w:r>
    </w:p>
    <w:p w:rsidR="00FC0F0B" w:rsidRPr="004A5E1F" w:rsidP="00FC0F0B">
      <w:pPr>
        <w:bidi w:val="0"/>
        <w:ind w:left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d) Bezpredmetné.</w:t>
      </w:r>
    </w:p>
    <w:p w:rsidR="00FC0F0B" w:rsidRPr="004A5E1F" w:rsidP="00FC0F0B">
      <w:pPr>
        <w:bidi w:val="0"/>
        <w:ind w:left="357" w:hanging="357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 </w:t>
      </w: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5.</w:t>
      </w:r>
      <w:r w:rsidRPr="004A5E1F">
        <w:rPr>
          <w:rFonts w:ascii="Calibri" w:hAnsi="Calibri" w:cs="Times New Roman"/>
          <w:color w:val="000000"/>
          <w:sz w:val="22"/>
          <w:szCs w:val="22"/>
        </w:rPr>
        <w:t>        </w:t>
      </w: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Stupeň zlučiteľnosti návrhu zákona s právom Európskej únie:</w:t>
      </w: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           Úplný.</w:t>
      </w: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> </w:t>
      </w:r>
    </w:p>
    <w:p w:rsidR="00FC0F0B" w:rsidRPr="004A5E1F" w:rsidP="00FC0F0B">
      <w:pPr>
        <w:bidi w:val="0"/>
        <w:ind w:left="425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6.</w:t>
      </w:r>
      <w:r w:rsidRPr="004A5E1F">
        <w:rPr>
          <w:rFonts w:ascii="Calibri" w:hAnsi="Calibri" w:cs="Times New Roman"/>
          <w:color w:val="000000"/>
          <w:sz w:val="22"/>
          <w:szCs w:val="22"/>
        </w:rPr>
        <w:t>        </w:t>
      </w:r>
      <w:r w:rsidRPr="004A5E1F">
        <w:rPr>
          <w:rFonts w:ascii="Calibri" w:hAnsi="Calibri" w:cs="Times New Roman"/>
          <w:b/>
          <w:bCs/>
          <w:color w:val="000000"/>
          <w:sz w:val="22"/>
          <w:szCs w:val="22"/>
        </w:rPr>
        <w:t>Gestor a spolupracujúce rezorty:</w:t>
      </w:r>
    </w:p>
    <w:p w:rsidR="00FC0F0B" w:rsidRPr="004A5E1F" w:rsidP="00FC0F0B">
      <w:pPr>
        <w:bidi w:val="0"/>
        <w:ind w:left="360" w:firstLine="6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4A5E1F">
        <w:rPr>
          <w:rFonts w:ascii="Calibri" w:hAnsi="Calibri" w:cs="Times New Roman"/>
          <w:color w:val="000000"/>
          <w:sz w:val="22"/>
          <w:szCs w:val="22"/>
        </w:rPr>
        <w:t xml:space="preserve">    Bezpredmetné.</w:t>
      </w:r>
    </w:p>
    <w:p w:rsidR="00FC0F0B" w:rsidRPr="004A5E1F" w:rsidP="00FC0F0B">
      <w:pPr>
        <w:bidi w:val="0"/>
        <w:rPr>
          <w:rFonts w:ascii="Calibri" w:hAnsi="Calibri" w:cs="Times New Roman"/>
          <w:sz w:val="22"/>
          <w:szCs w:val="22"/>
        </w:rPr>
      </w:pP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43B"/>
    <w:multiLevelType w:val="hybridMultilevel"/>
    <w:tmpl w:val="D43445D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C0F0B"/>
    <w:rsid w:val="00026597"/>
    <w:rsid w:val="000737B6"/>
    <w:rsid w:val="000E7A19"/>
    <w:rsid w:val="000F3289"/>
    <w:rsid w:val="00124483"/>
    <w:rsid w:val="001446FF"/>
    <w:rsid w:val="00162498"/>
    <w:rsid w:val="0017081F"/>
    <w:rsid w:val="0017189C"/>
    <w:rsid w:val="00181B9A"/>
    <w:rsid w:val="001F216D"/>
    <w:rsid w:val="00260E61"/>
    <w:rsid w:val="00267CA6"/>
    <w:rsid w:val="002B4D1E"/>
    <w:rsid w:val="002F2241"/>
    <w:rsid w:val="0038659F"/>
    <w:rsid w:val="00416CED"/>
    <w:rsid w:val="00467919"/>
    <w:rsid w:val="0049330D"/>
    <w:rsid w:val="004A5E1F"/>
    <w:rsid w:val="005C6D5C"/>
    <w:rsid w:val="00663C04"/>
    <w:rsid w:val="006715F6"/>
    <w:rsid w:val="006F53B6"/>
    <w:rsid w:val="00841BBC"/>
    <w:rsid w:val="008603F7"/>
    <w:rsid w:val="00892EA0"/>
    <w:rsid w:val="008A6927"/>
    <w:rsid w:val="008C77FD"/>
    <w:rsid w:val="00976609"/>
    <w:rsid w:val="00A523D6"/>
    <w:rsid w:val="00B04410"/>
    <w:rsid w:val="00BF279E"/>
    <w:rsid w:val="00C86087"/>
    <w:rsid w:val="00D044B3"/>
    <w:rsid w:val="00D04E9C"/>
    <w:rsid w:val="00DB1F1C"/>
    <w:rsid w:val="00DC0172"/>
    <w:rsid w:val="00E81B58"/>
    <w:rsid w:val="00E95E9A"/>
    <w:rsid w:val="00F0173A"/>
    <w:rsid w:val="00FA0253"/>
    <w:rsid w:val="00FC0F0B"/>
    <w:rsid w:val="00FD0A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/>
      <w:jc w:val="left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/>
      <w:jc w:val="left"/>
      <w:outlineLvl w:val="2"/>
    </w:pPr>
    <w:rPr>
      <w:rFonts w:asciiTheme="majorHAnsi" w:eastAsiaTheme="majorEastAsia" w:hAnsiTheme="majorHAnsi" w:cs="Times New Roman"/>
      <w:b/>
      <w:bCs/>
      <w:color w:val="4F81BD" w:themeColor="accent1" w:themeShade="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/>
      <w:jc w:val="left"/>
      <w:outlineLvl w:val="4"/>
    </w:pPr>
    <w:rPr>
      <w:rFonts w:asciiTheme="majorHAnsi" w:eastAsiaTheme="majorEastAsia" w:hAnsiTheme="majorHAnsi" w:cs="Times New Roman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/>
      <w:jc w:val="left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/>
      <w:jc w:val="left"/>
      <w:outlineLvl w:val="6"/>
    </w:pPr>
    <w:rPr>
      <w:rFonts w:asciiTheme="majorHAnsi" w:eastAsiaTheme="majorEastAsia" w:hAnsiTheme="majorHAnsi" w:cs="Times New Roman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/>
      <w:jc w:val="left"/>
      <w:outlineLvl w:val="7"/>
    </w:pPr>
    <w:rPr>
      <w:rFonts w:asciiTheme="majorHAnsi" w:eastAsiaTheme="majorEastAsia" w:hAnsiTheme="majorHAnsi" w:cs="Times New Roman"/>
      <w:color w:val="4F81BD" w:themeColor="accent1" w:themeShade="F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/>
      <w:jc w:val="left"/>
      <w:outlineLvl w:val="8"/>
    </w:pPr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Theme="majorHAnsi" w:eastAsiaTheme="majorEastAsia" w:hAnsiTheme="majorHAnsi" w:cs="Times New Roman"/>
      <w:i/>
      <w:iCs/>
      <w:color w:val="243F60" w:themeColor="accent1" w:themeShade="7F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Theme="majorHAnsi" w:eastAsiaTheme="majorEastAsia" w:hAnsiTheme="majorHAnsi" w:cs="Times New Roman"/>
      <w:color w:val="4F81BD" w:themeColor="accent1" w:themeShade="FF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jc w:val="left"/>
    </w:pPr>
    <w:rPr>
      <w:b/>
      <w:bCs/>
      <w:color w:val="4F81BD" w:themeColor="accent1" w:themeShade="F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/>
      <w:contextualSpacing/>
      <w:jc w:val="left"/>
    </w:pPr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Theme="majorHAnsi" w:eastAsiaTheme="majorEastAsia" w:hAnsiTheme="majorHAnsi" w:cs="Times New Roman"/>
      <w:i/>
      <w:iCs/>
      <w:color w:val="4F81BD" w:themeColor="accent1" w:themeShade="F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Theme="majorHAnsi" w:eastAsiaTheme="majorEastAsia" w:hAnsiTheme="majorHAnsi" w:cs="Times New Roman"/>
      <w:i/>
      <w:iCs/>
      <w:color w:val="4F81BD" w:themeColor="accent1" w:themeShade="FF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 w:themeColor="tx1" w:themeShade="FF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 w:themeColor="tx1" w:themeShade="FF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 w:themeColor="accent1" w:themeShade="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 w:themeColor="accent2" w:themeShade="FF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 w:themeColor="accent2" w:themeShade="FF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jc w:val="left"/>
      <w:outlineLvl w:val="9"/>
    </w:pPr>
  </w:style>
  <w:style w:type="paragraph" w:styleId="BodyText">
    <w:name w:val="Body Text"/>
    <w:basedOn w:val="Normal"/>
    <w:link w:val="BodyTextChar"/>
    <w:uiPriority w:val="99"/>
    <w:rsid w:val="00FC0F0B"/>
    <w:pPr>
      <w:spacing w:after="120"/>
      <w:jc w:val="left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0F0B"/>
    <w:rPr>
      <w:rFonts w:ascii="Times New Roman" w:hAnsi="Times New Roman" w:cs="Times New Roman"/>
      <w:sz w:val="24"/>
      <w:szCs w:val="24"/>
      <w:rtl w:val="0"/>
      <w:cs w:val="0"/>
      <w:lang w:val="sk-SK" w:eastAsia="x-none" w:bidi="ar-SA"/>
    </w:rPr>
  </w:style>
  <w:style w:type="paragraph" w:styleId="BodyText2">
    <w:name w:val="Body Text 2"/>
    <w:basedOn w:val="Normal"/>
    <w:link w:val="BodyText2Char"/>
    <w:uiPriority w:val="99"/>
    <w:rsid w:val="00FC0F0B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0F0B"/>
    <w:rPr>
      <w:rFonts w:ascii="Times New Roman" w:hAnsi="Times New Roman"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FC0F0B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FC0F0B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styleId="CommentReference">
    <w:name w:val="annotation reference"/>
    <w:basedOn w:val="DefaultParagraphFont"/>
    <w:uiPriority w:val="99"/>
    <w:rsid w:val="00FC0F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FC0F0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0F0B"/>
    <w:rPr>
      <w:rFonts w:ascii="Times New Roman" w:hAnsi="Times New Roman" w:cs="Helvetica"/>
      <w:sz w:val="20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0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F0B"/>
    <w:rPr>
      <w:rFonts w:ascii="Tahoma" w:hAnsi="Tahoma" w:cs="Tahoma"/>
      <w:sz w:val="16"/>
      <w:szCs w:val="16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49330D"/>
    <w:rPr>
      <w:rFonts w:cs="Times New Roman"/>
      <w:color w:val="0000FF"/>
      <w:u w:val="single"/>
      <w:rtl w:val="0"/>
      <w:cs w:val="0"/>
    </w:rPr>
  </w:style>
  <w:style w:type="paragraph" w:customStyle="1" w:styleId="Petr">
    <w:name w:val="Petr"/>
    <w:basedOn w:val="Heading1"/>
    <w:rsid w:val="0017189C"/>
    <w:pPr>
      <w:keepLines w:val="0"/>
      <w:spacing w:before="120" w:line="360" w:lineRule="auto"/>
      <w:ind w:left="284" w:right="284"/>
      <w:jc w:val="both"/>
    </w:pPr>
    <w:rPr>
      <w:rFonts w:ascii="Times New Roman" w:eastAsia="Times New Roman" w:hAnsi="Times New Roman"/>
      <w:b w:val="0"/>
      <w:bCs w:val="0"/>
      <w:color w:val="auto"/>
      <w:sz w:val="26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17189C"/>
    <w:pPr>
      <w:jc w:val="left"/>
    </w:pPr>
    <w:rPr>
      <w:rFonts w:cs="Times New Roman"/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189C"/>
    <w:rPr>
      <w:rFonts w:ascii="Times New Roman" w:hAnsi="Times New Roman" w:cs="Times New Roman"/>
      <w:sz w:val="20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2011-11-11T12:13:00Z</cp:lastPrinted>
  <dcterms:created xsi:type="dcterms:W3CDTF">2011-11-11T14:54:00Z</dcterms:created>
  <dcterms:modified xsi:type="dcterms:W3CDTF">2011-11-11T14:54:00Z</dcterms:modified>
</cp:coreProperties>
</file>