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0F0B" w:rsidRPr="00FC0F0B" w:rsidP="00FC0F0B">
      <w:pPr>
        <w:bidi w:val="0"/>
        <w:jc w:val="center"/>
        <w:rPr>
          <w:rFonts w:ascii="Calibri" w:hAnsi="Calibri" w:cs="Times New Roman"/>
          <w:sz w:val="22"/>
          <w:szCs w:val="22"/>
        </w:rPr>
      </w:pPr>
      <w:r w:rsidRPr="00FC0F0B">
        <w:rPr>
          <w:rFonts w:ascii="Calibri" w:hAnsi="Calibri" w:cs="Times New Roman"/>
          <w:sz w:val="22"/>
          <w:szCs w:val="22"/>
        </w:rPr>
        <w:t>NÁRODNÁ RADA SLOVENSKEJ REPUBLIKY</w:t>
      </w:r>
    </w:p>
    <w:p w:rsidR="00FC0F0B" w:rsidRPr="004A5E1F" w:rsidP="00FC0F0B">
      <w:pPr>
        <w:bidi w:val="0"/>
        <w:jc w:val="center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V. volebné obdobie</w:t>
      </w:r>
    </w:p>
    <w:p w:rsidR="00FC0F0B" w:rsidRPr="004A5E1F" w:rsidP="00FC0F0B">
      <w:pPr>
        <w:bidi w:val="0"/>
        <w:jc w:val="center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>__________________________________________________________</w:t>
      </w:r>
    </w:p>
    <w:p w:rsidR="00FC0F0B" w:rsidRPr="004A5E1F" w:rsidP="00FC0F0B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4A5E1F">
        <w:rPr>
          <w:rFonts w:ascii="Calibri" w:hAnsi="Calibri" w:cs="Times New Roman"/>
          <w:b/>
          <w:bCs/>
          <w:sz w:val="22"/>
          <w:szCs w:val="22"/>
        </w:rPr>
        <w:t>NÁVRH</w:t>
      </w:r>
    </w:p>
    <w:p w:rsidR="00FC0F0B" w:rsidRPr="004A5E1F" w:rsidP="00FC0F0B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4A5E1F">
        <w:rPr>
          <w:rFonts w:ascii="Calibri" w:hAnsi="Calibri" w:cs="Times New Roman"/>
          <w:b/>
          <w:bCs/>
          <w:sz w:val="22"/>
          <w:szCs w:val="22"/>
        </w:rPr>
        <w:t>Z á k o n</w:t>
      </w:r>
    </w:p>
    <w:p w:rsidR="00FC0F0B" w:rsidRPr="004A5E1F" w:rsidP="00FC0F0B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4A5E1F">
        <w:rPr>
          <w:rFonts w:ascii="Calibri" w:hAnsi="Calibri" w:cs="Times New Roman"/>
          <w:b/>
          <w:bCs/>
          <w:sz w:val="22"/>
          <w:szCs w:val="22"/>
        </w:rPr>
        <w:t xml:space="preserve">z  </w:t>
      </w:r>
      <w:r w:rsidRPr="004A5E1F">
        <w:rPr>
          <w:rFonts w:ascii="Calibri" w:hAnsi="Calibri" w:cs="Times New Roman"/>
          <w:sz w:val="22"/>
          <w:szCs w:val="22"/>
        </w:rPr>
        <w:t>........................,</w:t>
      </w:r>
      <w:r w:rsidRPr="004A5E1F">
        <w:rPr>
          <w:rFonts w:ascii="Calibri" w:hAnsi="Calibri" w:cs="Times New Roman"/>
          <w:b/>
          <w:bCs/>
          <w:sz w:val="22"/>
          <w:szCs w:val="22"/>
        </w:rPr>
        <w:t xml:space="preserve"> </w:t>
      </w:r>
    </w:p>
    <w:p w:rsidR="00FC0F0B" w:rsidRPr="004A5E1F" w:rsidP="00FC0F0B">
      <w:pPr>
        <w:pStyle w:val="BodyText2"/>
        <w:bidi w:val="0"/>
        <w:rPr>
          <w:rFonts w:ascii="Calibri" w:hAnsi="Calibri"/>
          <w:sz w:val="22"/>
          <w:szCs w:val="22"/>
        </w:rPr>
      </w:pPr>
      <w:r w:rsidRPr="004A5E1F">
        <w:rPr>
          <w:rFonts w:ascii="Calibri" w:hAnsi="Calibri"/>
          <w:sz w:val="22"/>
          <w:szCs w:val="22"/>
        </w:rPr>
        <w:t xml:space="preserve">ktorým sa mení a dopĺňa zákon </w:t>
      </w:r>
      <w:r w:rsidRPr="008A6927">
        <w:rPr>
          <w:rFonts w:asciiTheme="minorHAnsi" w:hAnsiTheme="minorHAnsi"/>
          <w:sz w:val="22"/>
          <w:szCs w:val="22"/>
        </w:rPr>
        <w:t xml:space="preserve">č. 245/2008 Z. z. o výchove a vzdelávaní (školský zákon) a o zmene a doplnení niektorých zákonov v znení </w:t>
      </w:r>
      <w:r w:rsidRPr="004A5E1F">
        <w:rPr>
          <w:rFonts w:ascii="Calibri" w:hAnsi="Calibri"/>
          <w:sz w:val="22"/>
          <w:szCs w:val="22"/>
        </w:rPr>
        <w:t>neskorších predpisov</w:t>
      </w:r>
    </w:p>
    <w:p w:rsidR="00FC0F0B" w:rsidRPr="00DC0172" w:rsidP="00FC0F0B">
      <w:pPr>
        <w:bidi w:val="0"/>
        <w:rPr>
          <w:rFonts w:ascii="Calibri" w:hAnsi="Calibri" w:cs="Times New Roman"/>
          <w:sz w:val="22"/>
          <w:szCs w:val="22"/>
        </w:rPr>
      </w:pPr>
    </w:p>
    <w:p w:rsidR="00FC0F0B" w:rsidRPr="00DC0172" w:rsidP="00FC0F0B">
      <w:pPr>
        <w:bidi w:val="0"/>
        <w:rPr>
          <w:rFonts w:ascii="Calibri" w:hAnsi="Calibri" w:cs="Times New Roman"/>
          <w:sz w:val="22"/>
          <w:szCs w:val="22"/>
        </w:rPr>
      </w:pPr>
      <w:r w:rsidRPr="00DC0172">
        <w:rPr>
          <w:rFonts w:ascii="Calibri" w:hAnsi="Calibri" w:cs="Times New Roman"/>
          <w:sz w:val="22"/>
          <w:szCs w:val="22"/>
        </w:rPr>
        <w:t>Národná rada Slovenskej republiky sa uzniesla na tomto zákone:</w:t>
      </w:r>
    </w:p>
    <w:p w:rsidR="00FC0F0B" w:rsidRPr="00DC0172" w:rsidP="00FC0F0B">
      <w:pPr>
        <w:bidi w:val="0"/>
        <w:jc w:val="center"/>
        <w:rPr>
          <w:rFonts w:ascii="Calibri" w:hAnsi="Calibri" w:cs="Times New Roman"/>
          <w:sz w:val="22"/>
          <w:szCs w:val="22"/>
        </w:rPr>
      </w:pPr>
    </w:p>
    <w:p w:rsidR="00FC0F0B" w:rsidRPr="00FC0F0B" w:rsidP="00FC0F0B">
      <w:pPr>
        <w:bidi w:val="0"/>
        <w:jc w:val="center"/>
        <w:rPr>
          <w:rFonts w:ascii="Calibri" w:hAnsi="Calibri" w:cs="Times New Roman"/>
          <w:b/>
          <w:sz w:val="22"/>
          <w:szCs w:val="22"/>
        </w:rPr>
      </w:pPr>
      <w:r w:rsidRPr="00FC0F0B">
        <w:rPr>
          <w:rFonts w:ascii="Calibri" w:hAnsi="Calibri" w:cs="Times New Roman"/>
          <w:b/>
          <w:sz w:val="22"/>
          <w:szCs w:val="22"/>
        </w:rPr>
        <w:t>Čl. I</w:t>
      </w:r>
    </w:p>
    <w:p w:rsidR="00FC0F0B" w:rsidRPr="00FC0F0B" w:rsidP="00FC0F0B">
      <w:pPr>
        <w:bidi w:val="0"/>
        <w:jc w:val="center"/>
        <w:rPr>
          <w:rFonts w:ascii="Calibri" w:hAnsi="Calibri" w:cs="Times New Roman"/>
          <w:b/>
          <w:sz w:val="22"/>
          <w:szCs w:val="22"/>
        </w:rPr>
      </w:pPr>
    </w:p>
    <w:p w:rsidR="00FC0F0B" w:rsidRPr="008A6927" w:rsidP="00FC0F0B">
      <w:pPr>
        <w:pStyle w:val="ListParagraph"/>
        <w:bidi w:val="0"/>
        <w:ind w:left="0"/>
        <w:jc w:val="both"/>
        <w:rPr>
          <w:rFonts w:asciiTheme="minorHAnsi" w:hAnsiTheme="minorHAnsi"/>
          <w:sz w:val="22"/>
          <w:szCs w:val="22"/>
        </w:rPr>
      </w:pPr>
      <w:r w:rsidRPr="008A6927">
        <w:rPr>
          <w:rFonts w:asciiTheme="minorHAnsi" w:hAnsiTheme="minorHAnsi"/>
          <w:sz w:val="22"/>
          <w:szCs w:val="22"/>
        </w:rPr>
        <w:t>Zákon č. 245/2008 Z. z. o výchove a vzdelávaní (školský zákon) a o zmene a doplnení niektorých zákonov v znení zákona č. 462/2008 Z. z., zákona č. 37/2009 Z. z., zákona č. 184/2009 Z. z. a zákona č. 37/2011 Z. z. sa mení a dopĺňa takto:</w:t>
      </w:r>
    </w:p>
    <w:p w:rsidR="00FC0F0B" w:rsidRPr="00DC0172" w:rsidP="00FC0F0B">
      <w:pPr>
        <w:bidi w:val="0"/>
        <w:rPr>
          <w:rFonts w:ascii="Calibri" w:hAnsi="Calibri" w:cs="Times New Roman"/>
          <w:sz w:val="22"/>
          <w:szCs w:val="22"/>
        </w:rPr>
      </w:pPr>
    </w:p>
    <w:p w:rsidR="00E81B58" w:rsidP="00FC0F0B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Pr="00DC0172" w:rsidR="00FC0F0B">
        <w:rPr>
          <w:rFonts w:ascii="Calibri" w:hAnsi="Calibri" w:cs="Times New Roman"/>
          <w:b/>
          <w:sz w:val="22"/>
          <w:szCs w:val="22"/>
        </w:rPr>
        <w:t>1.</w:t>
      </w:r>
      <w:r w:rsidRPr="00DC0172" w:rsidR="00FC0F0B">
        <w:rPr>
          <w:rFonts w:ascii="Calibri" w:hAnsi="Calibri" w:cs="Times New Roman"/>
          <w:sz w:val="22"/>
          <w:szCs w:val="22"/>
        </w:rPr>
        <w:t xml:space="preserve"> V § 2</w:t>
      </w:r>
      <w:r>
        <w:rPr>
          <w:rFonts w:ascii="Calibri" w:hAnsi="Calibri" w:cs="Times New Roman"/>
          <w:sz w:val="22"/>
          <w:szCs w:val="22"/>
        </w:rPr>
        <w:t>4</w:t>
      </w:r>
      <w:r w:rsidRPr="00DC0172" w:rsidR="00FC0F0B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odsek 1 znie:</w:t>
      </w:r>
    </w:p>
    <w:p w:rsidR="00FC0F0B" w:rsidRPr="00DC0172" w:rsidP="00FC0F0B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E81B58">
        <w:rPr>
          <w:rFonts w:ascii="Calibri" w:hAnsi="Calibri" w:cs="Times New Roman"/>
          <w:sz w:val="22"/>
          <w:szCs w:val="22"/>
        </w:rPr>
        <w:t xml:space="preserve">„(1) </w:t>
      </w:r>
      <w:r w:rsidRPr="00E81B58" w:rsidR="00E81B58">
        <w:rPr>
          <w:rFonts w:ascii="Calibri" w:hAnsi="Calibri" w:cs="Times New Roman"/>
          <w:sz w:val="22"/>
          <w:szCs w:val="22"/>
        </w:rPr>
        <w:t xml:space="preserve">O povolení individuálneho vzdelávania podľa odseku 2 písm. a) a c) rozhoduje riaditeľ školy, do ktorej bol žiak prijatý (ďalej len "kmeňová škola"), </w:t>
      </w:r>
      <w:r w:rsidR="00E81B58">
        <w:rPr>
          <w:rFonts w:ascii="Calibri" w:hAnsi="Calibri" w:cs="Times New Roman"/>
          <w:sz w:val="22"/>
          <w:szCs w:val="22"/>
        </w:rPr>
        <w:t xml:space="preserve">a to </w:t>
      </w:r>
      <w:r w:rsidRPr="00E81B58" w:rsidR="00E81B58">
        <w:rPr>
          <w:rFonts w:ascii="Calibri" w:hAnsi="Calibri" w:cs="Times New Roman"/>
          <w:sz w:val="22"/>
          <w:szCs w:val="22"/>
        </w:rPr>
        <w:t xml:space="preserve">na základe písomnej žiadosti zákonného zástupcu maloletého žiaka alebo na základe písomnej žiadosti plnoletého žiaka. </w:t>
      </w:r>
      <w:r w:rsidR="00E81B58">
        <w:rPr>
          <w:rFonts w:ascii="Calibri" w:hAnsi="Calibri" w:cs="Times New Roman"/>
          <w:sz w:val="22"/>
          <w:szCs w:val="22"/>
        </w:rPr>
        <w:t>I</w:t>
      </w:r>
      <w:r w:rsidRPr="00E81B58" w:rsidR="00E81B58">
        <w:rPr>
          <w:rFonts w:ascii="Calibri" w:hAnsi="Calibri" w:cs="Times New Roman"/>
          <w:sz w:val="22"/>
          <w:szCs w:val="22"/>
        </w:rPr>
        <w:t>ndividuálne vzdelávani</w:t>
      </w:r>
      <w:r w:rsidR="00E81B58">
        <w:rPr>
          <w:rFonts w:ascii="Calibri" w:hAnsi="Calibri" w:cs="Times New Roman"/>
          <w:sz w:val="22"/>
          <w:szCs w:val="22"/>
        </w:rPr>
        <w:t>e</w:t>
      </w:r>
      <w:r w:rsidRPr="00E81B58" w:rsidR="00E81B58">
        <w:rPr>
          <w:rFonts w:ascii="Calibri" w:hAnsi="Calibri" w:cs="Times New Roman"/>
          <w:sz w:val="22"/>
          <w:szCs w:val="22"/>
        </w:rPr>
        <w:t xml:space="preserve"> podľa odseku 2 písm. b) </w:t>
      </w:r>
      <w:r w:rsidR="00E81B58">
        <w:rPr>
          <w:rFonts w:ascii="Calibri" w:hAnsi="Calibri" w:cs="Times New Roman"/>
          <w:sz w:val="22"/>
          <w:szCs w:val="22"/>
        </w:rPr>
        <w:t>povolí</w:t>
      </w:r>
      <w:r w:rsidRPr="00E81B58" w:rsidR="00E81B58">
        <w:rPr>
          <w:rFonts w:ascii="Calibri" w:hAnsi="Calibri" w:cs="Times New Roman"/>
          <w:sz w:val="22"/>
          <w:szCs w:val="22"/>
        </w:rPr>
        <w:t xml:space="preserve"> riaditeľ kmeňovej školy na základe písomnej žiadosti zákonného zástupcu maloletého žiaka</w:t>
      </w:r>
      <w:r w:rsidR="00E81B58">
        <w:rPr>
          <w:rFonts w:ascii="Calibri" w:hAnsi="Calibri" w:cs="Times New Roman"/>
          <w:sz w:val="22"/>
          <w:szCs w:val="22"/>
        </w:rPr>
        <w:t>, ak sú</w:t>
      </w:r>
      <w:r w:rsidRPr="00E81B58" w:rsidR="00E81B58">
        <w:rPr>
          <w:rFonts w:ascii="Calibri" w:hAnsi="Calibri" w:cs="Times New Roman"/>
          <w:sz w:val="22"/>
          <w:szCs w:val="22"/>
        </w:rPr>
        <w:t xml:space="preserve"> </w:t>
      </w:r>
      <w:r w:rsidR="00E81B58">
        <w:rPr>
          <w:rFonts w:ascii="Calibri" w:hAnsi="Calibri" w:cs="Times New Roman"/>
          <w:sz w:val="22"/>
          <w:szCs w:val="22"/>
        </w:rPr>
        <w:t>splnené</w:t>
      </w:r>
      <w:r w:rsidRPr="00E81B58" w:rsidR="00E81B58">
        <w:rPr>
          <w:rFonts w:ascii="Calibri" w:hAnsi="Calibri" w:cs="Times New Roman"/>
          <w:sz w:val="22"/>
          <w:szCs w:val="22"/>
        </w:rPr>
        <w:t xml:space="preserve"> podmienk</w:t>
      </w:r>
      <w:r w:rsidR="00E81B58">
        <w:rPr>
          <w:rFonts w:ascii="Calibri" w:hAnsi="Calibri" w:cs="Times New Roman"/>
          <w:sz w:val="22"/>
          <w:szCs w:val="22"/>
        </w:rPr>
        <w:t xml:space="preserve">y podľa </w:t>
      </w:r>
      <w:r w:rsidRPr="00E81B58" w:rsidR="00E81B58">
        <w:rPr>
          <w:rFonts w:ascii="Calibri" w:hAnsi="Calibri" w:cs="Times New Roman"/>
          <w:sz w:val="22"/>
          <w:szCs w:val="22"/>
        </w:rPr>
        <w:t>odseku 5.“.</w:t>
      </w:r>
    </w:p>
    <w:p w:rsidR="00FC0F0B" w:rsidRPr="00DC0172" w:rsidP="00FC0F0B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FC0F0B" w:rsidP="00FC0F0B">
      <w:pPr>
        <w:bidi w:val="0"/>
        <w:jc w:val="both"/>
        <w:rPr>
          <w:rFonts w:ascii="Courier" w:hAnsi="Courier" w:cs="Courier"/>
          <w:sz w:val="16"/>
          <w:szCs w:val="16"/>
        </w:rPr>
      </w:pPr>
      <w:r>
        <w:rPr>
          <w:rFonts w:ascii="Calibri" w:hAnsi="Calibri" w:cs="Times New Roman"/>
          <w:b/>
          <w:sz w:val="22"/>
          <w:szCs w:val="22"/>
        </w:rPr>
        <w:t>2</w:t>
      </w:r>
      <w:r w:rsidRPr="00DC0172">
        <w:rPr>
          <w:rFonts w:ascii="Calibri" w:hAnsi="Calibri" w:cs="Times New Roman"/>
          <w:b/>
          <w:sz w:val="22"/>
          <w:szCs w:val="22"/>
        </w:rPr>
        <w:t>.</w:t>
      </w:r>
      <w:r w:rsidRPr="00DC0172">
        <w:rPr>
          <w:rFonts w:ascii="Calibri" w:hAnsi="Calibri" w:cs="Times New Roman"/>
          <w:sz w:val="22"/>
          <w:szCs w:val="22"/>
        </w:rPr>
        <w:t xml:space="preserve"> V § 2</w:t>
      </w:r>
      <w:r w:rsidR="00E81B58">
        <w:rPr>
          <w:rFonts w:ascii="Calibri" w:hAnsi="Calibri" w:cs="Times New Roman"/>
          <w:sz w:val="22"/>
          <w:szCs w:val="22"/>
        </w:rPr>
        <w:t>4</w:t>
      </w:r>
      <w:r w:rsidRPr="00DC0172">
        <w:rPr>
          <w:rFonts w:ascii="Calibri" w:hAnsi="Calibri" w:cs="Times New Roman"/>
          <w:sz w:val="22"/>
          <w:szCs w:val="22"/>
        </w:rPr>
        <w:t xml:space="preserve"> ods</w:t>
      </w:r>
      <w:r w:rsidR="00E81B58">
        <w:rPr>
          <w:rFonts w:ascii="Calibri" w:hAnsi="Calibri" w:cs="Times New Roman"/>
          <w:sz w:val="22"/>
          <w:szCs w:val="22"/>
        </w:rPr>
        <w:t>. 2</w:t>
      </w:r>
      <w:r w:rsidRPr="00DC0172">
        <w:rPr>
          <w:rFonts w:ascii="Calibri" w:hAnsi="Calibri" w:cs="Times New Roman"/>
          <w:sz w:val="22"/>
          <w:szCs w:val="22"/>
        </w:rPr>
        <w:t xml:space="preserve"> písm</w:t>
      </w:r>
      <w:r w:rsidR="00E81B58">
        <w:rPr>
          <w:rFonts w:ascii="Calibri" w:hAnsi="Calibri" w:cs="Times New Roman"/>
          <w:sz w:val="22"/>
          <w:szCs w:val="22"/>
        </w:rPr>
        <w:t>. b) sa vypúšťajú slová „</w:t>
      </w:r>
      <w:r w:rsidRPr="00E81B58" w:rsidR="00E81B58">
        <w:rPr>
          <w:rFonts w:ascii="Calibri" w:hAnsi="Calibri" w:cs="Times New Roman"/>
          <w:sz w:val="22"/>
          <w:szCs w:val="22"/>
        </w:rPr>
        <w:t>prvého stupňa“.</w:t>
      </w:r>
    </w:p>
    <w:p w:rsidR="00FC0F0B" w:rsidRPr="004A5E1F" w:rsidP="00FC0F0B">
      <w:pPr>
        <w:bidi w:val="0"/>
        <w:rPr>
          <w:rFonts w:ascii="Calibri" w:hAnsi="Calibri" w:cs="Times New Roman"/>
          <w:sz w:val="22"/>
          <w:szCs w:val="22"/>
        </w:rPr>
      </w:pPr>
    </w:p>
    <w:p w:rsidR="00DB1F1C" w:rsidP="00FC0F0B">
      <w:pPr>
        <w:bidi w:val="0"/>
        <w:rPr>
          <w:rFonts w:ascii="Calibri" w:hAnsi="Calibri" w:cs="Times New Roman"/>
          <w:sz w:val="22"/>
          <w:szCs w:val="22"/>
        </w:rPr>
      </w:pPr>
      <w:r w:rsidR="00FC0F0B">
        <w:rPr>
          <w:rFonts w:ascii="Calibri" w:hAnsi="Calibri" w:cs="Times New Roman"/>
          <w:b/>
          <w:sz w:val="22"/>
          <w:szCs w:val="22"/>
        </w:rPr>
        <w:t>3</w:t>
      </w:r>
      <w:r w:rsidRPr="004A5E1F" w:rsidR="00FC0F0B">
        <w:rPr>
          <w:rFonts w:ascii="Calibri" w:hAnsi="Calibri" w:cs="Times New Roman"/>
          <w:b/>
          <w:sz w:val="22"/>
          <w:szCs w:val="22"/>
        </w:rPr>
        <w:t>.</w:t>
      </w:r>
      <w:r w:rsidRPr="004A5E1F" w:rsidR="00FC0F0B">
        <w:rPr>
          <w:rFonts w:ascii="Calibri" w:hAnsi="Calibri" w:cs="Times New Roman"/>
          <w:sz w:val="22"/>
          <w:szCs w:val="22"/>
        </w:rPr>
        <w:t xml:space="preserve"> V §</w:t>
      </w:r>
      <w:r w:rsidR="00FC0F0B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24</w:t>
      </w:r>
      <w:r w:rsidRPr="004A5E1F" w:rsidR="00FC0F0B">
        <w:rPr>
          <w:rFonts w:ascii="Calibri" w:hAnsi="Calibri" w:cs="Times New Roman"/>
          <w:sz w:val="22"/>
          <w:szCs w:val="22"/>
        </w:rPr>
        <w:t xml:space="preserve"> ods</w:t>
      </w:r>
      <w:r>
        <w:rPr>
          <w:rFonts w:ascii="Calibri" w:hAnsi="Calibri" w:cs="Times New Roman"/>
          <w:sz w:val="22"/>
          <w:szCs w:val="22"/>
        </w:rPr>
        <w:t>ek 4 znie:</w:t>
      </w:r>
    </w:p>
    <w:p w:rsidR="00FC0F0B" w:rsidP="00FC0F0B">
      <w:pPr>
        <w:bidi w:val="0"/>
        <w:rPr>
          <w:rFonts w:ascii="Calibri" w:hAnsi="Calibri" w:cs="Times New Roman"/>
          <w:sz w:val="22"/>
          <w:szCs w:val="22"/>
        </w:rPr>
      </w:pPr>
      <w:r w:rsidR="00DB1F1C">
        <w:rPr>
          <w:rFonts w:ascii="Calibri" w:hAnsi="Calibri" w:cs="Times New Roman"/>
          <w:sz w:val="22"/>
          <w:szCs w:val="22"/>
        </w:rPr>
        <w:t xml:space="preserve">„(4) </w:t>
      </w:r>
      <w:r w:rsidRPr="004A5E1F">
        <w:rPr>
          <w:rFonts w:ascii="Calibri" w:hAnsi="Calibri" w:cs="Times New Roman"/>
          <w:sz w:val="22"/>
          <w:szCs w:val="22"/>
        </w:rPr>
        <w:t xml:space="preserve"> </w:t>
      </w:r>
      <w:r w:rsidRPr="00DB1F1C" w:rsidR="00DB1F1C">
        <w:rPr>
          <w:rFonts w:ascii="Calibri" w:hAnsi="Calibri" w:cs="Times New Roman"/>
          <w:sz w:val="22"/>
          <w:szCs w:val="22"/>
        </w:rPr>
        <w:t>Vzdelávanie žiaka, ktorému bolo povolené individuálne vzdelávanie podľa odseku 2 písm. b),</w:t>
      </w:r>
      <w:r w:rsidR="00DB1F1C">
        <w:rPr>
          <w:rFonts w:ascii="Calibri" w:hAnsi="Calibri" w:cs="Times New Roman"/>
          <w:sz w:val="22"/>
          <w:szCs w:val="22"/>
        </w:rPr>
        <w:t xml:space="preserve"> môže vykonávať len osoby, ktorá má absolvované najmenej</w:t>
      </w:r>
    </w:p>
    <w:p w:rsidR="00DB1F1C" w:rsidP="00DB1F1C">
      <w:pPr>
        <w:pStyle w:val="ListParagraph"/>
        <w:numPr>
          <w:numId w:val="2"/>
        </w:numPr>
        <w:bidi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úplné stredné všeobecné vzdelanie alebo úplné stredné odborné vzdelanie, ak ide o vzdelávanie žiaka prvého stupňa základnej školy,</w:t>
      </w:r>
    </w:p>
    <w:p w:rsidR="00DB1F1C" w:rsidRPr="00DB1F1C" w:rsidP="00DB1F1C">
      <w:pPr>
        <w:pStyle w:val="ListParagraph"/>
        <w:numPr>
          <w:numId w:val="2"/>
        </w:numPr>
        <w:bidi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vysokoškolské vzdelanie prvého stupňa, ak ide o vzdelávanie žiaka druhého stupňa základnej školy.“.</w:t>
      </w:r>
    </w:p>
    <w:p w:rsidR="00FC0F0B" w:rsidRPr="004A5E1F" w:rsidP="00FC0F0B">
      <w:pPr>
        <w:bidi w:val="0"/>
        <w:rPr>
          <w:rFonts w:ascii="Calibri" w:hAnsi="Calibri" w:cs="Times New Roman"/>
          <w:b/>
          <w:sz w:val="22"/>
          <w:szCs w:val="22"/>
        </w:rPr>
      </w:pPr>
    </w:p>
    <w:p w:rsidR="00FC0F0B" w:rsidP="00FC0F0B">
      <w:pPr>
        <w:bidi w:val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4</w:t>
      </w:r>
      <w:r w:rsidRPr="00E95E9A">
        <w:rPr>
          <w:rFonts w:ascii="Calibri" w:hAnsi="Calibri" w:cs="Times New Roman"/>
          <w:b/>
          <w:sz w:val="22"/>
          <w:szCs w:val="22"/>
        </w:rPr>
        <w:t>.</w:t>
      </w:r>
      <w:r w:rsidRPr="004A5E1F">
        <w:rPr>
          <w:rFonts w:ascii="Calibri" w:hAnsi="Calibri" w:cs="Times New Roman"/>
          <w:sz w:val="22"/>
          <w:szCs w:val="22"/>
        </w:rPr>
        <w:t xml:space="preserve">  </w:t>
      </w:r>
      <w:r w:rsidR="00DB1F1C">
        <w:rPr>
          <w:rFonts w:ascii="Calibri" w:hAnsi="Calibri" w:cs="Times New Roman"/>
          <w:sz w:val="22"/>
          <w:szCs w:val="22"/>
        </w:rPr>
        <w:t xml:space="preserve">V </w:t>
      </w:r>
      <w:r w:rsidRPr="004A5E1F">
        <w:rPr>
          <w:rFonts w:ascii="Calibri" w:hAnsi="Calibri" w:cs="Times New Roman"/>
          <w:sz w:val="22"/>
          <w:szCs w:val="22"/>
        </w:rPr>
        <w:t xml:space="preserve">§ </w:t>
      </w:r>
      <w:r w:rsidR="00DB1F1C">
        <w:rPr>
          <w:rFonts w:ascii="Calibri" w:hAnsi="Calibri" w:cs="Times New Roman"/>
          <w:sz w:val="22"/>
          <w:szCs w:val="22"/>
        </w:rPr>
        <w:t>24 ods. 5 písm. c) sa vypúšťajú slová „</w:t>
      </w:r>
      <w:r w:rsidRPr="00DB1F1C" w:rsidR="00DB1F1C">
        <w:rPr>
          <w:rFonts w:ascii="Calibri" w:hAnsi="Calibri" w:cs="Times New Roman"/>
          <w:sz w:val="22"/>
          <w:szCs w:val="22"/>
        </w:rPr>
        <w:t>na povolenie</w:t>
      </w:r>
      <w:r w:rsidR="00DB1F1C">
        <w:rPr>
          <w:rFonts w:ascii="Calibri" w:hAnsi="Calibri" w:cs="Times New Roman"/>
          <w:sz w:val="22"/>
          <w:szCs w:val="22"/>
        </w:rPr>
        <w:t>“.</w:t>
      </w:r>
    </w:p>
    <w:p w:rsidR="00FC0F0B" w:rsidRPr="004A5E1F" w:rsidP="00FC0F0B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026597" w:rsidP="00FC0F0B">
      <w:pPr>
        <w:bidi w:val="0"/>
        <w:rPr>
          <w:rFonts w:ascii="Calibri" w:hAnsi="Calibri" w:cs="Times New Roman"/>
          <w:sz w:val="22"/>
          <w:szCs w:val="22"/>
        </w:rPr>
      </w:pPr>
      <w:r w:rsidR="00FC0F0B">
        <w:rPr>
          <w:rFonts w:ascii="Calibri" w:hAnsi="Calibri" w:cs="Times New Roman"/>
          <w:b/>
          <w:sz w:val="22"/>
          <w:szCs w:val="22"/>
        </w:rPr>
        <w:t>5</w:t>
      </w:r>
      <w:r w:rsidRPr="004A5E1F" w:rsidR="00FC0F0B">
        <w:rPr>
          <w:rFonts w:ascii="Calibri" w:hAnsi="Calibri" w:cs="Times New Roman"/>
          <w:b/>
          <w:sz w:val="22"/>
          <w:szCs w:val="22"/>
        </w:rPr>
        <w:t>.</w:t>
      </w:r>
      <w:r w:rsidR="00FC0F0B">
        <w:rPr>
          <w:rFonts w:ascii="Calibri" w:hAnsi="Calibri" w:cs="Times New Roman"/>
          <w:b/>
          <w:sz w:val="22"/>
          <w:szCs w:val="22"/>
        </w:rPr>
        <w:t xml:space="preserve"> </w:t>
      </w:r>
      <w:r w:rsidRPr="004A5E1F" w:rsidR="00FC0F0B">
        <w:rPr>
          <w:rFonts w:ascii="Calibri" w:hAnsi="Calibri" w:cs="Times New Roman"/>
          <w:sz w:val="22"/>
          <w:szCs w:val="22"/>
        </w:rPr>
        <w:t>V</w:t>
      </w:r>
      <w:r w:rsidRPr="004A5E1F" w:rsidR="00FC0F0B">
        <w:rPr>
          <w:rFonts w:ascii="Calibri" w:hAnsi="Calibri" w:cs="Times New Roman"/>
          <w:b/>
          <w:sz w:val="22"/>
          <w:szCs w:val="22"/>
        </w:rPr>
        <w:t xml:space="preserve"> </w:t>
      </w:r>
      <w:r w:rsidRPr="004A5E1F" w:rsidR="00FC0F0B">
        <w:rPr>
          <w:rFonts w:ascii="Calibri" w:hAnsi="Calibri" w:cs="Times New Roman"/>
          <w:sz w:val="22"/>
          <w:szCs w:val="22"/>
        </w:rPr>
        <w:t xml:space="preserve">§ </w:t>
      </w:r>
      <w:r>
        <w:rPr>
          <w:rFonts w:ascii="Calibri" w:hAnsi="Calibri" w:cs="Times New Roman"/>
          <w:sz w:val="22"/>
          <w:szCs w:val="22"/>
        </w:rPr>
        <w:t>24 ods. 10 znie:</w:t>
      </w:r>
    </w:p>
    <w:p w:rsidR="00FC0F0B" w:rsidRPr="004A5E1F" w:rsidP="00026597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026597">
        <w:rPr>
          <w:rFonts w:ascii="Calibri" w:hAnsi="Calibri" w:cs="Times New Roman"/>
          <w:sz w:val="22"/>
          <w:szCs w:val="22"/>
        </w:rPr>
        <w:t xml:space="preserve">„(10) </w:t>
      </w:r>
      <w:r w:rsidRPr="00026597" w:rsidR="00026597">
        <w:rPr>
          <w:rFonts w:ascii="Calibri" w:hAnsi="Calibri" w:cs="Times New Roman"/>
          <w:sz w:val="22"/>
          <w:szCs w:val="22"/>
        </w:rPr>
        <w:t xml:space="preserve">Kontrolu úrovne kvality výchovy a vzdelávania, ako aj kontrolu odborno-pedagogického a materiálno-technického zabezpečenia výchovy a vzdelávania a ochrany zdravia žiaka pri individuálnom vzdelávaní vykonáva kmeňová škola. Na účely kontroly podľa prvej vety je zákonný zástupca povinný umožniť vstup a vykonanie kontroly poverenému zamestnancovi kmeňovej školy.“. </w:t>
      </w:r>
    </w:p>
    <w:p w:rsidR="00FC0F0B" w:rsidRPr="004A5E1F" w:rsidP="00FC0F0B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FC0F0B" w:rsidRPr="004A5E1F" w:rsidP="00FC0F0B">
      <w:pPr>
        <w:bidi w:val="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6</w:t>
      </w:r>
      <w:r w:rsidRPr="004A5E1F">
        <w:rPr>
          <w:rFonts w:ascii="Calibri" w:hAnsi="Calibri" w:cs="Times New Roman"/>
          <w:b/>
          <w:sz w:val="22"/>
          <w:szCs w:val="22"/>
        </w:rPr>
        <w:t>.</w:t>
      </w:r>
      <w:r w:rsidRPr="004A5E1F">
        <w:rPr>
          <w:rFonts w:ascii="Calibri" w:hAnsi="Calibri" w:cs="Times New Roman"/>
          <w:sz w:val="22"/>
          <w:szCs w:val="22"/>
        </w:rPr>
        <w:t xml:space="preserve"> V § </w:t>
      </w:r>
      <w:r w:rsidR="00026597">
        <w:rPr>
          <w:rFonts w:ascii="Calibri" w:hAnsi="Calibri" w:cs="Times New Roman"/>
          <w:sz w:val="22"/>
          <w:szCs w:val="22"/>
        </w:rPr>
        <w:t>24 ods. 11 písm. c) sa slová „</w:t>
      </w:r>
      <w:r w:rsidRPr="00026597" w:rsidR="00026597">
        <w:rPr>
          <w:rFonts w:ascii="Calibri" w:hAnsi="Calibri" w:cs="Times New Roman"/>
          <w:sz w:val="22"/>
          <w:szCs w:val="22"/>
        </w:rPr>
        <w:t>hodnotiaceho obdobia</w:t>
      </w:r>
      <w:r w:rsidR="00026597">
        <w:rPr>
          <w:rFonts w:ascii="Calibri" w:hAnsi="Calibri" w:cs="Times New Roman"/>
          <w:sz w:val="22"/>
          <w:szCs w:val="22"/>
        </w:rPr>
        <w:t>“ nahrádzajú slovami „dvoch bezprostredne po sebe nasledujúcich hodnotiacich období“.</w:t>
      </w:r>
    </w:p>
    <w:p w:rsidR="00FC0F0B" w:rsidRPr="004A5E1F" w:rsidP="00FC0F0B">
      <w:pPr>
        <w:bidi w:val="0"/>
        <w:jc w:val="both"/>
        <w:rPr>
          <w:rFonts w:ascii="Calibri" w:hAnsi="Calibri" w:cs="Times New Roman"/>
          <w:sz w:val="22"/>
          <w:szCs w:val="22"/>
        </w:rPr>
      </w:pPr>
    </w:p>
    <w:p w:rsidR="00FC0F0B" w:rsidP="00FC0F0B">
      <w:pPr>
        <w:bidi w:val="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7</w:t>
      </w:r>
      <w:r w:rsidRPr="004A5E1F">
        <w:rPr>
          <w:rFonts w:ascii="Calibri" w:hAnsi="Calibri" w:cs="Times New Roman"/>
          <w:b/>
          <w:sz w:val="22"/>
          <w:szCs w:val="22"/>
        </w:rPr>
        <w:t xml:space="preserve">. </w:t>
      </w:r>
      <w:r w:rsidRPr="00026597" w:rsidR="00026597">
        <w:rPr>
          <w:rFonts w:ascii="Calibri" w:hAnsi="Calibri" w:cs="Times New Roman"/>
          <w:sz w:val="22"/>
          <w:szCs w:val="22"/>
        </w:rPr>
        <w:t>V</w:t>
      </w:r>
      <w:r w:rsidR="00026597">
        <w:rPr>
          <w:rFonts w:ascii="Calibri" w:hAnsi="Calibri" w:cs="Times New Roman"/>
          <w:b/>
          <w:sz w:val="22"/>
          <w:szCs w:val="22"/>
        </w:rPr>
        <w:t xml:space="preserve"> </w:t>
      </w:r>
      <w:r w:rsidRPr="004A5E1F">
        <w:rPr>
          <w:rFonts w:ascii="Calibri" w:hAnsi="Calibri" w:cs="Times New Roman"/>
          <w:sz w:val="22"/>
          <w:szCs w:val="22"/>
        </w:rPr>
        <w:t xml:space="preserve">§ </w:t>
      </w:r>
      <w:r w:rsidR="00026597">
        <w:rPr>
          <w:rFonts w:ascii="Calibri" w:hAnsi="Calibri" w:cs="Times New Roman"/>
          <w:sz w:val="22"/>
          <w:szCs w:val="22"/>
        </w:rPr>
        <w:t>24 ods. 11 sa vypúšťa písmeno d).</w:t>
      </w:r>
    </w:p>
    <w:p w:rsidR="00FC0F0B" w:rsidRPr="004A5E1F" w:rsidP="00FC0F0B">
      <w:pPr>
        <w:bidi w:val="0"/>
        <w:ind w:left="360"/>
        <w:jc w:val="both"/>
        <w:rPr>
          <w:rFonts w:ascii="Calibri" w:hAnsi="Calibri" w:cs="Times New Roman"/>
          <w:sz w:val="22"/>
          <w:szCs w:val="22"/>
        </w:rPr>
      </w:pPr>
    </w:p>
    <w:p w:rsidR="00026597" w:rsidRPr="004A5E1F" w:rsidP="00026597">
      <w:pPr>
        <w:bidi w:val="0"/>
        <w:jc w:val="both"/>
        <w:rPr>
          <w:rFonts w:ascii="Calibri" w:hAnsi="Calibri" w:cs="Times New Roman"/>
          <w:sz w:val="22"/>
          <w:szCs w:val="22"/>
        </w:rPr>
      </w:pPr>
      <w:r w:rsidR="00FC0F0B">
        <w:rPr>
          <w:rFonts w:ascii="Calibri" w:hAnsi="Calibri" w:cs="Times New Roman"/>
          <w:b/>
          <w:sz w:val="22"/>
          <w:szCs w:val="22"/>
        </w:rPr>
        <w:t>8</w:t>
      </w:r>
      <w:r w:rsidRPr="004A5E1F" w:rsidR="00FC0F0B">
        <w:rPr>
          <w:rFonts w:ascii="Calibri" w:hAnsi="Calibri" w:cs="Times New Roman"/>
          <w:b/>
          <w:sz w:val="22"/>
          <w:szCs w:val="22"/>
        </w:rPr>
        <w:t>.</w:t>
      </w:r>
      <w:r w:rsidRPr="004A5E1F" w:rsidR="00FC0F0B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 xml:space="preserve">V § 24 sa vypúšťa odsek 14. </w:t>
      </w:r>
    </w:p>
    <w:p w:rsidR="00026597" w:rsidP="00E81B58">
      <w:pPr>
        <w:bidi w:val="0"/>
        <w:jc w:val="center"/>
        <w:rPr>
          <w:rFonts w:ascii="Calibri" w:hAnsi="Calibri" w:cs="Times New Roman"/>
          <w:b/>
          <w:sz w:val="22"/>
          <w:szCs w:val="22"/>
        </w:rPr>
      </w:pPr>
    </w:p>
    <w:p w:rsidR="00FC0F0B" w:rsidRPr="00E81B58" w:rsidP="00E81B58">
      <w:pPr>
        <w:bidi w:val="0"/>
        <w:jc w:val="center"/>
        <w:rPr>
          <w:rFonts w:ascii="Calibri" w:hAnsi="Calibri" w:cs="Times New Roman"/>
          <w:b/>
          <w:sz w:val="22"/>
          <w:szCs w:val="22"/>
        </w:rPr>
      </w:pPr>
      <w:r w:rsidRPr="00E81B58">
        <w:rPr>
          <w:rFonts w:ascii="Calibri" w:hAnsi="Calibri" w:cs="Times New Roman"/>
          <w:b/>
          <w:sz w:val="22"/>
          <w:szCs w:val="22"/>
        </w:rPr>
        <w:t>Čl. II</w:t>
      </w:r>
    </w:p>
    <w:p w:rsidR="00FC0F0B" w:rsidRPr="004A5E1F" w:rsidP="00FC0F0B">
      <w:pPr>
        <w:bidi w:val="0"/>
        <w:rPr>
          <w:rFonts w:ascii="Calibri" w:hAnsi="Calibri" w:cs="Times New Roman"/>
          <w:sz w:val="22"/>
          <w:szCs w:val="22"/>
        </w:rPr>
      </w:pPr>
      <w:r w:rsidRPr="004A5E1F">
        <w:rPr>
          <w:rFonts w:ascii="Calibri" w:hAnsi="Calibri" w:cs="Times New Roman"/>
          <w:sz w:val="22"/>
          <w:szCs w:val="22"/>
        </w:rPr>
        <w:t xml:space="preserve">Tento zákon </w:t>
      </w:r>
      <w:r w:rsidRPr="00267CA6">
        <w:rPr>
          <w:rFonts w:ascii="Calibri" w:hAnsi="Calibri" w:cs="Times New Roman"/>
          <w:sz w:val="22"/>
          <w:szCs w:val="22"/>
        </w:rPr>
        <w:t>nadobúda účinnosť 1.</w:t>
      </w:r>
      <w:r>
        <w:rPr>
          <w:rFonts w:ascii="Calibri" w:hAnsi="Calibri" w:cs="Times New Roman"/>
          <w:sz w:val="22"/>
          <w:szCs w:val="22"/>
        </w:rPr>
        <w:t xml:space="preserve"> </w:t>
      </w:r>
      <w:r w:rsidR="00E81B58">
        <w:rPr>
          <w:rFonts w:ascii="Calibri" w:hAnsi="Calibri" w:cs="Times New Roman"/>
          <w:sz w:val="22"/>
          <w:szCs w:val="22"/>
        </w:rPr>
        <w:t>marca</w:t>
      </w:r>
      <w:r w:rsidRPr="00267CA6">
        <w:rPr>
          <w:rFonts w:ascii="Calibri" w:hAnsi="Calibri" w:cs="Times New Roman"/>
          <w:sz w:val="22"/>
          <w:szCs w:val="22"/>
        </w:rPr>
        <w:t xml:space="preserve"> 20</w:t>
      </w:r>
      <w:r w:rsidR="00E81B58">
        <w:rPr>
          <w:rFonts w:ascii="Calibri" w:hAnsi="Calibri" w:cs="Times New Roman"/>
          <w:sz w:val="22"/>
          <w:szCs w:val="22"/>
        </w:rPr>
        <w:t>12</w:t>
      </w:r>
      <w:r>
        <w:rPr>
          <w:rFonts w:ascii="Calibri" w:hAnsi="Calibri" w:cs="Times New Roman"/>
          <w:sz w:val="22"/>
          <w:szCs w:val="22"/>
        </w:rPr>
        <w:t>.</w:t>
      </w:r>
    </w:p>
    <w:sectPr w:rsidSect="00663C04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143B"/>
    <w:multiLevelType w:val="hybridMultilevel"/>
    <w:tmpl w:val="D43445DA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C0F0B"/>
    <w:rsid w:val="00026597"/>
    <w:rsid w:val="000737B6"/>
    <w:rsid w:val="000E7A19"/>
    <w:rsid w:val="000F3289"/>
    <w:rsid w:val="00124483"/>
    <w:rsid w:val="001446FF"/>
    <w:rsid w:val="00162498"/>
    <w:rsid w:val="0017081F"/>
    <w:rsid w:val="0017189C"/>
    <w:rsid w:val="00181B9A"/>
    <w:rsid w:val="001F216D"/>
    <w:rsid w:val="00260E61"/>
    <w:rsid w:val="00267CA6"/>
    <w:rsid w:val="00276D07"/>
    <w:rsid w:val="002B4D1E"/>
    <w:rsid w:val="002F2241"/>
    <w:rsid w:val="0038659F"/>
    <w:rsid w:val="00416CED"/>
    <w:rsid w:val="00437B7F"/>
    <w:rsid w:val="00467919"/>
    <w:rsid w:val="0049330D"/>
    <w:rsid w:val="004A5E1F"/>
    <w:rsid w:val="005C6D5C"/>
    <w:rsid w:val="00663C04"/>
    <w:rsid w:val="006F53B6"/>
    <w:rsid w:val="00841BBC"/>
    <w:rsid w:val="008603F7"/>
    <w:rsid w:val="00892EA0"/>
    <w:rsid w:val="008A6927"/>
    <w:rsid w:val="008C77FD"/>
    <w:rsid w:val="00A523D6"/>
    <w:rsid w:val="00B04410"/>
    <w:rsid w:val="00BF279E"/>
    <w:rsid w:val="00C86087"/>
    <w:rsid w:val="00D044B3"/>
    <w:rsid w:val="00D04E9C"/>
    <w:rsid w:val="00DB1F1C"/>
    <w:rsid w:val="00DC0172"/>
    <w:rsid w:val="00E81B58"/>
    <w:rsid w:val="00E95E9A"/>
    <w:rsid w:val="00F0173A"/>
    <w:rsid w:val="00FA0253"/>
    <w:rsid w:val="00FC0F0B"/>
    <w:rsid w:val="00FD0A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D6"/>
    <w:pPr>
      <w:keepNext/>
      <w:keepLines/>
      <w:spacing w:before="480"/>
      <w:jc w:val="left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3D6"/>
    <w:pPr>
      <w:keepNext/>
      <w:keepLines/>
      <w:spacing w:before="200"/>
      <w:jc w:val="left"/>
      <w:outlineLvl w:val="1"/>
    </w:pPr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3D6"/>
    <w:pPr>
      <w:keepNext/>
      <w:keepLines/>
      <w:spacing w:before="200"/>
      <w:jc w:val="left"/>
      <w:outlineLvl w:val="2"/>
    </w:pPr>
    <w:rPr>
      <w:rFonts w:asciiTheme="majorHAnsi" w:eastAsiaTheme="majorEastAsia" w:hAnsiTheme="majorHAnsi" w:cs="Times New Roman"/>
      <w:b/>
      <w:bCs/>
      <w:color w:val="4F81BD" w:themeColor="accent1" w:themeShade="F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3D6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3D6"/>
    <w:pPr>
      <w:keepNext/>
      <w:keepLines/>
      <w:spacing w:before="200"/>
      <w:jc w:val="left"/>
      <w:outlineLvl w:val="4"/>
    </w:pPr>
    <w:rPr>
      <w:rFonts w:asciiTheme="majorHAnsi" w:eastAsiaTheme="majorEastAsia" w:hAnsiTheme="majorHAnsi" w:cs="Times New Roman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3D6"/>
    <w:pPr>
      <w:keepNext/>
      <w:keepLines/>
      <w:spacing w:before="200"/>
      <w:jc w:val="left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3D6"/>
    <w:pPr>
      <w:keepNext/>
      <w:keepLines/>
      <w:spacing w:before="200"/>
      <w:jc w:val="left"/>
      <w:outlineLvl w:val="6"/>
    </w:pPr>
    <w:rPr>
      <w:rFonts w:asciiTheme="majorHAnsi" w:eastAsiaTheme="majorEastAsia" w:hAnsiTheme="majorHAnsi" w:cs="Times New Roman"/>
      <w:i/>
      <w:iCs/>
      <w:color w:val="404040" w:themeColor="tx1" w:themeShade="FF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3D6"/>
    <w:pPr>
      <w:keepNext/>
      <w:keepLines/>
      <w:spacing w:before="200"/>
      <w:jc w:val="left"/>
      <w:outlineLvl w:val="7"/>
    </w:pPr>
    <w:rPr>
      <w:rFonts w:asciiTheme="majorHAnsi" w:eastAsiaTheme="majorEastAsia" w:hAnsiTheme="majorHAnsi" w:cs="Times New Roman"/>
      <w:color w:val="4F81BD" w:themeColor="accent1" w:themeShade="F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3D6"/>
    <w:pPr>
      <w:keepNext/>
      <w:keepLines/>
      <w:spacing w:before="200"/>
      <w:jc w:val="left"/>
      <w:outlineLvl w:val="8"/>
    </w:pPr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523D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523D6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523D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523D6"/>
    <w:rPr>
      <w:rFonts w:asciiTheme="majorHAnsi" w:eastAsiaTheme="majorEastAsia" w:hAnsiTheme="majorHAnsi" w:cs="Times New Roman"/>
      <w:b/>
      <w:bCs/>
      <w:i/>
      <w:iCs/>
      <w:color w:val="4F81BD" w:themeColor="accent1" w:themeShade="FF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523D6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523D6"/>
    <w:rPr>
      <w:rFonts w:asciiTheme="majorHAnsi" w:eastAsiaTheme="majorEastAsia" w:hAnsiTheme="majorHAnsi" w:cs="Times New Roman"/>
      <w:i/>
      <w:iCs/>
      <w:color w:val="243F60" w:themeColor="accent1" w:themeShade="7F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523D6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523D6"/>
    <w:rPr>
      <w:rFonts w:asciiTheme="majorHAnsi" w:eastAsiaTheme="majorEastAsia" w:hAnsiTheme="majorHAnsi" w:cs="Times New Roman"/>
      <w:color w:val="4F81BD" w:themeColor="accent1" w:themeShade="FF"/>
      <w:sz w:val="20"/>
      <w:szCs w:val="20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523D6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23D6"/>
    <w:pPr>
      <w:jc w:val="left"/>
    </w:pPr>
    <w:rPr>
      <w:b/>
      <w:bCs/>
      <w:color w:val="4F81BD" w:themeColor="accent1" w:themeShade="F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523D6"/>
    <w:pPr>
      <w:pBdr>
        <w:bottom w:val="single" w:sz="8" w:space="4" w:color="4F81BD"/>
      </w:pBdr>
      <w:spacing w:after="300"/>
      <w:contextualSpacing/>
      <w:jc w:val="left"/>
    </w:pPr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523D6"/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3D6"/>
    <w:pPr>
      <w:numPr>
        <w:ilvl w:val="1"/>
      </w:numPr>
      <w:jc w:val="left"/>
    </w:pPr>
    <w:rPr>
      <w:rFonts w:asciiTheme="majorHAnsi" w:eastAsiaTheme="majorEastAsia" w:hAnsiTheme="majorHAnsi" w:cs="Times New Roman"/>
      <w:i/>
      <w:iCs/>
      <w:color w:val="4F81BD" w:themeColor="accent1" w:themeShade="F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23D6"/>
    <w:rPr>
      <w:rFonts w:asciiTheme="majorHAnsi" w:eastAsiaTheme="majorEastAsia" w:hAnsiTheme="majorHAnsi" w:cs="Times New Roman"/>
      <w:i/>
      <w:iCs/>
      <w:color w:val="4F81BD" w:themeColor="accent1" w:themeShade="FF"/>
      <w:spacing w:val="15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523D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A523D6"/>
    <w:rPr>
      <w:rFonts w:cs="Times New Roman"/>
      <w:i/>
      <w:iCs/>
      <w:rtl w:val="0"/>
      <w:cs w:val="0"/>
    </w:rPr>
  </w:style>
  <w:style w:type="paragraph" w:styleId="NoSpacing">
    <w:name w:val="No Spacing"/>
    <w:uiPriority w:val="1"/>
    <w:qFormat/>
    <w:rsid w:val="00A523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523D6"/>
    <w:pPr>
      <w:ind w:left="720"/>
      <w:contextualSpacing/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A523D6"/>
    <w:pPr>
      <w:jc w:val="left"/>
    </w:pPr>
    <w:rPr>
      <w:i/>
      <w:iCs/>
      <w:color w:val="000000" w:themeColor="tx1" w:themeShade="FF"/>
    </w:rPr>
  </w:style>
  <w:style w:type="character" w:customStyle="1" w:styleId="QuoteChar">
    <w:name w:val="Quote Char"/>
    <w:basedOn w:val="DefaultParagraphFont"/>
    <w:link w:val="Quote"/>
    <w:uiPriority w:val="29"/>
    <w:locked/>
    <w:rsid w:val="00A523D6"/>
    <w:rPr>
      <w:rFonts w:cs="Times New Roman"/>
      <w:i/>
      <w:iCs/>
      <w:color w:val="000000" w:themeColor="tx1" w:themeShade="FF"/>
      <w:rtl w:val="0"/>
      <w: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3D6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 w:themeColor="accent1" w:themeShade="F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523D6"/>
    <w:rPr>
      <w:rFonts w:cs="Times New Roman"/>
      <w:b/>
      <w:bCs/>
      <w:i/>
      <w:iCs/>
      <w:color w:val="4F81BD" w:themeColor="accent1" w:themeShade="FF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A523D6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A523D6"/>
    <w:rPr>
      <w:rFonts w:cs="Times New Roman"/>
      <w:b/>
      <w:bCs/>
      <w:i/>
      <w:iCs/>
      <w:color w:val="4F81BD" w:themeColor="accent1" w:themeShade="FF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A523D6"/>
    <w:rPr>
      <w:rFonts w:cs="Times New Roman"/>
      <w:smallCaps/>
      <w:color w:val="C0504D" w:themeColor="accent2" w:themeShade="FF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A523D6"/>
    <w:rPr>
      <w:rFonts w:cs="Times New Roman"/>
      <w:b/>
      <w:bCs/>
      <w:smallCaps/>
      <w:color w:val="C0504D" w:themeColor="accent2" w:themeShade="FF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A523D6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23D6"/>
    <w:pPr>
      <w:jc w:val="left"/>
      <w:outlineLvl w:val="9"/>
    </w:pPr>
  </w:style>
  <w:style w:type="paragraph" w:styleId="BodyText">
    <w:name w:val="Body Text"/>
    <w:basedOn w:val="Normal"/>
    <w:link w:val="BodyTextChar"/>
    <w:uiPriority w:val="99"/>
    <w:rsid w:val="00FC0F0B"/>
    <w:pPr>
      <w:spacing w:after="120"/>
      <w:jc w:val="left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C0F0B"/>
    <w:rPr>
      <w:rFonts w:ascii="Times New Roman" w:hAnsi="Times New Roman" w:cs="Times New Roman"/>
      <w:sz w:val="24"/>
      <w:szCs w:val="24"/>
      <w:rtl w:val="0"/>
      <w:cs w:val="0"/>
      <w:lang w:val="sk-SK" w:eastAsia="x-none" w:bidi="ar-SA"/>
    </w:rPr>
  </w:style>
  <w:style w:type="paragraph" w:styleId="BodyText2">
    <w:name w:val="Body Text 2"/>
    <w:basedOn w:val="Normal"/>
    <w:link w:val="BodyText2Char"/>
    <w:uiPriority w:val="99"/>
    <w:rsid w:val="00FC0F0B"/>
    <w:pPr>
      <w:jc w:val="center"/>
    </w:pPr>
    <w:rPr>
      <w:rFonts w:cs="Times New Roman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C0F0B"/>
    <w:rPr>
      <w:rFonts w:ascii="Times New Roman" w:hAnsi="Times New Roman" w:cs="Times New Roman"/>
      <w:b/>
      <w:bCs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rsid w:val="00FC0F0B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FC0F0B"/>
    <w:pPr>
      <w:suppressAutoHyphens/>
      <w:spacing w:before="280" w:after="280"/>
      <w:jc w:val="left"/>
    </w:pPr>
    <w:rPr>
      <w:rFonts w:cs="Times New Roman"/>
      <w:lang w:eastAsia="ar-SA"/>
    </w:rPr>
  </w:style>
  <w:style w:type="character" w:styleId="CommentReference">
    <w:name w:val="annotation reference"/>
    <w:basedOn w:val="DefaultParagraphFont"/>
    <w:uiPriority w:val="99"/>
    <w:rsid w:val="00FC0F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FC0F0B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0F0B"/>
    <w:rPr>
      <w:rFonts w:ascii="Times New Roman" w:hAnsi="Times New Roman" w:cs="Helvetica"/>
      <w:sz w:val="20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0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0F0B"/>
    <w:rPr>
      <w:rFonts w:ascii="Tahoma" w:hAnsi="Tahoma" w:cs="Tahoma"/>
      <w:sz w:val="16"/>
      <w:szCs w:val="16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semiHidden/>
    <w:unhideWhenUsed/>
    <w:rsid w:val="0049330D"/>
    <w:rPr>
      <w:rFonts w:cs="Times New Roman"/>
      <w:color w:val="0000FF"/>
      <w:u w:val="single"/>
      <w:rtl w:val="0"/>
      <w:cs w:val="0"/>
    </w:rPr>
  </w:style>
  <w:style w:type="paragraph" w:customStyle="1" w:styleId="Petr">
    <w:name w:val="Petr"/>
    <w:basedOn w:val="Heading1"/>
    <w:rsid w:val="0017189C"/>
    <w:pPr>
      <w:keepLines w:val="0"/>
      <w:spacing w:before="120" w:line="360" w:lineRule="auto"/>
      <w:ind w:left="284" w:right="284"/>
      <w:jc w:val="both"/>
    </w:pPr>
    <w:rPr>
      <w:rFonts w:ascii="Times New Roman" w:eastAsia="Times New Roman" w:hAnsi="Times New Roman"/>
      <w:b w:val="0"/>
      <w:bCs w:val="0"/>
      <w:color w:val="auto"/>
      <w:sz w:val="26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rsid w:val="0017189C"/>
    <w:pPr>
      <w:jc w:val="left"/>
    </w:pPr>
    <w:rPr>
      <w:rFonts w:cs="Times New Roman"/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189C"/>
    <w:rPr>
      <w:rFonts w:ascii="Times New Roman" w:hAnsi="Times New Roman" w:cs="Times New Roman"/>
      <w:sz w:val="20"/>
      <w:szCs w:val="20"/>
      <w:rtl w:val="0"/>
      <w:cs w:val="0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345</Words>
  <Characters>1970</Characters>
  <Application>Microsoft Office Word</Application>
  <DocSecurity>0</DocSecurity>
  <Lines>0</Lines>
  <Paragraphs>0</Paragraphs>
  <ScaleCrop>false</ScaleCrop>
  <Company>Kancelaria NR SR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Gašparíková, Jarmila</cp:lastModifiedBy>
  <cp:revision>2</cp:revision>
  <cp:lastPrinted>2011-11-11T12:13:00Z</cp:lastPrinted>
  <dcterms:created xsi:type="dcterms:W3CDTF">2011-11-11T14:52:00Z</dcterms:created>
  <dcterms:modified xsi:type="dcterms:W3CDTF">2011-11-11T14:52:00Z</dcterms:modified>
</cp:coreProperties>
</file>