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4D1617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b/>
          <w:caps/>
          <w:spacing w:val="30"/>
          <w:sz w:val="24"/>
          <w:szCs w:val="24"/>
          <w:lang w:val="sk-SK"/>
        </w:rPr>
        <w:t>Doložka zlučiteľnosti</w:t>
      </w:r>
    </w:p>
    <w:p w:rsidR="00961DDB" w:rsidRPr="004D1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D1617" w:rsidR="00113283">
        <w:rPr>
          <w:rFonts w:ascii="Times New Roman" w:hAnsi="Times New Roman" w:cs="Times New Roman"/>
          <w:b/>
          <w:sz w:val="24"/>
          <w:szCs w:val="24"/>
          <w:lang w:val="sk-SK"/>
        </w:rPr>
        <w:t>právneho predpisu s právom Európskej únie</w:t>
      </w: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</w:p>
    <w:p w:rsidR="00961DDB" w:rsidRPr="004D16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1.</w:t>
        <w:tab/>
        <w:t>Predkladateľ právneho predpisu:</w:t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D1617" w:rsidR="004D1617">
        <w:rPr>
          <w:rFonts w:ascii="Times New Roman" w:hAnsi="Times New Roman" w:cs="Times New Roman"/>
          <w:sz w:val="24"/>
          <w:szCs w:val="24"/>
          <w:lang w:val="sk-SK"/>
        </w:rPr>
        <w:t>Ministerstvo hospodárstva Slovenskej republiky</w:t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961DDB" w:rsidRPr="004D161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61DDB" w:rsidRPr="004D161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2.</w:t>
        <w:tab/>
        <w:t>Názov návrhu právneho predpisu:</w:t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 Návrh </w:t>
      </w:r>
      <w:r w:rsidRPr="004D1617" w:rsidR="004D1617">
        <w:rPr>
          <w:rFonts w:ascii="Times New Roman" w:hAnsi="Times New Roman" w:cs="Times New Roman"/>
          <w:sz w:val="24"/>
          <w:szCs w:val="24"/>
          <w:lang w:val="sk-SK"/>
        </w:rPr>
        <w:t>zákona</w:t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604F1" w:rsidR="005604F1">
        <w:rPr>
          <w:rFonts w:ascii="Times New Roman" w:hAnsi="Times New Roman" w:cs="Times New Roman"/>
          <w:sz w:val="24"/>
          <w:szCs w:val="24"/>
          <w:lang w:val="sk-SK"/>
        </w:rPr>
        <w:t>o bezpečnosti hračiek a o zmene a doplnení niektorých zákonov</w:t>
      </w:r>
    </w:p>
    <w:p w:rsidR="00961DDB" w:rsidRPr="004D16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3.</w:t>
        <w:tab/>
        <w:t>Problematika návrhu právneho predpisu:</w:t>
      </w:r>
    </w:p>
    <w:p w:rsidR="00961DDB" w:rsidRPr="004D16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t>a)</w:t>
        <w:tab/>
        <w:t>je upravená v práve Európskej únie</w:t>
      </w:r>
    </w:p>
    <w:p w:rsidR="00961DDB" w:rsidRPr="004D16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>
      <w:pPr>
        <w:tabs>
          <w:tab w:val="left" w:pos="1068"/>
        </w:tabs>
        <w:spacing w:after="0" w:line="240" w:lineRule="auto"/>
        <w:ind w:left="879" w:hanging="171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t>-</w:t>
        <w:tab/>
      </w:r>
      <w:r w:rsidRPr="004D1617">
        <w:rPr>
          <w:rFonts w:ascii="Times New Roman" w:hAnsi="Times New Roman" w:cs="Times New Roman"/>
          <w:i/>
          <w:sz w:val="24"/>
          <w:szCs w:val="24"/>
          <w:lang w:val="sk-SK"/>
        </w:rPr>
        <w:t>primárnom</w:t>
      </w:r>
    </w:p>
    <w:p w:rsidR="00961DDB" w:rsidRPr="004D1617" w:rsidP="00313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br/>
      </w:r>
      <w:r w:rsidR="003133C6">
        <w:rPr>
          <w:rFonts w:ascii="Times New Roman" w:hAnsi="Times New Roman" w:cs="Times New Roman"/>
          <w:sz w:val="24"/>
          <w:szCs w:val="24"/>
          <w:lang w:val="sk-SK"/>
        </w:rPr>
        <w:t xml:space="preserve">  </w:t>
        <w:tab/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>Čl. 26 a 114 Zmluvy o fungovaní Európskej únie </w:t>
      </w:r>
    </w:p>
    <w:p w:rsidR="00961DDB" w:rsidRPr="004D16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907012" w:rsidP="00907012">
      <w:pPr>
        <w:numPr>
          <w:numId w:val="1"/>
        </w:numPr>
        <w:tabs>
          <w:tab w:val="left" w:pos="10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i/>
          <w:sz w:val="24"/>
          <w:szCs w:val="24"/>
          <w:lang w:val="sk-SK"/>
        </w:rPr>
        <w:t xml:space="preserve">sekundárnom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(prijatom po nadobudnutí </w:t>
      </w:r>
      <w:r w:rsidRPr="004D1617">
        <w:rPr>
          <w:rFonts w:ascii="Times New Roman" w:hAnsi="Times New Roman" w:cs="Times New Roman"/>
          <w:i/>
          <w:sz w:val="24"/>
          <w:szCs w:val="24"/>
          <w:lang w:val="sk-SK"/>
        </w:rPr>
        <w:t>platnosti Lisabonskej zmluvy, ktorou sa mení a dopĺňa Zmluva o Európskom spoločenstv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e a Zmluva o Európskej únii – po 30. novembri</w:t>
      </w:r>
      <w:r w:rsidRPr="004D161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2009)</w:t>
      </w:r>
    </w:p>
    <w:p w:rsidR="00907012" w:rsidP="009070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07012" w:rsidP="009070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sz w:val="24"/>
          <w:szCs w:val="24"/>
          <w:lang w:val="sk-SK"/>
        </w:rPr>
        <w:t>nelegislatívne akty</w:t>
      </w:r>
    </w:p>
    <w:p w:rsidR="00907012" w:rsidP="009070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07012" w:rsidP="00907012">
      <w:pPr>
        <w:numPr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907012">
        <w:rPr>
          <w:rFonts w:ascii="Times New Roman" w:hAnsi="Times New Roman" w:cs="Times New Roman"/>
          <w:i/>
          <w:sz w:val="24"/>
          <w:szCs w:val="24"/>
          <w:lang w:val="sk-SK"/>
        </w:rPr>
        <w:t>Rozhodnutie Komisie č. 2010/15/EÚ zo dňa 16. 12. 2009, ktorým sa stanovujú usmernenia pre riadenie systému Spoločenstva na rýchlu výmenu informácií (RAPEX) vytvoreného podľa čl. 12 a pre riadenie oznamovacieho postupu vytvoreného podľa článku 11 smernice 2001/95/ES (smernice o všeobecnej bezpečnosti výrobkov) (Ú. v. EÚ L 22, 26. 1. 2010)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</w:p>
    <w:p w:rsidR="00961DDB">
      <w:pPr>
        <w:tabs>
          <w:tab w:val="left" w:pos="1068"/>
        </w:tabs>
        <w:spacing w:after="0" w:line="240" w:lineRule="auto"/>
        <w:ind w:left="879" w:hanging="171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07012" w:rsidP="00907012">
      <w:pPr>
        <w:numPr>
          <w:numId w:val="1"/>
        </w:numPr>
        <w:tabs>
          <w:tab w:val="left" w:pos="10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i/>
          <w:sz w:val="24"/>
          <w:szCs w:val="24"/>
          <w:lang w:val="sk-SK"/>
        </w:rPr>
        <w:t xml:space="preserve">sekundárnom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(prijatom pred nadobudnutím </w:t>
      </w:r>
      <w:r w:rsidRPr="004D1617">
        <w:rPr>
          <w:rFonts w:ascii="Times New Roman" w:hAnsi="Times New Roman" w:cs="Times New Roman"/>
          <w:i/>
          <w:sz w:val="24"/>
          <w:szCs w:val="24"/>
          <w:lang w:val="sk-SK"/>
        </w:rPr>
        <w:t>platnosti Lisabonskej zmluvy, ktorou sa mení a dopĺňa Zmluva o Európskom spoločenstv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e a Zmluva o Európskej únii – do 30. novembra</w:t>
      </w:r>
      <w:r w:rsidRPr="004D161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2009)</w:t>
      </w:r>
    </w:p>
    <w:p w:rsidR="00907012" w:rsidRPr="004D1617">
      <w:pPr>
        <w:tabs>
          <w:tab w:val="left" w:pos="1068"/>
        </w:tabs>
        <w:spacing w:after="0" w:line="240" w:lineRule="auto"/>
        <w:ind w:left="879" w:hanging="171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07012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907012">
        <w:rPr>
          <w:rFonts w:ascii="Times New Roman" w:hAnsi="Times New Roman" w:cs="Times New Roman"/>
          <w:i/>
          <w:sz w:val="24"/>
          <w:szCs w:val="24"/>
          <w:lang w:val="sk-SK"/>
        </w:rPr>
        <w:t>Nariadenie Európskeho parlamentu a Rady (ES) č. 1272/2008 zo dňa 16. 12. 2008 o klasifikácii, označovaní a balení látok a zmesí, o zmene, doplnení a zrušení smerníc 67/548/EHS a 1999/45/ES a o zmene a doplnení nariadenia (ES) č. 1907/2006 (Ú. v. EÚ L 353, 31. 12. 2008) v platnom znení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,</w:t>
      </w:r>
    </w:p>
    <w:p w:rsid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07012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907012">
        <w:rPr>
          <w:rFonts w:ascii="Times New Roman" w:hAnsi="Times New Roman" w:cs="Times New Roman"/>
          <w:i/>
          <w:sz w:val="24"/>
          <w:szCs w:val="24"/>
          <w:lang w:val="sk-SK"/>
        </w:rPr>
        <w:t>Nariadenie Rady (EHS) č. 1/1958 zo dňa 15. 4. 1958 o používaní jazykov v Európskom hospodárskom spoločenstve (Mimoriadne vydanie Ú. v. EÚ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, kap. 1/zv. 1) v platnom znení</w:t>
      </w:r>
      <w:r w:rsidRPr="00907012">
        <w:rPr>
          <w:rFonts w:ascii="Times New Roman" w:hAnsi="Times New Roman" w:cs="Times New Roman"/>
          <w:i/>
          <w:sz w:val="24"/>
          <w:szCs w:val="24"/>
          <w:lang w:val="sk-SK"/>
        </w:rPr>
        <w:t>,</w:t>
      </w:r>
    </w:p>
    <w:p w:rsidR="00907012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07012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907012">
        <w:rPr>
          <w:rFonts w:ascii="Times New Roman" w:hAnsi="Times New Roman" w:cs="Times New Roman"/>
          <w:i/>
          <w:sz w:val="24"/>
          <w:szCs w:val="24"/>
          <w:lang w:val="sk-SK"/>
        </w:rPr>
        <w:t>Nariadenie Európskeho parlamentu a Rady (ES) č. 1935/2004 zo dňa 27. 10. 2004 o materiáloch a predmetoch určených na styk s potravinami a o zrušení smerníc 80/590/EHS a 89/109/EHS (Ú. v. EÚ L 338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, 13. 11. 2004) v platnom znení</w:t>
      </w:r>
      <w:r w:rsidRPr="00907012">
        <w:rPr>
          <w:rFonts w:ascii="Times New Roman" w:hAnsi="Times New Roman" w:cs="Times New Roman"/>
          <w:i/>
          <w:sz w:val="24"/>
          <w:szCs w:val="24"/>
          <w:lang w:val="sk-SK"/>
        </w:rPr>
        <w:t>,</w:t>
      </w:r>
    </w:p>
    <w:p w:rsidR="00907012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07012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907012">
        <w:rPr>
          <w:rFonts w:ascii="Times New Roman" w:hAnsi="Times New Roman" w:cs="Times New Roman"/>
          <w:i/>
          <w:sz w:val="24"/>
          <w:szCs w:val="24"/>
          <w:lang w:val="sk-SK"/>
        </w:rPr>
        <w:t>Nariadenie Európskeho parlamentu a Rady (ES) č. 765/2008 zo dňa 9. 7. 2008, ktorým sa stanovujú požiadavky akreditácie a dohľadu nad trhom v súvislosti s uvádzaním výrobkov na trh a ktorým sa zrušuje nariadenie (EHS) č. 339/93 (Ú. v. EÚ L 218, 13. 8. 2008),</w:t>
      </w:r>
    </w:p>
    <w:p w:rsidR="00907012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07012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907012">
        <w:rPr>
          <w:rFonts w:ascii="Times New Roman" w:hAnsi="Times New Roman" w:cs="Times New Roman"/>
          <w:i/>
          <w:sz w:val="24"/>
          <w:szCs w:val="24"/>
          <w:lang w:val="sk-SK"/>
        </w:rPr>
        <w:t>Rozhodnutie Európskeho parlamentu a Rady č. 768/2008 zo dňa 9. 7. 2008 o spoločnom rámci na uvádzanie výrobkov na trh a o zrušení rozhodnutia 93/465/EH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S (Ú. v. EÚ L 218, 13. 8. 2008)</w:t>
      </w:r>
      <w:r w:rsidRPr="00907012">
        <w:rPr>
          <w:rFonts w:ascii="Times New Roman" w:hAnsi="Times New Roman" w:cs="Times New Roman"/>
          <w:i/>
          <w:sz w:val="24"/>
          <w:szCs w:val="24"/>
          <w:lang w:val="sk-SK"/>
        </w:rPr>
        <w:t>,</w:t>
      </w:r>
    </w:p>
    <w:p w:rsidR="00907012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07012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907012">
        <w:rPr>
          <w:rFonts w:ascii="Times New Roman" w:hAnsi="Times New Roman" w:cs="Times New Roman"/>
          <w:i/>
          <w:sz w:val="24"/>
          <w:szCs w:val="24"/>
          <w:lang w:val="sk-SK"/>
        </w:rPr>
        <w:t>Smernica Európskeho parlamentu a Rady 2009/22/ES zo dňa 24. 4.2009 o súdnych príkazoch na ochranu spotrebiteľských záujmov (kodifikované zneni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e) (Ú. v. EÚ L 110, 1. 5. 2009)</w:t>
      </w:r>
      <w:r w:rsidRPr="00907012">
        <w:rPr>
          <w:rFonts w:ascii="Times New Roman" w:hAnsi="Times New Roman" w:cs="Times New Roman"/>
          <w:i/>
          <w:sz w:val="24"/>
          <w:szCs w:val="24"/>
          <w:lang w:val="sk-SK"/>
        </w:rPr>
        <w:t>,</w:t>
      </w:r>
    </w:p>
    <w:p w:rsidR="00907012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A643EF" w:rsidRPr="00907012" w:rsidP="00907012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907012" w:rsidR="00907012">
        <w:rPr>
          <w:rFonts w:ascii="Times New Roman" w:hAnsi="Times New Roman" w:cs="Times New Roman"/>
          <w:i/>
          <w:sz w:val="24"/>
          <w:szCs w:val="24"/>
          <w:lang w:val="sk-SK"/>
        </w:rPr>
        <w:t>Smernica Európskeho parlamentu a Rady 2009/48/ES zo dňa 18. 6. 2009 o bezpečnosti hračie</w:t>
      </w:r>
      <w:r w:rsidR="00907012">
        <w:rPr>
          <w:rFonts w:ascii="Times New Roman" w:hAnsi="Times New Roman" w:cs="Times New Roman"/>
          <w:i/>
          <w:sz w:val="24"/>
          <w:szCs w:val="24"/>
          <w:lang w:val="sk-SK"/>
        </w:rPr>
        <w:t>k (Ú. v. EÚ L 170, 30. 6. 2009).</w:t>
      </w:r>
    </w:p>
    <w:p w:rsidR="00961DDB" w:rsidRPr="004D16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P="00907012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je obsiahnutá v judikatúre Súdneho dvora Európskej únie.</w:t>
        <w:br/>
        <w:br/>
        <w:t>Vec C-9/04 Návrh na začatie prejudiciálneho konania Hoge Raad der Nederlanden,Holandsko v súvislosti s trestným konaním proti Geharo BV - inter</w:t>
      </w:r>
      <w:r w:rsidR="00907012">
        <w:rPr>
          <w:rFonts w:ascii="Times New Roman" w:hAnsi="Times New Roman" w:cs="Times New Roman"/>
          <w:sz w:val="24"/>
          <w:szCs w:val="24"/>
          <w:lang w:val="sk-SK"/>
        </w:rPr>
        <w:t xml:space="preserve">pretácia smernice 88/378/EHS. </w:t>
      </w:r>
    </w:p>
    <w:p w:rsidR="008B3208" w:rsidRPr="004D16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 w:rsidP="00961DD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4D16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t>a)</w:t>
        <w:tab/>
        <w:t>lehota na prebratie smernice alebo lehota na implementáciu nariadenia alebo rozhodnutia</w:t>
      </w:r>
    </w:p>
    <w:p w:rsidR="00961DDB" w:rsidRPr="004D1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 w:rsidP="004D1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lehota na prebratie smernice: 20. január 2011. </w:t>
        <w:br/>
      </w:r>
    </w:p>
    <w:p w:rsidR="008B3208" w:rsidP="008B3208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D1617" w:rsidR="00961DDB"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</w:t>
      </w:r>
    </w:p>
    <w:p w:rsidR="008B3208" w:rsidP="008B3208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P="00907012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="008B3208">
        <w:rPr>
          <w:rFonts w:ascii="Times New Roman" w:hAnsi="Times New Roman" w:cs="Times New Roman"/>
          <w:sz w:val="24"/>
          <w:szCs w:val="24"/>
          <w:lang w:val="sk-SK"/>
        </w:rPr>
        <w:tab/>
        <w:t>Pôvodným gestorom na prevzatie smernice bol Úrad pre normalizáciu, metrológiu a skúšobníctvo. Vzhľadom na zmenu gestorstva, ktorá je navrhovaná súčasne s predložením návrhu zákona o bezpečnosti hračiek</w:t>
      </w:r>
      <w:r w:rsidR="00D65215">
        <w:rPr>
          <w:rFonts w:ascii="Times New Roman" w:hAnsi="Times New Roman" w:cs="Times New Roman"/>
          <w:sz w:val="24"/>
          <w:szCs w:val="24"/>
          <w:lang w:val="sk-SK"/>
        </w:rPr>
        <w:t xml:space="preserve"> a o zmene a doplnení niektorých zákonov</w:t>
      </w:r>
      <w:r w:rsidR="008B3208">
        <w:rPr>
          <w:rFonts w:ascii="Times New Roman" w:hAnsi="Times New Roman" w:cs="Times New Roman"/>
          <w:sz w:val="24"/>
          <w:szCs w:val="24"/>
          <w:lang w:val="sk-SK"/>
        </w:rPr>
        <w:t xml:space="preserve">, lehota na predloženie zákona nie je určená uznesením vlády Slovenskej republiky. </w:t>
      </w:r>
    </w:p>
    <w:p w:rsidR="00907012" w:rsidRPr="004D1617" w:rsidP="00907012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t>c)</w:t>
        <w:tab/>
        <w:t>informácia o právnych predpisoch, v ktorých sú preberané smernice už prebraté spolu s uvedením rozsahu tohto prebratia</w:t>
      </w:r>
    </w:p>
    <w:p w:rsidR="00961DDB" w:rsidRPr="004D1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  <w:r w:rsidRPr="004D1617" w:rsidR="004D1617">
        <w:rPr>
          <w:rFonts w:ascii="Times New Roman" w:hAnsi="Times New Roman" w:cs="Times New Roman"/>
          <w:sz w:val="24"/>
          <w:szCs w:val="24"/>
          <w:lang w:val="sk-SK"/>
        </w:rPr>
        <w:t>Nariadenie vlády Slovenskej republiky č.</w:t>
      </w:r>
      <w:r w:rsidRPr="004D1617" w:rsidR="004D1617">
        <w:rPr>
          <w:rStyle w:val="apple-converted-space"/>
          <w:rFonts w:ascii="Times New Roman" w:hAnsi="Times New Roman" w:cs="Times New Roman"/>
          <w:sz w:val="24"/>
          <w:szCs w:val="24"/>
          <w:lang w:val="sk-SK"/>
        </w:rPr>
        <w:t> </w:t>
      </w:r>
      <w:hyperlink r:id="rId4" w:tgtFrame="_blank" w:history="1">
        <w:r w:rsidRPr="004D1617" w:rsidR="004D161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63/2011 Z. z.</w:t>
        </w:r>
      </w:hyperlink>
      <w:r w:rsidRPr="004D1617" w:rsidR="004D1617">
        <w:rPr>
          <w:rFonts w:ascii="Times New Roman" w:hAnsi="Times New Roman" w:cs="Times New Roman"/>
          <w:sz w:val="24"/>
          <w:szCs w:val="24"/>
          <w:lang w:val="sk-SK"/>
        </w:rPr>
        <w:t xml:space="preserve"> o technických požiadavkách a postupoch posudzovania zhody na hračky</w:t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>. </w:t>
      </w:r>
      <w:r w:rsidRPr="004D1617" w:rsidR="004D1617">
        <w:rPr>
          <w:rFonts w:ascii="Times New Roman" w:hAnsi="Times New Roman" w:cs="Times New Roman"/>
          <w:sz w:val="24"/>
          <w:szCs w:val="24"/>
          <w:lang w:val="sk-SK"/>
        </w:rPr>
        <w:t>Nariadenie vlády obsahuje neúplnú t</w:t>
      </w:r>
      <w:r w:rsidR="004D1617">
        <w:rPr>
          <w:rFonts w:ascii="Times New Roman" w:hAnsi="Times New Roman" w:cs="Times New Roman"/>
          <w:sz w:val="24"/>
          <w:szCs w:val="24"/>
          <w:lang w:val="sk-SK"/>
        </w:rPr>
        <w:t>ranspozíciu vzhľadom na formu (podzákonný predpis).</w:t>
      </w:r>
    </w:p>
    <w:p w:rsidR="00961DDB" w:rsidRPr="004D16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 w:rsidP="00961DD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4D16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Stupeň zlučiteľnosti - </w:t>
      </w:r>
      <w:r w:rsidR="00D578CE">
        <w:rPr>
          <w:rFonts w:ascii="Times New Roman" w:hAnsi="Times New Roman" w:cs="Times New Roman"/>
          <w:sz w:val="24"/>
          <w:szCs w:val="24"/>
          <w:lang w:val="sk-SK"/>
        </w:rPr>
        <w:t>úplný</w:t>
      </w:r>
    </w:p>
    <w:p w:rsidR="00961DDB" w:rsidRPr="004D16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6.</w:t>
        <w:tab/>
        <w:t xml:space="preserve">Gestor a spolupracujúce rezorty: </w:t>
      </w:r>
    </w:p>
    <w:p w:rsidR="00961DDB" w:rsidRPr="004D161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 w:rsidP="001071E6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t>Ministerstvo hospodárstva Slovenskej republiky</w:t>
        <w:br/>
        <w:t>Úrad pre normalizáciu, metrológiu a skúšobníctvo Slovenskej republiky</w:t>
        <w:br/>
        <w:t> </w:t>
      </w:r>
    </w:p>
    <w:sectPr w:rsidSect="009A187C">
      <w:footerReference w:type="default" r:id="rId5"/>
      <w:pgSz w:w="11907" w:h="16840" w:code="9"/>
      <w:pgMar w:top="1304" w:right="1440" w:bottom="1418" w:left="1440" w:header="709" w:footer="709"/>
      <w:lnNumType w:distance="0"/>
      <w:pgNumType w:start="3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7C" w:rsidRPr="009A187C" w:rsidP="000073E8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 w:rsidRPr="009A187C">
      <w:rPr>
        <w:rStyle w:val="PageNumber"/>
        <w:rFonts w:ascii="Times New Roman" w:hAnsi="Times New Roman" w:cs="Times New Roman"/>
        <w:szCs w:val="24"/>
      </w:rPr>
      <w:fldChar w:fldCharType="begin"/>
    </w:r>
    <w:r w:rsidRPr="009A187C">
      <w:rPr>
        <w:rStyle w:val="PageNumber"/>
        <w:rFonts w:ascii="Times New Roman" w:hAnsi="Times New Roman" w:cs="Times New Roman"/>
        <w:szCs w:val="24"/>
      </w:rPr>
      <w:instrText xml:space="preserve">PAGE  </w:instrText>
    </w:r>
    <w:r w:rsidRPr="009A187C"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3</w:t>
    </w:r>
    <w:r w:rsidRPr="009A187C">
      <w:rPr>
        <w:rStyle w:val="PageNumber"/>
        <w:rFonts w:ascii="Times New Roman" w:hAnsi="Times New Roman" w:cs="Times New Roman"/>
        <w:szCs w:val="24"/>
      </w:rPr>
      <w:fldChar w:fldCharType="end"/>
    </w:r>
  </w:p>
  <w:p w:rsidR="009A187C">
    <w:pPr>
      <w:pStyle w:val="Footer"/>
      <w:rPr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C9763BA0"/>
    <w:lvl w:ilvl="0">
      <w:start w:val="1"/>
      <w:numFmt w:val="none"/>
      <w:lvlText w:val="2."/>
      <w:lvlJc w:val="left"/>
      <w:pPr>
        <w:tabs>
          <w:tab w:val="num" w:pos="1239"/>
        </w:tabs>
        <w:ind w:left="1239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1">
    <w:nsid w:val="3F002117"/>
    <w:multiLevelType w:val="hybridMultilevel"/>
    <w:tmpl w:val="2CE4AB0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3">
    <w:nsid w:val="71772A03"/>
    <w:multiLevelType w:val="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4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D1617"/>
    <w:rsid w:val="000073E8"/>
    <w:rsid w:val="000C75D9"/>
    <w:rsid w:val="001071E6"/>
    <w:rsid w:val="00113283"/>
    <w:rsid w:val="0025211B"/>
    <w:rsid w:val="003133C6"/>
    <w:rsid w:val="004C3411"/>
    <w:rsid w:val="004D1617"/>
    <w:rsid w:val="004F77BB"/>
    <w:rsid w:val="00525DB1"/>
    <w:rsid w:val="005604F1"/>
    <w:rsid w:val="005D38C2"/>
    <w:rsid w:val="00611908"/>
    <w:rsid w:val="00680642"/>
    <w:rsid w:val="00757E05"/>
    <w:rsid w:val="008B3208"/>
    <w:rsid w:val="00907012"/>
    <w:rsid w:val="00961DDB"/>
    <w:rsid w:val="009A187C"/>
    <w:rsid w:val="00A643EF"/>
    <w:rsid w:val="00B47BCE"/>
    <w:rsid w:val="00BB44C3"/>
    <w:rsid w:val="00C60A22"/>
    <w:rsid w:val="00D578CE"/>
    <w:rsid w:val="00D65215"/>
    <w:rsid w:val="00E50B1E"/>
    <w:rsid w:val="00E5651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widowControl/>
      <w:adjustRightInd/>
      <w:spacing w:after="0" w:line="240" w:lineRule="auto"/>
      <w:jc w:val="left"/>
    </w:pPr>
    <w:rPr>
      <w:rFonts w:ascii="Tahoma" w:hAnsi="Tahoma" w:cs="Tahoma"/>
      <w:sz w:val="16"/>
      <w:lang w:val="sk-SK" w:eastAsia="sk-SK"/>
    </w:rPr>
  </w:style>
  <w:style w:type="table" w:styleId="TableGrid">
    <w:name w:val="Table Grid"/>
    <w:basedOn w:val="TableNormal"/>
    <w:uiPriority w:val="99"/>
    <w:rsid w:val="00B47BCE"/>
    <w:pPr>
      <w:widowControl w:val="0"/>
      <w:autoSpaceDE w:val="0"/>
      <w:autoSpaceDN w:val="0"/>
      <w:adjustRightInd w:val="0"/>
    </w:pPr>
    <w:rPr>
      <w:noProof w:val="0"/>
      <w:sz w:val="24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D1617"/>
  </w:style>
  <w:style w:type="character" w:styleId="Hyperlink">
    <w:name w:val="Hyperlink"/>
    <w:basedOn w:val="DefaultParagraphFont"/>
    <w:uiPriority w:val="99"/>
    <w:rsid w:val="004D1617"/>
    <w:rPr>
      <w:color w:val="0000FF"/>
      <w:u w:val="single"/>
    </w:rPr>
  </w:style>
  <w:style w:type="paragraph" w:styleId="Footer">
    <w:name w:val="footer"/>
    <w:basedOn w:val="Normal"/>
    <w:uiPriority w:val="99"/>
    <w:rsid w:val="009A187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9A187C"/>
  </w:style>
  <w:style w:type="paragraph" w:styleId="Header">
    <w:name w:val="header"/>
    <w:basedOn w:val="Normal"/>
    <w:uiPriority w:val="99"/>
    <w:rsid w:val="009A187C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epi.sk/Main/Default.aspx?Template=~/Main/TArticles.ascx&amp;zzsrlnkid=7781947&amp;phContent=~/ZzSR/ShowRule.ascx&amp;RuleId=29422&amp;FragmentId1=0&amp;FragmentId2=0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650</Words>
  <Characters>3706</Characters>
  <Application>Microsoft Office Word</Application>
  <DocSecurity>0</DocSecurity>
  <Lines>0</Lines>
  <Paragraphs>0</Paragraphs>
  <ScaleCrop>false</ScaleCrop>
  <Company>mhsr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csiba</dc:creator>
  <cp:lastModifiedBy>talapkova</cp:lastModifiedBy>
  <cp:revision>3</cp:revision>
  <cp:lastPrinted>2011-11-02T12:16:00Z</cp:lastPrinted>
  <dcterms:created xsi:type="dcterms:W3CDTF">2011-11-09T14:46:00Z</dcterms:created>
  <dcterms:modified xsi:type="dcterms:W3CDTF">2011-11-09T14:47:00Z</dcterms:modified>
</cp:coreProperties>
</file>