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2D2C" w:rsidP="004A42BA">
      <w:pPr>
        <w:bidi w:val="0"/>
        <w:ind w:firstLine="0"/>
      </w:pPr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89.5pt;height:666pt;margin-top:4.95pt;margin-left:-16.5pt;position:absolute;z-index:251658240">
            <v:textbox>
              <w:txbxContent>
                <w:p w:rsidR="006A2D2C" w:rsidRPr="009E34FA" w:rsidP="009E34FA">
                  <w:pPr>
                    <w:bidi w:val="0"/>
                    <w:spacing w:after="0"/>
                    <w:ind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  <w:rtl w:val="0"/>
                      <w:lang w:eastAsia="sk-SK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ok 1" o:spid="_x0000_i1026" type="#_x0000_t75" alt="znak MO SR1" style="width:147.75pt;height:117pt;visibility:visible" o:preferrelative="t" stroked="f">
                        <v:imagedata r:id="rId4" o:title=""/>
                      </v:shape>
                    </w:pict>
                  </w:r>
                </w:p>
                <w:p w:rsidR="006A2D2C" w:rsidP="000665BC">
                  <w:pPr>
                    <w:bidi w:val="0"/>
                    <w:ind w:firstLine="0"/>
                  </w:pPr>
                </w:p>
                <w:p w:rsidR="006A2D2C" w:rsidRPr="00D21005" w:rsidP="00B904F5">
                  <w:pPr>
                    <w:bidi w:val="0"/>
                    <w:ind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72"/>
                      <w:szCs w:val="72"/>
                    </w:rPr>
                  </w:pPr>
                  <w:r w:rsidRPr="00D21005">
                    <w:rPr>
                      <w:rFonts w:ascii="Times New Roman" w:hAnsi="Times New Roman" w:hint="default"/>
                      <w:b/>
                      <w:color w:val="000000"/>
                      <w:sz w:val="44"/>
                      <w:szCs w:val="44"/>
                    </w:rPr>
                    <w:t>Ú</w:t>
                  </w:r>
                  <w:r w:rsidRPr="00D21005">
                    <w:rPr>
                      <w:rFonts w:ascii="Times New Roman" w:hAnsi="Times New Roman" w:hint="default"/>
                      <w:b/>
                      <w:color w:val="000000"/>
                      <w:sz w:val="44"/>
                      <w:szCs w:val="44"/>
                    </w:rPr>
                    <w:t>ZEMIE VOJENSKÉ</w:t>
                  </w:r>
                  <w:r w:rsidRPr="00D21005">
                    <w:rPr>
                      <w:rFonts w:ascii="Times New Roman" w:hAnsi="Times New Roman" w:hint="default"/>
                      <w:b/>
                      <w:color w:val="000000"/>
                      <w:sz w:val="44"/>
                      <w:szCs w:val="44"/>
                    </w:rPr>
                    <w:t>HO OBVODU</w:t>
                  </w:r>
                </w:p>
                <w:p w:rsidR="006A2D2C" w:rsidP="00194B77">
                  <w:pPr>
                    <w:bidi w:val="0"/>
                    <w:spacing w:before="60"/>
                    <w:ind w:firstLine="0"/>
                    <w:jc w:val="center"/>
                    <w:rPr>
                      <w:rFonts w:ascii="Times New Roman" w:hAnsi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hint="default"/>
                      <w:b/>
                      <w:color w:val="FF0000"/>
                      <w:sz w:val="32"/>
                      <w:szCs w:val="32"/>
                    </w:rPr>
                    <w:t>NEBEZPEČ</w:t>
                  </w:r>
                  <w:r>
                    <w:rPr>
                      <w:rFonts w:ascii="Times New Roman" w:hAnsi="Times New Roman" w:hint="default"/>
                      <w:b/>
                      <w:color w:val="FF0000"/>
                      <w:sz w:val="32"/>
                      <w:szCs w:val="32"/>
                    </w:rPr>
                    <w:t>ENSTVO</w:t>
                  </w:r>
                  <w:r w:rsidRPr="00D73EC1">
                    <w:rPr>
                      <w:rFonts w:ascii="Times New Roman" w:hAnsi="Times New Roman" w:hint="default"/>
                      <w:b/>
                      <w:color w:val="FF0000"/>
                      <w:sz w:val="32"/>
                      <w:szCs w:val="32"/>
                    </w:rPr>
                    <w:t xml:space="preserve"> OHROZENIA Ž</w:t>
                  </w:r>
                  <w:r w:rsidRPr="00D73EC1">
                    <w:rPr>
                      <w:rFonts w:ascii="Times New Roman" w:hAnsi="Times New Roman" w:hint="default"/>
                      <w:b/>
                      <w:color w:val="FF0000"/>
                      <w:sz w:val="32"/>
                      <w:szCs w:val="32"/>
                    </w:rPr>
                    <w:t>IVOTA</w:t>
                  </w:r>
                </w:p>
                <w:p w:rsidR="006A2D2C" w:rsidRPr="00D21005" w:rsidP="00D73EC1">
                  <w:pPr>
                    <w:bidi w:val="0"/>
                    <w:ind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6A2D2C" w:rsidRPr="00461FFA" w:rsidP="000665BC">
                  <w:pPr>
                    <w:bidi w:val="0"/>
                    <w:spacing w:after="0"/>
                    <w:ind w:firstLine="851"/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Pred vstupom na 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zemie vojenské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ho obvodu je osoba povinná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presvedč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iť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sa, č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i na 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zemí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vojenské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ho obvodu alebo na jeho č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asti nie je vyhlá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sený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doč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asný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alebo trvalý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zá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kaz vstupu. </w:t>
                  </w:r>
                </w:p>
                <w:p w:rsidR="006A2D2C" w:rsidRPr="00461FFA" w:rsidP="00B904F5">
                  <w:pPr>
                    <w:bidi w:val="0"/>
                    <w:spacing w:after="0"/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A2D2C" w:rsidRPr="00461FFA" w:rsidP="008C572C">
                  <w:pPr>
                    <w:bidi w:val="0"/>
                    <w:spacing w:after="0"/>
                    <w:ind w:firstLine="851"/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Osobe, ktorá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vstú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pila na 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zemie vojenské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ho obvodu, je zaká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zané</w:t>
                  </w:r>
                </w:p>
                <w:p w:rsidR="006A2D2C" w:rsidRPr="00461FFA" w:rsidP="00B904F5">
                  <w:pPr>
                    <w:bidi w:val="0"/>
                    <w:spacing w:after="0"/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zdrž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iavať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sa na ú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zemí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vojenské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ho obvodu dlhš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ie ako 24 hodí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n,</w:t>
                  </w: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manipulovať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s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jdený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mi zbraň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ami, strelivom, vý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buš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ninami alebo ich č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asť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ami, </w:t>
                  </w: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vstupovať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do uzavretý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ch alebo ohradený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ch č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astí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vojenské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ho obvodu, n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a ktorý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ch hrozí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váž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ne ohrozenie ž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ivota alebo zdravia osô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b, </w:t>
                  </w: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zhotovovať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ná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kresy, plá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ny, fotografické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alebo filmové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zá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bery objektov obrannej infraš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truktú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ry nachá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dzajú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cich sa vo vojenskom obvode, </w:t>
                  </w: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720D23">
                    <w:rPr>
                      <w:rFonts w:ascii="Times New Roman" w:hAnsi="Times New Roman" w:hint="default"/>
                      <w:sz w:val="26"/>
                      <w:szCs w:val="26"/>
                    </w:rPr>
                    <w:t>neoprá</w:t>
                  </w:r>
                  <w:r w:rsidRPr="00720D23">
                    <w:rPr>
                      <w:rFonts w:ascii="Times New Roman" w:hAnsi="Times New Roman" w:hint="default"/>
                      <w:sz w:val="26"/>
                      <w:szCs w:val="26"/>
                    </w:rPr>
                    <w:t>vnene v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chá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dzať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motorový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m vozidlom na lesné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cesty, do lesný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ch porastov a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na poľ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nohospodá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rsku pô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du a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stáť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na nich, </w:t>
                  </w: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zakladať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oheň,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zneč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isť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ovať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a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poš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kodzovať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ž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ivotné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prostredie,</w:t>
                  </w:r>
                </w:p>
                <w:p w:rsidR="006A2D2C" w:rsidRPr="00461FFA" w:rsidP="00D21005">
                  <w:pPr>
                    <w:numPr>
                      <w:numId w:val="3"/>
                    </w:numPr>
                    <w:bidi w:val="0"/>
                    <w:spacing w:after="0"/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vykoná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vať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také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 č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innosti, v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dô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sledku ktorý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ch by vo vojenskom obvode vznikla 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koda na maje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tku 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tá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tu, alebo by doš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lo k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obmedzeniu alebo zabrá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neniu plnenia ú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loh obrany a 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bezpeč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nosti 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>tá</w:t>
                  </w:r>
                  <w:r w:rsidRPr="00461FFA">
                    <w:rPr>
                      <w:rFonts w:ascii="Times New Roman" w:hAnsi="Times New Roman" w:hint="default"/>
                      <w:color w:val="000000"/>
                      <w:sz w:val="26"/>
                      <w:szCs w:val="26"/>
                    </w:rPr>
                    <w:t xml:space="preserve">tu. </w:t>
                  </w:r>
                </w:p>
                <w:p w:rsidR="006A2D2C" w:rsidRPr="00461FFA" w:rsidP="00D21005">
                  <w:pPr>
                    <w:bidi w:val="0"/>
                    <w:spacing w:after="0"/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A2D2C" w:rsidRPr="00461FFA" w:rsidP="000665BC">
                  <w:pPr>
                    <w:bidi w:val="0"/>
                    <w:spacing w:after="0"/>
                    <w:ind w:firstLine="851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Informá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cie o obmedzení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alebo o zá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kaze vstupu na 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zemie vojenské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ho obvodu mož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no zí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skať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na 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radnej tabuli obce susediacej s vojenský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m obvodom,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na jej webovom s</w:t>
                  </w:r>
                  <w:r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í</w:t>
                  </w:r>
                  <w:r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dle, osobne alebo telefonicky </w:t>
                  </w:r>
                  <w:r w:rsidRPr="00461FFA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na obecn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om 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rad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e</w:t>
                  </w:r>
                  <w:r w:rsidRPr="00461FFA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t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ejto obce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; ď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alej aj na webovom sí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dle Ministerstva obrany Slovenskej republiky </w:t>
                  </w:r>
                  <w:r w:rsidRPr="00834431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(www. mosr.sk).</w:t>
                  </w:r>
                  <w:r w:rsidRPr="00461FFA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6A2D2C" w:rsidRPr="00461FFA" w:rsidP="008C572C">
                  <w:pPr>
                    <w:bidi w:val="0"/>
                    <w:ind w:firstLine="0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6A2D2C" w:rsidRPr="00461FFA" w:rsidP="008C572C">
                  <w:pPr>
                    <w:bidi w:val="0"/>
                    <w:spacing w:after="0"/>
                    <w:ind w:firstLine="851"/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Ministerstvo obrany Slovenskej republiky nezodpovedá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za poš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kodenie zdravia alebo za inú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kodu, ktoré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vzniknú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 xml:space="preserve"> os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obe v dô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sledku nereš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pektovania ustanovený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ch zá</w:t>
                  </w:r>
                  <w:r w:rsidRPr="00461FFA">
                    <w:rPr>
                      <w:rFonts w:ascii="Times New Roman" w:hAnsi="Times New Roman" w:hint="default"/>
                      <w:b/>
                      <w:bCs/>
                      <w:color w:val="000000"/>
                      <w:sz w:val="26"/>
                      <w:szCs w:val="26"/>
                    </w:rPr>
                    <w:t>kazov.</w:t>
                  </w:r>
                </w:p>
                <w:p w:rsidR="006A2D2C" w:rsidRPr="00461FFA" w:rsidP="00194B77">
                  <w:pPr>
                    <w:bidi w:val="0"/>
                    <w:spacing w:after="0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  <w:p w:rsidR="006A2D2C" w:rsidRPr="000665BC" w:rsidP="00194B77">
                  <w:pPr>
                    <w:bidi w:val="0"/>
                    <w:spacing w:after="0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  <w:p w:rsidR="006A2D2C" w:rsidRPr="000665BC" w:rsidP="00194B77">
                  <w:pPr>
                    <w:bidi w:val="0"/>
                    <w:spacing w:after="0"/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4A42BA">
      <w:pPr>
        <w:bidi w:val="0"/>
        <w:ind w:firstLine="0"/>
      </w:pPr>
    </w:p>
    <w:p w:rsidR="006A2D2C" w:rsidP="00C8640E">
      <w:pPr>
        <w:bidi w:val="0"/>
        <w:ind w:firstLine="0"/>
        <w:jc w:val="center"/>
        <w:rPr>
          <w:rFonts w:ascii="Bookman Old Style" w:hAnsi="Bookman Old Style"/>
          <w:sz w:val="30"/>
          <w:szCs w:val="30"/>
        </w:rPr>
      </w:pPr>
    </w:p>
    <w:p w:rsidR="006A2D2C" w:rsidP="00C8640E">
      <w:pPr>
        <w:bidi w:val="0"/>
        <w:ind w:firstLine="0"/>
        <w:jc w:val="center"/>
        <w:rPr>
          <w:rFonts w:ascii="Bookman Old Style" w:hAnsi="Bookman Old Style"/>
          <w:sz w:val="30"/>
          <w:szCs w:val="30"/>
        </w:rPr>
      </w:pPr>
    </w:p>
    <w:sectPr w:rsidSect="00132201">
      <w:headerReference w:type="default" r:id="rId5"/>
      <w:pgSz w:w="11906" w:h="16838" w:code="9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2C" w:rsidP="00824675">
    <w:pPr>
      <w:pStyle w:val="Header"/>
      <w:tabs>
        <w:tab w:val="clear" w:pos="4536"/>
        <w:tab w:val="center" w:pos="5170"/>
      </w:tabs>
      <w:bidi w:val="0"/>
      <w:spacing w:after="0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 xml:space="preserve">                                                                </w:t>
    </w:r>
    <w:r w:rsidRPr="00824675">
      <w:rPr>
        <w:rFonts w:ascii="Bookman Old Style" w:hAnsi="Bookman Old Style" w:hint="default"/>
        <w:sz w:val="24"/>
        <w:szCs w:val="24"/>
      </w:rPr>
      <w:t xml:space="preserve"> Prí</w:t>
    </w:r>
    <w:r w:rsidRPr="00824675">
      <w:rPr>
        <w:rFonts w:ascii="Bookman Old Style" w:hAnsi="Bookman Old Style" w:hint="default"/>
        <w:sz w:val="24"/>
        <w:szCs w:val="24"/>
      </w:rPr>
      <w:t>loha č</w:t>
    </w:r>
    <w:r w:rsidRPr="00824675">
      <w:rPr>
        <w:rFonts w:ascii="Bookman Old Style" w:hAnsi="Bookman Old Style" w:hint="default"/>
        <w:sz w:val="24"/>
        <w:szCs w:val="24"/>
      </w:rPr>
      <w:t xml:space="preserve">. 4 </w:t>
    </w:r>
  </w:p>
  <w:p w:rsidR="006A2D2C" w:rsidRPr="00824675" w:rsidP="00824675">
    <w:pPr>
      <w:pStyle w:val="Header"/>
      <w:bidi w:val="0"/>
      <w:spacing w:after="0"/>
      <w:ind w:firstLine="5720"/>
      <w:rPr>
        <w:rFonts w:ascii="Bookman Old Style" w:hAnsi="Bookman Old Style" w:hint="default"/>
        <w:sz w:val="24"/>
        <w:szCs w:val="24"/>
      </w:rPr>
    </w:pPr>
    <w:r w:rsidRPr="00824675">
      <w:rPr>
        <w:rFonts w:ascii="Bookman Old Style" w:hAnsi="Bookman Old Style" w:hint="default"/>
        <w:sz w:val="24"/>
        <w:szCs w:val="24"/>
      </w:rPr>
      <w:t>k vyhláš</w:t>
    </w:r>
    <w:r w:rsidRPr="00824675">
      <w:rPr>
        <w:rFonts w:ascii="Bookman Old Style" w:hAnsi="Bookman Old Style" w:hint="default"/>
        <w:sz w:val="24"/>
        <w:szCs w:val="24"/>
      </w:rPr>
      <w:t>ke č</w:t>
    </w:r>
    <w:r w:rsidRPr="00824675">
      <w:rPr>
        <w:rFonts w:ascii="Bookman Old Style" w:hAnsi="Bookman Old Style" w:hint="default"/>
        <w:sz w:val="24"/>
        <w:szCs w:val="24"/>
      </w:rPr>
      <w:t xml:space="preserve">. .../2011 Z. z.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205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DA9C2B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89E0BA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341C6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AEC8D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EE9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AF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FE1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0C1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A49EC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8A420F"/>
    <w:multiLevelType w:val="hybridMultilevel"/>
    <w:tmpl w:val="378690E8"/>
    <w:lvl w:ilvl="0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8D43B1"/>
    <w:multiLevelType w:val="hybridMultilevel"/>
    <w:tmpl w:val="3408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39E5DF0"/>
    <w:multiLevelType w:val="hybridMultilevel"/>
    <w:tmpl w:val="3AF8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90164A3"/>
    <w:multiLevelType w:val="hybridMultilevel"/>
    <w:tmpl w:val="08A6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A42BA"/>
    <w:rsid w:val="00004EAA"/>
    <w:rsid w:val="000336A8"/>
    <w:rsid w:val="00062853"/>
    <w:rsid w:val="000665BC"/>
    <w:rsid w:val="000741AB"/>
    <w:rsid w:val="00081A0F"/>
    <w:rsid w:val="000A00ED"/>
    <w:rsid w:val="000A3F30"/>
    <w:rsid w:val="001217BE"/>
    <w:rsid w:val="00132201"/>
    <w:rsid w:val="00194B77"/>
    <w:rsid w:val="001C05E1"/>
    <w:rsid w:val="001D67B5"/>
    <w:rsid w:val="00242625"/>
    <w:rsid w:val="00275DD3"/>
    <w:rsid w:val="0028136A"/>
    <w:rsid w:val="00285F4C"/>
    <w:rsid w:val="002F73B0"/>
    <w:rsid w:val="003D1B48"/>
    <w:rsid w:val="003E0FCA"/>
    <w:rsid w:val="003F7D37"/>
    <w:rsid w:val="00407AFD"/>
    <w:rsid w:val="00425151"/>
    <w:rsid w:val="00433FC0"/>
    <w:rsid w:val="00460824"/>
    <w:rsid w:val="0046134E"/>
    <w:rsid w:val="00461FFA"/>
    <w:rsid w:val="004A42BA"/>
    <w:rsid w:val="0053790A"/>
    <w:rsid w:val="005947C9"/>
    <w:rsid w:val="005D15DA"/>
    <w:rsid w:val="005D1740"/>
    <w:rsid w:val="005D6356"/>
    <w:rsid w:val="00602967"/>
    <w:rsid w:val="006240A1"/>
    <w:rsid w:val="00634010"/>
    <w:rsid w:val="006439AE"/>
    <w:rsid w:val="006A2D2C"/>
    <w:rsid w:val="006A675F"/>
    <w:rsid w:val="006F17B3"/>
    <w:rsid w:val="00713035"/>
    <w:rsid w:val="00720D23"/>
    <w:rsid w:val="00737EFA"/>
    <w:rsid w:val="00777F65"/>
    <w:rsid w:val="00785B22"/>
    <w:rsid w:val="007A796D"/>
    <w:rsid w:val="007F66ED"/>
    <w:rsid w:val="00824675"/>
    <w:rsid w:val="0082646C"/>
    <w:rsid w:val="00832C63"/>
    <w:rsid w:val="00834431"/>
    <w:rsid w:val="008C0E09"/>
    <w:rsid w:val="008C572C"/>
    <w:rsid w:val="008D29CE"/>
    <w:rsid w:val="008E2DC3"/>
    <w:rsid w:val="008E353F"/>
    <w:rsid w:val="00917785"/>
    <w:rsid w:val="00926C11"/>
    <w:rsid w:val="00927D34"/>
    <w:rsid w:val="009320F9"/>
    <w:rsid w:val="009350BA"/>
    <w:rsid w:val="00937401"/>
    <w:rsid w:val="0095131D"/>
    <w:rsid w:val="00953F0F"/>
    <w:rsid w:val="009B44C1"/>
    <w:rsid w:val="009E34FA"/>
    <w:rsid w:val="00A00217"/>
    <w:rsid w:val="00A16E62"/>
    <w:rsid w:val="00A809D6"/>
    <w:rsid w:val="00A82B47"/>
    <w:rsid w:val="00AE6D76"/>
    <w:rsid w:val="00B2547B"/>
    <w:rsid w:val="00B531D3"/>
    <w:rsid w:val="00B904F5"/>
    <w:rsid w:val="00C31503"/>
    <w:rsid w:val="00C415DA"/>
    <w:rsid w:val="00C677BD"/>
    <w:rsid w:val="00C8640E"/>
    <w:rsid w:val="00CF0BE4"/>
    <w:rsid w:val="00D21005"/>
    <w:rsid w:val="00D3550C"/>
    <w:rsid w:val="00D559AC"/>
    <w:rsid w:val="00D73EC1"/>
    <w:rsid w:val="00D752A3"/>
    <w:rsid w:val="00DB5221"/>
    <w:rsid w:val="00E03D77"/>
    <w:rsid w:val="00E57083"/>
    <w:rsid w:val="00E75880"/>
    <w:rsid w:val="00E90515"/>
    <w:rsid w:val="00EA5919"/>
    <w:rsid w:val="00F61029"/>
    <w:rsid w:val="00FB0156"/>
    <w:rsid w:val="00FC5298"/>
    <w:rsid w:val="00FD2CE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CA"/>
    <w:pPr>
      <w:framePr w:wrap="auto"/>
      <w:widowControl/>
      <w:autoSpaceDE/>
      <w:autoSpaceDN/>
      <w:adjustRightInd/>
      <w:spacing w:after="120"/>
      <w:ind w:left="0" w:right="0" w:firstLine="709"/>
      <w:jc w:val="both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73EC1"/>
    <w:pPr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rsid w:val="00824675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0156"/>
    <w:rPr>
      <w:rFonts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824675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0156"/>
    <w:rPr>
      <w:rFonts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675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156"/>
    <w:rPr>
      <w:rFonts w:ascii="Times New Roman" w:hAnsi="Times New Roman" w:cs="Times New Roman"/>
      <w:sz w:val="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</Words>
  <Characters>29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hiadlovskyp</dc:creator>
  <cp:lastModifiedBy>Gašparíková, Jarmila</cp:lastModifiedBy>
  <cp:revision>2</cp:revision>
  <cp:lastPrinted>2011-08-12T07:16:00Z</cp:lastPrinted>
  <dcterms:created xsi:type="dcterms:W3CDTF">2011-11-10T13:04:00Z</dcterms:created>
  <dcterms:modified xsi:type="dcterms:W3CDTF">2011-11-10T13:04:00Z</dcterms:modified>
</cp:coreProperties>
</file>