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137A" w:rsidRPr="00A0182B" w:rsidP="001C137A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8"/>
          <w:szCs w:val="28"/>
        </w:rPr>
      </w:pPr>
      <w:r w:rsidRPr="00A0182B">
        <w:rPr>
          <w:rFonts w:ascii="Times New Roman" w:hAnsi="Times New Roman"/>
          <w:b/>
          <w:bCs/>
          <w:caps/>
          <w:color w:val="000000"/>
          <w:spacing w:val="30"/>
          <w:sz w:val="28"/>
          <w:szCs w:val="28"/>
        </w:rPr>
        <w:t>Doložka</w:t>
      </w: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182B">
        <w:rPr>
          <w:rFonts w:ascii="Times New Roman" w:hAnsi="Times New Roman"/>
          <w:b/>
          <w:bCs/>
          <w:color w:val="000000"/>
          <w:sz w:val="28"/>
          <w:szCs w:val="28"/>
        </w:rPr>
        <w:t>vybraných vplyvov</w:t>
      </w:r>
    </w:p>
    <w:p w:rsidR="001C137A" w:rsidRPr="00A0182B" w:rsidP="001C137A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Návrh zákona, ktorým sa mení a dopĺňa zákon č. 8/2009 Z. z. o cestnej premávke a o zmene a doplnení niektorých zákonov v znení neskorších predpisov (ďalej len „návrh zákona“)</w:t>
      </w: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 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 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137A" w:rsidRPr="00A0182B" w:rsidP="001C137A">
      <w:pPr>
        <w:bidi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 </w:t>
      </w:r>
    </w:p>
    <w:p w:rsidR="001C137A" w:rsidRPr="00A0182B" w:rsidP="001C137A">
      <w:pPr>
        <w:bidi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V nasledujúcich prehľadoch bodu 1 sú kvantifikované predpokladané výšky finančných výdavkov. Nakoľko obdobný komplexný projekt v rámci Ministerstva vnútra SR realizovaný nebol – ide o predpokladaný vplyv; finančný dopad bol stanovený na základe skúseností dopravnej polície pri výbere pokút, pričom sa v nemalej miere prihliadalo aj na poznatky kolegov z Policajného zboru v Maďarskej republike pri zavádzaní objektívnej zodpovednosti do ich právneho systému. 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Pozitívny vplyv na zamestnanosť nárastom 153 pracovných miest je uvedený v tabuľkách v bode 2.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Bod 3 opisuje pozitívny vplyv na informatizáciu spoločnosti zavedením informačného systému objektívnej zodpovednosti do praxe. </w:t>
      </w: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 Vzhľadom na charakter zmien nebolo možné uvažovať s alternatívnymi riešeniami.</w:t>
      </w: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137A" w:rsidRPr="00A0182B" w:rsidP="001C137A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1C137A" w:rsidRPr="00A0182B" w:rsidP="001C137A">
      <w:pPr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Pred predložením návrhu zákona do pripomienkového konania bola vypracovaná doložka vybraných vplyvov a spolu s vlastným materiálom boli  zaslané na predbežné pripomienkové konanie Ministerstvu financií SR, Ministerstvu hospodárstva SR, Ministerstvu práce, sociálnych vecí a rodiny SR a Ministerstvu životného prostredia SR v skrátenom legislatívnom konaní najmenej päť pracovných dní pred začiatkom pripomienkového konania. Materiál bol zaslaný gestorom metodiky dňa 19. 09. 2011. 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 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</w:rPr>
        <w:t>Ministerstvo hospodárstva SR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Bez pripomienok. 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0182B">
        <w:rPr>
          <w:rFonts w:ascii="Times New Roman" w:hAnsi="Times New Roman"/>
          <w:color w:val="000000"/>
        </w:rPr>
        <w:t>Žiada upraviť chybne uvedený názov ministerstva. Uvedená chyba bola odstránená.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</w:rPr>
        <w:t>Ministerstvo práce, sociálnych vecí a rodiny SR</w:t>
      </w:r>
    </w:p>
    <w:p w:rsidR="001C137A" w:rsidP="001C137A">
      <w:pPr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Bez pripomienok.</w:t>
      </w:r>
    </w:p>
    <w:p w:rsidR="001C137A" w:rsidRPr="00A0182B" w:rsidP="001C137A">
      <w:pPr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</w:rPr>
        <w:t>Ministerstvo životného prostredia SR</w:t>
      </w:r>
    </w:p>
    <w:p w:rsidR="001C137A" w:rsidP="001C137A">
      <w:pPr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Bez pripomienok.</w:t>
      </w:r>
    </w:p>
    <w:p w:rsidR="001C137A" w:rsidRPr="00A0182B" w:rsidP="001C137A">
      <w:pPr>
        <w:bidi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</w:rPr>
        <w:t>Ministerstvo financií SR</w:t>
      </w: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  <w:r w:rsidRPr="00A0182B">
        <w:rPr>
          <w:rFonts w:ascii="Times New Roman" w:hAnsi="Times New Roman"/>
          <w:bCs/>
          <w:sz w:val="24"/>
          <w:szCs w:val="24"/>
          <w:u w:val="single"/>
          <w:lang w:eastAsia="sk-SK"/>
        </w:rPr>
        <w:t>a) k doložke vplyvov na informatizáciu</w:t>
      </w:r>
    </w:p>
    <w:p w:rsidR="001C137A" w:rsidRPr="00175F45" w:rsidP="001C137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bCs/>
          <w:sz w:val="24"/>
          <w:szCs w:val="24"/>
          <w:lang w:eastAsia="sk-SK"/>
        </w:rPr>
        <w:t>- v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 bode 6.10. analýzy vplyvov na </w:t>
      </w:r>
      <w:r w:rsidRPr="00175F45">
        <w:rPr>
          <w:rFonts w:ascii="Times New Roman" w:hAnsi="Times New Roman"/>
          <w:color w:val="000000"/>
          <w:sz w:val="24"/>
          <w:szCs w:val="24"/>
        </w:rPr>
        <w:t xml:space="preserve">informatizáciu spoločnosti žiada uviesť správny názov výnosu o štandardoch pre informačné systémy VS, a to „Výnos MF SR č. 312 Z. z. o štandardoch pre informačné systémy verejnej správy“ a taktiež uviesť príslušné paragrafy podľa tohto výnosu. S ostatnými bodmi analýzy súhlasí. </w:t>
      </w:r>
    </w:p>
    <w:p w:rsidR="001C137A" w:rsidRPr="00A0182B" w:rsidP="001C137A">
      <w:pPr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sk-SK"/>
        </w:rPr>
      </w:pPr>
      <w:r w:rsidRPr="00A0182B">
        <w:rPr>
          <w:rFonts w:ascii="Times New Roman" w:hAnsi="Times New Roman"/>
          <w:bCs/>
          <w:sz w:val="24"/>
          <w:szCs w:val="24"/>
          <w:u w:val="single"/>
          <w:lang w:eastAsia="sk-SK"/>
        </w:rPr>
        <w:t>b) k doložke vybraných vplyvov uvádza zásadné pripomienky.</w:t>
      </w: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0182B">
        <w:rPr>
          <w:rFonts w:ascii="Times New Roman" w:hAnsi="Times New Roman"/>
          <w:bCs/>
          <w:sz w:val="24"/>
          <w:szCs w:val="24"/>
          <w:lang w:eastAsia="sk-SK"/>
        </w:rPr>
        <w:t xml:space="preserve">Upozorňuje na nesúlad údajov o príjmoch verejnej správy medzi tabuľkou č. 1 uvedenou v časti Zhrnutie vplyvov na rozpočet verejnej správy v návrhu (str. 2 doložky vplyvov), doplňujúcou tabuľkou uvedenou na strane 6 doložky vplyvov a záverečným textom uvedeným na strane 7 doložky vplyvov. </w:t>
      </w:r>
    </w:p>
    <w:p w:rsidR="001C137A" w:rsidRPr="00175F45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0182B">
        <w:rPr>
          <w:rFonts w:ascii="Times New Roman" w:hAnsi="Times New Roman"/>
          <w:bCs/>
          <w:sz w:val="24"/>
          <w:szCs w:val="24"/>
          <w:lang w:eastAsia="sk-SK"/>
        </w:rPr>
        <w:t xml:space="preserve">Zároveň podotýka, že v prípade rozpočtu verejnej správy je potrebné používať pojmy príjmy a výdavky a nie </w:t>
      </w:r>
      <w:r w:rsidRPr="00175F45">
        <w:rPr>
          <w:rFonts w:ascii="Times New Roman" w:hAnsi="Times New Roman"/>
          <w:bCs/>
          <w:sz w:val="24"/>
          <w:szCs w:val="24"/>
          <w:lang w:eastAsia="sk-SK"/>
        </w:rPr>
        <w:t>náklady, výnosy a zisk. Uvedené žiada upraviť.</w:t>
      </w:r>
    </w:p>
    <w:p w:rsidR="001C137A" w:rsidRPr="00175F45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75F45">
        <w:rPr>
          <w:rFonts w:ascii="Times New Roman" w:hAnsi="Times New Roman"/>
          <w:bCs/>
          <w:sz w:val="24"/>
          <w:szCs w:val="24"/>
          <w:lang w:eastAsia="sk-SK"/>
        </w:rPr>
        <w:t>Ministerstvo financií SR nesúhlasí s požiadavkou predkladateľa zabezpečiť výdavky súvisiace s predkladaným návrhom zákona zo štátneho rozpočtu. Ministerstvo</w:t>
      </w:r>
      <w:r w:rsidRPr="00A0182B">
        <w:rPr>
          <w:rFonts w:ascii="Times New Roman" w:hAnsi="Times New Roman"/>
          <w:bCs/>
          <w:sz w:val="24"/>
          <w:szCs w:val="24"/>
          <w:lang w:eastAsia="sk-SK"/>
        </w:rPr>
        <w:t xml:space="preserve"> financií SR žiada zabezpečiť výdavky súvisiace s predmetným návrhom zákona v rámci schváleného limitu výdavkov kapitoly Ministerstva vnútra SR na príslušný rozpočtový rok, bez dodatočných požiadaviek na štátny rozpočet.  </w:t>
      </w: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1C137A" w:rsidRPr="00A0182B" w:rsidP="001C137A">
      <w:pPr>
        <w:bidi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</w:rPr>
        <w:t>Stanovisko gestora k pripomienkam Ministerstva financií SR:</w:t>
      </w:r>
    </w:p>
    <w:p w:rsidR="001C137A" w:rsidRPr="00A0182B" w:rsidP="001C137A">
      <w:pPr>
        <w:bidi w:val="0"/>
        <w:adjustRightInd w:val="0"/>
        <w:spacing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Všetky pripomienky boli akceptované a pochybenia boli odstránené. S pripomienkou týkajúcou sa krytia výdavkov potrebných na realizáciu úlohy vyplývajúcej z programového vyhlásenia vlády SR,</w:t>
      </w:r>
      <w:r>
        <w:rPr>
          <w:rFonts w:ascii="Times New Roman" w:hAnsi="Times New Roman"/>
          <w:color w:val="000000"/>
          <w:sz w:val="24"/>
          <w:szCs w:val="24"/>
        </w:rPr>
        <w:t xml:space="preserve"> Ministerstvo vnútra SR nem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ôže súhlasiť. </w:t>
      </w:r>
      <w:r w:rsidRPr="00A0182B">
        <w:rPr>
          <w:rFonts w:ascii="Times New Roman" w:hAnsi="Times New Roman"/>
          <w:bCs/>
          <w:color w:val="000000"/>
          <w:sz w:val="24"/>
          <w:szCs w:val="24"/>
        </w:rPr>
        <w:t>Ministerstvo vnútra SR navrhuje, aby rozpočtovo nekrytá položka negatívne vplývajúca na štátny rozpočet v roku 201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A0182B">
        <w:rPr>
          <w:rFonts w:ascii="Times New Roman" w:hAnsi="Times New Roman"/>
          <w:bCs/>
          <w:color w:val="000000"/>
          <w:sz w:val="24"/>
          <w:szCs w:val="24"/>
        </w:rPr>
        <w:t xml:space="preserve"> vo výške </w:t>
      </w:r>
      <w:r w:rsidRPr="00175F45">
        <w:rPr>
          <w:rFonts w:ascii="Times New Roman" w:hAnsi="Times New Roman"/>
          <w:bCs/>
          <w:color w:val="000000"/>
          <w:sz w:val="24"/>
          <w:szCs w:val="24"/>
        </w:rPr>
        <w:t xml:space="preserve">17.629.894 </w:t>
      </w:r>
      <w:r w:rsidRPr="00A0182B">
        <w:rPr>
          <w:rFonts w:ascii="Times New Roman" w:hAnsi="Times New Roman"/>
          <w:bCs/>
          <w:color w:val="000000"/>
          <w:sz w:val="24"/>
          <w:szCs w:val="24"/>
        </w:rPr>
        <w:t>€ sa navýšila v rozpočtovej kapitole Ministerstva vnútra SR. 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C8198F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C8198F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:rsidR="00C8198F" w:rsidRPr="00A0182B" w:rsidP="00C8198F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A0182B">
        <w:rPr>
          <w:rFonts w:ascii="Times New Roman" w:hAnsi="Times New Roman"/>
          <w:b/>
          <w:sz w:val="28"/>
          <w:szCs w:val="28"/>
          <w:lang w:eastAsia="cs-CZ"/>
        </w:rPr>
        <w:t>1. VPLYV NA ROZPOČET VEREJNEJ SPRÁVY</w:t>
      </w:r>
    </w:p>
    <w:p w:rsidR="00C8198F" w:rsidRPr="00A0182B" w:rsidP="00C8198F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8198F" w:rsidRPr="00A0182B" w:rsidP="00C8198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1.1. Zhrnutie vplyvov na rozpočet verejnej správy v návrhu</w:t>
      </w:r>
    </w:p>
    <w:p w:rsidR="00C8198F" w:rsidRPr="00A0182B" w:rsidP="00C8198F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 xml:space="preserve">Vplyvy na </w:t>
            </w: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 xml:space="preserve">Vplyv na rozpočet verejnej správy </w:t>
            </w: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1E00B6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</w:t>
            </w:r>
            <w:r w:rsidR="001E00B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118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1E00B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741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E00B6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18 118 741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132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v tom: za Ministerstvo vnútra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37593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E00B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E00B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18 118 741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E00B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E00B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125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37593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E00B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E00B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18 118 741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7746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37338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A7623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13 321 24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37338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A7623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13 321 24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v tom: za Ministerstvo vnútra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7623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30574C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13 321 244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5C77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13 321 244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326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326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326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5C77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13 321 244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5C77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13 321 244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326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326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20326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3267">
              <w:rPr>
                <w:rFonts w:ascii="Times New Roman" w:hAnsi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979 285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1 958 571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1 958 571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z toho vplyv na ŠR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979 285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1 958 571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1 958 571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v tom: za Ministerstvo vnútra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</w:tr>
    </w:tbl>
    <w:p w:rsidR="00C8198F" w:rsidRPr="00A0182B" w:rsidP="00C8198F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8198F" w:rsidRPr="00A0182B" w:rsidP="00C8198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1.2. Financovanie návrhu</w:t>
      </w:r>
    </w:p>
    <w:p w:rsidR="00C8198F" w:rsidRPr="00A0182B" w:rsidP="00C8198F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0"/>
          <w:szCs w:val="20"/>
          <w:lang w:eastAsia="sk-SK"/>
        </w:rPr>
        <w:t>Tabuľka č. 2</w:t>
      </w:r>
    </w:p>
    <w:tbl>
      <w:tblPr>
        <w:tblStyle w:val="TableNormal"/>
        <w:tblW w:w="9851" w:type="dxa"/>
        <w:tblCellMar>
          <w:left w:w="0" w:type="dxa"/>
          <w:right w:w="0" w:type="dxa"/>
        </w:tblCellMar>
      </w:tblPr>
      <w:tblGrid>
        <w:gridCol w:w="4159"/>
        <w:gridCol w:w="1230"/>
        <w:gridCol w:w="1414"/>
        <w:gridCol w:w="1640"/>
        <w:gridCol w:w="1408"/>
      </w:tblGrid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Financovanie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 xml:space="preserve">Vplyv na rozpočet verejnej správy </w:t>
            </w: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(v eurách)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2014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Celkový vplyv na rozpočet verejnej správy ( - príjmy, + výdavky)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70" w:lineRule="atLeast"/>
              <w:ind w:left="2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1E00B6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-</w:t>
            </w:r>
            <w:r w:rsidRPr="0030774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20467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4 79</w:t>
            </w:r>
            <w:r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7</w:t>
            </w:r>
            <w:r w:rsidRPr="0020467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 </w:t>
            </w:r>
            <w:r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497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-</w:t>
            </w:r>
            <w:r w:rsidRPr="00307746"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20467B"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4 79</w:t>
            </w:r>
            <w:r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7</w:t>
            </w:r>
            <w:r w:rsidRPr="0020467B"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 </w:t>
            </w:r>
            <w:r w:rsidR="001E00B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497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 z toho vplyv na ŠR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30774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-</w:t>
            </w:r>
            <w:r w:rsidRPr="001E00B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4 797 497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1E00B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-</w:t>
            </w:r>
            <w:r w:rsidRPr="001E00B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4 797 497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51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 financovanie zabezpečené v rozpočte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14032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14032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35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 ostatné zdroje financovania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A0182B" w:rsidP="00994A2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14032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C8198F" w:rsidRPr="00307746" w:rsidP="00994A2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14032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7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30774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30774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="001D26A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1E00B6" w:rsidRPr="00307746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="001D26A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51" w:type="dxa"/>
          <w:tblCellMar>
            <w:left w:w="0" w:type="dxa"/>
            <w:right w:w="0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C8198F" w:rsidRPr="00A0182B" w:rsidP="00994A21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</w:tr>
    </w:tbl>
    <w:p w:rsidR="00C8198F" w:rsidRPr="00A0182B" w:rsidP="00C8198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 w:rsidR="00C8198F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1.3. Popis a charakteristika návrhu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1.3.1. Popis návrhu:</w:t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A0182B" w:rsidRPr="00A0182B" w:rsidP="00A0182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Navrhovanou novelou zákona č. 8/2009 Z.</w:t>
      </w:r>
      <w:r w:rsidR="00DF762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z. o cestnej premávke a o zmene a doplnení niektorých zákonov v znení neskorších predpisov sa zavádza do slovenského právneho systému inštitút objektívnej zodpovednosti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držiteľa</w:t>
      </w:r>
      <w:r w:rsidR="00DF7625">
        <w:rPr>
          <w:rFonts w:ascii="Times New Roman" w:hAnsi="Times New Roman"/>
          <w:sz w:val="24"/>
          <w:szCs w:val="24"/>
          <w:lang w:eastAsia="sk-SK"/>
        </w:rPr>
        <w:t xml:space="preserve"> vozidla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za niektoré konkrétne porušenia pravidiel cestnej premávky. Uvedenú úlohu stanovila vláda Slovenskej republiky v bode 4.2 Vnútorný poriadok a bezpečnosť Programového vyhlásenia vlády Slovenskej republiky na obdobie rokov 2010 – 2014.</w:t>
      </w:r>
    </w:p>
    <w:p w:rsidR="00A0182B" w:rsidRPr="00A37338" w:rsidP="00A0182B">
      <w:pPr>
        <w:bidi w:val="0"/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ab/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ab/>
        <w:t xml:space="preserve">Objektívna zodpovednosť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držiteľa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F7625">
        <w:rPr>
          <w:rFonts w:ascii="Times New Roman" w:hAnsi="Times New Roman"/>
          <w:sz w:val="24"/>
          <w:szCs w:val="24"/>
          <w:lang w:eastAsia="sk-SK"/>
        </w:rPr>
        <w:t xml:space="preserve">vozidla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za protiprávne konanie vodiča sa navrhuje vymedziť ako povinnosť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držiteľa</w:t>
      </w:r>
      <w:r w:rsidRPr="00A0182B" w:rsidR="00053C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vozidla zabezpečiť, aby pri prevádzkovaní vozidla boli dodržiavané </w:t>
      </w:r>
      <w:r w:rsidR="00DF7625">
        <w:rPr>
          <w:rFonts w:ascii="Times New Roman" w:hAnsi="Times New Roman"/>
          <w:sz w:val="24"/>
          <w:szCs w:val="24"/>
          <w:lang w:eastAsia="sk-SK"/>
        </w:rPr>
        <w:t xml:space="preserve">vybrané </w:t>
      </w:r>
      <w:r w:rsidRPr="00A0182B">
        <w:rPr>
          <w:rFonts w:ascii="Times New Roman" w:hAnsi="Times New Roman"/>
          <w:sz w:val="24"/>
          <w:szCs w:val="24"/>
          <w:lang w:eastAsia="sk-SK"/>
        </w:rPr>
        <w:t>pravidlá cestnej premávky uvede</w:t>
      </w:r>
      <w:r w:rsidR="00DF7625">
        <w:rPr>
          <w:rFonts w:ascii="Times New Roman" w:hAnsi="Times New Roman"/>
          <w:sz w:val="24"/>
          <w:szCs w:val="24"/>
          <w:lang w:eastAsia="sk-SK"/>
        </w:rPr>
        <w:t>né v zákone o cestnej premávke.</w:t>
      </w:r>
    </w:p>
    <w:p w:rsidR="00A0182B" w:rsidRPr="00A37338" w:rsidP="00A0182B">
      <w:pPr>
        <w:bidi w:val="0"/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ab/>
        <w:t xml:space="preserve">Návrhom sa ustanovujú správne delikty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držiteľa</w:t>
      </w:r>
      <w:r w:rsidRPr="00A0182B" w:rsidR="00053C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vozidla so striktným určením pokuty. Orgán Policajného zboru nebude oprávnený uložiť inú pokutu ako uvádza návrh zákona.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Navrhuje sa viacero výhod pre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držiteľa</w:t>
      </w:r>
      <w:r w:rsidRPr="00A0182B" w:rsidR="00053C5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vozidla na riešenie zisteného porušenia pravidiel cestnej premávky vodičom v rámci objektívnej zodpovednosti oproti vyvodzovaniu subjektívnej zodpovednosti vodiča. </w:t>
      </w:r>
    </w:p>
    <w:p w:rsidR="00A0182B" w:rsidRPr="00A37338" w:rsidP="00A37338">
      <w:pPr>
        <w:bidi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A0182B" w:rsidRPr="00A0182B" w:rsidP="00A0182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Ďalej sa ustanovujú základné požiadavky na procesnú stránku konania o správnom delikte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držiteľa</w:t>
      </w:r>
      <w:r w:rsidRPr="00A0182B" w:rsidR="00053C5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vozidla s možnosťou tzv. vyvinenia sa, kedy môže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</w:t>
      </w:r>
      <w:r w:rsidRPr="00A0182B" w:rsidR="00053C5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oznámiť totožnosť vodiča, ktorý bude ďalej riešený v konaní o priestupku. Ak však konanie o skutku vodiča bude zastavené z dôvodov, že skutok nespáchal obvinený alebo spáchanie skutku, o ktorom sa koná nebolo obvinenému preukázané, príslušný orgán Policajného zboru v konaní o správnom delikte </w:t>
      </w:r>
      <w:r w:rsidR="00DF7625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Pr="00A0182B">
        <w:rPr>
          <w:rFonts w:ascii="Times New Roman" w:hAnsi="Times New Roman"/>
          <w:sz w:val="24"/>
          <w:szCs w:val="24"/>
          <w:lang w:eastAsia="cs-CZ"/>
        </w:rPr>
        <w:t>pokrač</w:t>
      </w:r>
      <w:r w:rsidR="00DF7625">
        <w:rPr>
          <w:rFonts w:ascii="Times New Roman" w:hAnsi="Times New Roman"/>
          <w:sz w:val="24"/>
          <w:szCs w:val="24"/>
          <w:lang w:eastAsia="cs-CZ"/>
        </w:rPr>
        <w:t>ovať</w:t>
      </w:r>
      <w:r w:rsidRPr="00A0182B">
        <w:rPr>
          <w:rFonts w:ascii="Times New Roman" w:hAnsi="Times New Roman"/>
          <w:sz w:val="24"/>
          <w:szCs w:val="24"/>
          <w:lang w:eastAsia="cs-CZ"/>
        </w:rPr>
        <w:t>.</w:t>
      </w:r>
    </w:p>
    <w:p w:rsidR="00A0182B" w:rsidRPr="00A37338" w:rsidP="00A0182B">
      <w:pPr>
        <w:bidi w:val="0"/>
        <w:spacing w:after="0" w:line="240" w:lineRule="auto"/>
        <w:ind w:firstLine="708"/>
        <w:jc w:val="both"/>
        <w:rPr>
          <w:rFonts w:ascii="Times New Roman" w:hAnsi="Times New Roman"/>
          <w:lang w:eastAsia="cs-CZ"/>
        </w:rPr>
      </w:pPr>
    </w:p>
    <w:p w:rsidR="00A0182B" w:rsidRPr="00A0182B" w:rsidP="00A0182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Na rozhodovanie o správnom delikte navrhujeme </w:t>
      </w:r>
      <w:r w:rsidR="00DF7625">
        <w:rPr>
          <w:rFonts w:ascii="Times New Roman" w:hAnsi="Times New Roman"/>
          <w:sz w:val="24"/>
          <w:szCs w:val="24"/>
          <w:lang w:eastAsia="cs-CZ"/>
        </w:rPr>
        <w:t>zriadiť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centrálny dopravný inšpektorát s územnou pôsobnosťou pre celú Slovenskú republiku. Výhodou centralizovaného orgánu je predovšetkým jednotný postup pri špeciálnom druhu správneho konania, lepšia možnosť koordinácie a súčinnosti. Celé konanie je primárne písomné; doručovanie písomností účastníkovi konania je zabezpečené predovšetkým prostredníctvom poštovej služby. Rozhodovanie by malo byť podporované informačným systémom objektívnej zodpovednosti (ďalej len „IS OZ“), ktorý by mal byť v čo najväčšej miere automatizovaný; od zberu dôkazu, jeho vyhodnotenia, lustrácie údajov v príslušných informačných systémov Policajného zboru až po uznanie viny zodpovednej osoby s minimálnou interakciou používateľa v tomto procese.</w:t>
      </w:r>
    </w:p>
    <w:p w:rsidR="00A0182B" w:rsidRPr="00A37338" w:rsidP="00A0182B">
      <w:pPr>
        <w:bidi w:val="0"/>
        <w:spacing w:after="0" w:line="240" w:lineRule="auto"/>
        <w:ind w:firstLine="709"/>
        <w:jc w:val="both"/>
        <w:rPr>
          <w:rFonts w:ascii="Times New Roman" w:hAnsi="Times New Roman"/>
          <w:lang w:eastAsia="cs-CZ"/>
        </w:rPr>
      </w:pPr>
    </w:p>
    <w:p w:rsid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ab/>
        <w:t xml:space="preserve">Návrh zákona novo ustanovuje evidenciu správnych deliktov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držiteľov</w:t>
      </w:r>
      <w:r w:rsidRPr="00A0182B" w:rsidR="00053C5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>vozidiel, ktorú vedie Policajný zbor s odkazom na § 69 zákona Národnej rady Slovenskej republiky č. 171/1993 Z.</w:t>
      </w:r>
      <w:r w:rsidR="00DF762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z. o Policajnom zbore v znení neskorších predpisov. Evidencia správnych deliktov </w:t>
      </w:r>
      <w:r w:rsidR="00053C5C">
        <w:rPr>
          <w:rFonts w:ascii="Times New Roman" w:hAnsi="Times New Roman"/>
          <w:sz w:val="24"/>
          <w:szCs w:val="24"/>
          <w:lang w:eastAsia="sk-SK"/>
        </w:rPr>
        <w:t>držiteľ</w:t>
      </w:r>
      <w:r w:rsidR="00053C5C">
        <w:rPr>
          <w:rFonts w:ascii="Times New Roman" w:hAnsi="Times New Roman"/>
          <w:sz w:val="24"/>
          <w:szCs w:val="24"/>
          <w:lang w:eastAsia="cs-CZ"/>
        </w:rPr>
        <w:t xml:space="preserve">ov </w:t>
      </w:r>
      <w:r w:rsidRPr="00A0182B">
        <w:rPr>
          <w:rFonts w:ascii="Times New Roman" w:hAnsi="Times New Roman"/>
          <w:sz w:val="24"/>
          <w:szCs w:val="24"/>
          <w:lang w:eastAsia="cs-CZ"/>
        </w:rPr>
        <w:t>vozidiel obsahuje všetky dostupné vopred zadefinované údaje o správnom delikte a o</w:t>
      </w:r>
      <w:r w:rsidR="00053C5C">
        <w:rPr>
          <w:rFonts w:ascii="Times New Roman" w:hAnsi="Times New Roman"/>
          <w:sz w:val="24"/>
          <w:szCs w:val="24"/>
          <w:lang w:eastAsia="cs-CZ"/>
        </w:rPr>
        <w:t> </w:t>
      </w:r>
      <w:r w:rsidR="00053C5C">
        <w:rPr>
          <w:rFonts w:ascii="Times New Roman" w:hAnsi="Times New Roman"/>
          <w:sz w:val="24"/>
          <w:szCs w:val="24"/>
          <w:lang w:eastAsia="sk-SK"/>
        </w:rPr>
        <w:t xml:space="preserve">držiteľoch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vozidiel. </w:t>
      </w:r>
    </w:p>
    <w:p w:rsidR="000930C1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1.3.2. Charakteristika návrhu: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bCs/>
          <w:sz w:val="24"/>
          <w:szCs w:val="24"/>
          <w:bdr w:val="single" w:sz="4" w:space="0" w:color="000000" w:frame="1"/>
          <w:lang w:eastAsia="sk-SK"/>
        </w:rPr>
        <w:t xml:space="preserve">     </w:t>
      </w: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  </w:t>
      </w:r>
      <w:r w:rsidRPr="00A0182B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bdr w:val="single" w:sz="4" w:space="0" w:color="000000" w:frame="1"/>
          <w:lang w:eastAsia="sk-SK"/>
        </w:rPr>
        <w:t xml:space="preserve">     </w:t>
      </w:r>
      <w:r w:rsidRPr="00A0182B">
        <w:rPr>
          <w:rFonts w:ascii="Times New Roman" w:hAnsi="Times New Roman"/>
          <w:sz w:val="24"/>
          <w:szCs w:val="24"/>
          <w:lang w:eastAsia="sk-SK"/>
        </w:rPr>
        <w:t>  zmena v nároku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bdr w:val="single" w:sz="4" w:space="0" w:color="000000" w:frame="1"/>
          <w:lang w:eastAsia="sk-SK"/>
        </w:rPr>
        <w:t xml:space="preserve"> X </w:t>
      </w:r>
      <w:r w:rsidRPr="00A0182B">
        <w:rPr>
          <w:rFonts w:ascii="Times New Roman" w:hAnsi="Times New Roman"/>
          <w:sz w:val="24"/>
          <w:szCs w:val="24"/>
          <w:lang w:eastAsia="sk-SK"/>
        </w:rPr>
        <w:t>  nová služba alebo nariadenie (</w:t>
      </w:r>
      <w:r w:rsidRPr="00E14032">
        <w:rPr>
          <w:rFonts w:ascii="Times" w:hAnsi="Times"/>
          <w:strike/>
          <w:sz w:val="24"/>
          <w:szCs w:val="24"/>
          <w:lang w:eastAsia="sk-SK"/>
        </w:rPr>
        <w:t>alebo ich zrušenie</w:t>
      </w:r>
      <w:r w:rsidRPr="00A0182B">
        <w:rPr>
          <w:rFonts w:ascii="Times New Roman" w:hAnsi="Times New Roman"/>
          <w:sz w:val="24"/>
          <w:szCs w:val="24"/>
          <w:lang w:eastAsia="sk-SK"/>
        </w:rPr>
        <w:t>)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bdr w:val="single" w:sz="4" w:space="0" w:color="000000" w:frame="1"/>
          <w:lang w:eastAsia="sk-SK"/>
        </w:rPr>
        <w:t xml:space="preserve">     </w:t>
      </w:r>
      <w:r w:rsidRPr="00A0182B">
        <w:rPr>
          <w:rFonts w:ascii="Times New Roman" w:hAnsi="Times New Roman"/>
          <w:sz w:val="24"/>
          <w:szCs w:val="24"/>
          <w:lang w:eastAsia="sk-SK"/>
        </w:rPr>
        <w:t>  kombinovaný návrh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bdr w:val="single" w:sz="4" w:space="0" w:color="000000" w:frame="1"/>
          <w:lang w:eastAsia="sk-SK"/>
        </w:rPr>
        <w:t xml:space="preserve">    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  iné 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</w:r>
      <w:r w:rsidRPr="00A0182B">
        <w:rPr>
          <w:rFonts w:ascii="Times New Roman" w:hAnsi="Times New Roman"/>
          <w:b/>
          <w:bCs/>
          <w:sz w:val="24"/>
          <w:szCs w:val="24"/>
          <w:lang w:eastAsia="sk-SK"/>
        </w:rPr>
        <w:t>1.3.3. Výpočty vplyvov na verejné financie</w:t>
      </w: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  <w:tab/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ab/>
        <w:t xml:space="preserve">Pri kvantifikácii vplyvu na verejné financie sa vychádzalo z cenovej úrovne platnej ku dňu realizácie výpočtov a z platnej právnej úpravy. </w:t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182B" w:rsidRPr="00A0182B" w:rsidP="00A0182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Účinnosť zákona sa navrhuje ku dňu 1. júla 2012, tento fakt je zohľadňovaný aj pri kalkulácii vplyvov na výdaje a príjmy v roku 2012. V</w:t>
      </w:r>
      <w:r w:rsidR="002053C2">
        <w:rPr>
          <w:rFonts w:ascii="Times New Roman" w:hAnsi="Times New Roman"/>
          <w:sz w:val="24"/>
          <w:szCs w:val="24"/>
          <w:lang w:eastAsia="sk-SK"/>
        </w:rPr>
        <w:t> </w:t>
      </w:r>
      <w:r w:rsidRPr="00A0182B">
        <w:rPr>
          <w:rFonts w:ascii="Times New Roman" w:hAnsi="Times New Roman"/>
          <w:sz w:val="24"/>
          <w:szCs w:val="24"/>
          <w:lang w:eastAsia="sk-SK"/>
        </w:rPr>
        <w:t>roku</w:t>
      </w:r>
      <w:r w:rsidR="002053C2">
        <w:rPr>
          <w:rFonts w:ascii="Times New Roman" w:hAnsi="Times New Roman"/>
          <w:sz w:val="24"/>
          <w:szCs w:val="24"/>
          <w:lang w:eastAsia="sk-SK"/>
        </w:rPr>
        <w:t xml:space="preserve"> 2012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sa budú čerpať predovšetkým kapitálové prostriedky (nákup informačného systému, budovy, techniky) a samozrejme pribudnú i bežné výdavky, ako mzdy, platy, služobné príjmy, poštovné, energie, údržba, ktoré však sú naplánované v polovičnej výške. V roku 2013</w:t>
      </w:r>
      <w:r w:rsidR="00E14032">
        <w:rPr>
          <w:rFonts w:ascii="Times New Roman" w:hAnsi="Times New Roman"/>
          <w:sz w:val="24"/>
          <w:szCs w:val="24"/>
          <w:lang w:eastAsia="sk-SK"/>
        </w:rPr>
        <w:t xml:space="preserve"> a 2014 sa ešte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predpokladá nutnosť </w:t>
      </w:r>
      <w:r w:rsidR="00E14032">
        <w:rPr>
          <w:rFonts w:ascii="Times New Roman" w:hAnsi="Times New Roman"/>
          <w:sz w:val="24"/>
          <w:szCs w:val="24"/>
          <w:lang w:eastAsia="sk-SK"/>
        </w:rPr>
        <w:t>aj kapitálových výdavkov a v ostatných rokoch sa predbežne predpokladajú už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len bežn</w:t>
      </w:r>
      <w:r w:rsidR="00E14032">
        <w:rPr>
          <w:rFonts w:ascii="Times New Roman" w:hAnsi="Times New Roman"/>
          <w:sz w:val="24"/>
          <w:szCs w:val="24"/>
          <w:lang w:eastAsia="sk-SK"/>
        </w:rPr>
        <w:t>é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výdavk</w:t>
      </w:r>
      <w:r w:rsidR="00E14032">
        <w:rPr>
          <w:rFonts w:ascii="Times New Roman" w:hAnsi="Times New Roman"/>
          <w:sz w:val="24"/>
          <w:szCs w:val="24"/>
          <w:lang w:eastAsia="sk-SK"/>
        </w:rPr>
        <w:t>y</w:t>
      </w:r>
      <w:r w:rsidRPr="00A0182B">
        <w:rPr>
          <w:rFonts w:ascii="Times New Roman" w:hAnsi="Times New Roman"/>
          <w:sz w:val="24"/>
          <w:szCs w:val="24"/>
          <w:lang w:eastAsia="sk-SK"/>
        </w:rPr>
        <w:t>.</w:t>
      </w:r>
    </w:p>
    <w:p w:rsidR="00A0182B" w:rsidRPr="00A0182B" w:rsidP="00A0182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182B" w:rsidRPr="00A0182B" w:rsidP="00A0182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Východiská a postupy výpočtov vplyvov sú uvedené v prílohe k tomuto materiálu.</w:t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ab/>
      </w: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  <w:sectPr w:rsidSect="000930C1">
          <w:footerReference w:type="even" r:id="rId4"/>
          <w:footerReference w:type="default" r:id="rId5"/>
          <w:pgSz w:w="11907" w:h="16840" w:code="9"/>
          <w:pgMar w:top="709" w:right="1418" w:bottom="1418" w:left="1418" w:header="709" w:footer="709" w:gutter="0"/>
          <w:lnNumType w:distance="0"/>
          <w:cols w:space="708"/>
          <w:noEndnote w:val="0"/>
          <w:bidi w:val="0"/>
        </w:sectPr>
      </w:pPr>
      <w:r w:rsidRPr="00A0182B">
        <w:rPr>
          <w:rFonts w:ascii="Times New Roman" w:hAnsi="Times New Roman"/>
          <w:sz w:val="24"/>
          <w:szCs w:val="24"/>
          <w:lang w:eastAsia="sk-SK"/>
        </w:rPr>
        <w:t> </w:t>
      </w:r>
    </w:p>
    <w:p w:rsidR="00A0182B" w:rsidRPr="00A0182B" w:rsidP="00A0182B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2013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A0182B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14625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A0182B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14625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14625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 Pokuty, penále a iné sankcie (222)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A0182B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14625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14625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14625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14625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14625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14625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14625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A0182B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14625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A0182B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14625" w:rsidRPr="00A0182B" w:rsidP="00994A2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18 118 741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14625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color w:val="FFFFFF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</w:tr>
    </w:tbl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7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2011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2013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53C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BE16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3 603 315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E16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7 206 630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E16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7 206 630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729  057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 1 458 114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 1 458 114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 250 228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500 457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500 457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Tovary a služby (630)</w:t>
            </w:r>
            <w:r w:rsidRPr="00A0182B">
              <w:rPr>
                <w:rFonts w:ascii="Times New Roman" w:hAnsi="Times New Roman"/>
                <w:sz w:val="13"/>
                <w:szCs w:val="13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4F00B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2 </w:t>
            </w: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74 030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5 148 060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5 148 060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Energie, voda a komunikácie (632)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1 886 000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3 772 000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3 772 000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Materiál (633)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4F00B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28</w:t>
            </w: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4F00B5">
              <w:rPr>
                <w:rFonts w:ascii="Times New Roman" w:hAnsi="Times New Roman"/>
                <w:sz w:val="20"/>
                <w:szCs w:val="20"/>
                <w:lang w:eastAsia="sk-SK"/>
              </w:rPr>
              <w:t>5</w:t>
            </w: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Rutinná a štandardná údržba (635)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96276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387 730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775 460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775 460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Služby (637)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20 300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40 600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40 600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Bežné transfery (640)</w:t>
            </w:r>
            <w:r w:rsidRPr="00A0182B">
              <w:rPr>
                <w:rFonts w:ascii="Times New Roman" w:hAnsi="Times New Roman"/>
                <w:sz w:val="13"/>
                <w:szCs w:val="13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100 000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100 000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Splácanie úrokov a ostatné platby súvisiace s úvermi, pôžičkami a NFV (650)</w:t>
            </w:r>
            <w:r w:rsidRPr="00A0182B">
              <w:rPr>
                <w:rFonts w:ascii="Times New Roman" w:hAnsi="Times New Roman"/>
                <w:sz w:val="13"/>
                <w:szCs w:val="13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96276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62769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9"/>
        </w:trPr>
        <w:tc>
          <w:tcPr>
            <w:tcW w:w="15450" w:type="dxa"/>
            <w:gridSpan w:val="6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E160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3733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E160B" w:rsidR="00BE16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11 396 685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BE160B" w:rsidR="00BE16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6 114 614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BE160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BE160B" w:rsidR="00BE160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6 114 614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Obstarávanie kapitálových aktív (710)</w:t>
            </w:r>
            <w:r w:rsidRPr="00A0182B">
              <w:rPr>
                <w:rFonts w:ascii="Times New Roman" w:hAnsi="Times New Roman"/>
                <w:sz w:val="13"/>
                <w:szCs w:val="13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BE160B" w:rsidR="00BE160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11 396 685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E160B" w:rsidR="00BE160B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6 114 614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BE160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BE160B" w:rsidR="00BE160B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6 114 614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Nákup pozemkov a nehmotných aktív (711)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7 000 000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30425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30425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Nákup budov, objektov alebo ich častí (712)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2 250 000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Nákup strojov, prístrojov, zariadení, techniky a náradia (713)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2 101 685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2 714 614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304259" w:rsidP="0030425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2 714 614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304259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Nákup dopravných prostriedkov všetkých druhov (714)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304259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04259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 Kapitálové transfery (720)</w:t>
            </w:r>
            <w:r w:rsidRPr="00A0182B">
              <w:rPr>
                <w:rFonts w:ascii="Times New Roman" w:hAnsi="Times New Roman"/>
                <w:sz w:val="13"/>
                <w:szCs w:val="13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37338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37338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37338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37338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0182B" w:rsidP="00A0182B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307746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37338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A7623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13 321 24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37338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A7623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13 321 24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2053C2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53C2">
              <w:rPr>
                <w:rFonts w:ascii="Times New Roman" w:hAnsi="Times New Roman"/>
                <w:color w:val="FFFFFF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0182B" w:rsidP="00A0182B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931B1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31B17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15 000 000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931B1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931B17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13 321 244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931B17" w:rsidP="00994A2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931B17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13 321 244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31B17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  Bežné výdavky</w:t>
            </w: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(600)</w:t>
            </w: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827458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2745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3 603 315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827458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27458">
              <w:rPr>
                <w:rFonts w:ascii="Times New Roman" w:hAnsi="Times New Roman"/>
                <w:sz w:val="20"/>
                <w:szCs w:val="20"/>
                <w:lang w:eastAsia="sk-SK"/>
              </w:rPr>
              <w:t>7 206 630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827458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27458">
              <w:rPr>
                <w:rFonts w:ascii="Times New Roman" w:hAnsi="Times New Roman"/>
                <w:sz w:val="20"/>
                <w:szCs w:val="20"/>
                <w:lang w:eastAsia="sk-SK"/>
              </w:rPr>
              <w:t>7 206 630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827458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2745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   </w:t>
            </w: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729 057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1 458 114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668F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1 458 114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27458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27458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27458" w:rsidRPr="00931B17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  <w:lang w:eastAsia="sk-SK"/>
              </w:rPr>
            </w:pPr>
            <w:r w:rsidRPr="0082745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11 396 685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27458" w:rsidRPr="00827458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27458">
              <w:rPr>
                <w:rFonts w:ascii="Times New Roman" w:hAnsi="Times New Roman"/>
                <w:sz w:val="20"/>
                <w:szCs w:val="20"/>
                <w:lang w:eastAsia="sk-SK"/>
              </w:rPr>
              <w:t>6 114 614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27458" w:rsidRPr="00827458" w:rsidP="00994A2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27458">
              <w:rPr>
                <w:rFonts w:ascii="Times New Roman" w:hAnsi="Times New Roman"/>
                <w:sz w:val="20"/>
                <w:szCs w:val="20"/>
                <w:lang w:eastAsia="sk-SK"/>
              </w:rPr>
              <w:t>6 114 614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827458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2053C2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053C2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2053C2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sk-SK"/>
              </w:rPr>
            </w:pPr>
          </w:p>
        </w:tc>
      </w:tr>
    </w:tbl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0"/>
          <w:szCs w:val="20"/>
          <w:lang w:eastAsia="sk-SK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3608" w:type="dxa"/>
        <w:tblCellMar>
          <w:left w:w="0" w:type="dxa"/>
          <w:right w:w="0" w:type="dxa"/>
        </w:tblCellMar>
      </w:tblPr>
      <w:tblGrid>
        <w:gridCol w:w="5436"/>
        <w:gridCol w:w="1500"/>
        <w:gridCol w:w="1598"/>
        <w:gridCol w:w="564"/>
        <w:gridCol w:w="1108"/>
        <w:gridCol w:w="383"/>
        <w:gridCol w:w="1318"/>
        <w:gridCol w:w="1701"/>
      </w:tblGrid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471" w:type="dxa"/>
            <w:gridSpan w:val="6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2011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2012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2013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2014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  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153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policajt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štátna služba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verejná služba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846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846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846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846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846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policajt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1183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1183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1183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štátna služba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823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823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823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verejná služba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533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533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729  057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1 458 114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1 458 114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729  057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1 458 114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1 458 114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250 228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500 457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500 457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250 228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500 457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0182B" w:rsidRPr="00A0182B" w:rsidP="00A0182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500 457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4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190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360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360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09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Kategórie 610 a 620 sú z tejto prílohy automaticky prenášané do príslušných kategórií prílohy „výdavky“</w:t>
            </w:r>
          </w:p>
        </w:tc>
        <w:tc>
          <w:tcPr>
            <w:tcW w:w="14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A0182B" w:rsidRPr="00A0182B" w:rsidP="00A0182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A0182B" w:rsidRPr="00A0182B" w:rsidP="00A0182B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  <w:r w:rsidRPr="00A0182B">
        <w:rPr>
          <w:rFonts w:ascii="Times New Roman" w:hAnsi="Times New Roman"/>
          <w:sz w:val="20"/>
          <w:szCs w:val="20"/>
          <w:lang w:eastAsia="sk-SK"/>
        </w:rPr>
        <w:t> </w:t>
      </w:r>
    </w:p>
    <w:p w:rsidR="00A0182B" w:rsidP="00A0182B">
      <w:pPr>
        <w:bidi w:val="0"/>
        <w:spacing w:after="0" w:line="240" w:lineRule="auto"/>
        <w:ind w:hanging="284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A0182B">
        <w:rPr>
          <w:rFonts w:ascii="Times New Roman" w:hAnsi="Times New Roman"/>
          <w:bCs/>
          <w:sz w:val="20"/>
          <w:szCs w:val="20"/>
          <w:lang w:eastAsia="sk-SK"/>
        </w:rPr>
        <w:t>* počet zamestnancov,  mzdy a poistné rozpísať podľa spôsobu odmeňovania (napr. policajti, colníci ...)</w:t>
      </w:r>
    </w:p>
    <w:p w:rsidR="00F8745C" w:rsidP="00A0182B">
      <w:pPr>
        <w:bidi w:val="0"/>
        <w:spacing w:after="0" w:line="240" w:lineRule="auto"/>
        <w:ind w:hanging="284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F8745C" w:rsidRPr="00A0182B" w:rsidP="00A0182B">
      <w:pPr>
        <w:bidi w:val="0"/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A0182B" w:rsidRPr="00A0182B" w:rsidP="00A0182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  <w:sectPr w:rsidSect="00D94474">
          <w:footerReference w:type="default" r:id="rId6"/>
          <w:pgSz w:w="15840" w:h="12240" w:orient="landscape"/>
          <w:pgMar w:top="-426" w:right="1418" w:bottom="426" w:left="1418" w:header="150" w:footer="203" w:gutter="0"/>
          <w:lnNumType w:distance="0"/>
          <w:cols w:space="708"/>
          <w:noEndnote w:val="0"/>
          <w:titlePg/>
          <w:bidi w:val="0"/>
          <w:docGrid w:linePitch="299"/>
        </w:sectPr>
      </w:pPr>
    </w:p>
    <w:p w:rsidR="007577E3" w:rsidRPr="00A0182B" w:rsidP="007577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A0182B">
        <w:rPr>
          <w:rFonts w:ascii="Times New Roman" w:hAnsi="Times New Roman"/>
          <w:b/>
          <w:sz w:val="28"/>
          <w:szCs w:val="28"/>
          <w:lang w:eastAsia="sk-SK"/>
        </w:rPr>
        <w:t xml:space="preserve">2. </w:t>
      </w:r>
      <w:r w:rsidRPr="00A0182B">
        <w:rPr>
          <w:rFonts w:ascii="Times New Roman" w:hAnsi="Times New Roman"/>
          <w:b/>
          <w:sz w:val="28"/>
          <w:szCs w:val="28"/>
          <w:lang w:eastAsia="cs-CZ"/>
        </w:rPr>
        <w:t>SOCIÁLNE VPLYVY</w:t>
      </w:r>
    </w:p>
    <w:p w:rsidR="007577E3" w:rsidRPr="00A0182B" w:rsidP="007577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A0182B">
        <w:rPr>
          <w:rFonts w:ascii="Times New Roman" w:hAnsi="Times New Roman"/>
          <w:b/>
          <w:sz w:val="28"/>
          <w:szCs w:val="28"/>
          <w:lang w:eastAsia="sk-SK"/>
        </w:rPr>
        <w:t>- vplyvy na zamestnanosť</w:t>
      </w:r>
    </w:p>
    <w:p w:rsidR="007577E3" w:rsidRPr="00A0182B" w:rsidP="007577E3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4.1.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 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4.3.</w:t>
            </w:r>
            <w:r w:rsidRPr="00A0182B">
              <w:rPr>
                <w:rFonts w:ascii="Times New Roman" w:hAnsi="Times New Roman"/>
                <w:lang w:eastAsia="sk-SK"/>
              </w:rPr>
              <w:t xml:space="preserve">  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Zhodnoťte vplyv na rovnosť príležitostí: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0182B">
              <w:rPr>
                <w:rFonts w:ascii="Times New Roman" w:hAnsi="Times New Roman"/>
                <w:i/>
                <w:lang w:eastAsia="sk-SK"/>
              </w:rPr>
              <w:t>Zhodnoťte vplyv na rodovú rovnosť.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  bezpredmetné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929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4.4. 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Zhodnoťte vplyvy na zamestnanosť.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sk-SK"/>
              </w:rPr>
            </w:pPr>
            <w:r w:rsidRPr="00A0182B">
              <w:rPr>
                <w:rFonts w:ascii="Times New Roman" w:hAnsi="Times New Roman"/>
                <w:bCs/>
                <w:i/>
                <w:lang w:eastAsia="sk-SK"/>
              </w:rPr>
              <w:t>Aké sú  vplyvy na zamestnanosť ?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A0182B">
              <w:rPr>
                <w:rFonts w:ascii="Times New Roman" w:hAnsi="Times New Roman"/>
                <w:bCs/>
                <w:i/>
                <w:lang w:eastAsia="sk-SK"/>
              </w:rPr>
              <w:t>Ktoré skupiny zamestnancov budú ohrozené schválením predkladaného materiálu ?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Cs/>
                <w:i/>
                <w:lang w:eastAsia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Nárast o 153 pracovných miest </w:t>
            </w:r>
          </w:p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A0182B">
              <w:rPr>
                <w:rFonts w:ascii="Times New Roman" w:hAnsi="Times New Roman"/>
                <w:lang w:eastAsia="sk-SK"/>
              </w:rPr>
              <w:t>z toho:</w:t>
            </w:r>
          </w:p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36 príslušníkov Policajného zboru</w:t>
            </w:r>
          </w:p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57 zamestnancov v štátnej službe</w:t>
            </w:r>
          </w:p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60 zamestnancov vo verejnej službe</w:t>
            </w:r>
          </w:p>
        </w:tc>
      </w:tr>
    </w:tbl>
    <w:p w:rsidR="007577E3" w:rsidRPr="00A0182B" w:rsidP="007577E3">
      <w:pPr>
        <w:tabs>
          <w:tab w:val="num" w:pos="1080"/>
        </w:tabs>
        <w:bidi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577E3" w:rsidRPr="00A0182B" w:rsidP="007577E3">
      <w:pPr>
        <w:tabs>
          <w:tab w:val="num" w:pos="1080"/>
        </w:tabs>
        <w:bidi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RPr="00A0182B" w:rsidP="007577E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A0182B">
        <w:rPr>
          <w:rFonts w:ascii="Times New Roman" w:hAnsi="Times New Roman"/>
          <w:b/>
          <w:bCs/>
          <w:sz w:val="28"/>
          <w:szCs w:val="28"/>
          <w:lang w:eastAsia="sk-SK"/>
        </w:rPr>
        <w:t>3. VPLYVY NA INFORMATIZÁCIU SPOLOČNOSTI</w:t>
      </w:r>
    </w:p>
    <w:p w:rsidR="007577E3" w:rsidRPr="00A0182B" w:rsidP="007577E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7577E3" w:rsidRPr="00A0182B" w:rsidP="007577E3">
      <w:pPr>
        <w:bidi w:val="0"/>
        <w:spacing w:after="0" w:line="240" w:lineRule="auto"/>
        <w:jc w:val="both"/>
        <w:rPr>
          <w:rFonts w:ascii="Tahoma" w:hAnsi="Tahoma" w:cs="Tahoma"/>
          <w:bCs/>
          <w:sz w:val="28"/>
          <w:szCs w:val="28"/>
          <w:lang w:eastAsia="sk-SK"/>
        </w:rPr>
      </w:pPr>
    </w:p>
    <w:tbl>
      <w:tblPr>
        <w:tblStyle w:val="TableNormal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4679"/>
        <w:gridCol w:w="5386"/>
      </w:tblGrid>
      <w:tr>
        <w:tblPrEx>
          <w:tblW w:w="10065" w:type="dxa"/>
          <w:tblInd w:w="-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Obsah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Rozširujú alebo inovujú  sa existujúce alebo vytvárajú sa či zavádzajú  sa nové elektronické služby?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(Popíšte ich funkciu a úroveň poskytovania.)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 xml:space="preserve">Vytvorenie novej elektronickej služby – prístup k spisovému materiálu (o porušení pravidiel cestnej premávky) prostredníctvom internetového portálu, možnosť jeho prehliadania,  možnosť úhrady uloženej pokuty – home/internetbanking, sledovanie všetkých úkonov v konkrétnej veci. Prístup konkrétneho </w:t>
            </w:r>
            <w:r>
              <w:rPr>
                <w:rFonts w:ascii="Times New Roman" w:hAnsi="Times New Roman"/>
                <w:iCs/>
                <w:lang w:eastAsia="sk-SK"/>
              </w:rPr>
              <w:t>držiteľa</w:t>
            </w:r>
            <w:r w:rsidRPr="00A0182B">
              <w:rPr>
                <w:rFonts w:ascii="Times New Roman" w:hAnsi="Times New Roman"/>
                <w:iCs/>
                <w:lang w:eastAsia="sk-SK"/>
              </w:rPr>
              <w:t xml:space="preserve"> vozidla ku konkrétnemu správnemu deliktu zabezpečený ochranou – vloženie evidenčného čísla vozidla a počítačom vygenerovaného čísla, ktoré bolo zaslané </w:t>
            </w:r>
            <w:r>
              <w:rPr>
                <w:rFonts w:ascii="Times New Roman" w:hAnsi="Times New Roman"/>
                <w:iCs/>
                <w:lang w:eastAsia="sk-SK"/>
              </w:rPr>
              <w:t>držiteľovi</w:t>
            </w:r>
            <w:r w:rsidRPr="00A0182B">
              <w:rPr>
                <w:rFonts w:ascii="Times New Roman" w:hAnsi="Times New Roman"/>
                <w:iCs/>
                <w:lang w:eastAsia="sk-SK"/>
              </w:rPr>
              <w:t xml:space="preserve"> vozidla poštovou službou.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>
              <w:rPr>
                <w:rFonts w:ascii="Times New Roman" w:hAnsi="Times New Roman"/>
                <w:iCs/>
                <w:lang w:eastAsia="sk-SK"/>
              </w:rPr>
              <w:t>Súčasne sa vytvára evidencia správnych deliktov držiteľov vozidiel.</w:t>
            </w:r>
          </w:p>
          <w:p w:rsidR="007577E3" w:rsidRPr="00A0182B" w:rsidP="00D459B4">
            <w:pPr>
              <w:numPr>
                <w:numId w:val="3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lang w:eastAsia="sk-SK"/>
              </w:rPr>
              <w:t xml:space="preserve">transakčná úroveň 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6.2.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Vytvárajú sa podmienky pre sémantickú interoperabilitu?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(Popíšte spôsob jej zabezpečenia.)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Vzájomná prepojiteľnosť systémov v MV SR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 xml:space="preserve">Komunikačné rozhranie s existujúcimi informačnými systémami, ktoré spracúvajú informácie o vozidle (PATRMV, EVO), osobných údajov držiteľa MV (REGOB), o vodičoch (evidencia vodičov), bude zabezpečené pomocou WS. 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Ľudia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6.3.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Zabezpečuje sa vzdelávanie v oblasti počítačovej gramotnosti a rozširovanie vedomostí o IKT?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spôsob, napr. projekty, školenia.)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6.4.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Zabezpečuje sa rozvoj elektronického vzdelávania?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typ a spôsob zabezpečenia vzdelávacích aktivít.)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6.5.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Zabezpečuje sa podporná a propagačná aktivita zameraná na zvyšovanie povedomia o informatizácii a IKT?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typ a spôsob zabezpečenia propagačných aktivít.)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6.6.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Zabezpečuje/zohľadňuje/zlepšuje sa prístup znevýhodnených osôb k službám informačnej spoločnosti?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spôsob sprístupnenia digitálneho prostredia.)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Infraštruktúra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6.7.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Rozširuje, inovuje, vytvára alebo zavádza sa nový informačný systém?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jeho funkciu.)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Vytvára sa nový informačný systém, ktorý okrem úloh v bode 6.1. bude zabezpečovať predovšetkým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- automatizovaný celý proces konania o správnom delikte od zberu dôkazu  až po uznanie viny zodpovednej osoby a následné vymáhanie pokút s minimálnou interakciou operátora v tomto procese;</w:t>
            </w:r>
            <w:r w:rsidRPr="00A0182B">
              <w:rPr>
                <w:rFonts w:ascii="Times New Roman" w:hAnsi="Times New Roman"/>
                <w:lang w:eastAsia="sk-SK"/>
              </w:rPr>
              <w:t xml:space="preserve"> 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A0182B">
              <w:rPr>
                <w:rFonts w:ascii="Times New Roman" w:hAnsi="Times New Roman"/>
                <w:lang w:eastAsia="sk-SK"/>
              </w:rPr>
              <w:t xml:space="preserve">- </w:t>
            </w:r>
            <w:r w:rsidRPr="00A0182B">
              <w:rPr>
                <w:rFonts w:ascii="Times New Roman" w:hAnsi="Times New Roman"/>
                <w:iCs/>
                <w:lang w:eastAsia="sk-SK"/>
              </w:rPr>
              <w:t>automatizované spracúvanie elektronického toku dokumentov agendy porušení pravidiel cestnej premávky vrátane vyhotovovania, spracúvania a archivácie súvisiacich dôkazov a spisov správnych deliktov/priestupkov na príslušných orgánoch Policajného zboru v elektronickej forme;</w:t>
            </w:r>
            <w:r w:rsidRPr="00A0182B">
              <w:rPr>
                <w:rFonts w:ascii="Times New Roman" w:hAnsi="Times New Roman"/>
                <w:lang w:eastAsia="sk-SK"/>
              </w:rPr>
              <w:t xml:space="preserve"> </w:t>
            </w:r>
          </w:p>
          <w:p w:rsidR="007577E3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sk-SK"/>
              </w:rPr>
            </w:pPr>
            <w:r w:rsidRPr="00A0182B">
              <w:rPr>
                <w:rFonts w:ascii="Times New Roman" w:hAnsi="Times New Roman"/>
                <w:lang w:eastAsia="sk-SK"/>
              </w:rPr>
              <w:t xml:space="preserve">- </w:t>
            </w:r>
            <w:r w:rsidRPr="00A0182B">
              <w:rPr>
                <w:rFonts w:ascii="Times New Roman" w:hAnsi="Times New Roman"/>
                <w:iCs/>
                <w:lang w:eastAsia="sk-SK"/>
              </w:rPr>
              <w:t>analytické a štatistické úlohy spojené so sledovaním hodnotiacich kritérií a efektívnosti využívania pracovného času používateľov systému;</w:t>
            </w:r>
          </w:p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Cs/>
                <w:lang w:eastAsia="sk-SK"/>
              </w:rPr>
              <w:t>- evidenčné úkony o konaní o správnom delikte držiteľa vozidla;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6.8.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Rozširuje sa prístupnosť k internetu?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spôsob rozširovania prístupnosti.)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6.9.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Rozširuje sa prístupnosť k elektronickým službám?</w:t>
            </w:r>
          </w:p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577E3" w:rsidRPr="00A0182B" w:rsidP="00D459B4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spôsob rozširovania prístupnosti.)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 xml:space="preserve">Informačný systém umožňuje prístup </w:t>
            </w:r>
            <w:r>
              <w:rPr>
                <w:rFonts w:ascii="Times New Roman" w:hAnsi="Times New Roman"/>
                <w:iCs/>
                <w:lang w:eastAsia="sk-SK"/>
              </w:rPr>
              <w:t>držiteľa</w:t>
            </w:r>
            <w:r w:rsidRPr="00A0182B">
              <w:rPr>
                <w:rFonts w:ascii="Times New Roman" w:hAnsi="Times New Roman"/>
                <w:iCs/>
                <w:lang w:eastAsia="sk-SK"/>
              </w:rPr>
              <w:t xml:space="preserve"> vozidla od začatia konania až po úhradu pokuty k všetkým písomnostiam vo veci porušenia pravidiel cestnej premávky na základe jedinečných identifikačných údajov, ktoré má k dispozícii len </w:t>
            </w:r>
            <w:r>
              <w:rPr>
                <w:rFonts w:ascii="Times New Roman" w:hAnsi="Times New Roman"/>
                <w:iCs/>
                <w:lang w:eastAsia="sk-SK"/>
              </w:rPr>
              <w:t>držiteľ</w:t>
            </w:r>
            <w:r w:rsidRPr="00A0182B">
              <w:rPr>
                <w:rFonts w:ascii="Times New Roman" w:hAnsi="Times New Roman"/>
                <w:iCs/>
                <w:lang w:eastAsia="sk-SK"/>
              </w:rPr>
              <w:t xml:space="preserve"> vozidla. Zároveň je umožnené </w:t>
            </w:r>
            <w:r>
              <w:rPr>
                <w:rFonts w:ascii="Times New Roman" w:hAnsi="Times New Roman"/>
                <w:iCs/>
                <w:lang w:eastAsia="sk-SK"/>
              </w:rPr>
              <w:t>držiteľovi</w:t>
            </w:r>
            <w:r w:rsidRPr="00A0182B">
              <w:rPr>
                <w:rFonts w:ascii="Times New Roman" w:hAnsi="Times New Roman"/>
                <w:iCs/>
                <w:lang w:eastAsia="sk-SK"/>
              </w:rPr>
              <w:t xml:space="preserve"> vozidla pokutu aj elektronicky uhradiť.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tabs>
                <w:tab w:val="left" w:pos="667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6.10.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Zabezpečuje sa technická interoperabilita?</w:t>
            </w:r>
          </w:p>
          <w:p w:rsidR="007577E3" w:rsidRPr="00A0182B" w:rsidP="00D459B4">
            <w:pPr>
              <w:tabs>
                <w:tab w:val="left" w:pos="667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spôsob jej zabezpečenia.)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Táto bude na základe požiadavky MV SR na budúceho dodávateľa systému zabezpečená podľa výnosu MF SR 312/2010 Z. z. o štandardoch pre informačné systémy verejnej správy. Predovšetkým podľa § 3 písm. a), § 4 ods. 1 písm. a), § 5, § 9 písm. a), § 11 a § 12 výnosu.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6.11.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Zvyšuje sa bezpečnosť IT?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Uveďte spôsob zvýšenia bezpečnosti a ochrany IT.)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6.12.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Rozširuje sa technická infraštruktúra?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Uveďte stručný popis zavádzanej infraštruktúry.)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Zavedenie informačného systému si vyžiada zvýšenie počtu osobných počítačov, serverov, kabeláže. Presný počet a popis bude známy po špecifikácii pri verejnom obstarávaní.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Riadenie procesu informatizácie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6.13.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Predpokladajú sa zmeny v riadení procesu informatizácie?</w:t>
            </w:r>
          </w:p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(Uveďte popis zmien.)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Financovanie procesu informatizácie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6.14.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Vyžaduje si proces informatizácie  finančné investície?</w:t>
            </w:r>
          </w:p>
          <w:p w:rsidR="007577E3" w:rsidRPr="00A0182B" w:rsidP="00D459B4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(Popíšte príslušnú úroveň financovania.)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>Nadrezortná úroveň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Legislatívne prostredie procesu informatizácie</w:t>
            </w:r>
          </w:p>
        </w:tc>
      </w:tr>
      <w:tr>
        <w:tblPrEx>
          <w:tblW w:w="10065" w:type="dxa"/>
          <w:tblInd w:w="-356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7E3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6.15.</w:t>
            </w:r>
            <w:r w:rsidRPr="00A0182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Predpokladá nelegislatívny materiál potrebu úpravy legislatívneho prostredia  procesu informatizácie?</w:t>
            </w:r>
          </w:p>
          <w:p w:rsidR="007577E3" w:rsidRPr="00A0182B" w:rsidP="00D459B4">
            <w:pPr>
              <w:bidi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(Stručne popíšte navrhované legislatívne zmeny.)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77E3" w:rsidRPr="00A0182B" w:rsidP="00D45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sk-SK"/>
              </w:rPr>
            </w:pPr>
            <w:r w:rsidRPr="00A0182B">
              <w:rPr>
                <w:rFonts w:ascii="Times New Roman" w:hAnsi="Times New Roman"/>
                <w:iCs/>
                <w:lang w:eastAsia="sk-SK"/>
              </w:rPr>
              <w:t xml:space="preserve">Bezpredmetné </w:t>
            </w:r>
          </w:p>
        </w:tc>
      </w:tr>
    </w:tbl>
    <w:p w:rsidR="007577E3" w:rsidRPr="00A0182B" w:rsidP="007577E3">
      <w:pPr>
        <w:bidi w:val="0"/>
        <w:spacing w:after="0" w:line="240" w:lineRule="atLeast"/>
        <w:rPr>
          <w:rFonts w:ascii="Times New Roman" w:hAnsi="Times New Roman"/>
          <w:b/>
          <w:sz w:val="28"/>
          <w:szCs w:val="28"/>
          <w:lang w:eastAsia="sk-SK"/>
        </w:rPr>
      </w:pPr>
    </w:p>
    <w:p w:rsidR="007577E3" w:rsidRPr="00A0182B" w:rsidP="007577E3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77E3" w:rsidP="001C137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7577E3" w:rsidP="001C137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7577E3" w:rsidP="001C137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7577E3" w:rsidP="007577E3">
      <w:pPr>
        <w:bidi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cs-CZ"/>
        </w:rPr>
      </w:pPr>
      <w:r w:rsidRPr="007577E3">
        <w:rPr>
          <w:rFonts w:ascii="Times New Roman" w:hAnsi="Times New Roman"/>
          <w:sz w:val="24"/>
          <w:szCs w:val="24"/>
          <w:lang w:eastAsia="cs-CZ"/>
        </w:rPr>
        <w:t>Príloha k vplyvom na štátny rozpočet</w:t>
      </w:r>
    </w:p>
    <w:p w:rsidR="007577E3" w:rsidRPr="007577E3" w:rsidP="007577E3">
      <w:pPr>
        <w:bidi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A0182B">
        <w:rPr>
          <w:rFonts w:ascii="Times New Roman" w:hAnsi="Times New Roman"/>
          <w:b/>
          <w:sz w:val="32"/>
          <w:szCs w:val="32"/>
          <w:lang w:eastAsia="cs-CZ"/>
        </w:rPr>
        <w:t>A. Pozitívny vplyv na štátny rozpočet</w:t>
      </w: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RPr="00A0182B" w:rsidP="001C137A">
      <w:pPr>
        <w:numPr>
          <w:numId w:val="10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>Výsledky skúšobnej prevádzky meračov rýchlosti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Podľa výsledkov skúšobnej prevádzky stacionárnych meračov rýchlosti v automatickej činnosti, vykonanej v júli 2009, prešlo priemerne v meranom pruhu miesta v 103,5 km  diaľnice D1 (v oblasti Nového Mesta nad Váhom) necelých 10 tisíc vozidiel, z tohto počtu až 10% vozidiel išlo rýchlosťou nad 135 km/hod. 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Z tisíc vozidiel prekračujúcich rýchlosť, ktorým bolo správne prečítané evidenčného číslo vozidla a toto bolo správne vylustrované v evidencii vozidiel, za jeden deň bola skladba prekročení rýchlosti nasledovná: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TableNormal"/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4A0"/>
      </w:tblPr>
      <w:tblGrid>
        <w:gridCol w:w="1838"/>
        <w:gridCol w:w="1535"/>
        <w:gridCol w:w="1533"/>
        <w:gridCol w:w="1294"/>
        <w:gridCol w:w="1647"/>
        <w:gridCol w:w="1441"/>
      </w:tblGrid>
      <w:tr>
        <w:tblPrEx>
          <w:tblW w:w="0" w:type="auto"/>
          <w:tblBorders>
            <w:top w:val="single" w:sz="8" w:space="0" w:color="CF7B79"/>
            <w:left w:val="single" w:sz="8" w:space="0" w:color="CF7B79"/>
            <w:bottom w:val="single" w:sz="8" w:space="0" w:color="CF7B79"/>
            <w:right w:val="single" w:sz="8" w:space="0" w:color="CF7B79"/>
            <w:insideH w:val="single" w:sz="8" w:space="0" w:color="CF7B79"/>
            <w:insideV w:val="single" w:sz="8" w:space="0" w:color="CF7B79"/>
          </w:tblBorders>
          <w:tblLook w:val="04A0"/>
        </w:tblPrEx>
        <w:trPr>
          <w:trHeight w:val="294"/>
        </w:trPr>
        <w:tc>
          <w:tcPr>
            <w:tcW w:w="1838" w:type="dxa"/>
            <w:vMerge w:val="restart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Prekročenia v km/h</w:t>
            </w:r>
          </w:p>
        </w:tc>
        <w:tc>
          <w:tcPr>
            <w:tcW w:w="1535" w:type="dxa"/>
            <w:vMerge w:val="restart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2827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Sadzba v eurách</w:t>
            </w:r>
          </w:p>
        </w:tc>
        <w:tc>
          <w:tcPr>
            <w:tcW w:w="3088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Celkom sankcia v eurách</w:t>
            </w:r>
          </w:p>
        </w:tc>
      </w:tr>
      <w:tr>
        <w:tblPrEx>
          <w:tblW w:w="0" w:type="auto"/>
          <w:tblLook w:val="04A0"/>
        </w:tblPrEx>
        <w:trPr>
          <w:trHeight w:val="294"/>
        </w:trPr>
        <w:tc>
          <w:tcPr>
            <w:tcW w:w="1838" w:type="dxa"/>
            <w:vMerge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35" w:type="dxa"/>
            <w:vMerge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plná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2/3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plná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2/3</w:t>
            </w:r>
          </w:p>
        </w:tc>
      </w:tr>
      <w:tr>
        <w:tblPrEx>
          <w:tblW w:w="0" w:type="auto"/>
          <w:tblLook w:val="04A0"/>
        </w:tblPrEx>
        <w:tc>
          <w:tcPr>
            <w:tcW w:w="183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do </w:t>
            </w: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5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141</w:t>
            </w: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5 499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3 666</w:t>
            </w:r>
          </w:p>
        </w:tc>
      </w:tr>
      <w:tr>
        <w:tblPrEx>
          <w:tblW w:w="0" w:type="auto"/>
          <w:tblLook w:val="04A0"/>
        </w:tblPrEx>
        <w:tc>
          <w:tcPr>
            <w:tcW w:w="183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21 - 30</w:t>
            </w:r>
          </w:p>
        </w:tc>
        <w:tc>
          <w:tcPr>
            <w:tcW w:w="15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88,5*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8 408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5 605</w:t>
            </w:r>
          </w:p>
        </w:tc>
      </w:tr>
      <w:tr>
        <w:tblPrEx>
          <w:tblW w:w="0" w:type="auto"/>
          <w:tblLook w:val="04A0"/>
        </w:tblPrEx>
        <w:tc>
          <w:tcPr>
            <w:tcW w:w="183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31 – 40</w:t>
            </w:r>
          </w:p>
        </w:tc>
        <w:tc>
          <w:tcPr>
            <w:tcW w:w="15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181,5*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5 445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3 630</w:t>
            </w:r>
          </w:p>
        </w:tc>
      </w:tr>
      <w:tr>
        <w:tblPrEx>
          <w:tblW w:w="0" w:type="auto"/>
          <w:tblLook w:val="04A0"/>
        </w:tblPrEx>
        <w:tc>
          <w:tcPr>
            <w:tcW w:w="183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41 – 50</w:t>
            </w:r>
          </w:p>
        </w:tc>
        <w:tc>
          <w:tcPr>
            <w:tcW w:w="15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325,5*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217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1 953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1 302</w:t>
            </w:r>
          </w:p>
        </w:tc>
      </w:tr>
      <w:tr>
        <w:tblPrEx>
          <w:tblW w:w="0" w:type="auto"/>
          <w:tblLook w:val="04A0"/>
        </w:tblPrEx>
        <w:tc>
          <w:tcPr>
            <w:tcW w:w="1838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 viac ako 50</w:t>
            </w:r>
          </w:p>
        </w:tc>
        <w:tc>
          <w:tcPr>
            <w:tcW w:w="15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630*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420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1 260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EFD3D2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840</w:t>
            </w:r>
          </w:p>
        </w:tc>
      </w:tr>
      <w:tr>
        <w:tblPrEx>
          <w:tblW w:w="0" w:type="auto"/>
          <w:tblLook w:val="04A0"/>
        </w:tblPrEx>
        <w:tc>
          <w:tcPr>
            <w:tcW w:w="1838" w:type="dxa"/>
            <w:tcBorders>
              <w:top w:val="single" w:sz="8" w:space="0" w:color="CF7B79"/>
              <w:left w:val="single" w:sz="8" w:space="0" w:color="CF7B79"/>
              <w:bottom w:val="single" w:sz="8" w:space="0" w:color="C0504D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spolu</w:t>
            </w:r>
          </w:p>
        </w:tc>
        <w:tc>
          <w:tcPr>
            <w:tcW w:w="1535" w:type="dxa"/>
            <w:tcBorders>
              <w:top w:val="single" w:sz="8" w:space="0" w:color="CF7B79"/>
              <w:left w:val="single" w:sz="8" w:space="0" w:color="CF7B79"/>
              <w:bottom w:val="single" w:sz="8" w:space="0" w:color="C0504D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274</w:t>
            </w:r>
          </w:p>
        </w:tc>
        <w:tc>
          <w:tcPr>
            <w:tcW w:w="1533" w:type="dxa"/>
            <w:tcBorders>
              <w:top w:val="single" w:sz="8" w:space="0" w:color="CF7B79"/>
              <w:left w:val="single" w:sz="8" w:space="0" w:color="CF7B79"/>
              <w:bottom w:val="single" w:sz="8" w:space="0" w:color="C0504D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94" w:type="dxa"/>
            <w:tcBorders>
              <w:top w:val="single" w:sz="8" w:space="0" w:color="CF7B79"/>
              <w:left w:val="single" w:sz="8" w:space="0" w:color="CF7B79"/>
              <w:bottom w:val="single" w:sz="8" w:space="0" w:color="C0504D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647" w:type="dxa"/>
            <w:tcBorders>
              <w:top w:val="single" w:sz="8" w:space="0" w:color="CF7B79"/>
              <w:left w:val="single" w:sz="8" w:space="0" w:color="CF7B79"/>
              <w:bottom w:val="single" w:sz="8" w:space="0" w:color="C0504D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22 565</w:t>
            </w:r>
          </w:p>
        </w:tc>
        <w:tc>
          <w:tcPr>
            <w:tcW w:w="1441" w:type="dxa"/>
            <w:tcBorders>
              <w:top w:val="single" w:sz="8" w:space="0" w:color="CF7B79"/>
              <w:left w:val="single" w:sz="8" w:space="0" w:color="CF7B79"/>
              <w:bottom w:val="single" w:sz="8" w:space="0" w:color="C0504D"/>
              <w:right w:val="single" w:sz="8" w:space="0" w:color="CF7B79"/>
            </w:tcBorders>
            <w:shd w:val="clear" w:color="auto" w:fill="DFA7A6"/>
            <w:textDirection w:val="lrTb"/>
            <w:vAlign w:val="top"/>
          </w:tcPr>
          <w:p w:rsidR="001C137A" w:rsidRPr="00A0182B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15 043</w:t>
            </w:r>
          </w:p>
        </w:tc>
      </w:tr>
    </w:tbl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cs-CZ"/>
        </w:rPr>
      </w:pPr>
      <w:r w:rsidRPr="00A0182B">
        <w:rPr>
          <w:rFonts w:ascii="Times New Roman" w:hAnsi="Times New Roman"/>
          <w:sz w:val="20"/>
          <w:szCs w:val="20"/>
          <w:lang w:eastAsia="cs-CZ"/>
        </w:rPr>
        <w:t xml:space="preserve">* priemer sankcií za prekročenie rýchlosti </w:t>
      </w:r>
    </w:p>
    <w:p w:rsidR="001C137A" w:rsidRPr="00A0182B" w:rsidP="001C137A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Na základe skúseností z Maďarskej republiky možno predpokladať, že 80 % pokút bude zaplatených v lehote na dobrovoľné plnenie, a teda, že </w:t>
      </w:r>
      <w:r>
        <w:rPr>
          <w:rFonts w:ascii="Times New Roman" w:hAnsi="Times New Roman"/>
          <w:sz w:val="24"/>
          <w:szCs w:val="24"/>
          <w:lang w:eastAsia="sk-SK"/>
        </w:rPr>
        <w:t xml:space="preserve">držiteľ </w:t>
      </w:r>
      <w:r w:rsidRPr="00A0182B">
        <w:rPr>
          <w:rFonts w:ascii="Times New Roman" w:hAnsi="Times New Roman"/>
          <w:sz w:val="24"/>
          <w:szCs w:val="24"/>
          <w:lang w:eastAsia="cs-CZ"/>
        </w:rPr>
        <w:t>využije možnosť uhradiť len 2/3 pokuty. Za jeden deň merania s jedným meračom rýchlosti bude teda dobrovoľne, v lehote uhradených 12 034 eur. Súčasne je potrebné upozorniť, že rovnako ako v Maďarskej republike, aj u nás sa s ohľadom na generálnu prevenciu inštitútu objektívnej zodpovednosti predpokladá postupne klesajúca tendencia počtu protiprávnych konaní, a teda aj príjmov z pokút.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Z uvedených informácií </w:t>
      </w:r>
      <w:r>
        <w:rPr>
          <w:rFonts w:ascii="Times New Roman" w:hAnsi="Times New Roman"/>
          <w:sz w:val="24"/>
          <w:szCs w:val="24"/>
          <w:lang w:eastAsia="cs-CZ"/>
        </w:rPr>
        <w:t>bola stanovená priemerná pokuta 62,50 €</w:t>
      </w:r>
      <w:r w:rsidRPr="00A0182B">
        <w:rPr>
          <w:rFonts w:ascii="Times New Roman" w:hAnsi="Times New Roman"/>
          <w:sz w:val="24"/>
          <w:szCs w:val="24"/>
          <w:lang w:eastAsia="cs-CZ"/>
        </w:rPr>
        <w:t>, ktorá je výsledkom priemeru celkovej sankcie plnej (22565) a 2/3 sadzby (15043) a následným vydelením tejto sumy celkovým počtom prekročení rýchlostí (274) a primerane znížená vzhľadom sa skutočnosť v predošlom ods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A0182B">
        <w:rPr>
          <w:rFonts w:ascii="Times New Roman" w:hAnsi="Times New Roman"/>
          <w:sz w:val="24"/>
          <w:szCs w:val="24"/>
          <w:lang w:eastAsia="cs-CZ"/>
        </w:rPr>
        <w:t>ku. Uvedená suma je neskôr dôleži</w:t>
      </w:r>
      <w:r>
        <w:rPr>
          <w:rFonts w:ascii="Times New Roman" w:hAnsi="Times New Roman"/>
          <w:sz w:val="24"/>
          <w:szCs w:val="24"/>
          <w:lang w:eastAsia="cs-CZ"/>
        </w:rPr>
        <w:t>tá pri výpočte celkového príjmu, ktorá je však znižovaná s ohľadom na predpokladané výchovné pôsobenie inštitútu objektívnej zodpovednosti na vodičov.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numPr>
          <w:numId w:val="10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>Zo štatistických ukazovateľov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RPr="00933525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933525">
        <w:rPr>
          <w:rFonts w:ascii="Times New Roman" w:hAnsi="Times New Roman"/>
          <w:sz w:val="24"/>
          <w:szCs w:val="24"/>
          <w:lang w:eastAsia="cs-CZ"/>
        </w:rPr>
        <w:t xml:space="preserve">V roku 2010 bolo za priestupky spáchané prekročením ustanovenej rýchlosti vybraných službou dopravnej polície, ktorá bude aplikovať inštitút objektívnej zodpovednosti viac než 13 miliónov eur, uložených prevažne v blokovom konaní. </w:t>
      </w:r>
    </w:p>
    <w:tbl>
      <w:tblPr>
        <w:tblStyle w:val="TableNormal"/>
        <w:tblpPr w:leftFromText="141" w:rightFromText="141" w:vertAnchor="text" w:horzAnchor="margin" w:tblpXSpec="center" w:tblpY="183"/>
        <w:tblW w:w="3559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/>
      </w:tblPr>
      <w:tblGrid>
        <w:gridCol w:w="2260"/>
        <w:gridCol w:w="1299"/>
      </w:tblGrid>
      <w:tr>
        <w:tblPrEx>
          <w:tblW w:w="3559" w:type="dxa"/>
          <w:tblBorders>
            <w:top w:val="single" w:sz="8" w:space="0" w:color="8064A2"/>
            <w:left w:val="single" w:sz="8" w:space="0" w:color="8064A2"/>
            <w:bottom w:val="single" w:sz="8" w:space="0" w:color="8064A2"/>
            <w:right w:val="single" w:sz="8" w:space="0" w:color="8064A2"/>
            <w:insideH w:val="single" w:sz="8" w:space="0" w:color="8064A2"/>
            <w:insideV w:val="single" w:sz="8" w:space="0" w:color="8064A2"/>
          </w:tblBorders>
          <w:tblLook w:val="04A0"/>
        </w:tblPrEx>
        <w:trPr>
          <w:trHeight w:val="259"/>
        </w:trPr>
        <w:tc>
          <w:tcPr>
            <w:tcW w:w="226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B2A1C7"/>
            <w:noWrap/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</w:pPr>
            <w:r w:rsidRPr="00A0182B"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  <w:t>Pokuty - počet</w:t>
            </w:r>
          </w:p>
        </w:tc>
        <w:tc>
          <w:tcPr>
            <w:tcW w:w="129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B2A1C7"/>
            <w:noWrap/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</w:pPr>
            <w:r w:rsidRPr="00A0182B"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  <w:t>240 334</w:t>
            </w:r>
          </w:p>
        </w:tc>
      </w:tr>
      <w:tr>
        <w:tblPrEx>
          <w:tblW w:w="3559" w:type="dxa"/>
          <w:tblLook w:val="04A0"/>
        </w:tblPrEx>
        <w:trPr>
          <w:trHeight w:val="259"/>
        </w:trPr>
        <w:tc>
          <w:tcPr>
            <w:tcW w:w="22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</w:pPr>
            <w:r w:rsidRPr="00A0182B"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  <w:t>suma v €</w:t>
            </w:r>
          </w:p>
        </w:tc>
        <w:tc>
          <w:tcPr>
            <w:tcW w:w="12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</w:pPr>
            <w:r w:rsidRPr="00A0182B"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  <w:t>12 815 786</w:t>
            </w:r>
          </w:p>
        </w:tc>
      </w:tr>
      <w:tr>
        <w:tblPrEx>
          <w:tblW w:w="3559" w:type="dxa"/>
          <w:tblLook w:val="04A0"/>
        </w:tblPrEx>
        <w:trPr>
          <w:trHeight w:val="259"/>
        </w:trPr>
        <w:tc>
          <w:tcPr>
            <w:tcW w:w="226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2A1C7"/>
            <w:noWrap/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</w:pPr>
            <w:r w:rsidRPr="00A0182B"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  <w:t>predložených na SK</w:t>
            </w:r>
          </w:p>
        </w:tc>
        <w:tc>
          <w:tcPr>
            <w:tcW w:w="12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B2A1C7"/>
            <w:noWrap/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</w:pPr>
            <w:r w:rsidRPr="00A0182B">
              <w:rPr>
                <w:rFonts w:ascii="Arial" w:hAnsi="Arial"/>
                <w:b/>
                <w:bCs/>
                <w:sz w:val="20"/>
                <w:szCs w:val="20"/>
                <w:lang w:eastAsia="sk-SK"/>
              </w:rPr>
              <w:t>3 691</w:t>
            </w:r>
          </w:p>
        </w:tc>
      </w:tr>
    </w:tbl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Z počtu 3691 vecí predložených na správne konanie bolo 1799 ukončených rozhodnutím o vine a spoločne boli uložené pokuty v sume 386 715 eur.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V rámci inštitútu objektívnej zodpovednosti za dopravné priestupky sa predovšetkým na základe výsledkov z minulých období predpokladá najvyšší príjem práve z porušení pravidiel cestnej premávky prekročením rýchlosti jazdy vozidiel.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V návrhu sa však okrem pokút za prekročenie rýchlosti jazdy vozidiel predpokladá aj sankcionovanie porušenia povinnosti </w:t>
      </w:r>
      <w:r>
        <w:rPr>
          <w:rFonts w:ascii="Times New Roman" w:hAnsi="Times New Roman"/>
          <w:sz w:val="24"/>
          <w:szCs w:val="24"/>
          <w:lang w:eastAsia="sk-SK"/>
        </w:rPr>
        <w:t>držiteľa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vozidla s cieľom zabezpečiť, aby boli pri prevádzkovaní tohto vozidla dodržiavané pravidlá cestnej premávky o zákaze predchádzania o zákaze otáčania a cúvania, o prejazde cez železničné priecestie v čase, keď je to zakázané, o zákaze zastavenia a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A0182B">
        <w:rPr>
          <w:rFonts w:ascii="Times New Roman" w:hAnsi="Times New Roman"/>
          <w:sz w:val="24"/>
          <w:szCs w:val="24"/>
          <w:lang w:eastAsia="cs-CZ"/>
        </w:rPr>
        <w:t>státia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o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zákaz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vjazdu, </w:t>
      </w:r>
      <w:r>
        <w:rPr>
          <w:rFonts w:ascii="Times New Roman" w:hAnsi="Times New Roman"/>
          <w:sz w:val="24"/>
          <w:szCs w:val="24"/>
          <w:lang w:eastAsia="cs-CZ"/>
        </w:rPr>
        <w:t xml:space="preserve">o </w:t>
      </w:r>
      <w:r w:rsidRPr="00A0182B">
        <w:rPr>
          <w:rFonts w:ascii="Times New Roman" w:hAnsi="Times New Roman"/>
          <w:sz w:val="24"/>
          <w:szCs w:val="24"/>
          <w:lang w:eastAsia="cs-CZ"/>
        </w:rPr>
        <w:t>zákaz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odbočovania, </w:t>
      </w:r>
      <w:r>
        <w:rPr>
          <w:rFonts w:ascii="Times New Roman" w:hAnsi="Times New Roman"/>
          <w:sz w:val="24"/>
          <w:szCs w:val="24"/>
          <w:lang w:eastAsia="cs-CZ"/>
        </w:rPr>
        <w:t xml:space="preserve">o </w:t>
      </w:r>
      <w:r w:rsidRPr="00A0182B">
        <w:rPr>
          <w:rFonts w:ascii="Times New Roman" w:hAnsi="Times New Roman"/>
          <w:sz w:val="24"/>
          <w:szCs w:val="24"/>
          <w:lang w:eastAsia="cs-CZ"/>
        </w:rPr>
        <w:t>pr</w:t>
      </w:r>
      <w:r>
        <w:rPr>
          <w:rFonts w:ascii="Times New Roman" w:hAnsi="Times New Roman"/>
          <w:sz w:val="24"/>
          <w:szCs w:val="24"/>
          <w:lang w:eastAsia="cs-CZ"/>
        </w:rPr>
        <w:t>i</w:t>
      </w:r>
      <w:r w:rsidRPr="00A0182B">
        <w:rPr>
          <w:rFonts w:ascii="Times New Roman" w:hAnsi="Times New Roman"/>
          <w:sz w:val="24"/>
          <w:szCs w:val="24"/>
          <w:lang w:eastAsia="cs-CZ"/>
        </w:rPr>
        <w:t>k</w:t>
      </w:r>
      <w:r>
        <w:rPr>
          <w:rFonts w:ascii="Times New Roman" w:hAnsi="Times New Roman"/>
          <w:sz w:val="24"/>
          <w:szCs w:val="24"/>
          <w:lang w:eastAsia="cs-CZ"/>
        </w:rPr>
        <w:t>á</w:t>
      </w:r>
      <w:r w:rsidRPr="00A0182B">
        <w:rPr>
          <w:rFonts w:ascii="Times New Roman" w:hAnsi="Times New Roman"/>
          <w:sz w:val="24"/>
          <w:szCs w:val="24"/>
          <w:lang w:eastAsia="cs-CZ"/>
        </w:rPr>
        <w:t>z</w:t>
      </w:r>
      <w:r>
        <w:rPr>
          <w:rFonts w:ascii="Times New Roman" w:hAnsi="Times New Roman"/>
          <w:sz w:val="24"/>
          <w:szCs w:val="24"/>
          <w:lang w:eastAsia="cs-CZ"/>
        </w:rPr>
        <w:t>anom smere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jazdy</w:t>
      </w:r>
      <w:r>
        <w:rPr>
          <w:rFonts w:ascii="Times New Roman" w:hAnsi="Times New Roman"/>
          <w:sz w:val="24"/>
          <w:szCs w:val="24"/>
          <w:lang w:eastAsia="cs-CZ"/>
        </w:rPr>
        <w:t>, o zastavení vozidla na príkaz dopravnej značky „Stoj, daj prednosť v jazde!“ alebo na signál so znamením „</w:t>
      </w:r>
      <w:r w:rsidRPr="00A0182B">
        <w:rPr>
          <w:rFonts w:ascii="Times New Roman" w:hAnsi="Times New Roman"/>
          <w:sz w:val="24"/>
          <w:szCs w:val="24"/>
          <w:lang w:eastAsia="cs-CZ"/>
        </w:rPr>
        <w:t>S</w:t>
      </w:r>
      <w:r>
        <w:rPr>
          <w:rFonts w:ascii="Times New Roman" w:hAnsi="Times New Roman"/>
          <w:sz w:val="24"/>
          <w:szCs w:val="24"/>
          <w:lang w:eastAsia="cs-CZ"/>
        </w:rPr>
        <w:t>toj</w:t>
      </w:r>
      <w:r w:rsidRPr="00A0182B">
        <w:rPr>
          <w:rFonts w:ascii="Times New Roman" w:hAnsi="Times New Roman"/>
          <w:sz w:val="24"/>
          <w:szCs w:val="24"/>
          <w:lang w:eastAsia="cs-CZ"/>
        </w:rPr>
        <w:t>!</w:t>
      </w:r>
      <w:r>
        <w:rPr>
          <w:rFonts w:ascii="Times New Roman" w:hAnsi="Times New Roman"/>
          <w:sz w:val="24"/>
          <w:szCs w:val="24"/>
          <w:lang w:eastAsia="cs-CZ"/>
        </w:rPr>
        <w:t>“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a </w:t>
      </w:r>
      <w:r>
        <w:rPr>
          <w:rFonts w:ascii="Times New Roman" w:hAnsi="Times New Roman"/>
          <w:sz w:val="24"/>
          <w:szCs w:val="24"/>
          <w:lang w:eastAsia="cs-CZ"/>
        </w:rPr>
        <w:t>o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dodrža</w:t>
      </w:r>
      <w:r>
        <w:rPr>
          <w:rFonts w:ascii="Times New Roman" w:hAnsi="Times New Roman"/>
          <w:sz w:val="24"/>
          <w:szCs w:val="24"/>
          <w:lang w:eastAsia="cs-CZ"/>
        </w:rPr>
        <w:t>ní najväčších prípustných hmotností vozidla.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1C137A" w:rsidRPr="00A0182B" w:rsidP="001C137A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numPr>
          <w:numId w:val="10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>Zachránený ľudský život</w:t>
      </w:r>
    </w:p>
    <w:p w:rsidR="001C137A" w:rsidRPr="00A0182B" w:rsidP="001C137A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Podľa čl. 15 ods. 1 Ústavy SR má každý právo na život. Ľudský život je hodný ochrany už pred narodením. 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Najdôležitejším prínosom prijatia inštitútu objektívnej zodpovednosti do slovenského právneho systému je ochrana ľudského života tým, že účastníci cestnej premávky porušujúci pravidlá cestnej premávky, si formou represívneho tlaku spoločnosti uvedomia nesprávnosť a nezákonnosť svojho konania. Vznikne tak uvedomelá spoločnosť slušných vodičov, ktorí odsúdia aroganciu, hrubosť a pirátstvo na cestách. Podľa štatistických ukazovateľov dopravnej nehodovosti, takmer až polovica usmrtených osôb pri dopravných nehodách zomreli v dôsledku neprimeranej rýchlosti. 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Najčastejšími príčinami vzniku dopravných nehôd sú: </w:t>
      </w:r>
    </w:p>
    <w:p w:rsidR="001C137A" w:rsidRPr="00A0182B" w:rsidP="001C137A">
      <w:pPr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1.</w:t>
        <w:tab/>
        <w:t>porušenie povinností vodiča (nevenovanie sa vedeniu vozidla  a nesledovanie situácie v cestnej premávke),</w:t>
      </w:r>
    </w:p>
    <w:p w:rsidR="001C137A" w:rsidRPr="00A0182B" w:rsidP="001C137A">
      <w:pPr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2.</w:t>
        <w:tab/>
        <w:t>nedovolená rýchlosť jazdy (neprispôsobenie rýchlosti jazdy),</w:t>
      </w:r>
    </w:p>
    <w:p w:rsidR="001C137A" w:rsidRPr="00A0182B" w:rsidP="001C137A">
      <w:pPr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3.</w:t>
        <w:tab/>
        <w:t>porušenie povinností účastníka cestnej premávky (nerešpektovanie dopravných značiek a dopravných zariadení, nedisciplinované a neohľaduplné správanie sa).</w:t>
      </w: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Aj napriek faktu, že už mnoho odborníkov malo snahu vyčísliť finančnú hodnotu ľudského života, predkladateľ návrhu si nedovoľuje tento finančne ohodnotiť, avšak i napriek uvedenému bolo potrebné aj tento faktor uviesť do nepriamych pozitívnych vplyvov na štátny rozpočet.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 xml:space="preserve">Porovnanie s Maďarskou republikou </w:t>
      </w:r>
    </w:p>
    <w:p w:rsidR="001C137A" w:rsidRPr="00A0182B" w:rsidP="001C137A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Nielen história, kultúra a hranice spájajú Slovenskú republiku s Maďarskou republikou, ale je to aj podobná mentalita osôb žijúcich v týchto krajinách. Obdobná disciplína vodičov na cestách, ako aj platobná disciplína ľudí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zaručuje porovnateľnosť nákladovosti systému, ako aj výstupov aplikácie inštitútu objektívnej zodpovednosti v Maďarskej republike a u nás.</w:t>
      </w:r>
      <w:r>
        <w:rPr>
          <w:rFonts w:ascii="Times New Roman" w:hAnsi="Times New Roman"/>
          <w:sz w:val="24"/>
          <w:szCs w:val="24"/>
          <w:lang w:eastAsia="cs-CZ"/>
        </w:rPr>
        <w:t xml:space="preserve"> V Maďarskej r</w:t>
      </w:r>
      <w:r w:rsidRPr="00A0182B">
        <w:rPr>
          <w:rFonts w:ascii="Times New Roman" w:hAnsi="Times New Roman"/>
          <w:sz w:val="24"/>
          <w:szCs w:val="24"/>
          <w:lang w:eastAsia="cs-CZ"/>
        </w:rPr>
        <w:t>epublike priniesla objektívna zodpovednosť tieto výhody:</w:t>
      </w:r>
    </w:p>
    <w:p w:rsidR="001C137A" w:rsidRPr="00A0182B" w:rsidP="001C137A">
      <w:pPr>
        <w:bidi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A0182B">
        <w:rPr>
          <w:rFonts w:ascii="Times New Roman" w:hAnsi="Times New Roman"/>
          <w:i/>
          <w:sz w:val="24"/>
          <w:szCs w:val="24"/>
          <w:lang w:eastAsia="cs-CZ"/>
        </w:rPr>
        <w:t>34% smrteľné nehody (2001/2009)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Právna a finančná transparentnosť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Manuálna práca nahradená technikou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Pokutovanie skrátené z 90 na 5 dní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Zaistenie vyššej bezpečnosti občanov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Návratnosť investícií: 4 mesiace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12 miliárd forintov v roku 2009</w:t>
      </w:r>
    </w:p>
    <w:p w:rsidR="001C137A" w:rsidRPr="00BF30E6" w:rsidP="001C137A">
      <w:pPr>
        <w:numPr>
          <w:numId w:val="14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 w:rsidRPr="00BF30E6">
        <w:rPr>
          <w:rFonts w:ascii="Times New Roman" w:hAnsi="Times New Roman"/>
          <w:i/>
          <w:sz w:val="24"/>
          <w:szCs w:val="24"/>
          <w:lang w:eastAsia="cs-CZ"/>
        </w:rPr>
        <w:t>Výnosy z pokút vzrástli 5 násobne (2007/2009)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Predpokladané výnosy pri aplikácii inštitútu objektívnej zodpovednosti v SR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u w:val="single"/>
          <w:lang w:eastAsia="cs-CZ"/>
        </w:rPr>
        <w:t>len pri dohľade nad dodržiavaním dovolenej rýchlosti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adjustRightInd w:val="0"/>
        <w:spacing w:after="0"/>
        <w:ind w:hanging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08pt;height:69.11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Excel.Sheet.12" ShapeID="_x0000_i1025" DrawAspect="Content" ObjectID="_1" r:id="rId8"/>
        </w:object>
      </w:r>
    </w:p>
    <w:p w:rsidR="001C137A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V súvislosti s uvedeným je potrebné poukázať na značnú spojitosť reálnosti nasadenia </w:t>
      </w:r>
      <w:r>
        <w:rPr>
          <w:rFonts w:ascii="Times New Roman" w:hAnsi="Times New Roman"/>
          <w:color w:val="000000"/>
          <w:sz w:val="24"/>
          <w:szCs w:val="24"/>
        </w:rPr>
        <w:t xml:space="preserve">konkrétneho počtu </w:t>
      </w:r>
      <w:r w:rsidRPr="00A0182B">
        <w:rPr>
          <w:rFonts w:ascii="Times New Roman" w:hAnsi="Times New Roman"/>
          <w:color w:val="000000"/>
          <w:sz w:val="24"/>
          <w:szCs w:val="24"/>
        </w:rPr>
        <w:t>merač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 rýchlosti v konkrétnom čase s výškou výnosu predovšetkým v prvom polroku prvého roka. Rýchlosť zavádzania technických prostriedkov na meranie rýchlosti je závislá predovšetkým na rýchlosti ich modernizácii pravdepodobne dodávateľom; bez tejto modernizácie, nie je vhodné merače rýchlosti nasadzovať inak ako do subjektívnej zodpovednosti. 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Skúsenosti z Maďarskej republiky poukazujú na čiastočné zníženie počtu pokút o viac ako </w:t>
      </w:r>
      <w:r>
        <w:rPr>
          <w:rFonts w:ascii="Times New Roman" w:hAnsi="Times New Roman"/>
          <w:color w:val="000000"/>
          <w:sz w:val="24"/>
          <w:szCs w:val="24"/>
        </w:rPr>
        <w:t>40</w:t>
      </w:r>
      <w:r w:rsidRPr="00A0182B">
        <w:rPr>
          <w:rFonts w:ascii="Times New Roman" w:hAnsi="Times New Roman"/>
          <w:color w:val="000000"/>
          <w:sz w:val="24"/>
          <w:szCs w:val="24"/>
        </w:rPr>
        <w:t> % po uplynutí prvého polroka realizácie objektívnej zodpovednosti, preto je predpoklad výnosu plánovaný na druhý polrok prvého roka znížený o túto skutočnosť. Po poklese počtu porušení pravidiel (a tým aj výnosu z pokút) už v Maďarskej republike zaznamenali relatívne stabilnú situáciu v týchto počtoch.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1942"/>
        <w:tblW w:w="0" w:type="auto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/>
      </w:tblPr>
      <w:tblGrid>
        <w:gridCol w:w="1500"/>
        <w:gridCol w:w="1371"/>
      </w:tblGrid>
      <w:tr>
        <w:tblPrEx>
          <w:tblW w:w="0" w:type="auto"/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</w:tblBorders>
          <w:tblLook w:val="04A0"/>
        </w:tblPrEx>
        <w:trPr>
          <w:trHeight w:val="300"/>
        </w:trPr>
        <w:tc>
          <w:tcPr>
            <w:tcW w:w="0" w:type="auto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FFFFFF"/>
            </w:tcBorders>
            <w:shd w:val="clear" w:color="auto" w:fill="8064A2"/>
            <w:noWrap/>
            <w:textDirection w:val="lrTb"/>
            <w:vAlign w:val="top"/>
            <w:hideMark/>
          </w:tcPr>
          <w:p w:rsidR="001C137A" w:rsidRPr="00D94474" w:rsidP="00D459B4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D94474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1.polrok 2012</w:t>
            </w:r>
          </w:p>
        </w:tc>
        <w:tc>
          <w:tcPr>
            <w:tcW w:w="0" w:type="auto"/>
            <w:tcBorders>
              <w:top w:val="single" w:sz="8" w:space="0" w:color="9F8AB9"/>
              <w:left w:val="single" w:sz="8" w:space="0" w:color="FFFFFF"/>
              <w:bottom w:val="single" w:sz="8" w:space="0" w:color="9F8AB9"/>
              <w:right w:val="single" w:sz="8" w:space="0" w:color="9F8AB9"/>
            </w:tcBorders>
            <w:shd w:val="clear" w:color="auto" w:fill="8064A2"/>
            <w:noWrap/>
            <w:textDirection w:val="lrTb"/>
            <w:vAlign w:val="top"/>
            <w:hideMark/>
          </w:tcPr>
          <w:p w:rsidR="001C137A" w:rsidRPr="00D94474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D94474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rok 2013</w:t>
            </w:r>
          </w:p>
        </w:tc>
      </w:tr>
      <w:tr>
        <w:tblPrEx>
          <w:tblW w:w="0" w:type="auto"/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FFFFFF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D94474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 xml:space="preserve">21 427 084 </w:t>
            </w:r>
            <w:r w:rsidRPr="00D94474">
              <w:rPr>
                <w:rFonts w:ascii="Times New Roman" w:hAnsi="Times New Roman"/>
                <w:b/>
                <w:bCs/>
                <w:lang w:eastAsia="cs-CZ"/>
              </w:rPr>
              <w:t xml:space="preserve">€ </w:t>
            </w:r>
          </w:p>
        </w:tc>
        <w:tc>
          <w:tcPr>
            <w:tcW w:w="0" w:type="auto"/>
            <w:tcBorders>
              <w:top w:val="single" w:sz="8" w:space="0" w:color="9F8AB9"/>
              <w:left w:val="single" w:sz="8" w:space="0" w:color="FFFFFF"/>
              <w:bottom w:val="single" w:sz="8" w:space="0" w:color="9F8AB9"/>
              <w:right w:val="single" w:sz="8" w:space="0" w:color="9F8AB9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0E63E2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eastAsia="cs-CZ"/>
              </w:rPr>
            </w:pPr>
            <w:r>
              <w:rPr>
                <w:rFonts w:ascii="Times New Roman" w:hAnsi="Times New Roman"/>
                <w:b/>
                <w:lang w:eastAsia="cs-CZ"/>
              </w:rPr>
              <w:t xml:space="preserve">25 883 916 </w:t>
            </w:r>
            <w:r w:rsidRPr="000E63E2">
              <w:rPr>
                <w:rFonts w:ascii="Times New Roman" w:hAnsi="Times New Roman"/>
                <w:b/>
                <w:lang w:eastAsia="cs-CZ"/>
              </w:rPr>
              <w:t xml:space="preserve">€ </w:t>
            </w:r>
          </w:p>
        </w:tc>
      </w:tr>
    </w:tbl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Vzhľadom na nedostatok informácií o počte a výške pokút a možných zistených priestupkov </w:t>
      </w:r>
      <w:r w:rsidRPr="00A0182B">
        <w:rPr>
          <w:rFonts w:ascii="Times New Roman" w:hAnsi="Times New Roman"/>
          <w:sz w:val="24"/>
          <w:szCs w:val="24"/>
          <w:lang w:eastAsia="cs-CZ"/>
        </w:rPr>
        <w:t>nie je možné vypočítať výnosy z pokút za správne delikty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>zákaz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predchádzania vozidla</w:t>
      </w:r>
      <w:r>
        <w:rPr>
          <w:rFonts w:ascii="Times New Roman" w:hAnsi="Times New Roman"/>
          <w:sz w:val="24"/>
          <w:szCs w:val="24"/>
          <w:lang w:eastAsia="cs-CZ"/>
        </w:rPr>
        <w:t>,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zákaz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otáčania a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150B35">
        <w:rPr>
          <w:rFonts w:ascii="Times New Roman" w:hAnsi="Times New Roman"/>
          <w:sz w:val="24"/>
          <w:szCs w:val="24"/>
          <w:lang w:eastAsia="cs-CZ"/>
        </w:rPr>
        <w:t>cúvania</w:t>
      </w:r>
      <w:r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150B35">
        <w:rPr>
          <w:rFonts w:ascii="Times New Roman" w:hAnsi="Times New Roman"/>
          <w:sz w:val="24"/>
          <w:szCs w:val="24"/>
          <w:lang w:eastAsia="cs-CZ"/>
        </w:rPr>
        <w:t>prejazd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cez železničné priece</w:t>
      </w:r>
      <w:r>
        <w:rPr>
          <w:rFonts w:ascii="Times New Roman" w:hAnsi="Times New Roman"/>
          <w:sz w:val="24"/>
          <w:szCs w:val="24"/>
          <w:lang w:eastAsia="cs-CZ"/>
        </w:rPr>
        <w:t xml:space="preserve">stie v čase, keď je to zakázané, </w:t>
      </w:r>
      <w:r w:rsidRPr="00150B35">
        <w:rPr>
          <w:rFonts w:ascii="Times New Roman" w:hAnsi="Times New Roman"/>
          <w:sz w:val="24"/>
          <w:szCs w:val="24"/>
          <w:lang w:eastAsia="cs-CZ"/>
        </w:rPr>
        <w:t>zákaz</w:t>
      </w:r>
      <w:r>
        <w:rPr>
          <w:rFonts w:ascii="Times New Roman" w:hAnsi="Times New Roman"/>
          <w:sz w:val="24"/>
          <w:szCs w:val="24"/>
          <w:lang w:eastAsia="cs-CZ"/>
        </w:rPr>
        <w:t>u zastavenia a státia, zákazu vjazdu, zákazu odbočovania, priká</w:t>
      </w:r>
      <w:r w:rsidRPr="00150B35">
        <w:rPr>
          <w:rFonts w:ascii="Times New Roman" w:hAnsi="Times New Roman"/>
          <w:sz w:val="24"/>
          <w:szCs w:val="24"/>
          <w:lang w:eastAsia="cs-CZ"/>
        </w:rPr>
        <w:t>z</w:t>
      </w:r>
      <w:r>
        <w:rPr>
          <w:rFonts w:ascii="Times New Roman" w:hAnsi="Times New Roman"/>
          <w:sz w:val="24"/>
          <w:szCs w:val="24"/>
          <w:lang w:eastAsia="cs-CZ"/>
        </w:rPr>
        <w:t>aného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smer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jazdy, </w:t>
      </w:r>
      <w:r>
        <w:rPr>
          <w:rFonts w:ascii="Times New Roman" w:hAnsi="Times New Roman"/>
          <w:sz w:val="24"/>
          <w:szCs w:val="24"/>
          <w:lang w:eastAsia="cs-CZ"/>
        </w:rPr>
        <w:t>povinnosti zastaviť vozidlo na príkaz dopravnej značky „Stoj, daj prednosť v jazde!“</w:t>
      </w:r>
      <w:r w:rsidRPr="00A7084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alebo </w:t>
      </w:r>
      <w:r>
        <w:rPr>
          <w:rFonts w:ascii="Times New Roman" w:hAnsi="Times New Roman"/>
          <w:sz w:val="24"/>
          <w:szCs w:val="24"/>
          <w:lang w:eastAsia="cs-CZ"/>
        </w:rPr>
        <w:t>na signál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STOJ!</w:t>
      </w:r>
      <w:r>
        <w:rPr>
          <w:rFonts w:ascii="Times New Roman" w:hAnsi="Times New Roman"/>
          <w:sz w:val="24"/>
          <w:szCs w:val="24"/>
          <w:lang w:eastAsia="cs-CZ"/>
        </w:rPr>
        <w:t xml:space="preserve">, porušenia ustanovení o </w:t>
      </w:r>
      <w:r w:rsidRPr="00150B35">
        <w:rPr>
          <w:rFonts w:ascii="Times New Roman" w:hAnsi="Times New Roman"/>
          <w:sz w:val="24"/>
          <w:szCs w:val="24"/>
          <w:lang w:eastAsia="cs-CZ"/>
        </w:rPr>
        <w:t>najväčš</w:t>
      </w:r>
      <w:r>
        <w:rPr>
          <w:rFonts w:ascii="Times New Roman" w:hAnsi="Times New Roman"/>
          <w:sz w:val="24"/>
          <w:szCs w:val="24"/>
          <w:lang w:eastAsia="cs-CZ"/>
        </w:rPr>
        <w:t>ej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prípust</w:t>
      </w:r>
      <w:r>
        <w:rPr>
          <w:rFonts w:ascii="Times New Roman" w:hAnsi="Times New Roman"/>
          <w:sz w:val="24"/>
          <w:szCs w:val="24"/>
          <w:lang w:eastAsia="cs-CZ"/>
        </w:rPr>
        <w:t>nej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celkov</w:t>
      </w:r>
      <w:r>
        <w:rPr>
          <w:rFonts w:ascii="Times New Roman" w:hAnsi="Times New Roman"/>
          <w:sz w:val="24"/>
          <w:szCs w:val="24"/>
          <w:lang w:eastAsia="cs-CZ"/>
        </w:rPr>
        <w:t>ej hmotnosti.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Na základe praktických skúseností predpokladáme </w:t>
      </w:r>
      <w:r>
        <w:rPr>
          <w:rFonts w:ascii="Times New Roman" w:hAnsi="Times New Roman"/>
          <w:sz w:val="24"/>
          <w:szCs w:val="24"/>
          <w:lang w:eastAsia="cs-CZ"/>
        </w:rPr>
        <w:t>príjem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>za ostatné správne delikty približne vo výške 1</w:t>
      </w:r>
      <w:r>
        <w:rPr>
          <w:rFonts w:ascii="Times New Roman" w:hAnsi="Times New Roman"/>
          <w:b/>
          <w:sz w:val="24"/>
          <w:szCs w:val="24"/>
          <w:lang w:eastAsia="cs-CZ"/>
        </w:rPr>
        <w:t>0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 xml:space="preserve"> % z pokút </w:t>
      </w:r>
      <w:r w:rsidRPr="00A0182B">
        <w:rPr>
          <w:rFonts w:ascii="Times New Roman" w:hAnsi="Times New Roman"/>
          <w:sz w:val="24"/>
          <w:szCs w:val="24"/>
          <w:lang w:eastAsia="cs-CZ"/>
        </w:rPr>
        <w:t>uložených za nezabezpečenie dodržiavania rýchlosti jazdy vozidiel.</w:t>
      </w:r>
      <w:r>
        <w:rPr>
          <w:rFonts w:ascii="Times New Roman" w:hAnsi="Times New Roman"/>
          <w:sz w:val="24"/>
          <w:szCs w:val="24"/>
          <w:lang w:eastAsia="cs-CZ"/>
        </w:rPr>
        <w:t xml:space="preserve"> Tabuľka zobrazuje príjmy za prekročenie rýchlosti navýšené o 10 %.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 prijatí návrhu zákona sa predpokladá, že príjmy z pokút vybraných pri realizácii objektívnej zodpovednosti budú spočítané s pokutami zo subjektívnej zodpovednosti </w:t>
      </w:r>
      <w:r w:rsidRPr="00A0182B">
        <w:rPr>
          <w:rFonts w:ascii="Times New Roman" w:hAnsi="Times New Roman"/>
          <w:sz w:val="24"/>
          <w:szCs w:val="24"/>
          <w:lang w:eastAsia="cs-CZ"/>
        </w:rPr>
        <w:t>vodiča (za priestupky proti bezpečnosti a plynulosti cestn</w:t>
      </w:r>
      <w:r>
        <w:rPr>
          <w:rFonts w:ascii="Times New Roman" w:hAnsi="Times New Roman"/>
          <w:sz w:val="24"/>
          <w:szCs w:val="24"/>
          <w:lang w:eastAsia="cs-CZ"/>
        </w:rPr>
        <w:t>ej premávky) v jednej položke „</w:t>
      </w:r>
      <w:r w:rsidRPr="00447C3C">
        <w:rPr>
          <w:rFonts w:ascii="Times New Roman" w:hAnsi="Times New Roman"/>
          <w:bCs/>
          <w:sz w:val="24"/>
          <w:szCs w:val="24"/>
          <w:lang w:eastAsia="cs-CZ"/>
        </w:rPr>
        <w:t>Pokuty, penále a iné sankcie</w:t>
      </w:r>
      <w:r>
        <w:rPr>
          <w:rFonts w:ascii="Times New Roman" w:hAnsi="Times New Roman"/>
          <w:bCs/>
          <w:sz w:val="24"/>
          <w:szCs w:val="24"/>
          <w:lang w:eastAsia="cs-CZ"/>
        </w:rPr>
        <w:t>“</w:t>
      </w:r>
      <w:r w:rsidRPr="00447C3C">
        <w:rPr>
          <w:rFonts w:ascii="Times New Roman" w:hAnsi="Times New Roman"/>
          <w:bCs/>
          <w:sz w:val="24"/>
          <w:szCs w:val="24"/>
          <w:lang w:eastAsia="cs-CZ"/>
        </w:rPr>
        <w:t xml:space="preserve"> (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položka </w:t>
      </w:r>
      <w:r w:rsidRPr="00447C3C">
        <w:rPr>
          <w:rFonts w:ascii="Times New Roman" w:hAnsi="Times New Roman"/>
          <w:bCs/>
          <w:sz w:val="24"/>
          <w:szCs w:val="24"/>
          <w:lang w:eastAsia="cs-CZ"/>
        </w:rPr>
        <w:t>222)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. Pokuty vybrané pri realizácii subjektívnej zodpovednosti však primerane poklesnú, nakoľko na niektoré skutky, ktoré sú dnes riešené subjektívnou zodpovednosťou vodiča sa bude aplikovať inštitút objektívnej zodpovednosti </w:t>
      </w:r>
      <w:r>
        <w:rPr>
          <w:rFonts w:ascii="Times New Roman" w:hAnsi="Times New Roman"/>
          <w:sz w:val="24"/>
          <w:szCs w:val="24"/>
          <w:lang w:eastAsia="sk-SK"/>
        </w:rPr>
        <w:t>držiteľa</w:t>
      </w:r>
      <w:r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TableNormal"/>
        <w:tblpPr w:leftFromText="141" w:rightFromText="141" w:vertAnchor="text" w:horzAnchor="margin" w:tblpXSpec="right" w:tblpY="1821"/>
        <w:tblW w:w="0" w:type="auto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/>
      </w:tblPr>
      <w:tblGrid>
        <w:gridCol w:w="1581"/>
        <w:gridCol w:w="1581"/>
      </w:tblGrid>
      <w:tr>
        <w:tblPrEx>
          <w:tblW w:w="0" w:type="auto"/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</w:tblBorders>
          <w:tblLook w:val="04A0"/>
        </w:tblPrEx>
        <w:trPr>
          <w:trHeight w:val="300"/>
        </w:trPr>
        <w:tc>
          <w:tcPr>
            <w:tcW w:w="0" w:type="auto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FFFFFF"/>
            </w:tcBorders>
            <w:shd w:val="clear" w:color="auto" w:fill="8064A2"/>
            <w:noWrap/>
            <w:textDirection w:val="lrTb"/>
            <w:vAlign w:val="top"/>
            <w:hideMark/>
          </w:tcPr>
          <w:p w:rsidR="001C137A" w:rsidRPr="00D94474" w:rsidP="00D459B4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D94474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1.polrok 2012</w:t>
            </w:r>
          </w:p>
        </w:tc>
        <w:tc>
          <w:tcPr>
            <w:tcW w:w="0" w:type="auto"/>
            <w:tcBorders>
              <w:top w:val="single" w:sz="8" w:space="0" w:color="9F8AB9"/>
              <w:left w:val="single" w:sz="8" w:space="0" w:color="FFFFFF"/>
              <w:bottom w:val="single" w:sz="8" w:space="0" w:color="9F8AB9"/>
              <w:right w:val="single" w:sz="8" w:space="0" w:color="9F8AB9"/>
            </w:tcBorders>
            <w:shd w:val="clear" w:color="auto" w:fill="8064A2"/>
            <w:noWrap/>
            <w:textDirection w:val="lrTb"/>
            <w:vAlign w:val="top"/>
            <w:hideMark/>
          </w:tcPr>
          <w:p w:rsidR="001C137A" w:rsidRPr="00D94474" w:rsidP="00D459B4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D94474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rok 2013</w:t>
            </w:r>
          </w:p>
        </w:tc>
      </w:tr>
      <w:tr>
        <w:tblPrEx>
          <w:tblW w:w="0" w:type="auto"/>
          <w:tblLook w:val="04A0"/>
        </w:tblPrEx>
        <w:trPr>
          <w:trHeight w:val="315"/>
        </w:trPr>
        <w:tc>
          <w:tcPr>
            <w:tcW w:w="0" w:type="auto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FFFFFF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D94474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eastAsia="cs-CZ"/>
              </w:rPr>
            </w:pPr>
            <w:r w:rsidRPr="003920D4">
              <w:rPr>
                <w:rFonts w:ascii="Times New Roman" w:hAnsi="Times New Roman"/>
                <w:b/>
                <w:sz w:val="26"/>
                <w:szCs w:val="26"/>
                <w:lang w:eastAsia="cs-CZ"/>
              </w:rPr>
              <w:t>14 998 959 €</w:t>
            </w:r>
            <w:r w:rsidRPr="00D94474">
              <w:rPr>
                <w:rFonts w:ascii="Times New Roman" w:hAnsi="Times New Roman"/>
                <w:b/>
                <w:bCs/>
                <w:sz w:val="26"/>
                <w:szCs w:val="26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9F8AB9"/>
              <w:left w:val="single" w:sz="8" w:space="0" w:color="FFFFFF"/>
              <w:bottom w:val="single" w:sz="8" w:space="0" w:color="9F8AB9"/>
              <w:right w:val="single" w:sz="8" w:space="0" w:color="9F8AB9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305F07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6"/>
                <w:szCs w:val="26"/>
                <w:lang w:eastAsia="cs-C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cs-CZ"/>
              </w:rPr>
              <w:t>18 118 741 €</w:t>
            </w:r>
          </w:p>
        </w:tc>
      </w:tr>
    </w:tbl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Na účely výpočtu pozitívneho vplyvu prijatia inštitútu objektívnej zodpovednosti bol určený predpoklad zníženia príjmov do štátneho rozpočtu vyplývajúcich zo subjektívnej zodpovednosti </w:t>
      </w:r>
      <w:r>
        <w:rPr>
          <w:rFonts w:ascii="Times New Roman" w:hAnsi="Times New Roman"/>
          <w:sz w:val="24"/>
          <w:szCs w:val="24"/>
          <w:lang w:eastAsia="cs-CZ"/>
        </w:rPr>
        <w:t>v hodnote 40%. Tento pokles príjmov za priestupky vodiča (subjektívna zodpovednosť) však na potreby vypracovania tejto doložky bolo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odpočítané jednotnou zrážkou 3</w:t>
      </w:r>
      <w:r>
        <w:rPr>
          <w:rFonts w:ascii="Times New Roman" w:hAnsi="Times New Roman"/>
          <w:sz w:val="24"/>
          <w:szCs w:val="24"/>
          <w:lang w:eastAsia="cs-CZ"/>
        </w:rPr>
        <w:t>0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% z príjmov z pokút vybraných v rámci objektívnej zodpovednosti</w:t>
      </w:r>
      <w:r>
        <w:rPr>
          <w:rFonts w:ascii="Times New Roman" w:hAnsi="Times New Roman"/>
          <w:sz w:val="24"/>
          <w:szCs w:val="24"/>
          <w:lang w:eastAsia="cs-CZ"/>
        </w:rPr>
        <w:t xml:space="preserve"> (príjmy zo subjektívnej zodpovednosti sa predpokladajú nižšie ako z objektívnej, preto majú aj nižší podiel na celkovom príjme z pokút a teda musia byť vyšším podielom znížené ako vyššie príjmy z objektívnej zodpovednosti).</w:t>
      </w: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lang w:eastAsia="cs-CZ"/>
        </w:rPr>
        <w:sectPr w:rsidSect="001616E9">
          <w:headerReference w:type="default" r:id="rId9"/>
          <w:pgSz w:w="11906" w:h="16838"/>
          <w:pgMar w:top="1134" w:right="1134" w:bottom="1134" w:left="1134" w:header="425" w:footer="0" w:gutter="0"/>
          <w:lnNumType w:distance="0"/>
          <w:cols w:space="708"/>
          <w:noEndnote w:val="0"/>
          <w:bidi w:val="0"/>
          <w:docGrid w:linePitch="360"/>
        </w:sectPr>
      </w:pPr>
    </w:p>
    <w:p w:rsidR="001C137A" w:rsidRPr="00A0182B" w:rsidP="001C137A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A0182B">
        <w:rPr>
          <w:rFonts w:ascii="Times New Roman" w:hAnsi="Times New Roman"/>
          <w:b/>
          <w:sz w:val="32"/>
          <w:szCs w:val="32"/>
          <w:lang w:eastAsia="cs-CZ"/>
        </w:rPr>
        <w:t>B. Negatívny vplyv na štátny rozpočet</w:t>
      </w:r>
    </w:p>
    <w:p w:rsidR="001C137A" w:rsidRPr="00A0182B" w:rsidP="001C137A">
      <w:pPr>
        <w:tabs>
          <w:tab w:val="left" w:pos="4271"/>
          <w:tab w:val="left" w:pos="5706"/>
          <w:tab w:val="left" w:pos="7043"/>
          <w:tab w:val="left" w:pos="7327"/>
        </w:tabs>
        <w:autoSpaceDE w:val="0"/>
        <w:autoSpaceDN w:val="0"/>
        <w:bidi w:val="0"/>
        <w:spacing w:after="0" w:line="240" w:lineRule="auto"/>
        <w:ind w:right="-108"/>
        <w:rPr>
          <w:rFonts w:ascii="Times New Roman" w:hAnsi="Times New Roman"/>
          <w:b/>
          <w:bCs/>
          <w:color w:val="000000"/>
          <w:sz w:val="20"/>
          <w:szCs w:val="20"/>
          <w:lang w:eastAsia="cs-CZ"/>
        </w:rPr>
      </w:pPr>
      <w:r w:rsidRPr="00A0182B">
        <w:rPr>
          <w:rFonts w:ascii="Times New Roman" w:hAnsi="Times New Roman"/>
          <w:b/>
          <w:bCs/>
          <w:color w:val="000000"/>
          <w:lang w:eastAsia="sk-SK"/>
        </w:rPr>
        <w:tab/>
      </w:r>
      <w:r w:rsidRPr="00A0182B">
        <w:rPr>
          <w:rFonts w:ascii="Times New Roman" w:hAnsi="Times New Roman"/>
          <w:b/>
          <w:bCs/>
          <w:color w:val="000000"/>
          <w:lang w:eastAsia="cs-CZ"/>
        </w:rPr>
        <w:tab/>
      </w:r>
    </w:p>
    <w:p w:rsidR="001C137A" w:rsidRPr="00A07058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  <w:r w:rsidRPr="00A07058">
        <w:rPr>
          <w:rFonts w:ascii="Times New Roman" w:hAnsi="Times New Roman"/>
          <w:b/>
          <w:sz w:val="28"/>
          <w:szCs w:val="28"/>
          <w:lang w:eastAsia="cs-CZ"/>
        </w:rPr>
        <w:t xml:space="preserve">B.1. Zabezpečenie, dodávka a inštalácia hardvérových a softvérových častí informačného systému objektívnej zodpovednosti </w:t>
      </w:r>
    </w:p>
    <w:p w:rsidR="001C137A" w:rsidP="001C13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D93195">
        <w:rPr>
          <w:rFonts w:ascii="Times New Roman" w:hAnsi="Times New Roman"/>
          <w:sz w:val="24"/>
          <w:szCs w:val="24"/>
          <w:lang w:eastAsia="cs-CZ"/>
        </w:rPr>
        <w:t>Navrhované riešenie informačného systému objektívnej zodpovednosti</w:t>
      </w:r>
      <w:r>
        <w:rPr>
          <w:rFonts w:ascii="Times New Roman" w:hAnsi="Times New Roman"/>
          <w:sz w:val="24"/>
          <w:szCs w:val="24"/>
          <w:lang w:eastAsia="cs-CZ"/>
        </w:rPr>
        <w:t xml:space="preserve"> (ďalej len „IS OZ“)</w:t>
      </w:r>
      <w:r w:rsidRPr="00D93195">
        <w:rPr>
          <w:rFonts w:ascii="Times New Roman" w:hAnsi="Times New Roman"/>
          <w:sz w:val="24"/>
          <w:szCs w:val="24"/>
          <w:lang w:eastAsia="cs-CZ"/>
        </w:rPr>
        <w:t xml:space="preserve"> je jednotný systém, ktorý sa realizuje s cieľom zautomatizovania celého procesu konania o správnom delikte od zberu dôkazu až po uznanie viny zodpovednej osoby s minimálnou interakciou používateľa v tomto procese.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93195">
        <w:rPr>
          <w:rFonts w:ascii="Times New Roman" w:hAnsi="Times New Roman"/>
          <w:sz w:val="24"/>
          <w:szCs w:val="24"/>
          <w:lang w:eastAsia="cs-CZ"/>
        </w:rPr>
        <w:t>V súčasnosti neexistuje v Slovenskej republike informačný systém, ktorý by riešil túto problematiku.</w:t>
      </w:r>
      <w:r>
        <w:rPr>
          <w:rFonts w:ascii="Times New Roman" w:hAnsi="Times New Roman"/>
          <w:sz w:val="24"/>
          <w:szCs w:val="24"/>
          <w:lang w:eastAsia="cs-CZ"/>
        </w:rPr>
        <w:t xml:space="preserve"> Na splnenie základných požiadaviek aplikácie IS OZ</w:t>
      </w:r>
      <w:r w:rsidRPr="00D93195">
        <w:rPr>
          <w:rFonts w:ascii="Times New Roman" w:hAnsi="Times New Roman"/>
          <w:sz w:val="24"/>
          <w:szCs w:val="24"/>
          <w:lang w:eastAsia="cs-CZ"/>
        </w:rPr>
        <w:t xml:space="preserve"> je nutné zabezpečiť:</w:t>
      </w:r>
    </w:p>
    <w:p w:rsidR="001C137A" w:rsidRPr="00D93195" w:rsidP="001C13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numPr>
          <w:numId w:val="38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A07">
        <w:rPr>
          <w:rFonts w:ascii="Times New Roman" w:hAnsi="Times New Roman"/>
          <w:b/>
          <w:sz w:val="24"/>
          <w:szCs w:val="24"/>
          <w:lang w:eastAsia="cs-CZ"/>
        </w:rPr>
        <w:t>finančný modul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1C137A" w:rsidP="001C137A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Podľa uznesenia vlády SR č. 484/2011 zo dňa 6. júla </w:t>
      </w:r>
      <w:r w:rsidRPr="000C5A2E">
        <w:rPr>
          <w:rFonts w:ascii="Times New Roman" w:hAnsi="Times New Roman"/>
          <w:sz w:val="24"/>
          <w:szCs w:val="24"/>
          <w:lang w:eastAsia="cs-CZ"/>
        </w:rPr>
        <w:t xml:space="preserve">2011 </w:t>
      </w:r>
      <w:r w:rsidRPr="000C5A2E">
        <w:rPr>
          <w:rFonts w:ascii="Times New Roman" w:hAnsi="Times New Roman"/>
          <w:bCs/>
          <w:sz w:val="24"/>
          <w:szCs w:val="24"/>
          <w:lang w:eastAsia="cs-CZ"/>
        </w:rPr>
        <w:t>k návrhu opatrení na zvýšenie efektívnosti správy pohľadávok štátu</w:t>
      </w:r>
      <w:r w:rsidRPr="009B649D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sa</w:t>
      </w:r>
      <w:r w:rsidRPr="009B649D">
        <w:rPr>
          <w:rFonts w:ascii="Times New Roman" w:hAnsi="Times New Roman" w:hint="default"/>
          <w:bCs/>
          <w:iCs/>
          <w:sz w:val="24"/>
          <w:szCs w:val="24"/>
          <w:lang w:eastAsia="sk-SK"/>
        </w:rPr>
        <w:t xml:space="preserve"> tý</w:t>
      </w:r>
      <w:r w:rsidRPr="009B649D">
        <w:rPr>
          <w:rFonts w:ascii="Times New Roman" w:hAnsi="Times New Roman" w:hint="default"/>
          <w:bCs/>
          <w:iCs/>
          <w:sz w:val="24"/>
          <w:szCs w:val="24"/>
          <w:lang w:eastAsia="sk-SK"/>
        </w:rPr>
        <w:t>mto plnia ú</w:t>
      </w:r>
      <w:r w:rsidRPr="009B649D">
        <w:rPr>
          <w:rFonts w:ascii="Times New Roman" w:hAnsi="Times New Roman" w:hint="default"/>
          <w:bCs/>
          <w:iCs/>
          <w:sz w:val="24"/>
          <w:szCs w:val="24"/>
          <w:lang w:eastAsia="sk-SK"/>
        </w:rPr>
        <w:t xml:space="preserve">lohy v bode </w:t>
      </w:r>
      <w:r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4.1.2. </w:t>
      </w:r>
      <w:r w:rsidRPr="000C5A2E">
        <w:rPr>
          <w:rFonts w:ascii="Times New Roman" w:hAnsi="Times New Roman"/>
          <w:bCs/>
          <w:iCs/>
          <w:sz w:val="24"/>
          <w:szCs w:val="24"/>
          <w:lang w:eastAsia="cs-CZ"/>
        </w:rPr>
        <w:t>V rámci efektívnejšieho vymáhania pohľadávok št</w:t>
      </w:r>
      <w:r>
        <w:rPr>
          <w:rFonts w:ascii="Times New Roman" w:hAnsi="Times New Roman"/>
          <w:bCs/>
          <w:iCs/>
          <w:sz w:val="24"/>
          <w:szCs w:val="24"/>
          <w:lang w:eastAsia="cs-CZ"/>
        </w:rPr>
        <w:t>átu sa navrhuje zaviesť osobitná evidencia</w:t>
      </w:r>
      <w:r w:rsidRPr="000C5A2E">
        <w:rPr>
          <w:rFonts w:ascii="Times New Roman" w:hAnsi="Times New Roman"/>
          <w:bCs/>
          <w:iCs/>
          <w:sz w:val="24"/>
          <w:szCs w:val="24"/>
          <w:lang w:eastAsia="cs-CZ"/>
        </w:rPr>
        <w:t xml:space="preserve"> pohľadávok </w:t>
      </w:r>
      <w:r>
        <w:rPr>
          <w:rFonts w:ascii="Times New Roman" w:hAnsi="Times New Roman"/>
          <w:bCs/>
          <w:iCs/>
          <w:sz w:val="24"/>
          <w:szCs w:val="24"/>
          <w:lang w:eastAsia="cs-CZ"/>
        </w:rPr>
        <w:t>štátu po lehote ich splatnosti, aby sa nad týmito pohľadávkami mohli následne vykonávať i ďalšie úkony vyplývajúce z uvedeného dokumentu.</w:t>
      </w:r>
    </w:p>
    <w:p w:rsidR="001C137A" w:rsidP="001C137A">
      <w:pPr>
        <w:numPr>
          <w:numId w:val="44"/>
        </w:numPr>
        <w:bidi w:val="0"/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bCs/>
          <w:iCs/>
          <w:sz w:val="24"/>
          <w:szCs w:val="24"/>
          <w:lang w:eastAsia="cs-CZ"/>
        </w:rPr>
        <w:t>evidencia a vymáhanie pokút,</w:t>
      </w:r>
    </w:p>
    <w:p w:rsidR="001C137A" w:rsidP="001C137A">
      <w:pPr>
        <w:numPr>
          <w:numId w:val="44"/>
        </w:numPr>
        <w:bidi w:val="0"/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bCs/>
          <w:iCs/>
          <w:sz w:val="24"/>
          <w:szCs w:val="24"/>
          <w:lang w:eastAsia="cs-CZ"/>
        </w:rPr>
        <w:t>spracovanie párovania bankových výpisov.</w:t>
      </w:r>
    </w:p>
    <w:p w:rsidR="001C137A" w:rsidP="001C137A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numPr>
          <w:numId w:val="38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modul evidovania porušenia pravidiel cestnej premávky a portál pre občanov a štatistiky</w:t>
      </w:r>
    </w:p>
    <w:p w:rsidR="001C137A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zabezpečuje sa prístup </w:t>
      </w:r>
      <w:r>
        <w:rPr>
          <w:rFonts w:ascii="Times New Roman" w:hAnsi="Times New Roman"/>
          <w:sz w:val="24"/>
          <w:szCs w:val="24"/>
          <w:lang w:eastAsia="sk-SK"/>
        </w:rPr>
        <w:t>držiteľov</w:t>
      </w:r>
      <w:r>
        <w:rPr>
          <w:rFonts w:ascii="Times New Roman" w:hAnsi="Times New Roman"/>
          <w:sz w:val="24"/>
          <w:szCs w:val="24"/>
          <w:lang w:eastAsia="cs-CZ"/>
        </w:rPr>
        <w:t xml:space="preserve"> vozidiel k informáciám ku konkrétnemu porušeniu pravidiel cestnej premávky, spravovanie svojho účtu, možnosť platby pokuty cez internet,</w:t>
      </w:r>
    </w:p>
    <w:p w:rsidR="001C137A" w:rsidRPr="007E2A07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2A07">
        <w:rPr>
          <w:rFonts w:ascii="Times New Roman" w:hAnsi="Times New Roman"/>
          <w:sz w:val="24"/>
          <w:szCs w:val="24"/>
          <w:lang w:eastAsia="cs-CZ"/>
        </w:rPr>
        <w:t>centrálny pohľad na občana za celú kapitolu</w:t>
      </w:r>
      <w:r>
        <w:rPr>
          <w:rFonts w:ascii="Times New Roman" w:hAnsi="Times New Roman"/>
          <w:sz w:val="24"/>
          <w:szCs w:val="24"/>
          <w:lang w:eastAsia="cs-CZ"/>
        </w:rPr>
        <w:t>,</w:t>
      </w:r>
    </w:p>
    <w:p w:rsidR="001C137A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aplikácia zabezpečí automatizované spracovanie incidentu od </w:t>
      </w:r>
      <w:r w:rsidRPr="00C07F75">
        <w:rPr>
          <w:rFonts w:ascii="Times New Roman" w:hAnsi="Times New Roman"/>
          <w:sz w:val="24"/>
          <w:szCs w:val="24"/>
          <w:lang w:eastAsia="cs-CZ"/>
        </w:rPr>
        <w:t>prenosu dôkazu z technických prostriedkov určených na zisťovanie porušení</w:t>
      </w:r>
      <w:r>
        <w:rPr>
          <w:rFonts w:ascii="Times New Roman" w:hAnsi="Times New Roman"/>
          <w:sz w:val="24"/>
          <w:szCs w:val="24"/>
          <w:lang w:eastAsia="cs-CZ"/>
        </w:rPr>
        <w:t xml:space="preserve"> pravidiel cestnej premávky do IS</w:t>
      </w:r>
      <w:r w:rsidRPr="00C07F75">
        <w:rPr>
          <w:rFonts w:ascii="Times New Roman" w:hAnsi="Times New Roman"/>
          <w:sz w:val="24"/>
          <w:szCs w:val="24"/>
          <w:lang w:eastAsia="cs-CZ"/>
        </w:rPr>
        <w:t xml:space="preserve"> OZ</w:t>
      </w:r>
      <w:r>
        <w:rPr>
          <w:rFonts w:ascii="Times New Roman" w:hAnsi="Times New Roman"/>
          <w:sz w:val="24"/>
          <w:szCs w:val="24"/>
          <w:lang w:eastAsia="cs-CZ"/>
        </w:rPr>
        <w:t>,</w:t>
      </w:r>
    </w:p>
    <w:p w:rsidR="001C137A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050A07">
        <w:rPr>
          <w:rFonts w:ascii="Times New Roman" w:hAnsi="Times New Roman"/>
          <w:sz w:val="24"/>
          <w:szCs w:val="24"/>
          <w:lang w:eastAsia="cs-CZ"/>
        </w:rPr>
        <w:t>automatizov</w:t>
      </w:r>
      <w:r>
        <w:rPr>
          <w:rFonts w:ascii="Times New Roman" w:hAnsi="Times New Roman"/>
          <w:sz w:val="24"/>
          <w:szCs w:val="24"/>
          <w:lang w:eastAsia="cs-CZ"/>
        </w:rPr>
        <w:t>ané rozoznávanie a priradenie evidenčného čísla</w:t>
      </w:r>
      <w:r w:rsidRPr="00050A07">
        <w:rPr>
          <w:rFonts w:ascii="Times New Roman" w:hAnsi="Times New Roman"/>
          <w:sz w:val="24"/>
          <w:szCs w:val="24"/>
          <w:lang w:eastAsia="cs-CZ"/>
        </w:rPr>
        <w:t xml:space="preserve"> a </w:t>
      </w:r>
      <w:r>
        <w:rPr>
          <w:rFonts w:ascii="Times New Roman" w:hAnsi="Times New Roman"/>
          <w:sz w:val="24"/>
          <w:szCs w:val="24"/>
          <w:lang w:eastAsia="sk-SK"/>
        </w:rPr>
        <w:t>držiteľa</w:t>
      </w:r>
      <w:r>
        <w:rPr>
          <w:rFonts w:ascii="Times New Roman" w:hAnsi="Times New Roman"/>
          <w:sz w:val="24"/>
          <w:szCs w:val="24"/>
          <w:lang w:eastAsia="cs-CZ"/>
        </w:rPr>
        <w:t xml:space="preserve"> vozidla</w:t>
      </w:r>
      <w:r w:rsidRPr="00050A07">
        <w:rPr>
          <w:rFonts w:ascii="Times New Roman" w:hAnsi="Times New Roman"/>
          <w:sz w:val="24"/>
          <w:szCs w:val="24"/>
          <w:lang w:eastAsia="cs-CZ"/>
        </w:rPr>
        <w:t xml:space="preserve"> ku dôkazu,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1C137A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050A07">
        <w:rPr>
          <w:rFonts w:ascii="Times New Roman" w:hAnsi="Times New Roman"/>
          <w:sz w:val="24"/>
          <w:szCs w:val="24"/>
          <w:lang w:eastAsia="cs-CZ"/>
        </w:rPr>
        <w:t>komunikačné rozhranie s existujúcimi informačnými systémami</w:t>
      </w:r>
      <w:r>
        <w:rPr>
          <w:rFonts w:ascii="Times New Roman" w:hAnsi="Times New Roman"/>
          <w:sz w:val="24"/>
          <w:szCs w:val="24"/>
          <w:lang w:eastAsia="cs-CZ"/>
        </w:rPr>
        <w:t xml:space="preserve"> MV SR,</w:t>
      </w:r>
    </w:p>
    <w:p w:rsidR="001C137A" w:rsidRPr="00050A07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050A07">
        <w:rPr>
          <w:rFonts w:ascii="Times New Roman" w:hAnsi="Times New Roman"/>
          <w:sz w:val="24"/>
          <w:szCs w:val="24"/>
          <w:lang w:eastAsia="cs-CZ"/>
        </w:rPr>
        <w:t>automatizované priradenie výšky pokuty podľa sadzobníka vo väzbe na spáchané porušenie pravidiel PCP,</w:t>
      </w:r>
    </w:p>
    <w:p w:rsidR="001C137A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" w:hAnsi="Times"/>
          <w:spacing w:val="-2"/>
          <w:sz w:val="24"/>
          <w:szCs w:val="24"/>
          <w:lang w:eastAsia="cs-CZ"/>
        </w:rPr>
      </w:pPr>
      <w:r w:rsidRPr="001336FC">
        <w:rPr>
          <w:rFonts w:ascii="Times" w:hAnsi="Times"/>
          <w:spacing w:val="-2"/>
          <w:sz w:val="24"/>
          <w:szCs w:val="24"/>
          <w:lang w:eastAsia="cs-CZ"/>
        </w:rPr>
        <w:t>možnosť autorizácie rozkazu o uložené sankcie správnym orgánom (podpísanie rozhodnutia) jednotlivé prípady a hromadne prostredníctvom elektronického po</w:t>
      </w:r>
      <w:r>
        <w:rPr>
          <w:rFonts w:ascii="Times" w:hAnsi="Times"/>
          <w:spacing w:val="-2"/>
          <w:sz w:val="24"/>
          <w:szCs w:val="24"/>
          <w:lang w:eastAsia="cs-CZ"/>
        </w:rPr>
        <w:t>dpisu správneho orgánu (osoba),</w:t>
      </w:r>
    </w:p>
    <w:p w:rsidR="001C137A" w:rsidP="001C137A">
      <w:pPr>
        <w:numPr>
          <w:numId w:val="42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prehľad činností – zaťaženosť dopravného inšpektorátu – všeobecné informácie o porušovaní pravidiel cestnej premávky.</w:t>
      </w:r>
    </w:p>
    <w:p w:rsidR="001C137A" w:rsidRPr="00AA605F" w:rsidP="001C137A">
      <w:pPr>
        <w:tabs>
          <w:tab w:val="left" w:pos="284"/>
        </w:tabs>
        <w:bidi w:val="0"/>
        <w:spacing w:after="0" w:line="240" w:lineRule="auto"/>
        <w:jc w:val="both"/>
        <w:rPr>
          <w:rFonts w:ascii="Times" w:hAnsi="Times"/>
          <w:spacing w:val="-2"/>
          <w:sz w:val="24"/>
          <w:szCs w:val="24"/>
          <w:lang w:eastAsia="cs-CZ"/>
        </w:rPr>
      </w:pPr>
    </w:p>
    <w:p w:rsidR="001C137A" w:rsidP="001C137A">
      <w:pPr>
        <w:numPr>
          <w:numId w:val="38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modul riešenia priestupkového konania </w:t>
      </w:r>
    </w:p>
    <w:p w:rsidR="001C137A" w:rsidRPr="00FB0813" w:rsidP="001C137A">
      <w:pPr>
        <w:numPr>
          <w:numId w:val="43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FB0813">
        <w:rPr>
          <w:rFonts w:ascii="Times New Roman" w:hAnsi="Times New Roman"/>
          <w:sz w:val="24"/>
          <w:szCs w:val="24"/>
          <w:lang w:eastAsia="cs-CZ"/>
        </w:rPr>
        <w:t>automatizácia konania o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FB0813">
        <w:rPr>
          <w:rFonts w:ascii="Times New Roman" w:hAnsi="Times New Roman"/>
          <w:sz w:val="24"/>
          <w:szCs w:val="24"/>
          <w:lang w:eastAsia="cs-CZ"/>
        </w:rPr>
        <w:t>priestupkoch</w:t>
      </w:r>
      <w:r>
        <w:rPr>
          <w:rFonts w:ascii="Times New Roman" w:hAnsi="Times New Roman"/>
          <w:sz w:val="24"/>
          <w:szCs w:val="24"/>
          <w:lang w:eastAsia="cs-CZ"/>
        </w:rPr>
        <w:t xml:space="preserve"> po podaní odporu a uvedení totožnosti vodiča, t.j. automatizácia konania od predvolania účastníka konania na ústne pojednávanie o priestupku až cez jeho uznanie viny (alebo iné meritórne rozhodnutie) a následné zaslanie veci na vymáhanie vykonateľného rozhodnutia do finančného modulu,</w:t>
      </w:r>
    </w:p>
    <w:p w:rsidR="001C137A" w:rsidP="001C137A">
      <w:pPr>
        <w:numPr>
          <w:numId w:val="43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050A07">
        <w:rPr>
          <w:rFonts w:ascii="Times New Roman" w:hAnsi="Times New Roman"/>
          <w:sz w:val="24"/>
          <w:szCs w:val="24"/>
          <w:lang w:eastAsia="cs-CZ"/>
        </w:rPr>
        <w:t xml:space="preserve">automatizované spracúvanie elektronického toku </w:t>
      </w:r>
      <w:r>
        <w:rPr>
          <w:rFonts w:ascii="Times New Roman" w:hAnsi="Times New Roman"/>
          <w:sz w:val="24"/>
          <w:szCs w:val="24"/>
          <w:lang w:eastAsia="cs-CZ"/>
        </w:rPr>
        <w:t>údajov</w:t>
      </w:r>
      <w:r w:rsidRPr="00050A07">
        <w:rPr>
          <w:rFonts w:ascii="Times New Roman" w:hAnsi="Times New Roman"/>
          <w:sz w:val="24"/>
          <w:szCs w:val="24"/>
          <w:lang w:eastAsia="cs-CZ"/>
        </w:rPr>
        <w:t xml:space="preserve"> agendy porušení </w:t>
      </w:r>
      <w:r>
        <w:rPr>
          <w:rFonts w:ascii="Times New Roman" w:hAnsi="Times New Roman"/>
          <w:sz w:val="24"/>
          <w:szCs w:val="24"/>
          <w:lang w:eastAsia="cs-CZ"/>
        </w:rPr>
        <w:t xml:space="preserve">zákonov </w:t>
      </w:r>
      <w:r w:rsidRPr="00050A07">
        <w:rPr>
          <w:rFonts w:ascii="Times New Roman" w:hAnsi="Times New Roman"/>
          <w:sz w:val="24"/>
          <w:szCs w:val="24"/>
          <w:lang w:eastAsia="cs-CZ"/>
        </w:rPr>
        <w:t xml:space="preserve">vrátane vyhotovovania, spracúvania a archivácie súvisiacich dôkazov a spisov správnych deliktov/priestupkov na </w:t>
      </w:r>
      <w:r>
        <w:rPr>
          <w:rFonts w:ascii="Times New Roman" w:hAnsi="Times New Roman"/>
          <w:sz w:val="24"/>
          <w:szCs w:val="24"/>
          <w:lang w:eastAsia="cs-CZ"/>
        </w:rPr>
        <w:t>správnych orgánov v elektronickej forme,</w:t>
      </w:r>
    </w:p>
    <w:p w:rsidR="001C137A" w:rsidRPr="00050A07" w:rsidP="001C137A">
      <w:pPr>
        <w:numPr>
          <w:numId w:val="43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050A07">
        <w:rPr>
          <w:rFonts w:ascii="Times New Roman" w:hAnsi="Times New Roman"/>
          <w:sz w:val="24"/>
          <w:szCs w:val="24"/>
          <w:lang w:eastAsia="cs-CZ"/>
        </w:rPr>
        <w:t>automatické odoslanie elektronického dokumentu na tlač a pre ďalšie procesné úkony,</w:t>
      </w:r>
    </w:p>
    <w:p w:rsidR="001C137A" w:rsidP="001C137A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3019BE" w:rsidP="001C137A">
      <w:pPr>
        <w:numPr>
          <w:numId w:val="38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3019BE">
        <w:rPr>
          <w:rFonts w:ascii="Times New Roman" w:hAnsi="Times New Roman"/>
          <w:b/>
          <w:sz w:val="24"/>
          <w:szCs w:val="24"/>
          <w:lang w:eastAsia="cs-CZ"/>
        </w:rPr>
        <w:t>hardvérové zariadenia podľa nižšie špecifikácií upresnených pri verejnom obstarávaní,</w:t>
      </w:r>
    </w:p>
    <w:p w:rsidR="001C137A" w:rsidRPr="003019BE" w:rsidP="001C137A">
      <w:pPr>
        <w:numPr>
          <w:numId w:val="38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3019BE">
        <w:rPr>
          <w:rFonts w:ascii="Times New Roman" w:hAnsi="Times New Roman"/>
          <w:b/>
          <w:sz w:val="24"/>
          <w:szCs w:val="24"/>
          <w:lang w:eastAsia="cs-CZ"/>
        </w:rPr>
        <w:t>potrebné softvérové časti pre prevádzku IS OZ,</w:t>
      </w:r>
    </w:p>
    <w:p w:rsidR="001C137A" w:rsidP="001C137A">
      <w:pPr>
        <w:numPr>
          <w:numId w:val="38"/>
        </w:numPr>
        <w:tabs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3019BE">
        <w:rPr>
          <w:rFonts w:ascii="Times New Roman" w:hAnsi="Times New Roman"/>
          <w:b/>
          <w:sz w:val="24"/>
          <w:szCs w:val="24"/>
          <w:lang w:eastAsia="cs-CZ"/>
        </w:rPr>
        <w:t xml:space="preserve">softvér a licencie zabezpečovacích prvkov IS OZ.  </w:t>
      </w:r>
    </w:p>
    <w:p w:rsidR="001C137A" w:rsidP="001C137A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Vyvinutie aplikačného softwaru a systému riešenia objektívnej zodpovednosti. Predpokladá sa, že </w:t>
      </w:r>
      <w:r>
        <w:rPr>
          <w:rFonts w:ascii="Times New Roman" w:hAnsi="Times New Roman"/>
          <w:sz w:val="24"/>
          <w:szCs w:val="24"/>
          <w:lang w:eastAsia="cs-CZ"/>
        </w:rPr>
        <w:t>IS OZ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bude </w:t>
      </w:r>
      <w:r w:rsidRPr="00A0182B">
        <w:rPr>
          <w:rFonts w:ascii="Times New Roman" w:hAnsi="Times New Roman"/>
          <w:sz w:val="24"/>
          <w:szCs w:val="24"/>
          <w:lang w:eastAsia="sk-SK"/>
        </w:rPr>
        <w:t>automatizovane riešiť celý proces konania o správnom delikte od zberu dôkazu  až po uznanie viny zodpovednej osoby s minimálnou interakciou používateľa v tomto procese, zabezpečí automatizovaný spôsob prenosu dôkazu z technických prostriedkov určených na zisťovanie porušení pravidiel cestnej premávky do informačného systému objektívnej zodpovednosti. Pre občanov za účelom dohľadu nad stavom celého konania zabezpečí zobrazenie platobnej disciplíny a možnosti úhrady pomocou WWW platby na internetovom portály. Súčasne bude potrebné prispôsobiť aj existujúce systémy (rozhrania systémov) na komunikáciu s novým systémom objektívnej zodpovednosti.</w:t>
      </w:r>
    </w:p>
    <w:p w:rsidR="001C137A" w:rsidP="001C137A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Potreba 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>kapitálových výdavkov</w:t>
      </w:r>
      <w:r w:rsidRPr="00A0182B">
        <w:rPr>
          <w:rFonts w:ascii="Times New Roman" w:hAnsi="Times New Roman"/>
          <w:sz w:val="24"/>
          <w:szCs w:val="24"/>
          <w:lang w:eastAsia="cs-CZ"/>
        </w:rPr>
        <w:t>:</w:t>
      </w:r>
    </w:p>
    <w:p w:rsidR="001C137A" w:rsidP="001C13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Predpokladaná suma </w:t>
      </w:r>
      <w:r w:rsidRPr="00FB0813">
        <w:rPr>
          <w:rFonts w:ascii="Times New Roman" w:hAnsi="Times New Roman"/>
          <w:b/>
          <w:sz w:val="24"/>
          <w:szCs w:val="24"/>
          <w:lang w:eastAsia="cs-CZ"/>
        </w:rPr>
        <w:t>13.8</w:t>
      </w:r>
      <w:r>
        <w:rPr>
          <w:rFonts w:ascii="Times New Roman" w:hAnsi="Times New Roman"/>
          <w:b/>
          <w:sz w:val="24"/>
          <w:szCs w:val="24"/>
          <w:lang w:eastAsia="cs-CZ"/>
        </w:rPr>
        <w:t>00</w:t>
      </w:r>
      <w:r w:rsidRPr="00FB0813">
        <w:rPr>
          <w:rFonts w:ascii="Times New Roman" w:hAnsi="Times New Roman"/>
          <w:b/>
          <w:sz w:val="24"/>
          <w:szCs w:val="24"/>
          <w:lang w:eastAsia="cs-CZ"/>
        </w:rPr>
        <w:t>.000  €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na pokrytie nákladov spoločnosti je vyčíslené v položke 711 – v časti softvér a licencie. V prvom roku bude čerpaných 7 miliónov eur a v ďalších dvoch rokoch 6,8 milióna eur.</w:t>
      </w:r>
    </w:p>
    <w:p w:rsidR="001C137A" w:rsidP="001C13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Policajný zbor je v súčasnosti vybavený modernými zariadeniami na meranie rýchlosti (40 kusov TruCam)</w:t>
      </w:r>
      <w:r>
        <w:rPr>
          <w:rFonts w:ascii="Times New Roman" w:hAnsi="Times New Roman"/>
          <w:sz w:val="24"/>
          <w:szCs w:val="24"/>
          <w:lang w:eastAsia="cs-CZ"/>
        </w:rPr>
        <w:t>. Na zabezpečenie plynulého a nerušeného aplikovania inštitútu objektívnej zodpovednosti v praktickej činnosti, je potrebné vynaložiť prvotné kapitálové výdavky uvedené v položke 713</w:t>
      </w:r>
      <w:r w:rsidRPr="00A0182B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 xml:space="preserve"> Detailnejšie sa jedná o 150</w:t>
      </w:r>
      <w:r w:rsidRPr="00640C2A">
        <w:rPr>
          <w:rFonts w:ascii="Times New Roman" w:hAnsi="Times New Roman"/>
          <w:sz w:val="24"/>
          <w:szCs w:val="24"/>
          <w:lang w:eastAsia="cs-CZ"/>
        </w:rPr>
        <w:t xml:space="preserve"> stacionárnych meračov rýchlosti, z ktorých </w:t>
      </w:r>
    </w:p>
    <w:p w:rsidR="001C137A" w:rsidP="001C137A">
      <w:pPr>
        <w:numPr>
          <w:numId w:val="3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8</w:t>
      </w:r>
      <w:r w:rsidRPr="00640C2A">
        <w:rPr>
          <w:rFonts w:ascii="Times New Roman" w:hAnsi="Times New Roman"/>
          <w:sz w:val="24"/>
          <w:szCs w:val="24"/>
          <w:lang w:eastAsia="cs-CZ"/>
        </w:rPr>
        <w:t>0 ks bude umiestnených na pevných konštrukciách pred vjazdom na mosty, do tunelov a na obchvaty miest resp.: na ostatných rizikových miestach, ktorými sú najmä nehodové úseky, miesta a zložitejšie k</w:t>
      </w:r>
      <w:r>
        <w:rPr>
          <w:rFonts w:ascii="Times New Roman" w:hAnsi="Times New Roman"/>
          <w:sz w:val="24"/>
          <w:szCs w:val="24"/>
          <w:lang w:eastAsia="cs-CZ"/>
        </w:rPr>
        <w:t>rižovatky,</w:t>
      </w:r>
    </w:p>
    <w:p w:rsidR="001C137A" w:rsidP="001C137A">
      <w:pPr>
        <w:numPr>
          <w:numId w:val="3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7</w:t>
      </w:r>
      <w:r w:rsidRPr="00640C2A">
        <w:rPr>
          <w:rFonts w:ascii="Times New Roman" w:hAnsi="Times New Roman"/>
          <w:sz w:val="24"/>
          <w:szCs w:val="24"/>
          <w:lang w:eastAsia="cs-CZ"/>
        </w:rPr>
        <w:t xml:space="preserve">0 ks sa predpokladá použiť ako stacionárne merače rýchlosti </w:t>
      </w:r>
      <w:r>
        <w:rPr>
          <w:rFonts w:ascii="Times New Roman" w:hAnsi="Times New Roman"/>
          <w:sz w:val="24"/>
          <w:szCs w:val="24"/>
          <w:lang w:eastAsia="cs-CZ"/>
        </w:rPr>
        <w:t>s</w:t>
      </w:r>
      <w:r w:rsidRPr="00640C2A">
        <w:rPr>
          <w:rFonts w:ascii="Times New Roman" w:hAnsi="Times New Roman"/>
          <w:sz w:val="24"/>
          <w:szCs w:val="24"/>
          <w:lang w:eastAsia="cs-CZ"/>
        </w:rPr>
        <w:t> možnosťou ich operatívneho umiestnenia podľa aktuálnej dopravno-bezpečnostnej situácie. Tieto by boli</w:t>
      </w:r>
      <w:r>
        <w:rPr>
          <w:rFonts w:ascii="Times New Roman" w:hAnsi="Times New Roman"/>
          <w:sz w:val="24"/>
          <w:szCs w:val="24"/>
          <w:lang w:eastAsia="cs-CZ"/>
        </w:rPr>
        <w:t xml:space="preserve"> umiestnené na „tzv. trojnožke“,</w:t>
      </w:r>
    </w:p>
    <w:p w:rsidR="001C137A" w:rsidRPr="00184DA8" w:rsidP="001C137A">
      <w:pPr>
        <w:numPr>
          <w:numId w:val="3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50 ks z</w:t>
      </w:r>
      <w:r w:rsidRPr="00184DA8"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>riadení pre detekciu jazdy na červenú.</w:t>
      </w:r>
    </w:p>
    <w:p w:rsidR="001C137A" w:rsidP="001C137A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TableNormal"/>
        <w:tblW w:w="9672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5A0"/>
      </w:tblPr>
      <w:tblGrid>
        <w:gridCol w:w="1951"/>
        <w:gridCol w:w="1275"/>
        <w:gridCol w:w="1199"/>
        <w:gridCol w:w="1134"/>
        <w:gridCol w:w="1080"/>
        <w:gridCol w:w="1402"/>
        <w:gridCol w:w="1631"/>
      </w:tblGrid>
      <w:tr>
        <w:tblPrEx>
          <w:tblW w:w="9672" w:type="dxa"/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</w:tblBorders>
          <w:tblLayout w:type="fixed"/>
          <w:tblLook w:val="05A0"/>
        </w:tblPrEx>
        <w:trPr>
          <w:trHeight w:val="485"/>
        </w:trPr>
        <w:tc>
          <w:tcPr>
            <w:tcW w:w="195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shd w:val="clear" w:color="auto" w:fill="8064A2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jednotková</w:t>
            </w:r>
          </w:p>
        </w:tc>
        <w:tc>
          <w:tcPr>
            <w:tcW w:w="1199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celkom</w:t>
            </w:r>
          </w:p>
        </w:tc>
        <w:tc>
          <w:tcPr>
            <w:tcW w:w="1134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overenie</w:t>
            </w:r>
          </w:p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á</w:t>
            </w:r>
          </w:p>
        </w:tc>
        <w:tc>
          <w:tcPr>
            <w:tcW w:w="1080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oprava</w:t>
            </w:r>
          </w:p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á</w:t>
            </w:r>
          </w:p>
        </w:tc>
        <w:tc>
          <w:tcPr>
            <w:tcW w:w="1402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textDirection w:val="lrTb"/>
            <w:vAlign w:val="top"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Kapitálové výdavky</w:t>
            </w:r>
          </w:p>
        </w:tc>
        <w:tc>
          <w:tcPr>
            <w:tcW w:w="163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8064A2"/>
            <w:textDirection w:val="lrTb"/>
            <w:vAlign w:val="top"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color w:val="FFFFFF"/>
                <w:lang w:eastAsia="cs-CZ"/>
              </w:rPr>
              <w:t>Bežné výdavky /rok</w:t>
            </w:r>
          </w:p>
        </w:tc>
      </w:tr>
      <w:tr>
        <w:tblPrEx>
          <w:tblW w:w="9672" w:type="dxa"/>
          <w:tblLayout w:type="fixed"/>
          <w:tblLook w:val="05A0"/>
        </w:tblPrEx>
        <w:trPr>
          <w:trHeight w:val="255"/>
        </w:trPr>
        <w:tc>
          <w:tcPr>
            <w:tcW w:w="195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40 ks TruCam modernizácia</w:t>
            </w:r>
          </w:p>
        </w:tc>
        <w:tc>
          <w:tcPr>
            <w:tcW w:w="1275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2 189</w:t>
            </w:r>
          </w:p>
        </w:tc>
        <w:tc>
          <w:tcPr>
            <w:tcW w:w="1199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87 552</w:t>
            </w:r>
          </w:p>
        </w:tc>
        <w:tc>
          <w:tcPr>
            <w:tcW w:w="1134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360</w:t>
            </w:r>
          </w:p>
        </w:tc>
        <w:tc>
          <w:tcPr>
            <w:tcW w:w="1080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600</w:t>
            </w:r>
          </w:p>
        </w:tc>
        <w:tc>
          <w:tcPr>
            <w:tcW w:w="1402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eastAsia="cs-CZ"/>
              </w:rPr>
            </w:pPr>
            <w:r w:rsidRPr="00A668FA">
              <w:rPr>
                <w:rFonts w:ascii="Times New Roman" w:hAnsi="Times New Roman"/>
                <w:b/>
                <w:lang w:eastAsia="cs-CZ"/>
              </w:rPr>
              <w:t>87 552</w:t>
            </w:r>
          </w:p>
        </w:tc>
        <w:tc>
          <w:tcPr>
            <w:tcW w:w="163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38 400</w:t>
            </w:r>
          </w:p>
        </w:tc>
      </w:tr>
      <w:tr>
        <w:tblPrEx>
          <w:tblW w:w="9672" w:type="dxa"/>
          <w:tblLayout w:type="fixed"/>
          <w:tblLook w:val="05A0"/>
        </w:tblPrEx>
        <w:trPr>
          <w:trHeight w:val="255"/>
        </w:trPr>
        <w:tc>
          <w:tcPr>
            <w:tcW w:w="195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80 ks prenosný merač rýchlosti</w:t>
            </w:r>
          </w:p>
        </w:tc>
        <w:tc>
          <w:tcPr>
            <w:tcW w:w="1275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13 980</w:t>
            </w:r>
          </w:p>
        </w:tc>
        <w:tc>
          <w:tcPr>
            <w:tcW w:w="1199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1 118 400</w:t>
            </w:r>
          </w:p>
        </w:tc>
        <w:tc>
          <w:tcPr>
            <w:tcW w:w="1134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360</w:t>
            </w:r>
          </w:p>
        </w:tc>
        <w:tc>
          <w:tcPr>
            <w:tcW w:w="1080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960</w:t>
            </w:r>
          </w:p>
        </w:tc>
        <w:tc>
          <w:tcPr>
            <w:tcW w:w="1402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eastAsia="cs-CZ"/>
              </w:rPr>
            </w:pPr>
            <w:r w:rsidRPr="00A668FA">
              <w:rPr>
                <w:rFonts w:ascii="Times New Roman" w:hAnsi="Times New Roman"/>
                <w:b/>
                <w:lang w:eastAsia="cs-CZ"/>
              </w:rPr>
              <w:t>1 118 400</w:t>
            </w:r>
          </w:p>
        </w:tc>
        <w:tc>
          <w:tcPr>
            <w:tcW w:w="163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105 600</w:t>
            </w:r>
          </w:p>
        </w:tc>
      </w:tr>
      <w:tr>
        <w:tblPrEx>
          <w:tblW w:w="9672" w:type="dxa"/>
          <w:tblLayout w:type="fixed"/>
          <w:tblLook w:val="05A0"/>
        </w:tblPrEx>
        <w:trPr>
          <w:trHeight w:val="255"/>
        </w:trPr>
        <w:tc>
          <w:tcPr>
            <w:tcW w:w="195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70 ks stacionárny merač rýchlosti</w:t>
            </w:r>
          </w:p>
        </w:tc>
        <w:tc>
          <w:tcPr>
            <w:tcW w:w="1275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46 320</w:t>
            </w:r>
          </w:p>
        </w:tc>
        <w:tc>
          <w:tcPr>
            <w:tcW w:w="1199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3 242 400</w:t>
            </w:r>
          </w:p>
        </w:tc>
        <w:tc>
          <w:tcPr>
            <w:tcW w:w="1134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1 064</w:t>
            </w:r>
          </w:p>
        </w:tc>
        <w:tc>
          <w:tcPr>
            <w:tcW w:w="1080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806</w:t>
            </w:r>
          </w:p>
        </w:tc>
        <w:tc>
          <w:tcPr>
            <w:tcW w:w="1402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eastAsia="cs-CZ"/>
              </w:rPr>
            </w:pPr>
            <w:r w:rsidRPr="00A668FA">
              <w:rPr>
                <w:rFonts w:ascii="Times New Roman" w:hAnsi="Times New Roman"/>
                <w:b/>
                <w:lang w:eastAsia="cs-CZ"/>
              </w:rPr>
              <w:t>3 242 400</w:t>
            </w:r>
          </w:p>
        </w:tc>
        <w:tc>
          <w:tcPr>
            <w:tcW w:w="163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130 928</w:t>
            </w:r>
          </w:p>
        </w:tc>
      </w:tr>
      <w:tr>
        <w:tblPrEx>
          <w:tblW w:w="9672" w:type="dxa"/>
          <w:tblLayout w:type="fixed"/>
          <w:tblLook w:val="05A0"/>
        </w:tblPrEx>
        <w:trPr>
          <w:trHeight w:val="255"/>
        </w:trPr>
        <w:tc>
          <w:tcPr>
            <w:tcW w:w="195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50 ks prejazd na znamenie STOJ!</w:t>
            </w:r>
          </w:p>
        </w:tc>
        <w:tc>
          <w:tcPr>
            <w:tcW w:w="1275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29 956</w:t>
            </w:r>
          </w:p>
        </w:tc>
        <w:tc>
          <w:tcPr>
            <w:tcW w:w="1199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1 497 780</w:t>
            </w:r>
          </w:p>
        </w:tc>
        <w:tc>
          <w:tcPr>
            <w:tcW w:w="1134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360</w:t>
            </w:r>
          </w:p>
        </w:tc>
        <w:tc>
          <w:tcPr>
            <w:tcW w:w="1080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  <w:r w:rsidRPr="00A668FA">
              <w:rPr>
                <w:rFonts w:ascii="Times New Roman" w:hAnsi="Times New Roman"/>
                <w:lang w:eastAsia="cs-CZ"/>
              </w:rPr>
              <w:t>696</w:t>
            </w:r>
          </w:p>
        </w:tc>
        <w:tc>
          <w:tcPr>
            <w:tcW w:w="1402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eastAsia="cs-CZ"/>
              </w:rPr>
            </w:pPr>
            <w:r w:rsidRPr="00A668FA">
              <w:rPr>
                <w:rFonts w:ascii="Times New Roman" w:hAnsi="Times New Roman"/>
                <w:b/>
                <w:lang w:eastAsia="cs-CZ"/>
              </w:rPr>
              <w:t>1 497 780</w:t>
            </w:r>
          </w:p>
        </w:tc>
        <w:tc>
          <w:tcPr>
            <w:tcW w:w="163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52 800</w:t>
            </w:r>
          </w:p>
        </w:tc>
      </w:tr>
      <w:tr>
        <w:tblPrEx>
          <w:tblW w:w="9672" w:type="dxa"/>
          <w:tblLayout w:type="fixed"/>
          <w:tblLook w:val="05A0"/>
        </w:tblPrEx>
        <w:trPr>
          <w:trHeight w:val="255"/>
        </w:trPr>
        <w:tc>
          <w:tcPr>
            <w:tcW w:w="1951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SPOLU</w:t>
            </w:r>
          </w:p>
        </w:tc>
        <w:tc>
          <w:tcPr>
            <w:tcW w:w="1275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199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080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02" w:type="dxa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lang w:eastAsia="cs-CZ"/>
              </w:rPr>
            </w:pPr>
            <w:r w:rsidRPr="00A668FA">
              <w:rPr>
                <w:rFonts w:ascii="Times New Roman" w:hAnsi="Times New Roman"/>
                <w:b/>
                <w:lang w:eastAsia="cs-CZ"/>
              </w:rPr>
              <w:t>5 946 132</w:t>
            </w:r>
          </w:p>
        </w:tc>
        <w:tc>
          <w:tcPr>
            <w:tcW w:w="163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  <w:noWrap/>
            <w:textDirection w:val="lrTb"/>
            <w:vAlign w:val="top"/>
            <w:hideMark/>
          </w:tcPr>
          <w:p w:rsidR="001C137A" w:rsidRPr="00A668FA" w:rsidP="00D459B4">
            <w:pPr>
              <w:bidi w:val="0"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cs-CZ"/>
              </w:rPr>
            </w:pPr>
            <w:r w:rsidRPr="00A668FA">
              <w:rPr>
                <w:rFonts w:ascii="Times New Roman" w:hAnsi="Times New Roman"/>
                <w:b/>
                <w:bCs/>
                <w:lang w:eastAsia="cs-CZ"/>
              </w:rPr>
              <w:t>327 728</w:t>
            </w:r>
          </w:p>
        </w:tc>
      </w:tr>
    </w:tbl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  <w:t>V prvom roku je pritom predpoklad čerpania približne 1 milión eur, ostatné finančné prostriedky budú čerpané v rokoch 2013 a 2014.</w:t>
      </w: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1336FC" w:rsidP="001C137A">
      <w:pPr>
        <w:numPr>
          <w:numId w:val="30"/>
        </w:num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1336FC">
        <w:rPr>
          <w:rFonts w:ascii="Times New Roman" w:hAnsi="Times New Roman"/>
          <w:b/>
          <w:color w:val="000000"/>
          <w:sz w:val="24"/>
          <w:szCs w:val="24"/>
          <w:lang w:eastAsia="cs-CZ"/>
        </w:rPr>
        <w:t>Nákup mobilných záznamových zariadení</w:t>
      </w:r>
    </w:p>
    <w:p w:rsidR="001C137A" w:rsidRPr="001336FC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1336FC">
        <w:rPr>
          <w:rFonts w:ascii="Times New Roman" w:hAnsi="Times New Roman"/>
          <w:sz w:val="24"/>
          <w:szCs w:val="24"/>
          <w:lang w:eastAsia="cs-CZ"/>
        </w:rPr>
        <w:t>Ručné zariadenia na dokumentovanie porušení pravidiel pre ilustráciu typu napr. PDA. Pre výpočet konečnej sumy bola použitá priemerná cena PDA 400 €/kus a predpokladaný počet 50 kusov.</w:t>
      </w: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  <w:r w:rsidRPr="00A07058">
        <w:rPr>
          <w:rFonts w:ascii="Times New Roman" w:hAnsi="Times New Roman"/>
          <w:b/>
          <w:sz w:val="28"/>
          <w:szCs w:val="28"/>
          <w:lang w:eastAsia="cs-CZ"/>
        </w:rPr>
        <w:t xml:space="preserve">B.2. Budova – kapitálové náklady </w:t>
      </w:r>
    </w:p>
    <w:p w:rsidR="001C137A" w:rsidRPr="00FB0813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B0813">
        <w:rPr>
          <w:rFonts w:ascii="Times New Roman" w:hAnsi="Times New Roman"/>
          <w:sz w:val="24"/>
          <w:szCs w:val="24"/>
          <w:lang w:eastAsia="cs-CZ"/>
        </w:rPr>
        <w:t>(položka 712, resp. 717)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ab/>
      </w:r>
    </w:p>
    <w:p w:rsidR="001C137A" w:rsidRPr="00A0182B" w:rsidP="001C137A">
      <w:pPr>
        <w:shd w:val="clear" w:color="auto" w:fill="FFFFFF"/>
        <w:bidi w:val="0"/>
        <w:ind w:left="1003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ab/>
      </w:r>
      <w:r w:rsidRPr="00A0182B">
        <w:rPr>
          <w:rFonts w:ascii="Times New Roman" w:hAnsi="Times New Roman"/>
          <w:b/>
          <w:bCs/>
          <w:spacing w:val="-2"/>
          <w:sz w:val="24"/>
          <w:szCs w:val="24"/>
          <w:u w:val="single"/>
          <w:lang w:eastAsia="sk-SK"/>
        </w:rPr>
        <w:t xml:space="preserve">ADMINISTRATÍVNA BUDOVA </w:t>
      </w:r>
      <w:r w:rsidRPr="00A0182B">
        <w:rPr>
          <w:rFonts w:ascii="Times New Roman" w:hAnsi="Times New Roman"/>
          <w:b/>
          <w:bCs/>
          <w:smallCaps/>
          <w:spacing w:val="-2"/>
          <w:sz w:val="24"/>
          <w:szCs w:val="24"/>
          <w:u w:val="single"/>
          <w:lang w:eastAsia="sk-SK"/>
        </w:rPr>
        <w:t xml:space="preserve">(s </w:t>
      </w:r>
      <w:r w:rsidRPr="00A0182B">
        <w:rPr>
          <w:rFonts w:ascii="Times New Roman" w:hAnsi="Times New Roman"/>
          <w:b/>
          <w:bCs/>
          <w:spacing w:val="-2"/>
          <w:sz w:val="24"/>
          <w:szCs w:val="24"/>
          <w:u w:val="single"/>
          <w:lang w:eastAsia="sk-SK"/>
        </w:rPr>
        <w:t>kapacitou 150 zamestnancov)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130" w:after="274" w:line="254" w:lineRule="exact"/>
        <w:ind w:right="979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Vybavenie - vyšší stredný štandard Konštrukčný systém - trojtrakt alebo podobný </w:t>
      </w:r>
      <w:r>
        <w:rPr>
          <w:rFonts w:ascii="Times New Roman" w:hAnsi="Times New Roman"/>
          <w:sz w:val="24"/>
          <w:szCs w:val="24"/>
          <w:lang w:eastAsia="sk-SK"/>
        </w:rPr>
        <w:t>k</w:t>
      </w:r>
      <w:r w:rsidRPr="00A0182B">
        <w:rPr>
          <w:rFonts w:ascii="Times New Roman" w:hAnsi="Times New Roman"/>
          <w:sz w:val="24"/>
          <w:szCs w:val="24"/>
          <w:lang w:eastAsia="sk-SK"/>
        </w:rPr>
        <w:t>ompaktný systém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right="979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1.  primárna plocha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administratívne priestory pre 150 pracovníkov (z toho je uvažovaných 20 % vyšší manažment)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ind w:left="19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3"/>
          <w:sz w:val="24"/>
          <w:szCs w:val="24"/>
          <w:lang w:eastAsia="sk-SK"/>
        </w:rPr>
        <w:t>120 x 7,5 m2/osobu (min. 6 m2/os.)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6"/>
          <w:sz w:val="24"/>
          <w:szCs w:val="24"/>
          <w:lang w:eastAsia="sk-SK"/>
        </w:rPr>
        <w:t>900 m2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2"/>
          <w:sz w:val="24"/>
          <w:szCs w:val="24"/>
          <w:lang w:eastAsia="sk-SK"/>
        </w:rPr>
        <w:t>20 x 15,0 m2/osobu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6"/>
          <w:sz w:val="24"/>
          <w:szCs w:val="24"/>
          <w:lang w:eastAsia="sk-SK"/>
        </w:rPr>
        <w:t>300 m2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ind w:left="17"/>
        <w:rPr>
          <w:rFonts w:ascii="Times New Roman" w:hAnsi="Times New Roman"/>
          <w:spacing w:val="-5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3"/>
          <w:sz w:val="24"/>
          <w:szCs w:val="24"/>
          <w:lang w:eastAsia="sk-SK"/>
        </w:rPr>
        <w:t>10 x 30,0 m2/osobu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5"/>
          <w:sz w:val="24"/>
          <w:szCs w:val="24"/>
          <w:lang w:eastAsia="sk-SK"/>
        </w:rPr>
        <w:t>300 m2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ind w:left="17"/>
        <w:rPr>
          <w:rFonts w:ascii="Times New Roman" w:hAnsi="Times New Roman"/>
          <w:spacing w:val="-5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2. sekundárna plocha 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rokovacie miestnosti, centrálna zasadačka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2"/>
          <w:sz w:val="24"/>
          <w:szCs w:val="24"/>
          <w:lang w:eastAsia="sk-SK"/>
        </w:rPr>
        <w:t>20% primárnej plochy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6"/>
          <w:sz w:val="24"/>
          <w:szCs w:val="24"/>
          <w:lang w:eastAsia="sk-SK"/>
        </w:rPr>
        <w:t>300 m2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3. terciálna plocha 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skladovacie priestory, kopírky a pod.</w:t>
      </w:r>
    </w:p>
    <w:p w:rsidR="001C137A" w:rsidRPr="00A0182B" w:rsidP="001C137A">
      <w:pPr>
        <w:widowControl w:val="0"/>
        <w:shd w:val="clear" w:color="auto" w:fill="FFFFFF"/>
        <w:tabs>
          <w:tab w:val="left" w:pos="4879"/>
        </w:tabs>
        <w:autoSpaceDE w:val="0"/>
        <w:autoSpaceDN w:val="0"/>
        <w:bidi w:val="0"/>
        <w:adjustRightInd w:val="0"/>
        <w:spacing w:after="0" w:line="240" w:lineRule="auto"/>
        <w:ind w:left="17"/>
        <w:rPr>
          <w:rFonts w:ascii="Times New Roman" w:hAnsi="Times New Roman"/>
          <w:spacing w:val="-8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3"/>
          <w:sz w:val="24"/>
          <w:szCs w:val="24"/>
          <w:lang w:eastAsia="sk-SK"/>
        </w:rPr>
        <w:t>10%  primárnej plochy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8"/>
          <w:sz w:val="24"/>
          <w:szCs w:val="24"/>
          <w:lang w:eastAsia="sk-SK"/>
        </w:rPr>
        <w:t>150 m2</w:t>
      </w:r>
    </w:p>
    <w:p w:rsidR="001C137A" w:rsidRPr="00A0182B" w:rsidP="001C137A">
      <w:pPr>
        <w:widowControl w:val="0"/>
        <w:shd w:val="clear" w:color="auto" w:fill="FFFFFF"/>
        <w:tabs>
          <w:tab w:val="left" w:pos="4879"/>
        </w:tabs>
        <w:autoSpaceDE w:val="0"/>
        <w:autoSpaceDN w:val="0"/>
        <w:bidi w:val="0"/>
        <w:adjustRightInd w:val="0"/>
        <w:spacing w:after="0" w:line="240" w:lineRule="auto"/>
        <w:ind w:left="17"/>
        <w:rPr>
          <w:rFonts w:ascii="Times New Roman" w:hAnsi="Times New Roman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1"/>
          <w:sz w:val="24"/>
          <w:szCs w:val="24"/>
          <w:lang w:eastAsia="sk-SK"/>
        </w:rPr>
        <w:t>4. komunikácie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komunikácie, vstupné priestory, informátor a pod.</w:t>
      </w:r>
    </w:p>
    <w:p w:rsidR="001C137A" w:rsidRPr="00A0182B" w:rsidP="001C137A">
      <w:pPr>
        <w:widowControl w:val="0"/>
        <w:shd w:val="clear" w:color="auto" w:fill="FFFFFF"/>
        <w:tabs>
          <w:tab w:val="left" w:pos="4865"/>
        </w:tabs>
        <w:autoSpaceDE w:val="0"/>
        <w:autoSpaceDN w:val="0"/>
        <w:bidi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2"/>
          <w:sz w:val="24"/>
          <w:szCs w:val="24"/>
          <w:lang w:eastAsia="sk-SK"/>
        </w:rPr>
        <w:t>20%  primárnej plochy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5"/>
          <w:sz w:val="24"/>
          <w:szCs w:val="24"/>
          <w:lang w:eastAsia="sk-SK"/>
        </w:rPr>
        <w:t>300 m2</w:t>
      </w:r>
    </w:p>
    <w:p w:rsidR="001C137A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pacing w:val="-3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3"/>
          <w:sz w:val="24"/>
          <w:szCs w:val="24"/>
          <w:lang w:eastAsia="sk-SK"/>
        </w:rPr>
        <w:t>5. hygienické zázemie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WC, upratovacie komory, kuchynky, sprcha a pod.</w:t>
      </w:r>
    </w:p>
    <w:p w:rsidR="001C137A" w:rsidRPr="00A0182B" w:rsidP="001C137A">
      <w:pPr>
        <w:widowControl w:val="0"/>
        <w:shd w:val="clear" w:color="auto" w:fill="FFFFFF"/>
        <w:tabs>
          <w:tab w:val="left" w:pos="4882"/>
        </w:tabs>
        <w:autoSpaceDE w:val="0"/>
        <w:autoSpaceDN w:val="0"/>
        <w:bidi w:val="0"/>
        <w:adjustRightInd w:val="0"/>
        <w:spacing w:after="0" w:line="240" w:lineRule="auto"/>
        <w:ind w:left="19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3"/>
          <w:sz w:val="24"/>
          <w:szCs w:val="24"/>
          <w:lang w:eastAsia="sk-SK"/>
        </w:rPr>
        <w:t>10 % primárnej plochy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8"/>
          <w:sz w:val="24"/>
          <w:szCs w:val="24"/>
          <w:lang w:eastAsia="sk-SK"/>
        </w:rPr>
        <w:t>150 m2</w:t>
      </w:r>
    </w:p>
    <w:p w:rsidR="001C137A" w:rsidP="001C137A">
      <w:pPr>
        <w:widowControl w:val="0"/>
        <w:shd w:val="clear" w:color="auto" w:fill="FFFFFF"/>
        <w:tabs>
          <w:tab w:val="left" w:pos="18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tabs>
          <w:tab w:val="left" w:pos="18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6. technické zázemie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10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kotolňa, strojovne technológie (VZT, výťahy), miestnosť personálu, REC a pod.</w:t>
      </w:r>
    </w:p>
    <w:p w:rsidR="001C137A" w:rsidRPr="00A0182B" w:rsidP="001C137A">
      <w:pPr>
        <w:widowControl w:val="0"/>
        <w:shd w:val="clear" w:color="auto" w:fill="FFFFFF"/>
        <w:tabs>
          <w:tab w:val="left" w:pos="4987"/>
        </w:tabs>
        <w:autoSpaceDE w:val="0"/>
        <w:autoSpaceDN w:val="0"/>
        <w:bidi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pacing w:val="-2"/>
          <w:sz w:val="24"/>
          <w:szCs w:val="24"/>
          <w:lang w:eastAsia="sk-SK"/>
        </w:rPr>
        <w:t>5 % primárnej plochy</w:t>
      </w:r>
      <w:r w:rsidRPr="00A0182B">
        <w:rPr>
          <w:rFonts w:ascii="Times New Roman" w:hAnsi="Times New Roman"/>
          <w:sz w:val="24"/>
          <w:szCs w:val="24"/>
          <w:lang w:eastAsia="sk-SK"/>
        </w:rPr>
        <w:tab/>
      </w:r>
      <w:r w:rsidRPr="00A0182B">
        <w:rPr>
          <w:rFonts w:ascii="Times New Roman" w:hAnsi="Times New Roman"/>
          <w:spacing w:val="-6"/>
          <w:sz w:val="24"/>
          <w:szCs w:val="24"/>
          <w:lang w:eastAsia="sk-SK"/>
        </w:rPr>
        <w:t>75 m2</w:t>
      </w:r>
    </w:p>
    <w:p w:rsidR="001C137A" w:rsidRPr="00A0182B" w:rsidP="001C137A">
      <w:pPr>
        <w:widowControl w:val="0"/>
        <w:autoSpaceDE w:val="0"/>
        <w:autoSpaceDN w:val="0"/>
        <w:bidi w:val="0"/>
        <w:adjustRightInd w:val="0"/>
        <w:spacing w:before="353" w:after="0" w:line="1" w:lineRule="exact"/>
        <w:rPr>
          <w:rFonts w:ascii="Times New Roman" w:hAnsi="Times New Roman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  <w:lang w:eastAsia="sk-SK"/>
        </w:rPr>
      </w:pPr>
      <w:r w:rsidRPr="00A0182B">
        <w:rPr>
          <w:rFonts w:ascii="Times New Roman" w:hAnsi="Times New Roman"/>
          <w:b/>
          <w:spacing w:val="43"/>
          <w:sz w:val="24"/>
          <w:szCs w:val="24"/>
          <w:lang w:eastAsia="sk-SK"/>
        </w:rPr>
        <w:t>SPOLU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           </w:t>
        <w:tab/>
        <w:tab/>
        <w:t xml:space="preserve">                             </w:t>
      </w:r>
      <w:r w:rsidRPr="00A0182B">
        <w:rPr>
          <w:rFonts w:ascii="Times New Roman" w:hAnsi="Times New Roman"/>
          <w:spacing w:val="-4"/>
          <w:sz w:val="24"/>
          <w:szCs w:val="24"/>
          <w:lang w:eastAsia="sk-SK"/>
        </w:rPr>
        <w:t>2.475 m2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pacing w:val="-2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- </w:t>
      </w:r>
      <w:r w:rsidRPr="00A0182B">
        <w:rPr>
          <w:rFonts w:ascii="Times New Roman" w:hAnsi="Times New Roman"/>
          <w:b/>
          <w:sz w:val="24"/>
          <w:szCs w:val="24"/>
          <w:lang w:eastAsia="sk-SK"/>
        </w:rPr>
        <w:t xml:space="preserve">rekonštrukcia </w:t>
        <w:tab/>
        <w:tab/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500 €/m2 = 500 x 2.500             </w:t>
        <w:tab/>
      </w:r>
      <w:r w:rsidRPr="00A0182B">
        <w:rPr>
          <w:rFonts w:ascii="Times New Roman" w:hAnsi="Times New Roman"/>
          <w:b/>
          <w:sz w:val="24"/>
          <w:szCs w:val="24"/>
          <w:lang w:eastAsia="sk-SK"/>
        </w:rPr>
        <w:t>1.250</w:t>
      </w:r>
      <w:r w:rsidRPr="00A0182B">
        <w:rPr>
          <w:rFonts w:ascii="Times New Roman" w:hAnsi="Times New Roman"/>
          <w:b/>
          <w:spacing w:val="-2"/>
          <w:sz w:val="24"/>
          <w:szCs w:val="24"/>
          <w:lang w:eastAsia="sk-SK"/>
        </w:rPr>
        <w:t xml:space="preserve"> tis. €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- </w:t>
      </w:r>
      <w:r w:rsidRPr="00A0182B">
        <w:rPr>
          <w:rFonts w:ascii="Times New Roman" w:hAnsi="Times New Roman"/>
          <w:b/>
          <w:sz w:val="24"/>
          <w:szCs w:val="24"/>
          <w:lang w:eastAsia="sk-SK"/>
        </w:rPr>
        <w:t>novostavba</w:t>
        <w:tab/>
        <w:tab/>
        <w:tab/>
      </w:r>
      <w:r w:rsidRPr="00A0182B">
        <w:rPr>
          <w:rFonts w:ascii="Times New Roman" w:hAnsi="Times New Roman"/>
          <w:sz w:val="24"/>
          <w:szCs w:val="24"/>
          <w:lang w:eastAsia="sk-SK"/>
        </w:rPr>
        <w:t>9</w:t>
      </w:r>
      <w:r w:rsidRPr="00A0182B">
        <w:rPr>
          <w:rFonts w:ascii="Times New Roman" w:hAnsi="Times New Roman"/>
          <w:spacing w:val="-2"/>
          <w:sz w:val="24"/>
          <w:szCs w:val="24"/>
          <w:lang w:eastAsia="sk-SK"/>
        </w:rPr>
        <w:t>00 €/m2 = 900 x 2.500</w:t>
        <w:tab/>
        <w:t xml:space="preserve"> </w:t>
        <w:tab/>
      </w:r>
      <w:r w:rsidRPr="00107E4B">
        <w:rPr>
          <w:rFonts w:ascii="Times New Roman" w:hAnsi="Times New Roman"/>
          <w:b/>
          <w:spacing w:val="-3"/>
          <w:sz w:val="24"/>
          <w:szCs w:val="24"/>
          <w:u w:val="single"/>
          <w:lang w:eastAsia="sk-SK"/>
        </w:rPr>
        <w:t>2.250 tis. €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 xml:space="preserve">- </w:t>
      </w:r>
      <w:r w:rsidRPr="00A0182B">
        <w:rPr>
          <w:rFonts w:ascii="Times New Roman" w:hAnsi="Times New Roman"/>
          <w:b/>
          <w:sz w:val="24"/>
          <w:szCs w:val="24"/>
          <w:lang w:eastAsia="sk-SK"/>
        </w:rPr>
        <w:t>prenájom za rok</w:t>
      </w:r>
      <w:r w:rsidRPr="00A0182B">
        <w:rPr>
          <w:rFonts w:ascii="Times New Roman" w:hAnsi="Times New Roman"/>
          <w:sz w:val="24"/>
          <w:szCs w:val="24"/>
          <w:lang w:eastAsia="sk-SK"/>
        </w:rPr>
        <w:t xml:space="preserve"> </w:t>
        <w:tab/>
        <w:tab/>
        <w:t>130 €/m 2= 130 x 2.500</w:t>
      </w:r>
      <w:r w:rsidRPr="00A0182B">
        <w:rPr>
          <w:rFonts w:ascii="Times New Roman" w:hAnsi="Times New Roman"/>
          <w:b/>
          <w:sz w:val="24"/>
          <w:szCs w:val="24"/>
          <w:lang w:eastAsia="sk-SK"/>
        </w:rPr>
        <w:t xml:space="preserve">  </w:t>
        <w:tab/>
        <w:tab/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  </w:t>
      </w:r>
      <w:r w:rsidRPr="00A0182B">
        <w:rPr>
          <w:rFonts w:ascii="Times New Roman" w:hAnsi="Times New Roman"/>
          <w:b/>
          <w:sz w:val="24"/>
          <w:szCs w:val="24"/>
          <w:lang w:eastAsia="sk-SK"/>
        </w:rPr>
        <w:t>325 tis. €/rok</w:t>
      </w: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C137A" w:rsidRPr="00A0182B" w:rsidP="001C137A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182B">
        <w:rPr>
          <w:rFonts w:ascii="Times New Roman" w:hAnsi="Times New Roman"/>
          <w:sz w:val="24"/>
          <w:szCs w:val="24"/>
          <w:lang w:eastAsia="sk-SK"/>
        </w:rPr>
        <w:t>Pri novostavbe treba dopočítať plochy prístupových komunikácií (chodníky, cesty), parkovacie plochy (podľa STN 1 stojisko na 5 zamestnancov x 1,2 + návštevníci) a jednotlivé prípojky inžinierskych sietí (vodovod, kanalizáci</w:t>
      </w:r>
      <w:r>
        <w:rPr>
          <w:rFonts w:ascii="Times New Roman" w:hAnsi="Times New Roman"/>
          <w:sz w:val="24"/>
          <w:szCs w:val="24"/>
          <w:lang w:eastAsia="sk-SK"/>
        </w:rPr>
        <w:t xml:space="preserve">a, plyn, NN, telefón, internet). </w:t>
      </w:r>
      <w:r w:rsidRPr="00A0182B">
        <w:rPr>
          <w:rFonts w:ascii="Times New Roman" w:hAnsi="Times New Roman"/>
          <w:sz w:val="24"/>
          <w:szCs w:val="24"/>
          <w:lang w:eastAsia="sk-SK"/>
        </w:rPr>
        <w:t>Úpravou štandardu (nižší stredný štandard) môže byť plocha objektu znížená na cca 2.000 m2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ab/>
        <w:t xml:space="preserve">Zariadenie priestorov nábytkom sa predpokladá v hodnote 600 € / osoba a 1200 € / riaditeľ a zástupca riaditeľa, t.j. 600x74 (150 zamestnancov pri predpoklade, že v kancelárii sú dve osoby) = 44 400 € + 2 400 € (1200x2). Na vybavenie spoločných priestorov nábytkom je potrebné vynaložiť 2000€ x 5 (sekundárna plocha, terciálna plocha, komunikácie, hygienické zázemie, technické zázemie), t.j. 10 000 eur.  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>Spolu na zariadenie priestorov 56 800 €.</w:t>
      </w: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  <w:u w:val="single"/>
        </w:rPr>
        <w:t>Predpokladané bežné výdavky – prevádzkové náklady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položka 632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1526"/>
        <w:gridCol w:w="2693"/>
      </w:tblGrid>
      <w:tr>
        <w:tblPrEx>
          <w:tblW w:w="0" w:type="auto"/>
          <w:tblBorders>
            <w:top w:val="single" w:sz="8" w:space="0" w:color="4F81BD"/>
            <w:bottom w:val="single" w:sz="8" w:space="0" w:color="4F81BD"/>
          </w:tblBorders>
          <w:tblLook w:val="04A0"/>
        </w:tblPrEx>
        <w:tc>
          <w:tcPr>
            <w:tcW w:w="1526" w:type="dxa"/>
            <w:tcBorders>
              <w:top w:val="single" w:sz="8" w:space="0" w:color="4F81BD"/>
              <w:left w:val="none" w:sz="0" w:space="0" w:color="auto"/>
              <w:bottom w:val="single" w:sz="8" w:space="0" w:color="4F81BD"/>
              <w:right w:val="none" w:sz="0" w:space="0" w:color="auto"/>
            </w:tcBorders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2693" w:type="dxa"/>
            <w:tcBorders>
              <w:top w:val="single" w:sz="8" w:space="0" w:color="4F81BD"/>
              <w:left w:val="none" w:sz="0" w:space="0" w:color="auto"/>
              <w:bottom w:val="single" w:sz="8" w:space="0" w:color="4F81BD"/>
              <w:right w:val="none" w:sz="0" w:space="0" w:color="auto"/>
            </w:tcBorders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Suma / eur s DPH / rok</w:t>
            </w:r>
          </w:p>
        </w:tc>
      </w:tr>
      <w:tr>
        <w:tblPrEx>
          <w:tblW w:w="0" w:type="auto"/>
          <w:tblLook w:val="04A0"/>
        </w:tblPrEx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DFEE"/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elektrina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DFEE"/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35 000 €</w:t>
            </w:r>
          </w:p>
        </w:tc>
      </w:tr>
      <w:tr>
        <w:tblPrEx>
          <w:tblW w:w="0" w:type="auto"/>
          <w:tblLook w:val="04A0"/>
        </w:tblPrEx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teplo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40 000 €</w:t>
            </w:r>
          </w:p>
        </w:tc>
      </w:tr>
      <w:tr>
        <w:tblPrEx>
          <w:tblW w:w="0" w:type="auto"/>
          <w:tblLook w:val="04A0"/>
        </w:tblPrEx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DFEE"/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voda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DFEE"/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10 000 €</w:t>
            </w:r>
          </w:p>
        </w:tc>
      </w:tr>
      <w:tr>
        <w:tblPrEx>
          <w:tblW w:w="0" w:type="auto"/>
          <w:tblLook w:val="04A0"/>
        </w:tblPrEx>
        <w:tc>
          <w:tcPr>
            <w:tcW w:w="1526" w:type="dxa"/>
            <w:tcBorders>
              <w:top w:val="none" w:sz="0" w:space="0" w:color="auto"/>
              <w:left w:val="none" w:sz="0" w:space="0" w:color="auto"/>
              <w:bottom w:val="single" w:sz="8" w:space="0" w:color="4F81BD"/>
              <w:right w:val="none" w:sz="0" w:space="0" w:color="auto"/>
            </w:tcBorders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odpad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single" w:sz="8" w:space="0" w:color="4F81BD"/>
              <w:right w:val="none" w:sz="0" w:space="0" w:color="auto"/>
            </w:tcBorders>
            <w:textDirection w:val="lrTb"/>
            <w:vAlign w:val="top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10 000 €</w:t>
            </w:r>
          </w:p>
        </w:tc>
      </w:tr>
    </w:tbl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right="-14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Tri osobné motorové vozidlá pre centrálny dopravný inšpektorát, v hodnote á 15.000 €, sú započítané v kapitálových výdavkoch v položke 714.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numPr>
          <w:numId w:val="30"/>
        </w:num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 xml:space="preserve">Informačno – technické riešenie objektívnej zodpovednosti 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RPr="00A0182B" w:rsidP="001C137A">
      <w:pPr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>siete – dobudovanie a modernizácia v rámci okresov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>(položka 713)</w:t>
      </w: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 xml:space="preserve">Ide predovšetkým o nákup </w:t>
      </w:r>
      <w:r>
        <w:rPr>
          <w:rFonts w:ascii="Times New Roman" w:hAnsi="Times New Roman"/>
          <w:sz w:val="24"/>
          <w:szCs w:val="24"/>
          <w:lang w:eastAsia="cs-CZ"/>
        </w:rPr>
        <w:t>telekomunikačnej a bezpečnostnej infraštruktúry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umožňujúc</w:t>
      </w:r>
      <w:r>
        <w:rPr>
          <w:rFonts w:ascii="Times New Roman" w:hAnsi="Times New Roman"/>
          <w:sz w:val="24"/>
          <w:szCs w:val="24"/>
          <w:lang w:eastAsia="cs-CZ"/>
        </w:rPr>
        <w:t>ej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prenos údajov z techniky do informačného systému objektívnej zodpovednosti - po dávkach prostredníctvom zhrávania na nosiče alebo automaticky 3G sieťou alebo prostredníctvom wifi pripojenia v objekte Ministerstva vnútra SR. Na uvedené sa predpokladá použiť suma </w:t>
      </w:r>
      <w:r w:rsidRPr="001336FC">
        <w:rPr>
          <w:rFonts w:ascii="Times New Roman" w:hAnsi="Times New Roman"/>
          <w:b/>
          <w:sz w:val="24"/>
          <w:szCs w:val="24"/>
          <w:lang w:eastAsia="cs-CZ"/>
        </w:rPr>
        <w:t>1 260 000 € –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vrátane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prepojenia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>jednotlivých riaditeľstiev Policajného zbor</w:t>
      </w:r>
      <w:r>
        <w:rPr>
          <w:rFonts w:ascii="Times New Roman" w:hAnsi="Times New Roman"/>
          <w:sz w:val="24"/>
          <w:szCs w:val="24"/>
          <w:lang w:eastAsia="cs-CZ"/>
        </w:rPr>
        <w:t>u prostredníctvom siete MV NET (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Dátové pripojenie a štrukturovaná kabeláž </w:t>
      </w:r>
      <w:r>
        <w:rPr>
          <w:rFonts w:ascii="Times New Roman" w:hAnsi="Times New Roman"/>
          <w:sz w:val="24"/>
          <w:szCs w:val="24"/>
          <w:lang w:eastAsia="cs-CZ"/>
        </w:rPr>
        <w:t>pozostávajúca z pasívnej a aktívnej časti).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1C137A" w:rsidRPr="00A0182B" w:rsidP="001C137A">
      <w:pPr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>hardware (položka 713)</w:t>
      </w:r>
    </w:p>
    <w:p w:rsidR="001C137A" w:rsidRPr="00A0182B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Hardware a software potrebný pre zaistenie implementácie a uvedenia riešenia do prevádzky. Pri predpokladanom počte 153 (- 12 policajtov zaradených na ODI) zamestnancov bude predbežne potrebných 100 osobných počítačov. Pri priemernej cene 839,78 € / jeden počítač budú kapitálové náklady približne v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A0182B">
        <w:rPr>
          <w:rFonts w:ascii="Times New Roman" w:hAnsi="Times New Roman"/>
          <w:sz w:val="24"/>
          <w:szCs w:val="24"/>
          <w:lang w:eastAsia="cs-CZ"/>
        </w:rPr>
        <w:t>hodnote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>83</w:t>
      </w:r>
      <w:r>
        <w:rPr>
          <w:rFonts w:ascii="Times New Roman" w:hAnsi="Times New Roman"/>
          <w:sz w:val="24"/>
          <w:szCs w:val="24"/>
          <w:lang w:eastAsia="cs-CZ"/>
        </w:rPr>
        <w:t>.97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8 €. 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Podľa rámcovej zmluvy MV SR -  RD c.SE-204-77-OVO-2008 dodatok č.4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Pracovná stanica typ 10.  – cena s DPH 643,47 eur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LCD monitor 19“ typ 2.  – cena s DPH 196,31 eur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>Cena za zostavu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:              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        </w:t>
      </w:r>
      <w:r w:rsidRPr="00A0182B">
        <w:rPr>
          <w:rFonts w:ascii="Times New Roman" w:hAnsi="Times New Roman"/>
          <w:b/>
          <w:bCs/>
          <w:sz w:val="24"/>
          <w:szCs w:val="24"/>
          <w:lang w:eastAsia="cs-CZ"/>
        </w:rPr>
        <w:t xml:space="preserve">s DPH 839,78 eur 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C137A" w:rsidRPr="00A0182B" w:rsidP="001C137A">
      <w:pPr>
        <w:numPr>
          <w:numId w:val="18"/>
        </w:num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  <w:lang w:eastAsia="cs-CZ"/>
        </w:rPr>
        <w:t>riešenie hromadnej tlače a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 </w:t>
      </w:r>
      <w:r w:rsidRPr="00A0182B">
        <w:rPr>
          <w:rFonts w:ascii="Times New Roman" w:hAnsi="Times New Roman"/>
          <w:b/>
          <w:color w:val="000000"/>
          <w:sz w:val="24"/>
          <w:szCs w:val="24"/>
          <w:lang w:eastAsia="cs-CZ"/>
        </w:rPr>
        <w:t>zasielania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 xml:space="preserve">(položka </w:t>
      </w:r>
      <w:r>
        <w:rPr>
          <w:rFonts w:ascii="Times New Roman" w:hAnsi="Times New Roman"/>
          <w:b/>
          <w:sz w:val="24"/>
          <w:szCs w:val="24"/>
          <w:lang w:eastAsia="cs-CZ"/>
        </w:rPr>
        <w:t>632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>)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0182B">
        <w:rPr>
          <w:rFonts w:ascii="Times New Roman" w:hAnsi="Times New Roman"/>
          <w:b/>
          <w:sz w:val="24"/>
          <w:szCs w:val="24"/>
          <w:lang w:eastAsia="cs-CZ"/>
        </w:rPr>
        <w:tab/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Hardware, software a služby potrebné pre zaistenie hromadného generovania a doručovania poučení a výziev na úhradu sankcie uloženej </w:t>
      </w:r>
      <w:r>
        <w:rPr>
          <w:rFonts w:ascii="Times New Roman" w:hAnsi="Times New Roman"/>
          <w:sz w:val="24"/>
          <w:szCs w:val="24"/>
          <w:lang w:eastAsia="sk-SK"/>
        </w:rPr>
        <w:t xml:space="preserve">držiteľovi </w:t>
      </w:r>
      <w:r w:rsidRPr="00A0182B">
        <w:rPr>
          <w:rFonts w:ascii="Times New Roman" w:hAnsi="Times New Roman"/>
          <w:sz w:val="24"/>
          <w:szCs w:val="24"/>
          <w:lang w:eastAsia="cs-CZ"/>
        </w:rPr>
        <w:t>vozidla. Odporúča sa riešiť outsorcovaním spoločnosťou, ktorá tlačí dôverné informácie (napr. PIN k bankovým službám), adresy na obálky s doručenkou, poštové poukážky a zároveň by spravovala agendu ohľadom vrátených doručeniek.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 xml:space="preserve">B.3 </w:t>
      </w:r>
      <w:r w:rsidRPr="00A0182B">
        <w:rPr>
          <w:rFonts w:ascii="Times New Roman" w:hAnsi="Times New Roman"/>
          <w:b/>
          <w:sz w:val="28"/>
          <w:szCs w:val="28"/>
          <w:lang w:eastAsia="cs-CZ"/>
        </w:rPr>
        <w:t xml:space="preserve">Centrálny dopravný inšpektorát 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A0182B">
        <w:rPr>
          <w:rFonts w:ascii="Times New Roman" w:hAnsi="Times New Roman"/>
          <w:sz w:val="24"/>
          <w:szCs w:val="24"/>
          <w:lang w:eastAsia="cs-CZ"/>
        </w:rPr>
        <w:t>Personálne obsadenie v </w:t>
      </w:r>
      <w:r w:rsidRPr="00A0182B">
        <w:rPr>
          <w:rFonts w:ascii="Times New Roman" w:hAnsi="Times New Roman"/>
          <w:b/>
          <w:sz w:val="24"/>
          <w:szCs w:val="24"/>
          <w:lang w:eastAsia="cs-CZ"/>
        </w:rPr>
        <w:t>Maďarskej republike</w:t>
      </w:r>
      <w:r w:rsidRPr="00A0182B">
        <w:rPr>
          <w:rFonts w:ascii="Times New Roman" w:hAnsi="Times New Roman"/>
          <w:sz w:val="24"/>
          <w:szCs w:val="24"/>
          <w:lang w:eastAsia="cs-CZ"/>
        </w:rPr>
        <w:t xml:space="preserve"> na centralizovanom správnom orgáne</w:t>
      </w:r>
    </w:p>
    <w:p w:rsidR="001C137A" w:rsidRPr="00A0182B" w:rsidP="001C137A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865"/>
        <w:gridCol w:w="661"/>
      </w:tblGrid>
      <w:tr>
        <w:tblPrEx>
          <w:tblW w:w="0" w:type="auto"/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Popis činnosti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Počet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Autorizácia rozhodnutí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65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Manuálne zhrávanie zo staršej techniky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100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Tlač, obálkovanie, styk s poštou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100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Call centrum a prvý odvolací orgán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35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SPOLU centrálny orgán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>300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2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2. odvolací orgán – mimo centrálneho orgánu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ind w:left="744" w:hanging="744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A0182B">
              <w:rPr>
                <w:rFonts w:ascii="Times New Roman" w:hAnsi="Times New Roman"/>
                <w:sz w:val="20"/>
                <w:szCs w:val="20"/>
                <w:lang w:eastAsia="cs-CZ"/>
              </w:rPr>
              <w:t>80</w:t>
            </w:r>
          </w:p>
        </w:tc>
      </w:tr>
    </w:tbl>
    <w:p w:rsidR="001C137A" w:rsidRPr="00A0182B" w:rsidP="001C137A">
      <w:pPr>
        <w:bidi w:val="0"/>
        <w:spacing w:before="60" w:after="0" w:line="240" w:lineRule="auto"/>
        <w:ind w:left="1276" w:right="1276"/>
        <w:contextualSpacing/>
        <w:jc w:val="both"/>
        <w:rPr>
          <w:rFonts w:ascii="Times New Roman" w:hAnsi="Times New Roman"/>
          <w:sz w:val="8"/>
          <w:szCs w:val="8"/>
          <w:lang w:eastAsia="cs-CZ"/>
        </w:rPr>
      </w:pPr>
    </w:p>
    <w:p w:rsidR="001C137A" w:rsidRPr="00A0182B" w:rsidP="001C137A">
      <w:pPr>
        <w:bidi w:val="0"/>
        <w:spacing w:before="60"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cs-CZ"/>
        </w:rPr>
      </w:pPr>
      <w:r w:rsidRPr="00A0182B">
        <w:rPr>
          <w:rFonts w:ascii="Times New Roman" w:hAnsi="Times New Roman"/>
          <w:sz w:val="20"/>
          <w:szCs w:val="20"/>
          <w:lang w:eastAsia="cs-CZ"/>
        </w:rPr>
        <w:t xml:space="preserve">* Z uvedeného počtu je 90 % obsluhy zamestnanej podobne ako vo verejnej službe, či štátnej službe a 10 % sú   </w:t>
      </w:r>
    </w:p>
    <w:p w:rsidR="001C137A" w:rsidRPr="00A0182B" w:rsidP="001C137A">
      <w:pPr>
        <w:bidi w:val="0"/>
        <w:spacing w:before="60"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cs-CZ"/>
        </w:rPr>
      </w:pPr>
      <w:r w:rsidRPr="00A0182B">
        <w:rPr>
          <w:rFonts w:ascii="Times New Roman" w:hAnsi="Times New Roman"/>
          <w:sz w:val="20"/>
          <w:szCs w:val="20"/>
          <w:lang w:eastAsia="cs-CZ"/>
        </w:rPr>
        <w:t xml:space="preserve">   príslušníci Policajného zboru. Nejedná sa o detailné počty zamestnancov.</w:t>
      </w:r>
    </w:p>
    <w:p w:rsidR="001C137A" w:rsidP="001C137A">
      <w:pPr>
        <w:bidi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182B">
        <w:rPr>
          <w:rFonts w:ascii="Times New Roman" w:hAnsi="Times New Roman"/>
          <w:b/>
          <w:color w:val="000000"/>
          <w:sz w:val="24"/>
          <w:szCs w:val="24"/>
        </w:rPr>
        <w:t xml:space="preserve">V Slovenskej republike </w:t>
      </w: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ab/>
        <w:t xml:space="preserve">Vzhľadom na skutočnosť, že Policajný zbor disponuje relatívne modernou technikou na dokumentovanie predovšetkým porušení pravidiel cestnej premávky prekročením rýchlosti, za jednorazovú investíciu do modernizácie meračov rýchlostí v hodnote približne </w:t>
      </w:r>
      <w:r>
        <w:rPr>
          <w:rFonts w:ascii="Times New Roman" w:hAnsi="Times New Roman"/>
          <w:lang w:eastAsia="cs-CZ"/>
        </w:rPr>
        <w:t>87 552</w:t>
      </w:r>
      <w:r w:rsidRPr="001336FC">
        <w:rPr>
          <w:rFonts w:ascii="Times New Roman" w:hAnsi="Times New Roman"/>
          <w:color w:val="000000"/>
          <w:sz w:val="24"/>
          <w:szCs w:val="24"/>
        </w:rPr>
        <w:t xml:space="preserve"> € (40 ks TruCam) ušetrí Ministerstvo vnútra SR oproti maďarskému modelu 100 zamestnan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cov. </w:t>
      </w:r>
    </w:p>
    <w:p w:rsidR="001C137A" w:rsidRPr="00A0182B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V Maďarskej republike je ďalej na tlač a následné podpisovanie a pečiatkovanie rozhodnutí vyčlenených 100 ľudí. V prípade, že bude schválené podpisovanie rozhodnutí pomocou faksimile a ak sa využijú služby spoločnosti poskytujúcej hybridnú tlač, uvedený počet zamestnancov, nebude potrebný v plnom rozsahu. Služba hybridnej tlače vo všeobecnosti poskytuje príjem dokumentu v konkrétnom formáte (najčastejšie pdf, ktoré zabezpečí nemennosť súboru), jeho vytlačenie, zaobálkovanie, doručenie zásielky adresátovi, spätná informácia o doručení, doručenie podpísanej návratky. Policajný zbor bude jednoznačne požadovať tlačenie aj pred vyplnenej poštovej poukážky na úhradu pokuty. Väčšina spoločností garantuje vysokú mieru spoľahlivosti, čo vyplýva napríklad i z ich spolupráce s bankami, pre ktoré sú tlačené vysoko dôverné údaje o PIN kóde k platobným kartám. Na záver je potrebné podotknúť, že v Maďarskej republike sa podpisovanie a pečiatkovanie rozhodnutí vykonáva manuálne.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Počet 35 zamestnancov vykonávajúcich autorizáciu rozhodnutí  a 16 osôb v call centre sa predbežne javí pre účely Slovenskej republiky ako postačujúce. Ďalších 30 zamestnancov by vykonávalo rozhodovanie po podanom odpore; funkciu právnika na zastupovanie MV SR na súde (pre podané žaloby na preskúmanie zákonnosti rozhodnutia), ekonomické činnosti (výkon neuhradených pokút) by vykonávalo 25 zamestnancov. 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Centralizovaný dopravný inšpektorát by teda na zabezpečenie optimálneho fungovania inštitútu objektívnej zodpovednosti mal mať 141 zamestnancov (24 policajtov a 117 civilných zamestnancov). Zabezpečenie finančných nárokov na kúpu pozemku nie je potrebné plánovať, Ministerstvo vnútra SR zabezpečí z vlastných zdrojov.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V prípade, ak </w:t>
      </w:r>
      <w:r>
        <w:rPr>
          <w:rFonts w:ascii="Times New Roman" w:hAnsi="Times New Roman"/>
          <w:sz w:val="24"/>
          <w:szCs w:val="24"/>
          <w:lang w:eastAsia="sk-SK"/>
        </w:rPr>
        <w:t xml:space="preserve">držiteľ </w:t>
      </w:r>
      <w:r w:rsidRPr="00A0182B">
        <w:rPr>
          <w:rFonts w:ascii="Times New Roman" w:hAnsi="Times New Roman"/>
          <w:color w:val="000000"/>
          <w:sz w:val="24"/>
          <w:szCs w:val="24"/>
        </w:rPr>
        <w:t>vozidla podá proti rozkazu o uložení pokuty odpor a nie je dôvod na iný postup, postúpi sa vec na konanie podľa osobitného predpisu na dopravný inšpektorát príslušný podľa miesta pobytu alebo sídla držiteľa vozidla. Z predpokladaného počtu (</w:t>
      </w:r>
      <w:r>
        <w:rPr>
          <w:rFonts w:ascii="Times New Roman" w:hAnsi="Times New Roman"/>
          <w:color w:val="000000"/>
          <w:sz w:val="24"/>
          <w:szCs w:val="24"/>
        </w:rPr>
        <w:t>2200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 správnych deliktov) spracovaných za jeden pracovný deň odhadujeme, že bude takýto postup použitý </w:t>
      </w:r>
      <w:r>
        <w:rPr>
          <w:rFonts w:ascii="Times New Roman" w:hAnsi="Times New Roman"/>
          <w:color w:val="000000"/>
          <w:sz w:val="24"/>
          <w:szCs w:val="24"/>
        </w:rPr>
        <w:t>220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 krát</w:t>
      </w:r>
      <w:r>
        <w:rPr>
          <w:rFonts w:ascii="Times New Roman" w:hAnsi="Times New Roman"/>
          <w:color w:val="000000"/>
          <w:sz w:val="24"/>
          <w:szCs w:val="24"/>
        </w:rPr>
        <w:t xml:space="preserve"> (podľa znalostí z Maďarskej republike 20 % podá odpor a polovica z tohto počtu je podaný z dôvodu uvedenia totožnosti vodiča)</w:t>
      </w:r>
      <w:r w:rsidRPr="00A0182B">
        <w:rPr>
          <w:rFonts w:ascii="Times New Roman" w:hAnsi="Times New Roman"/>
          <w:color w:val="000000"/>
          <w:sz w:val="24"/>
          <w:szCs w:val="24"/>
        </w:rPr>
        <w:t>. Z uvedeného počtu vyplýva, že na jeden dopravný inšpektorát (spol</w:t>
      </w:r>
      <w:r>
        <w:rPr>
          <w:rFonts w:ascii="Times New Roman" w:hAnsi="Times New Roman"/>
          <w:color w:val="000000"/>
          <w:sz w:val="24"/>
          <w:szCs w:val="24"/>
        </w:rPr>
        <w:t>u 76 v SR) pripadá v priemere 2,9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 vecí na jeden pracovný deň. Jednotlivé  dopravné inšpektoráty budú ale mať tieto veci rozdelené nerovnomerne. Počet vecí na jeden dopravný inšpektorát sa bude pravdepodobne odvíjať od počtu evidovaných vozidiel v tom ktorom okrese (priemerný počet evidovaných vozidiel na jeden dopravný inšpektorát je 31 496 vozidiel), pričom je z informačného systému evidencie vozidiel zrejmé, že v počte evidovaných vozidiel je medzi jednotlivými dopravnými inšpektorátmi veľký rozdiel.  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Z uvedeného vyplýva, že čím viac vozidiel daný dopravný inšpektorát eviduje, tým viac bude aj zaťažený s vecami pochádzajúcimi z objektívnej zodpovednosti. Predpokladáme, že nárast vecí sa bude dať zvládnuť na dopravných inšpektorátoch s počtom do 60.000 evidovaných vozidiel. Dopravným inšpektorátom s vyšším počtom evidovaných vozidiel navrhujeme pridať jedného policajta na každých 60.000 začatých vozidiel.</w:t>
      </w:r>
    </w:p>
    <w:p w:rsidR="001C137A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574"/>
        <w:gridCol w:w="1197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okres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Počet</w:t>
            </w:r>
          </w:p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evid. MV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Počet nových policajtov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Bratislava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302 773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Košice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99 326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Nitra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81 356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Žilina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70 420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Dunajská Streda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67 069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Nové Zámky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65 153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Trnava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65 046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Prešov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61 419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Spolu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18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C137A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 xml:space="preserve">Vznikne potreba posilnenia správnych orgánov na okresných dopravných inšpektorátoch, ktorí budú prejednávať priestupky proti bezpečnosti a plynulosti cestnej premávky po podanom odpore a oznámení osobných údajov vodiča </w:t>
      </w:r>
      <w:r>
        <w:rPr>
          <w:rFonts w:ascii="Times New Roman" w:hAnsi="Times New Roman"/>
          <w:sz w:val="24"/>
          <w:szCs w:val="24"/>
          <w:lang w:eastAsia="sk-SK"/>
        </w:rPr>
        <w:t>držiteľom</w:t>
      </w:r>
      <w:r w:rsidRPr="00A0182B">
        <w:rPr>
          <w:rFonts w:ascii="Times New Roman" w:hAnsi="Times New Roman"/>
          <w:color w:val="000000"/>
          <w:sz w:val="24"/>
          <w:szCs w:val="24"/>
        </w:rPr>
        <w:t xml:space="preserve"> vozidla o 12 príslušníkov Policajného zboru.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853"/>
        <w:gridCol w:w="585"/>
        <w:gridCol w:w="1246"/>
        <w:gridCol w:w="1633"/>
        <w:gridCol w:w="1268"/>
        <w:gridCol w:w="2093"/>
        <w:gridCol w:w="1950"/>
      </w:tblGrid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ind w:right="-35" w:hanging="13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Policajti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Platová trieda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na 1 policajta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spolu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620 - Poistné a príspevok do poisťovní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637016 -Prídel do sociálneho fondu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13 476,00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4474,20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141,60</w:t>
            </w:r>
          </w:p>
        </w:tc>
      </w:tr>
    </w:tbl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Predpokladá sa, že centrálny dopravný inšpektorát by mal  2 riadiacich funkcionárov (riaditeľ a zástupca riaditeľa – kumulovaná funkcia s vedúcim vnútorného oddelenia) a štyria vedúci oddelení:</w:t>
      </w:r>
    </w:p>
    <w:p w:rsidR="001C137A" w:rsidRPr="00A0182B" w:rsidP="001C137A">
      <w:pPr>
        <w:numPr>
          <w:numId w:val="21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vnútorné oddelenie – podateľňa a obslužné činnosti (24 zamestnancov)</w:t>
      </w:r>
    </w:p>
    <w:p w:rsidR="001C137A" w:rsidRPr="00A0182B" w:rsidP="001C137A">
      <w:pPr>
        <w:numPr>
          <w:numId w:val="21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autorizačné oddelenie – rozhodovanie o uložení pokuty (35 zamestnancov)</w:t>
      </w:r>
    </w:p>
    <w:p w:rsidR="001C137A" w:rsidRPr="00A0182B" w:rsidP="001C137A">
      <w:pPr>
        <w:numPr>
          <w:numId w:val="21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správne konanie – rozhodovanie o písomnostiach – predovšetkým však o podaných odporoch (30 zamestnancov)</w:t>
      </w:r>
    </w:p>
    <w:p w:rsidR="001C137A" w:rsidRPr="00A0182B" w:rsidP="001C137A">
      <w:pPr>
        <w:numPr>
          <w:numId w:val="21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call centrum – styk s verejnosťou a odborná pomoc pre okresné dopravné inšpektoráty pri riešení porušení pravidiel cestnej premávky v súvislosti s objektívnou zodpovednosťou (16 zamestnancov)</w:t>
      </w:r>
    </w:p>
    <w:p w:rsidR="001C137A" w:rsidP="001C137A">
      <w:pPr>
        <w:numPr>
          <w:numId w:val="21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82B">
        <w:rPr>
          <w:rFonts w:ascii="Times New Roman" w:hAnsi="Times New Roman"/>
          <w:color w:val="000000"/>
          <w:sz w:val="24"/>
          <w:szCs w:val="24"/>
        </w:rPr>
        <w:t>právne oddelenie – styk so súdmi, prokuratúrou, exekútormi (30 zamestnancov).</w:t>
      </w: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1693"/>
        <w:gridCol w:w="638"/>
        <w:gridCol w:w="953"/>
        <w:gridCol w:w="1580"/>
        <w:gridCol w:w="1321"/>
        <w:gridCol w:w="1871"/>
        <w:gridCol w:w="1667"/>
      </w:tblGrid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7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RANGE!A3:G37"/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Mesačné vyčíslenie potreby finančných prostriedkov na kategóriu 610 - Mzdy, platy, služobné príjmy a ostatné osobné vyrovnania, kategóriu 620 - Poistné a príspevok do poisťovní a podpoložku 637016 -Prídel do sociálneho fondu</w:t>
            </w:r>
            <w:bookmarkEnd w:id="0"/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Policajti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Platová trieda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na 1 policajta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620 - Poistné a príspevok do poisťovní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637016 -Prídel do sociálneho fondu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22 460,00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7 457,00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236,00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1 405,50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1 405,50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15,00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1 627,50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1 627,50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17,00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3 634,00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1 206,00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38,00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29 127,00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9 670,50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306,00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Štátna služba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Platová trieda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na 1 zamestnanca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620 - Poistné a príspevok do poisťovní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637016 -Prídel do sociálneho fondu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181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1 085,50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27 137,50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9 484,17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285,00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1 272,50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2 545,00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27,00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46 902,50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16 391,17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493,00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Verejný záujem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Platová trieda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na 1 zamestnanca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620 - Poistné a príspevok do poisťovní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637016 -Prídel do sociálneho fondu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4 715,00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50,00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449,50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4,21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7 267,50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2 540,00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76,00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7 845,00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2 742,00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82,00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5 635,00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1 969,09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59,09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1 814,22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54,22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9,00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32 004,00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11 168,89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334,52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Spolu policajti </w:t>
            </w:r>
          </w:p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+ ŠS + VZ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Platová trieda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na 1 zamestnanca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620 - Poistné a príspevok do poisťovní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637016 -Prídel do sociálneho fondu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108 033,50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37 230,56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1 133,52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1 296 402,00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446 766,70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13 602,28</w:t>
            </w:r>
          </w:p>
        </w:tc>
      </w:tr>
    </w:tbl>
    <w:p w:rsidR="001C137A" w:rsidRPr="00A0182B" w:rsidP="001C137A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1C137A" w:rsidRPr="00A0182B" w:rsidP="001C137A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A0182B">
        <w:rPr>
          <w:rFonts w:ascii="Times New Roman" w:hAnsi="Times New Roman"/>
          <w:color w:val="000000"/>
          <w:sz w:val="20"/>
          <w:szCs w:val="20"/>
          <w:lang w:eastAsia="sk-SK"/>
        </w:rPr>
        <w:t>Spolu s príslušníkmi PZ prisystemizovaných na vytypované okresné dopravné inšpektoráty</w:t>
      </w:r>
    </w:p>
    <w:tbl>
      <w:tblPr>
        <w:tblStyle w:val="TableNormal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52"/>
        <w:gridCol w:w="616"/>
        <w:gridCol w:w="910"/>
        <w:gridCol w:w="1500"/>
        <w:gridCol w:w="1276"/>
        <w:gridCol w:w="1701"/>
        <w:gridCol w:w="1487"/>
      </w:tblGrid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610 spolu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kat. 620 – Poistné a príspevok do poisťovní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637016 –Prídel do sociálneho fondu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121 509,50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41 704,76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color w:val="000000"/>
                <w:sz w:val="20"/>
                <w:szCs w:val="20"/>
                <w:lang w:eastAsia="sk-SK"/>
              </w:rPr>
              <w:t>1 275,12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1 458 114,00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500 457,10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C137A" w:rsidRPr="00A0182B" w:rsidP="00D459B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 w:rsidRPr="00A0182B"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15 301,48</w:t>
            </w:r>
          </w:p>
        </w:tc>
      </w:tr>
    </w:tbl>
    <w:p w:rsidR="001C137A" w:rsidRPr="00A0182B" w:rsidP="001C137A">
      <w:pPr>
        <w:bidi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1C137A" w:rsidRPr="00A0182B" w:rsidP="001C137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A0182B">
        <w:rPr>
          <w:rFonts w:ascii="Times New Roman" w:hAnsi="Times New Roman"/>
          <w:color w:val="000000"/>
          <w:sz w:val="20"/>
          <w:szCs w:val="20"/>
          <w:lang w:eastAsia="sk-SK"/>
        </w:rPr>
        <w:t>Poznámka: Výpočet potreby mzdových prostriedkov je spracovaný podľa platných predpisov k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>u</w:t>
      </w:r>
      <w:r w:rsidRPr="00A0182B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dňu 28. 09. 2011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A0182B">
        <w:rPr>
          <w:rFonts w:ascii="Times New Roman" w:hAnsi="Times New Roman"/>
          <w:color w:val="000000"/>
          <w:sz w:val="20"/>
          <w:szCs w:val="20"/>
          <w:lang w:eastAsia="sk-SK"/>
        </w:rPr>
        <w:t>a nezahŕňa finančné prostriedky v zmysle zákona o úprave príjmu zo závislej činnosti a o zmene a dopl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>n</w:t>
      </w:r>
      <w:r w:rsidRPr="00A0182B">
        <w:rPr>
          <w:rFonts w:ascii="Times New Roman" w:hAnsi="Times New Roman"/>
          <w:color w:val="000000"/>
          <w:sz w:val="20"/>
          <w:szCs w:val="20"/>
          <w:lang w:eastAsia="sk-SK"/>
        </w:rPr>
        <w:t>ení niektorých zákonov (superhrubá mzda).</w:t>
      </w:r>
    </w:p>
    <w:p w:rsidR="001C137A" w:rsidRPr="00A0182B" w:rsidP="001C137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137A" w:rsidP="001C137A">
      <w:pPr>
        <w:bidi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C137A" w:rsidP="001C137A">
      <w:pPr>
        <w:bidi w:val="0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C137A" w:rsidRPr="00FD5F37" w:rsidP="001C137A">
      <w:pPr>
        <w:tabs>
          <w:tab w:val="left" w:pos="567"/>
        </w:tabs>
        <w:bidi w:val="0"/>
        <w:rPr>
          <w:rFonts w:ascii="Times New Roman" w:hAnsi="Times New Roman"/>
          <w:sz w:val="26"/>
          <w:szCs w:val="26"/>
          <w:u w:val="single"/>
        </w:rPr>
      </w:pPr>
    </w:p>
    <w:sectPr w:rsidSect="001616E9">
      <w:headerReference w:type="default" r:id="rId10"/>
      <w:pgSz w:w="11906" w:h="16838"/>
      <w:pgMar w:top="1134" w:right="1134" w:bottom="1134" w:left="1134" w:header="425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FA" w:rsidP="00A0182B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06BFA" w:rsidP="00A0182B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FA" w:rsidP="00A0182B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5F0">
      <w:rPr>
        <w:rStyle w:val="PageNumber"/>
        <w:noProof/>
      </w:rPr>
      <w:t>1</w:t>
    </w:r>
    <w:r>
      <w:rPr>
        <w:rStyle w:val="PageNumber"/>
      </w:rPr>
      <w:fldChar w:fldCharType="end"/>
    </w:r>
  </w:p>
  <w:p w:rsidR="00506BFA" w:rsidP="00A0182B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FA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BD25F0">
      <w:rPr>
        <w:noProof/>
      </w:rPr>
      <w:t>19</w:t>
    </w:r>
    <w:r>
      <w:fldChar w:fldCharType="end"/>
    </w:r>
  </w:p>
  <w:p w:rsidR="00506BFA" w:rsidP="00A0182B">
    <w:pPr>
      <w:pStyle w:val="Footer"/>
      <w:bidi w:val="0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37A" w:rsidRPr="007577E3" w:rsidP="007577E3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BFA" w:rsidRPr="00B35756" w:rsidP="00B3575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E8182"/>
    <w:lvl w:ilvl="0">
      <w:start w:val="0"/>
      <w:numFmt w:val="bullet"/>
      <w:lvlText w:val="*"/>
      <w:lvlJc w:val="left"/>
    </w:lvl>
  </w:abstractNum>
  <w:abstractNum w:abstractNumId="1">
    <w:nsid w:val="0190285D"/>
    <w:multiLevelType w:val="hybridMultilevel"/>
    <w:tmpl w:val="5EF07A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5D3FF7"/>
    <w:multiLevelType w:val="hybridMultilevel"/>
    <w:tmpl w:val="C958D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152198"/>
    <w:multiLevelType w:val="hybridMultilevel"/>
    <w:tmpl w:val="F5C41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DA10E2"/>
    <w:multiLevelType w:val="hybridMultilevel"/>
    <w:tmpl w:val="9E28E5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46A5D45"/>
    <w:multiLevelType w:val="hybridMultilevel"/>
    <w:tmpl w:val="EE4438A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AB0914"/>
    <w:multiLevelType w:val="hybridMultilevel"/>
    <w:tmpl w:val="BD5A9C72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7E48A6"/>
    <w:multiLevelType w:val="hybridMultilevel"/>
    <w:tmpl w:val="FB6E4A4C"/>
    <w:lvl w:ilvl="0">
      <w:start w:val="20"/>
      <w:numFmt w:val="decimal"/>
      <w:lvlText w:val="%1"/>
      <w:lvlJc w:val="left"/>
      <w:pPr>
        <w:ind w:left="3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cs="Times New Roman"/>
        <w:rtl w:val="0"/>
        <w:cs w:val="0"/>
      </w:rPr>
    </w:lvl>
  </w:abstractNum>
  <w:abstractNum w:abstractNumId="8">
    <w:nsid w:val="16D511BD"/>
    <w:multiLevelType w:val="hybridMultilevel"/>
    <w:tmpl w:val="DAC667A0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9627A42"/>
    <w:multiLevelType w:val="hybridMultilevel"/>
    <w:tmpl w:val="5D7CB0A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3005B"/>
    <w:multiLevelType w:val="hybridMultilevel"/>
    <w:tmpl w:val="316EBCA8"/>
    <w:lvl w:ilvl="0">
      <w:start w:val="71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D7E33E9"/>
    <w:multiLevelType w:val="multilevel"/>
    <w:tmpl w:val="75BA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2">
    <w:nsid w:val="1DCE292B"/>
    <w:multiLevelType w:val="hybridMultilevel"/>
    <w:tmpl w:val="B3DA32E0"/>
    <w:lvl w:ilvl="0">
      <w:start w:val="10"/>
      <w:numFmt w:val="decimal"/>
      <w:lvlText w:val="%1"/>
      <w:lvlJc w:val="left"/>
      <w:pPr>
        <w:ind w:left="37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7" w:hanging="180"/>
      </w:pPr>
      <w:rPr>
        <w:rFonts w:cs="Times New Roman"/>
        <w:rtl w:val="0"/>
        <w:cs w:val="0"/>
      </w:rPr>
    </w:lvl>
  </w:abstractNum>
  <w:abstractNum w:abstractNumId="13">
    <w:nsid w:val="1E1C53BB"/>
    <w:multiLevelType w:val="hybridMultilevel"/>
    <w:tmpl w:val="CABE6B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0934BE"/>
    <w:multiLevelType w:val="hybridMultilevel"/>
    <w:tmpl w:val="F5349582"/>
    <w:lvl w:ilvl="0">
      <w:start w:val="20"/>
      <w:numFmt w:val="decimal"/>
      <w:lvlText w:val="%1"/>
      <w:lvlJc w:val="left"/>
      <w:pPr>
        <w:ind w:left="3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cs="Times New Roman"/>
        <w:rtl w:val="0"/>
        <w:cs w:val="0"/>
      </w:rPr>
    </w:lvl>
  </w:abstractNum>
  <w:abstractNum w:abstractNumId="15">
    <w:nsid w:val="212F5268"/>
    <w:multiLevelType w:val="hybridMultilevel"/>
    <w:tmpl w:val="21F2C8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213361B4"/>
    <w:multiLevelType w:val="hybridMultilevel"/>
    <w:tmpl w:val="E35277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25254EA"/>
    <w:multiLevelType w:val="hybridMultilevel"/>
    <w:tmpl w:val="6B24D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6360A1"/>
    <w:multiLevelType w:val="hybridMultilevel"/>
    <w:tmpl w:val="A4026208"/>
    <w:lvl w:ilvl="0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>
    <w:nsid w:val="23617556"/>
    <w:multiLevelType w:val="hybridMultilevel"/>
    <w:tmpl w:val="41F8359E"/>
    <w:lvl w:ilvl="0">
      <w:start w:val="10"/>
      <w:numFmt w:val="decimal"/>
      <w:lvlText w:val="%1"/>
      <w:lvlJc w:val="left"/>
      <w:pPr>
        <w:ind w:left="37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9" w:hanging="180"/>
      </w:pPr>
      <w:rPr>
        <w:rFonts w:cs="Times New Roman"/>
        <w:rtl w:val="0"/>
        <w:cs w:val="0"/>
      </w:rPr>
    </w:lvl>
  </w:abstractNum>
  <w:abstractNum w:abstractNumId="20">
    <w:nsid w:val="23E30531"/>
    <w:multiLevelType w:val="hybridMultilevel"/>
    <w:tmpl w:val="B5E47A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C94A31"/>
    <w:multiLevelType w:val="hybridMultilevel"/>
    <w:tmpl w:val="228E08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F24406"/>
    <w:multiLevelType w:val="hybridMultilevel"/>
    <w:tmpl w:val="96081662"/>
    <w:lvl w:ilvl="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9C401EC"/>
    <w:multiLevelType w:val="hybridMultilevel"/>
    <w:tmpl w:val="1EF0477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05253A"/>
    <w:multiLevelType w:val="hybridMultilevel"/>
    <w:tmpl w:val="136EB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C9E3261"/>
    <w:multiLevelType w:val="hybridMultilevel"/>
    <w:tmpl w:val="DD38367E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3D8E426B"/>
    <w:multiLevelType w:val="hybridMultilevel"/>
    <w:tmpl w:val="AFA25E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6E5458"/>
    <w:multiLevelType w:val="hybridMultilevel"/>
    <w:tmpl w:val="DE8A0BB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42031F71"/>
    <w:multiLevelType w:val="hybridMultilevel"/>
    <w:tmpl w:val="EB9690B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9">
    <w:nsid w:val="430A2691"/>
    <w:multiLevelType w:val="hybridMultilevel"/>
    <w:tmpl w:val="19B0D1FA"/>
    <w:lvl w:ilvl="0">
      <w:start w:val="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4F8C6C3D"/>
    <w:multiLevelType w:val="hybridMultilevel"/>
    <w:tmpl w:val="D2B89B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16E38C5"/>
    <w:multiLevelType w:val="hybridMultilevel"/>
    <w:tmpl w:val="AEB28D8A"/>
    <w:lvl w:ilvl="0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>
      <w:start w:val="0"/>
      <w:numFmt w:val="bullet"/>
      <w:lvlText w:val="–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2">
    <w:nsid w:val="527806AA"/>
    <w:multiLevelType w:val="hybridMultilevel"/>
    <w:tmpl w:val="529CB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27816C4"/>
    <w:multiLevelType w:val="hybridMultilevel"/>
    <w:tmpl w:val="59CEC58A"/>
    <w:lvl w:ilvl="0">
      <w:start w:val="3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B14774"/>
    <w:multiLevelType w:val="hybridMultilevel"/>
    <w:tmpl w:val="7A1ABE84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741CF"/>
    <w:multiLevelType w:val="hybridMultilevel"/>
    <w:tmpl w:val="68F856E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1B1507"/>
    <w:multiLevelType w:val="hybridMultilevel"/>
    <w:tmpl w:val="A6E4FB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47440D"/>
    <w:multiLevelType w:val="hybridMultilevel"/>
    <w:tmpl w:val="F796E4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596240A8"/>
    <w:multiLevelType w:val="hybridMultilevel"/>
    <w:tmpl w:val="600C09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53F14"/>
    <w:multiLevelType w:val="hybridMultilevel"/>
    <w:tmpl w:val="D1B6A8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16A3595"/>
    <w:multiLevelType w:val="hybridMultilevel"/>
    <w:tmpl w:val="427A8F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1">
    <w:nsid w:val="76735A9D"/>
    <w:multiLevelType w:val="hybridMultilevel"/>
    <w:tmpl w:val="A1E2C8B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9087D6D"/>
    <w:multiLevelType w:val="hybridMultilevel"/>
    <w:tmpl w:val="309409A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3">
    <w:nsid w:val="7B140B97"/>
    <w:multiLevelType w:val="hybridMultilevel"/>
    <w:tmpl w:val="0FEEA2F2"/>
    <w:lvl w:ilvl="0">
      <w:start w:val="1"/>
      <w:numFmt w:val="bullet"/>
      <w:lvlText w:val=""/>
      <w:lvlJc w:val="left"/>
      <w:pPr>
        <w:ind w:left="786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3"/>
  </w:num>
  <w:num w:numId="4">
    <w:abstractNumId w:val="8"/>
  </w:num>
  <w:num w:numId="5">
    <w:abstractNumId w:val="40"/>
  </w:num>
  <w:num w:numId="6">
    <w:abstractNumId w:val="41"/>
  </w:num>
  <w:num w:numId="7">
    <w:abstractNumId w:val="18"/>
  </w:num>
  <w:num w:numId="8">
    <w:abstractNumId w:val="11"/>
  </w:num>
  <w:num w:numId="9">
    <w:abstractNumId w:val="39"/>
  </w:num>
  <w:num w:numId="10">
    <w:abstractNumId w:val="28"/>
  </w:num>
  <w:num w:numId="11">
    <w:abstractNumId w:val="20"/>
  </w:num>
  <w:num w:numId="12">
    <w:abstractNumId w:val="35"/>
  </w:num>
  <w:num w:numId="13">
    <w:abstractNumId w:val="29"/>
  </w:num>
  <w:num w:numId="14">
    <w:abstractNumId w:val="36"/>
  </w:num>
  <w:num w:numId="15">
    <w:abstractNumId w:val="22"/>
  </w:num>
  <w:num w:numId="16">
    <w:abstractNumId w:val="30"/>
  </w:num>
  <w:num w:numId="17">
    <w:abstractNumId w:val="23"/>
  </w:num>
  <w:num w:numId="18">
    <w:abstractNumId w:val="37"/>
  </w:num>
  <w:num w:numId="19">
    <w:abstractNumId w:val="10"/>
  </w:num>
  <w:num w:numId="20">
    <w:abstractNumId w:val="0"/>
    <w:lvlOverride w:ilvl="0">
      <w:lvl w:ilvl="0">
        <w:start w:val="1"/>
        <w:numFmt w:val="bullet"/>
        <w:lvlText w:val="-"/>
        <w:legacy w:legacy="1" w:legacySpace="0" w:legacyIndent="185"/>
        <w:lvlJc w:val="left"/>
        <w:rPr>
          <w:rFonts w:ascii="Arial" w:hAnsi="Arial" w:hint="default"/>
        </w:rPr>
      </w:lvl>
    </w:lvlOverride>
  </w:num>
  <w:num w:numId="21">
    <w:abstractNumId w:val="5"/>
  </w:num>
  <w:num w:numId="22">
    <w:abstractNumId w:val="7"/>
  </w:num>
  <w:num w:numId="23">
    <w:abstractNumId w:val="12"/>
  </w:num>
  <w:num w:numId="24">
    <w:abstractNumId w:val="14"/>
  </w:num>
  <w:num w:numId="25">
    <w:abstractNumId w:val="19"/>
  </w:num>
  <w:num w:numId="26">
    <w:abstractNumId w:val="9"/>
  </w:num>
  <w:num w:numId="27">
    <w:abstractNumId w:val="2"/>
  </w:num>
  <w:num w:numId="28">
    <w:abstractNumId w:val="42"/>
  </w:num>
  <w:num w:numId="29">
    <w:abstractNumId w:val="25"/>
  </w:num>
  <w:num w:numId="30">
    <w:abstractNumId w:val="15"/>
  </w:num>
  <w:num w:numId="31">
    <w:abstractNumId w:val="34"/>
  </w:num>
  <w:num w:numId="32">
    <w:abstractNumId w:val="32"/>
  </w:num>
  <w:num w:numId="33">
    <w:abstractNumId w:val="27"/>
  </w:num>
  <w:num w:numId="34">
    <w:abstractNumId w:val="13"/>
  </w:num>
  <w:num w:numId="35">
    <w:abstractNumId w:val="31"/>
  </w:num>
  <w:num w:numId="36">
    <w:abstractNumId w:val="4"/>
  </w:num>
  <w:num w:numId="37">
    <w:abstractNumId w:val="1"/>
  </w:num>
  <w:num w:numId="38">
    <w:abstractNumId w:val="16"/>
  </w:num>
  <w:num w:numId="39">
    <w:abstractNumId w:val="43"/>
  </w:num>
  <w:num w:numId="40">
    <w:abstractNumId w:val="6"/>
  </w:num>
  <w:num w:numId="41">
    <w:abstractNumId w:val="24"/>
  </w:num>
  <w:num w:numId="42">
    <w:abstractNumId w:val="26"/>
  </w:num>
  <w:num w:numId="43">
    <w:abstractNumId w:val="2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B2793"/>
    <w:rsid w:val="00000E7B"/>
    <w:rsid w:val="00003047"/>
    <w:rsid w:val="00010EBD"/>
    <w:rsid w:val="000157CC"/>
    <w:rsid w:val="00016E0B"/>
    <w:rsid w:val="0002151B"/>
    <w:rsid w:val="00023BBA"/>
    <w:rsid w:val="00026512"/>
    <w:rsid w:val="00026EC2"/>
    <w:rsid w:val="000311E4"/>
    <w:rsid w:val="000468C5"/>
    <w:rsid w:val="00047399"/>
    <w:rsid w:val="00047ABF"/>
    <w:rsid w:val="00050A07"/>
    <w:rsid w:val="00053C5C"/>
    <w:rsid w:val="00054E31"/>
    <w:rsid w:val="00055D81"/>
    <w:rsid w:val="00057BBA"/>
    <w:rsid w:val="000625F2"/>
    <w:rsid w:val="00064B41"/>
    <w:rsid w:val="0006673B"/>
    <w:rsid w:val="00067692"/>
    <w:rsid w:val="0007081C"/>
    <w:rsid w:val="00072021"/>
    <w:rsid w:val="0007299D"/>
    <w:rsid w:val="00072A0A"/>
    <w:rsid w:val="0007533F"/>
    <w:rsid w:val="000756A4"/>
    <w:rsid w:val="00076D06"/>
    <w:rsid w:val="00091591"/>
    <w:rsid w:val="00091A89"/>
    <w:rsid w:val="000930C1"/>
    <w:rsid w:val="0009490C"/>
    <w:rsid w:val="000958F8"/>
    <w:rsid w:val="00096125"/>
    <w:rsid w:val="00096AF4"/>
    <w:rsid w:val="00096EDD"/>
    <w:rsid w:val="000978E4"/>
    <w:rsid w:val="000A6A9F"/>
    <w:rsid w:val="000B24AD"/>
    <w:rsid w:val="000B66F5"/>
    <w:rsid w:val="000C5A2E"/>
    <w:rsid w:val="000C7C8A"/>
    <w:rsid w:val="000D43A2"/>
    <w:rsid w:val="000D7843"/>
    <w:rsid w:val="000E0C44"/>
    <w:rsid w:val="000E2908"/>
    <w:rsid w:val="000E37FD"/>
    <w:rsid w:val="000E5E38"/>
    <w:rsid w:val="000E6025"/>
    <w:rsid w:val="000E63E2"/>
    <w:rsid w:val="000E70D8"/>
    <w:rsid w:val="000E7D08"/>
    <w:rsid w:val="000F1104"/>
    <w:rsid w:val="000F17E2"/>
    <w:rsid w:val="000F1F42"/>
    <w:rsid w:val="00103FBE"/>
    <w:rsid w:val="00107E4B"/>
    <w:rsid w:val="00114698"/>
    <w:rsid w:val="00116137"/>
    <w:rsid w:val="00120B40"/>
    <w:rsid w:val="0012343D"/>
    <w:rsid w:val="00127916"/>
    <w:rsid w:val="00130155"/>
    <w:rsid w:val="0013145B"/>
    <w:rsid w:val="001336FC"/>
    <w:rsid w:val="0013546D"/>
    <w:rsid w:val="00141A84"/>
    <w:rsid w:val="00144377"/>
    <w:rsid w:val="001506C3"/>
    <w:rsid w:val="00150B35"/>
    <w:rsid w:val="00154414"/>
    <w:rsid w:val="00154F13"/>
    <w:rsid w:val="00156BF2"/>
    <w:rsid w:val="001616E9"/>
    <w:rsid w:val="001623D5"/>
    <w:rsid w:val="001667D3"/>
    <w:rsid w:val="00172453"/>
    <w:rsid w:val="001724CD"/>
    <w:rsid w:val="001725E8"/>
    <w:rsid w:val="00175F45"/>
    <w:rsid w:val="001830F1"/>
    <w:rsid w:val="001845FF"/>
    <w:rsid w:val="00184DA8"/>
    <w:rsid w:val="0018667A"/>
    <w:rsid w:val="00186F78"/>
    <w:rsid w:val="00190DA3"/>
    <w:rsid w:val="001914EC"/>
    <w:rsid w:val="001933C1"/>
    <w:rsid w:val="00197F66"/>
    <w:rsid w:val="001A5233"/>
    <w:rsid w:val="001B047C"/>
    <w:rsid w:val="001B04C3"/>
    <w:rsid w:val="001B1CFF"/>
    <w:rsid w:val="001B351B"/>
    <w:rsid w:val="001B4664"/>
    <w:rsid w:val="001B519A"/>
    <w:rsid w:val="001B536A"/>
    <w:rsid w:val="001B609A"/>
    <w:rsid w:val="001C0097"/>
    <w:rsid w:val="001C059F"/>
    <w:rsid w:val="001C0C91"/>
    <w:rsid w:val="001C137A"/>
    <w:rsid w:val="001C375D"/>
    <w:rsid w:val="001C7777"/>
    <w:rsid w:val="001D26AC"/>
    <w:rsid w:val="001D792F"/>
    <w:rsid w:val="001E00B6"/>
    <w:rsid w:val="001E0CD6"/>
    <w:rsid w:val="001E3A1C"/>
    <w:rsid w:val="001E627E"/>
    <w:rsid w:val="001F13EF"/>
    <w:rsid w:val="001F292F"/>
    <w:rsid w:val="0020162C"/>
    <w:rsid w:val="0020259E"/>
    <w:rsid w:val="00203267"/>
    <w:rsid w:val="0020467B"/>
    <w:rsid w:val="002053C2"/>
    <w:rsid w:val="00205DD8"/>
    <w:rsid w:val="00210144"/>
    <w:rsid w:val="00210715"/>
    <w:rsid w:val="002110E4"/>
    <w:rsid w:val="0021361E"/>
    <w:rsid w:val="00216162"/>
    <w:rsid w:val="002217B0"/>
    <w:rsid w:val="002254AB"/>
    <w:rsid w:val="00225F06"/>
    <w:rsid w:val="00226A08"/>
    <w:rsid w:val="0023247E"/>
    <w:rsid w:val="00234DA0"/>
    <w:rsid w:val="002374B7"/>
    <w:rsid w:val="00240CD0"/>
    <w:rsid w:val="0024157F"/>
    <w:rsid w:val="002462E6"/>
    <w:rsid w:val="00253BF6"/>
    <w:rsid w:val="00254581"/>
    <w:rsid w:val="00254968"/>
    <w:rsid w:val="00256A86"/>
    <w:rsid w:val="00261D38"/>
    <w:rsid w:val="002658BD"/>
    <w:rsid w:val="00266A01"/>
    <w:rsid w:val="00270F0F"/>
    <w:rsid w:val="00272509"/>
    <w:rsid w:val="00273E08"/>
    <w:rsid w:val="002768F1"/>
    <w:rsid w:val="002835B9"/>
    <w:rsid w:val="0028649F"/>
    <w:rsid w:val="00291051"/>
    <w:rsid w:val="00291525"/>
    <w:rsid w:val="002A1261"/>
    <w:rsid w:val="002A37FE"/>
    <w:rsid w:val="002B06E4"/>
    <w:rsid w:val="002B2793"/>
    <w:rsid w:val="002B4455"/>
    <w:rsid w:val="002B58E4"/>
    <w:rsid w:val="002C19EC"/>
    <w:rsid w:val="002C1B94"/>
    <w:rsid w:val="002C2784"/>
    <w:rsid w:val="002C2D1B"/>
    <w:rsid w:val="002C335F"/>
    <w:rsid w:val="002C57EA"/>
    <w:rsid w:val="002D420B"/>
    <w:rsid w:val="002D6C63"/>
    <w:rsid w:val="002E4A35"/>
    <w:rsid w:val="002E6700"/>
    <w:rsid w:val="002F156F"/>
    <w:rsid w:val="002F1E5B"/>
    <w:rsid w:val="002F5541"/>
    <w:rsid w:val="002F5F70"/>
    <w:rsid w:val="002F6EC8"/>
    <w:rsid w:val="00300AEB"/>
    <w:rsid w:val="003019BE"/>
    <w:rsid w:val="00301A8F"/>
    <w:rsid w:val="003032BA"/>
    <w:rsid w:val="00304259"/>
    <w:rsid w:val="00304497"/>
    <w:rsid w:val="0030574C"/>
    <w:rsid w:val="00305F07"/>
    <w:rsid w:val="00307746"/>
    <w:rsid w:val="00313AA9"/>
    <w:rsid w:val="00323DB2"/>
    <w:rsid w:val="00325140"/>
    <w:rsid w:val="00331C26"/>
    <w:rsid w:val="00335206"/>
    <w:rsid w:val="00336023"/>
    <w:rsid w:val="0034351E"/>
    <w:rsid w:val="003456D9"/>
    <w:rsid w:val="0035262C"/>
    <w:rsid w:val="00356560"/>
    <w:rsid w:val="00362D21"/>
    <w:rsid w:val="00363A0B"/>
    <w:rsid w:val="003646F1"/>
    <w:rsid w:val="003651F2"/>
    <w:rsid w:val="0036564E"/>
    <w:rsid w:val="003671BF"/>
    <w:rsid w:val="003721D5"/>
    <w:rsid w:val="00372DC1"/>
    <w:rsid w:val="0037412F"/>
    <w:rsid w:val="003868D3"/>
    <w:rsid w:val="00390AFD"/>
    <w:rsid w:val="003920D4"/>
    <w:rsid w:val="00393E4C"/>
    <w:rsid w:val="003948D4"/>
    <w:rsid w:val="00397B17"/>
    <w:rsid w:val="003A1E6C"/>
    <w:rsid w:val="003A3DDB"/>
    <w:rsid w:val="003A7267"/>
    <w:rsid w:val="003B092E"/>
    <w:rsid w:val="003B6AC7"/>
    <w:rsid w:val="003B6CF1"/>
    <w:rsid w:val="003C00EE"/>
    <w:rsid w:val="003C0F84"/>
    <w:rsid w:val="003C27D8"/>
    <w:rsid w:val="003D2F2A"/>
    <w:rsid w:val="003D4837"/>
    <w:rsid w:val="003E02A2"/>
    <w:rsid w:val="003E0E85"/>
    <w:rsid w:val="003E153F"/>
    <w:rsid w:val="003E20F3"/>
    <w:rsid w:val="003E4692"/>
    <w:rsid w:val="003E6851"/>
    <w:rsid w:val="003E703F"/>
    <w:rsid w:val="003E7FBB"/>
    <w:rsid w:val="003F0896"/>
    <w:rsid w:val="003F4424"/>
    <w:rsid w:val="003F53CB"/>
    <w:rsid w:val="003F6F43"/>
    <w:rsid w:val="00416346"/>
    <w:rsid w:val="00416BBD"/>
    <w:rsid w:val="00432906"/>
    <w:rsid w:val="0043334F"/>
    <w:rsid w:val="00435762"/>
    <w:rsid w:val="00442A5B"/>
    <w:rsid w:val="00447C3C"/>
    <w:rsid w:val="0045324C"/>
    <w:rsid w:val="00454F12"/>
    <w:rsid w:val="0045572B"/>
    <w:rsid w:val="00455B5B"/>
    <w:rsid w:val="00457584"/>
    <w:rsid w:val="0046057A"/>
    <w:rsid w:val="0046083A"/>
    <w:rsid w:val="0046180D"/>
    <w:rsid w:val="00464299"/>
    <w:rsid w:val="0046527E"/>
    <w:rsid w:val="00465B4A"/>
    <w:rsid w:val="00467B59"/>
    <w:rsid w:val="00470043"/>
    <w:rsid w:val="00480E5D"/>
    <w:rsid w:val="00482328"/>
    <w:rsid w:val="0048323D"/>
    <w:rsid w:val="004A6604"/>
    <w:rsid w:val="004B5851"/>
    <w:rsid w:val="004C0BFB"/>
    <w:rsid w:val="004C6A84"/>
    <w:rsid w:val="004D0086"/>
    <w:rsid w:val="004D6B4A"/>
    <w:rsid w:val="004D74E4"/>
    <w:rsid w:val="004E07EC"/>
    <w:rsid w:val="004F00B5"/>
    <w:rsid w:val="004F245B"/>
    <w:rsid w:val="004F52E7"/>
    <w:rsid w:val="005007CD"/>
    <w:rsid w:val="00500FC9"/>
    <w:rsid w:val="00501279"/>
    <w:rsid w:val="00505BEF"/>
    <w:rsid w:val="00506BFA"/>
    <w:rsid w:val="00507F5A"/>
    <w:rsid w:val="0051028B"/>
    <w:rsid w:val="00513676"/>
    <w:rsid w:val="0051531C"/>
    <w:rsid w:val="00525D02"/>
    <w:rsid w:val="0052668E"/>
    <w:rsid w:val="0052782F"/>
    <w:rsid w:val="00541E69"/>
    <w:rsid w:val="00550183"/>
    <w:rsid w:val="00550AF3"/>
    <w:rsid w:val="00556509"/>
    <w:rsid w:val="0056036E"/>
    <w:rsid w:val="005618B2"/>
    <w:rsid w:val="005628CC"/>
    <w:rsid w:val="005664A5"/>
    <w:rsid w:val="00573350"/>
    <w:rsid w:val="00576B38"/>
    <w:rsid w:val="00582247"/>
    <w:rsid w:val="00583667"/>
    <w:rsid w:val="00583A10"/>
    <w:rsid w:val="00596BF7"/>
    <w:rsid w:val="0059728F"/>
    <w:rsid w:val="005A0BF6"/>
    <w:rsid w:val="005A1954"/>
    <w:rsid w:val="005A5CA1"/>
    <w:rsid w:val="005A6185"/>
    <w:rsid w:val="005A7227"/>
    <w:rsid w:val="005B2030"/>
    <w:rsid w:val="005B29A6"/>
    <w:rsid w:val="005B32B7"/>
    <w:rsid w:val="005B58EA"/>
    <w:rsid w:val="005B7279"/>
    <w:rsid w:val="005C5E6B"/>
    <w:rsid w:val="005C772B"/>
    <w:rsid w:val="005E38FC"/>
    <w:rsid w:val="005F2EF9"/>
    <w:rsid w:val="00600355"/>
    <w:rsid w:val="0060046D"/>
    <w:rsid w:val="006014B3"/>
    <w:rsid w:val="00615038"/>
    <w:rsid w:val="0062208C"/>
    <w:rsid w:val="006231DA"/>
    <w:rsid w:val="006306D6"/>
    <w:rsid w:val="00633225"/>
    <w:rsid w:val="006335F6"/>
    <w:rsid w:val="00633973"/>
    <w:rsid w:val="00640C2A"/>
    <w:rsid w:val="00642AC0"/>
    <w:rsid w:val="006463BC"/>
    <w:rsid w:val="00647519"/>
    <w:rsid w:val="006475F5"/>
    <w:rsid w:val="006564C5"/>
    <w:rsid w:val="00656AAC"/>
    <w:rsid w:val="00657083"/>
    <w:rsid w:val="00663232"/>
    <w:rsid w:val="00663697"/>
    <w:rsid w:val="0067057D"/>
    <w:rsid w:val="00674132"/>
    <w:rsid w:val="00681070"/>
    <w:rsid w:val="00684B55"/>
    <w:rsid w:val="00686672"/>
    <w:rsid w:val="00687085"/>
    <w:rsid w:val="00687EE1"/>
    <w:rsid w:val="00690802"/>
    <w:rsid w:val="0069567C"/>
    <w:rsid w:val="006A1B39"/>
    <w:rsid w:val="006A1E71"/>
    <w:rsid w:val="006A4D8B"/>
    <w:rsid w:val="006B31D5"/>
    <w:rsid w:val="006B6E57"/>
    <w:rsid w:val="006C2298"/>
    <w:rsid w:val="006C54DE"/>
    <w:rsid w:val="006C5ADA"/>
    <w:rsid w:val="006C5D02"/>
    <w:rsid w:val="006C6A08"/>
    <w:rsid w:val="006E1AF3"/>
    <w:rsid w:val="006E4358"/>
    <w:rsid w:val="006E695B"/>
    <w:rsid w:val="006F09D6"/>
    <w:rsid w:val="006F616C"/>
    <w:rsid w:val="0070007D"/>
    <w:rsid w:val="00702212"/>
    <w:rsid w:val="00702F6F"/>
    <w:rsid w:val="00710BA9"/>
    <w:rsid w:val="007142C4"/>
    <w:rsid w:val="00714FD2"/>
    <w:rsid w:val="00716CDB"/>
    <w:rsid w:val="00726B8F"/>
    <w:rsid w:val="00727900"/>
    <w:rsid w:val="00732112"/>
    <w:rsid w:val="00733570"/>
    <w:rsid w:val="007577E3"/>
    <w:rsid w:val="007607E0"/>
    <w:rsid w:val="00764BD4"/>
    <w:rsid w:val="00766E48"/>
    <w:rsid w:val="007678ED"/>
    <w:rsid w:val="00770FAF"/>
    <w:rsid w:val="00774246"/>
    <w:rsid w:val="00774907"/>
    <w:rsid w:val="00774992"/>
    <w:rsid w:val="0077760D"/>
    <w:rsid w:val="00782CC1"/>
    <w:rsid w:val="00782EAA"/>
    <w:rsid w:val="00783777"/>
    <w:rsid w:val="00786D21"/>
    <w:rsid w:val="007941D1"/>
    <w:rsid w:val="007954D8"/>
    <w:rsid w:val="00795B39"/>
    <w:rsid w:val="007A178C"/>
    <w:rsid w:val="007A1CA7"/>
    <w:rsid w:val="007A2F27"/>
    <w:rsid w:val="007B3F44"/>
    <w:rsid w:val="007B5667"/>
    <w:rsid w:val="007E26BA"/>
    <w:rsid w:val="007E2A07"/>
    <w:rsid w:val="007E2A18"/>
    <w:rsid w:val="007E72BA"/>
    <w:rsid w:val="007F25CD"/>
    <w:rsid w:val="007F7B67"/>
    <w:rsid w:val="008007F3"/>
    <w:rsid w:val="00802197"/>
    <w:rsid w:val="0080329D"/>
    <w:rsid w:val="0080487F"/>
    <w:rsid w:val="0080686E"/>
    <w:rsid w:val="00812E89"/>
    <w:rsid w:val="00815563"/>
    <w:rsid w:val="008161C0"/>
    <w:rsid w:val="00824D9F"/>
    <w:rsid w:val="00827458"/>
    <w:rsid w:val="00827FB8"/>
    <w:rsid w:val="00832A4A"/>
    <w:rsid w:val="00844BBC"/>
    <w:rsid w:val="008634D8"/>
    <w:rsid w:val="008638FD"/>
    <w:rsid w:val="00864F62"/>
    <w:rsid w:val="00865BBA"/>
    <w:rsid w:val="00872449"/>
    <w:rsid w:val="00873E85"/>
    <w:rsid w:val="00875BFD"/>
    <w:rsid w:val="00883832"/>
    <w:rsid w:val="00883D0C"/>
    <w:rsid w:val="00887142"/>
    <w:rsid w:val="00894266"/>
    <w:rsid w:val="00896F29"/>
    <w:rsid w:val="008A30C3"/>
    <w:rsid w:val="008A4C1C"/>
    <w:rsid w:val="008A692D"/>
    <w:rsid w:val="008B2F6D"/>
    <w:rsid w:val="008B400D"/>
    <w:rsid w:val="008C3257"/>
    <w:rsid w:val="008C48DB"/>
    <w:rsid w:val="008C61A4"/>
    <w:rsid w:val="008E2FA1"/>
    <w:rsid w:val="008E5039"/>
    <w:rsid w:val="008E6609"/>
    <w:rsid w:val="008F1299"/>
    <w:rsid w:val="008F5B4D"/>
    <w:rsid w:val="0090057D"/>
    <w:rsid w:val="00903B6B"/>
    <w:rsid w:val="00905BFE"/>
    <w:rsid w:val="0090726E"/>
    <w:rsid w:val="00914F28"/>
    <w:rsid w:val="009174FD"/>
    <w:rsid w:val="0092414F"/>
    <w:rsid w:val="009279D1"/>
    <w:rsid w:val="00931B17"/>
    <w:rsid w:val="009330AC"/>
    <w:rsid w:val="00933525"/>
    <w:rsid w:val="00935862"/>
    <w:rsid w:val="00937067"/>
    <w:rsid w:val="0094499B"/>
    <w:rsid w:val="00945EE2"/>
    <w:rsid w:val="0095208D"/>
    <w:rsid w:val="00955434"/>
    <w:rsid w:val="009559C3"/>
    <w:rsid w:val="00957B94"/>
    <w:rsid w:val="00957BBC"/>
    <w:rsid w:val="00962769"/>
    <w:rsid w:val="0096775B"/>
    <w:rsid w:val="00970D76"/>
    <w:rsid w:val="00973924"/>
    <w:rsid w:val="00973A74"/>
    <w:rsid w:val="00975F82"/>
    <w:rsid w:val="009777FD"/>
    <w:rsid w:val="009779D6"/>
    <w:rsid w:val="00982504"/>
    <w:rsid w:val="0098727D"/>
    <w:rsid w:val="00992EEC"/>
    <w:rsid w:val="00994A21"/>
    <w:rsid w:val="009960FA"/>
    <w:rsid w:val="009B015E"/>
    <w:rsid w:val="009B28F1"/>
    <w:rsid w:val="009B625A"/>
    <w:rsid w:val="009B649D"/>
    <w:rsid w:val="009B6FC7"/>
    <w:rsid w:val="009C324D"/>
    <w:rsid w:val="009C67D9"/>
    <w:rsid w:val="009D7E0D"/>
    <w:rsid w:val="009E5E8D"/>
    <w:rsid w:val="009E6976"/>
    <w:rsid w:val="009F0BBA"/>
    <w:rsid w:val="009F315C"/>
    <w:rsid w:val="009F4F72"/>
    <w:rsid w:val="009F654E"/>
    <w:rsid w:val="00A0182B"/>
    <w:rsid w:val="00A0389F"/>
    <w:rsid w:val="00A03D25"/>
    <w:rsid w:val="00A056E0"/>
    <w:rsid w:val="00A07058"/>
    <w:rsid w:val="00A07407"/>
    <w:rsid w:val="00A14625"/>
    <w:rsid w:val="00A173D2"/>
    <w:rsid w:val="00A17E65"/>
    <w:rsid w:val="00A21046"/>
    <w:rsid w:val="00A3217D"/>
    <w:rsid w:val="00A3347B"/>
    <w:rsid w:val="00A34201"/>
    <w:rsid w:val="00A37338"/>
    <w:rsid w:val="00A3742E"/>
    <w:rsid w:val="00A37593"/>
    <w:rsid w:val="00A43A0C"/>
    <w:rsid w:val="00A45F8A"/>
    <w:rsid w:val="00A55AAB"/>
    <w:rsid w:val="00A62CFD"/>
    <w:rsid w:val="00A638DE"/>
    <w:rsid w:val="00A6428C"/>
    <w:rsid w:val="00A646A1"/>
    <w:rsid w:val="00A65BCE"/>
    <w:rsid w:val="00A668FA"/>
    <w:rsid w:val="00A6698C"/>
    <w:rsid w:val="00A70849"/>
    <w:rsid w:val="00A72A4E"/>
    <w:rsid w:val="00A73C11"/>
    <w:rsid w:val="00A76237"/>
    <w:rsid w:val="00A763D6"/>
    <w:rsid w:val="00A76D13"/>
    <w:rsid w:val="00A773B0"/>
    <w:rsid w:val="00A80225"/>
    <w:rsid w:val="00A82423"/>
    <w:rsid w:val="00A8357F"/>
    <w:rsid w:val="00A8489A"/>
    <w:rsid w:val="00A84C02"/>
    <w:rsid w:val="00A92F68"/>
    <w:rsid w:val="00AA605F"/>
    <w:rsid w:val="00AA60C6"/>
    <w:rsid w:val="00AB0B7C"/>
    <w:rsid w:val="00AC2BFB"/>
    <w:rsid w:val="00AC5125"/>
    <w:rsid w:val="00AC5C0E"/>
    <w:rsid w:val="00AC69F1"/>
    <w:rsid w:val="00AD0792"/>
    <w:rsid w:val="00AD3D6B"/>
    <w:rsid w:val="00AD60D5"/>
    <w:rsid w:val="00AD6D31"/>
    <w:rsid w:val="00AD6F1B"/>
    <w:rsid w:val="00AE32CD"/>
    <w:rsid w:val="00AE46CB"/>
    <w:rsid w:val="00AF2725"/>
    <w:rsid w:val="00AF35D3"/>
    <w:rsid w:val="00AF784B"/>
    <w:rsid w:val="00B00226"/>
    <w:rsid w:val="00B015C9"/>
    <w:rsid w:val="00B064FC"/>
    <w:rsid w:val="00B13285"/>
    <w:rsid w:val="00B13D5F"/>
    <w:rsid w:val="00B14350"/>
    <w:rsid w:val="00B1502A"/>
    <w:rsid w:val="00B16E67"/>
    <w:rsid w:val="00B17CD5"/>
    <w:rsid w:val="00B2198F"/>
    <w:rsid w:val="00B27B8D"/>
    <w:rsid w:val="00B27DD3"/>
    <w:rsid w:val="00B32788"/>
    <w:rsid w:val="00B35756"/>
    <w:rsid w:val="00B43287"/>
    <w:rsid w:val="00B47053"/>
    <w:rsid w:val="00B50F67"/>
    <w:rsid w:val="00B532C1"/>
    <w:rsid w:val="00B60471"/>
    <w:rsid w:val="00B61E5D"/>
    <w:rsid w:val="00B63475"/>
    <w:rsid w:val="00B647C5"/>
    <w:rsid w:val="00B7231C"/>
    <w:rsid w:val="00B74F8B"/>
    <w:rsid w:val="00B75E02"/>
    <w:rsid w:val="00B81B3C"/>
    <w:rsid w:val="00B9498B"/>
    <w:rsid w:val="00B956BF"/>
    <w:rsid w:val="00B95779"/>
    <w:rsid w:val="00B97054"/>
    <w:rsid w:val="00B97785"/>
    <w:rsid w:val="00BA6BBB"/>
    <w:rsid w:val="00BB0599"/>
    <w:rsid w:val="00BC105F"/>
    <w:rsid w:val="00BC55F2"/>
    <w:rsid w:val="00BC79D7"/>
    <w:rsid w:val="00BD25F0"/>
    <w:rsid w:val="00BD4B2C"/>
    <w:rsid w:val="00BE0416"/>
    <w:rsid w:val="00BE0F5C"/>
    <w:rsid w:val="00BE160B"/>
    <w:rsid w:val="00BE548A"/>
    <w:rsid w:val="00BE742D"/>
    <w:rsid w:val="00BF30E6"/>
    <w:rsid w:val="00BF6387"/>
    <w:rsid w:val="00C07F75"/>
    <w:rsid w:val="00C16345"/>
    <w:rsid w:val="00C1770F"/>
    <w:rsid w:val="00C17A8B"/>
    <w:rsid w:val="00C24BEB"/>
    <w:rsid w:val="00C25FB3"/>
    <w:rsid w:val="00C27065"/>
    <w:rsid w:val="00C33666"/>
    <w:rsid w:val="00C336B3"/>
    <w:rsid w:val="00C34CC4"/>
    <w:rsid w:val="00C45246"/>
    <w:rsid w:val="00C4698A"/>
    <w:rsid w:val="00C47B17"/>
    <w:rsid w:val="00C47F70"/>
    <w:rsid w:val="00C572F6"/>
    <w:rsid w:val="00C64F29"/>
    <w:rsid w:val="00C6548F"/>
    <w:rsid w:val="00C671BF"/>
    <w:rsid w:val="00C71977"/>
    <w:rsid w:val="00C72BDA"/>
    <w:rsid w:val="00C76158"/>
    <w:rsid w:val="00C77CC2"/>
    <w:rsid w:val="00C8198F"/>
    <w:rsid w:val="00C83C61"/>
    <w:rsid w:val="00C94872"/>
    <w:rsid w:val="00CA11FD"/>
    <w:rsid w:val="00CA34D0"/>
    <w:rsid w:val="00CA3D76"/>
    <w:rsid w:val="00CB29B1"/>
    <w:rsid w:val="00CB4F13"/>
    <w:rsid w:val="00CB73A8"/>
    <w:rsid w:val="00CC28F9"/>
    <w:rsid w:val="00CC4199"/>
    <w:rsid w:val="00CD043F"/>
    <w:rsid w:val="00CD16C8"/>
    <w:rsid w:val="00CE6A7E"/>
    <w:rsid w:val="00CE6C49"/>
    <w:rsid w:val="00CE75CC"/>
    <w:rsid w:val="00CF0AD6"/>
    <w:rsid w:val="00CF736D"/>
    <w:rsid w:val="00D00C5C"/>
    <w:rsid w:val="00D05440"/>
    <w:rsid w:val="00D060C7"/>
    <w:rsid w:val="00D068AA"/>
    <w:rsid w:val="00D0701F"/>
    <w:rsid w:val="00D14168"/>
    <w:rsid w:val="00D24CA3"/>
    <w:rsid w:val="00D333DF"/>
    <w:rsid w:val="00D417E2"/>
    <w:rsid w:val="00D424D6"/>
    <w:rsid w:val="00D459B4"/>
    <w:rsid w:val="00D54DEB"/>
    <w:rsid w:val="00D604AA"/>
    <w:rsid w:val="00D6081F"/>
    <w:rsid w:val="00D66290"/>
    <w:rsid w:val="00D71A48"/>
    <w:rsid w:val="00D75AE5"/>
    <w:rsid w:val="00D76BB5"/>
    <w:rsid w:val="00D81320"/>
    <w:rsid w:val="00D847CF"/>
    <w:rsid w:val="00D905BF"/>
    <w:rsid w:val="00D906A6"/>
    <w:rsid w:val="00D90BC9"/>
    <w:rsid w:val="00D93195"/>
    <w:rsid w:val="00D94474"/>
    <w:rsid w:val="00DA2601"/>
    <w:rsid w:val="00DA3285"/>
    <w:rsid w:val="00DA5390"/>
    <w:rsid w:val="00DA6397"/>
    <w:rsid w:val="00DB460F"/>
    <w:rsid w:val="00DB501F"/>
    <w:rsid w:val="00DC32C2"/>
    <w:rsid w:val="00DC3499"/>
    <w:rsid w:val="00DC5C5A"/>
    <w:rsid w:val="00DD1207"/>
    <w:rsid w:val="00DD21BE"/>
    <w:rsid w:val="00DE138A"/>
    <w:rsid w:val="00DE221B"/>
    <w:rsid w:val="00DE738E"/>
    <w:rsid w:val="00DE7B80"/>
    <w:rsid w:val="00DF086C"/>
    <w:rsid w:val="00DF2EDE"/>
    <w:rsid w:val="00DF3E9B"/>
    <w:rsid w:val="00DF7625"/>
    <w:rsid w:val="00E046A7"/>
    <w:rsid w:val="00E070AD"/>
    <w:rsid w:val="00E10CF1"/>
    <w:rsid w:val="00E14032"/>
    <w:rsid w:val="00E22D21"/>
    <w:rsid w:val="00E23FC5"/>
    <w:rsid w:val="00E269E7"/>
    <w:rsid w:val="00E2767E"/>
    <w:rsid w:val="00E30424"/>
    <w:rsid w:val="00E3667E"/>
    <w:rsid w:val="00E41221"/>
    <w:rsid w:val="00E42558"/>
    <w:rsid w:val="00E441AE"/>
    <w:rsid w:val="00E465E7"/>
    <w:rsid w:val="00E520F0"/>
    <w:rsid w:val="00E566B1"/>
    <w:rsid w:val="00E574F8"/>
    <w:rsid w:val="00E5762B"/>
    <w:rsid w:val="00E576C3"/>
    <w:rsid w:val="00E609DD"/>
    <w:rsid w:val="00E649EA"/>
    <w:rsid w:val="00E65411"/>
    <w:rsid w:val="00E7071F"/>
    <w:rsid w:val="00E73EFE"/>
    <w:rsid w:val="00E913A2"/>
    <w:rsid w:val="00E915C4"/>
    <w:rsid w:val="00E96F30"/>
    <w:rsid w:val="00EB6290"/>
    <w:rsid w:val="00EB6591"/>
    <w:rsid w:val="00EB6D4B"/>
    <w:rsid w:val="00EC1147"/>
    <w:rsid w:val="00EC71F4"/>
    <w:rsid w:val="00ED3C4F"/>
    <w:rsid w:val="00ED41AD"/>
    <w:rsid w:val="00ED5504"/>
    <w:rsid w:val="00ED5B29"/>
    <w:rsid w:val="00EE0BC9"/>
    <w:rsid w:val="00EF336C"/>
    <w:rsid w:val="00EF62DD"/>
    <w:rsid w:val="00F003C3"/>
    <w:rsid w:val="00F01E4B"/>
    <w:rsid w:val="00F05C21"/>
    <w:rsid w:val="00F062FC"/>
    <w:rsid w:val="00F06E6F"/>
    <w:rsid w:val="00F20282"/>
    <w:rsid w:val="00F20CA8"/>
    <w:rsid w:val="00F2589E"/>
    <w:rsid w:val="00F328AC"/>
    <w:rsid w:val="00F37097"/>
    <w:rsid w:val="00F40624"/>
    <w:rsid w:val="00F40D4A"/>
    <w:rsid w:val="00F44055"/>
    <w:rsid w:val="00F447AB"/>
    <w:rsid w:val="00F45801"/>
    <w:rsid w:val="00F523C3"/>
    <w:rsid w:val="00F53B0E"/>
    <w:rsid w:val="00F54571"/>
    <w:rsid w:val="00F60046"/>
    <w:rsid w:val="00F65316"/>
    <w:rsid w:val="00F67ADA"/>
    <w:rsid w:val="00F71BA0"/>
    <w:rsid w:val="00F72534"/>
    <w:rsid w:val="00F757BD"/>
    <w:rsid w:val="00F77896"/>
    <w:rsid w:val="00F8745C"/>
    <w:rsid w:val="00F907B3"/>
    <w:rsid w:val="00F9140E"/>
    <w:rsid w:val="00F9169E"/>
    <w:rsid w:val="00F97160"/>
    <w:rsid w:val="00FA4219"/>
    <w:rsid w:val="00FA5752"/>
    <w:rsid w:val="00FB0813"/>
    <w:rsid w:val="00FB4619"/>
    <w:rsid w:val="00FC1BE3"/>
    <w:rsid w:val="00FC2006"/>
    <w:rsid w:val="00FC2A08"/>
    <w:rsid w:val="00FC45FB"/>
    <w:rsid w:val="00FC5109"/>
    <w:rsid w:val="00FC77B8"/>
    <w:rsid w:val="00FC7AF2"/>
    <w:rsid w:val="00FC7C53"/>
    <w:rsid w:val="00FD5F37"/>
    <w:rsid w:val="00FE205C"/>
    <w:rsid w:val="00FE3D57"/>
    <w:rsid w:val="00FF5936"/>
    <w:rsid w:val="00FF5E84"/>
    <w:rsid w:val="00FF602E"/>
    <w:rsid w:val="00FF6B39"/>
    <w:rsid w:val="00FF6E55"/>
    <w:rsid w:val="00FF7B2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F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397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6397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960FA"/>
    <w:rPr>
      <w:color w:val="0000FF"/>
      <w:u w:val="single"/>
    </w:rPr>
  </w:style>
  <w:style w:type="paragraph" w:styleId="ListParagraph">
    <w:name w:val="List Paragraph"/>
    <w:basedOn w:val="Normal"/>
    <w:qFormat/>
    <w:rsid w:val="00FF602E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9F4F7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9F4F72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9F4F7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9F4F72"/>
    <w:rPr>
      <w:sz w:val="22"/>
      <w:lang w:val="x-none" w:eastAsia="en-US"/>
    </w:rPr>
  </w:style>
  <w:style w:type="paragraph" w:customStyle="1" w:styleId="Default">
    <w:name w:val="Default"/>
    <w:rsid w:val="009777F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Char">
    <w:name w:val="Char Char Char"/>
    <w:basedOn w:val="Normal"/>
    <w:next w:val="Normal"/>
    <w:rsid w:val="00096125"/>
    <w:pPr>
      <w:spacing w:after="160" w:line="240" w:lineRule="exact"/>
      <w:jc w:val="left"/>
    </w:pPr>
    <w:rPr>
      <w:rFonts w:ascii="Arial" w:eastAsia="Times New Roman" w:hAnsi="Arial"/>
      <w:szCs w:val="20"/>
      <w:lang w:val="en-US"/>
    </w:rPr>
  </w:style>
  <w:style w:type="paragraph" w:styleId="NormalWeb">
    <w:name w:val="Normal (Web)"/>
    <w:basedOn w:val="Normal"/>
    <w:uiPriority w:val="99"/>
    <w:rsid w:val="00E576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F0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5F06"/>
    <w:rPr>
      <w:rFonts w:ascii="Tahoma" w:hAnsi="Tahoma" w:cs="Tahoma"/>
      <w:sz w:val="16"/>
      <w:lang w:val="x-none" w:eastAsia="en-US"/>
    </w:rPr>
  </w:style>
  <w:style w:type="paragraph" w:styleId="HTMLPreformatted">
    <w:name w:val="HTML Preformatted"/>
    <w:basedOn w:val="Normal"/>
    <w:link w:val="HTMLPreformattedChar"/>
    <w:rsid w:val="0018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sk-SK"/>
    </w:rPr>
  </w:style>
  <w:style w:type="character" w:customStyle="1" w:styleId="HTMLPreformattedChar">
    <w:name w:val="HTML Preformatted Char"/>
    <w:link w:val="HTMLPreformatted"/>
    <w:locked/>
    <w:rsid w:val="0018667A"/>
    <w:rPr>
      <w:rFonts w:ascii="Courier New" w:hAnsi="Courier New" w:cs="Courier New"/>
      <w:color w:val="000000"/>
    </w:rPr>
  </w:style>
  <w:style w:type="table" w:styleId="TableGrid">
    <w:name w:val="Table Grid"/>
    <w:basedOn w:val="TableNormal"/>
    <w:uiPriority w:val="59"/>
    <w:rsid w:val="007E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4">
    <w:name w:val="Light Shading Accent 4"/>
    <w:basedOn w:val="TableNormal"/>
    <w:uiPriority w:val="60"/>
    <w:rsid w:val="007E2A1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Accent4">
    <w:name w:val="Light List Accent 4"/>
    <w:basedOn w:val="TableNormal"/>
    <w:uiPriority w:val="61"/>
    <w:rsid w:val="007E2A1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shd w:val="clear" w:color="auto" w:fill="8064A2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7E2A1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shd w:val="clear" w:color="auto" w:fill="4BACC6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2Char">
    <w:name w:val="Heading 2 Char"/>
    <w:link w:val="Heading2"/>
    <w:uiPriority w:val="9"/>
    <w:locked/>
    <w:rsid w:val="00DA6397"/>
    <w:rPr>
      <w:rFonts w:ascii="Cambria" w:hAnsi="Cambria" w:cs="Cambria"/>
      <w:b/>
      <w:i/>
      <w:sz w:val="28"/>
      <w:lang w:val="x-none" w:eastAsia="en-US"/>
    </w:rPr>
  </w:style>
  <w:style w:type="character" w:customStyle="1" w:styleId="Heading1Char">
    <w:name w:val="Heading 1 Char"/>
    <w:link w:val="Heading1"/>
    <w:uiPriority w:val="9"/>
    <w:locked/>
    <w:rsid w:val="00DA6397"/>
    <w:rPr>
      <w:rFonts w:ascii="Cambria" w:hAnsi="Cambria" w:cs="Cambria"/>
      <w:b/>
      <w:kern w:val="32"/>
      <w:sz w:val="32"/>
      <w:lang w:val="x-none" w:eastAsia="en-US"/>
    </w:rPr>
  </w:style>
  <w:style w:type="table" w:styleId="MediumGrid2Accent1">
    <w:name w:val="Medium Grid 2 Accent 1"/>
    <w:basedOn w:val="TableNormal"/>
    <w:uiPriority w:val="68"/>
    <w:rsid w:val="00234DA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shd w:val="clear" w:color="auto" w:fill="EDF2F8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 w:val="0"/>
        <w:bCs w:val="0"/>
        <w:color w:val="000000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A7BFD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FFFFFF"/>
      </w:tcPr>
    </w:tblStylePr>
  </w:style>
  <w:style w:type="table" w:styleId="MediumShading1Accent4">
    <w:name w:val="Medium Shading 1 Accent 4"/>
    <w:basedOn w:val="TableNormal"/>
    <w:uiPriority w:val="63"/>
    <w:rsid w:val="00234DA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D8E8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</w:tcPr>
    </w:tblStylePr>
  </w:style>
  <w:style w:type="table" w:styleId="LightListAccent1">
    <w:name w:val="Light List Accent 1"/>
    <w:basedOn w:val="TableNormal"/>
    <w:uiPriority w:val="61"/>
    <w:rsid w:val="00234DA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shd w:val="clear" w:color="auto" w:fill="4F81BD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Accent1">
    <w:name w:val="Light Grid Accent 1"/>
    <w:basedOn w:val="TableNormal"/>
    <w:uiPriority w:val="62"/>
    <w:rsid w:val="00782EA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itle">
    <w:name w:val="Title"/>
    <w:basedOn w:val="Normal"/>
    <w:link w:val="TitleChar"/>
    <w:qFormat/>
    <w:rsid w:val="003C00E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link w:val="Title"/>
    <w:locked/>
    <w:rsid w:val="003C00EE"/>
    <w:rPr>
      <w:rFonts w:ascii="Times New Roman" w:hAnsi="Times New Roman" w:cs="Times New Roman"/>
      <w:b/>
      <w:sz w:val="24"/>
    </w:rPr>
  </w:style>
  <w:style w:type="table" w:customStyle="1" w:styleId="Mriekatabuky1">
    <w:name w:val="Mriežka tabuľky1"/>
    <w:basedOn w:val="TableNormal"/>
    <w:next w:val="TableGrid"/>
    <w:uiPriority w:val="59"/>
    <w:rsid w:val="00A01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Accent2">
    <w:name w:val="Medium Grid 2 Accent 2"/>
    <w:basedOn w:val="TableNormal"/>
    <w:uiPriority w:val="68"/>
    <w:rsid w:val="00A0182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shd w:val="clear" w:color="auto" w:fill="F8EDED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 w:val="0"/>
        <w:bCs w:val="0"/>
        <w:color w:val="000000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A7A6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FFFFFF"/>
      </w:tcPr>
    </w:tblStylePr>
  </w:style>
  <w:style w:type="table" w:customStyle="1" w:styleId="Strednpodfarbenie1zvraznenie41">
    <w:name w:val="Stredné podfarbenie 1 – zvýraznenie 41"/>
    <w:basedOn w:val="TableNormal"/>
    <w:next w:val="MediumShading1Accent4"/>
    <w:uiPriority w:val="63"/>
    <w:rsid w:val="00A0182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D8E8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A0182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EFD3D2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A0182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</w:tcPr>
    </w:tblStylePr>
  </w:style>
  <w:style w:type="table" w:customStyle="1" w:styleId="Svetlpodfarbeniezvraznenie41">
    <w:name w:val="Svetlé podfarbenie – zvýraznenie 41"/>
    <w:basedOn w:val="TableNormal"/>
    <w:next w:val="LightShadingAccent4"/>
    <w:uiPriority w:val="60"/>
    <w:rsid w:val="00A0182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GridAccent4">
    <w:name w:val="Light Grid Accent 4"/>
    <w:basedOn w:val="TableGrid2"/>
    <w:uiPriority w:val="62"/>
    <w:rsid w:val="00A0182B"/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B2A1C7"/>
      <w:vAlign w:val="center"/>
    </w:tc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tl2br w:val="none" w:sz="0" w:space="0" w:color="auto"/>
          <w:tr2bl w:val="none" w:sz="0" w:space="0" w:color="auto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olorfulListAccent4">
    <w:name w:val="Colorful List Accent 4"/>
    <w:basedOn w:val="TableNormal"/>
    <w:uiPriority w:val="72"/>
    <w:rsid w:val="00A0182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7E9C40"/>
        <w:rtl w:val="0"/>
        <w:cs w:val="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E5DFEC"/>
      </w:tcPr>
    </w:tblStylePr>
  </w:style>
  <w:style w:type="table" w:styleId="TableGrid2">
    <w:name w:val="Table Grid 2"/>
    <w:basedOn w:val="TableNormal"/>
    <w:uiPriority w:val="99"/>
    <w:semiHidden/>
    <w:unhideWhenUsed/>
    <w:rsid w:val="00A0182B"/>
    <w:tblPr>
      <w:tblBorders>
        <w:insideH w:val="single" w:sz="6" w:space="0" w:color="000000"/>
        <w:insideV w:val="single" w:sz="6" w:space="0" w:color="000000"/>
      </w:tblBorders>
    </w:tbl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Accent2">
    <w:name w:val="Colorful List Accent 2"/>
    <w:basedOn w:val="TableNormal"/>
    <w:uiPriority w:val="72"/>
    <w:rsid w:val="00A0182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9E3A38"/>
        <w:rtl w:val="0"/>
        <w:cs w:val="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F2DBDB"/>
      </w:tcPr>
    </w:tblStylePr>
  </w:style>
  <w:style w:type="table" w:styleId="ColorfulListAccent5">
    <w:name w:val="Colorful List Accent 5"/>
    <w:basedOn w:val="TableNormal"/>
    <w:uiPriority w:val="72"/>
    <w:rsid w:val="00A0182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F2730A"/>
        <w:rtl w:val="0"/>
        <w:cs w:val="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AEEF3"/>
      </w:tcPr>
    </w:tblStylePr>
  </w:style>
  <w:style w:type="table" w:customStyle="1" w:styleId="Svetlmriekazvraznenie11">
    <w:name w:val="Svetlá mriežka – zvýraznenie 11"/>
    <w:basedOn w:val="TableNormal"/>
    <w:next w:val="LightGridAccent1"/>
    <w:uiPriority w:val="62"/>
    <w:rsid w:val="00A0182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Accent2">
    <w:name w:val="Medium Grid 1 Accent 2"/>
    <w:basedOn w:val="TableNormal"/>
    <w:uiPriority w:val="67"/>
    <w:rsid w:val="00A0182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op w:val="single" w:sz="18" w:space="0" w:color="CF7B79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A7A6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A7A6"/>
      </w:tcPr>
    </w:tblStylePr>
  </w:style>
  <w:style w:type="table" w:styleId="MediumGrid3Accent4">
    <w:name w:val="Medium Grid 3 Accent 4"/>
    <w:basedOn w:val="TableNormal"/>
    <w:uiPriority w:val="69"/>
    <w:rsid w:val="00A0182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i w:val="0"/>
        <w:iCs w:val="0"/>
        <w:color w:val="FFFFFF"/>
        <w:rtl w:val="0"/>
        <w:cs w:val="0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i w:val="0"/>
        <w:iCs w:val="0"/>
        <w:color w:val="FFFFFF"/>
        <w:rtl w:val="0"/>
        <w:cs w:val="0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i w:val="0"/>
        <w:iCs w:val="0"/>
        <w:color w:val="FFFFFF"/>
        <w:rtl w:val="0"/>
        <w:cs w:val="0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i w:val="0"/>
        <w:iCs w:val="0"/>
        <w:color w:val="FFFFFF"/>
        <w:rtl w:val="0"/>
        <w:cs w:val="0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2Accent4">
    <w:name w:val="Medium Grid 2 Accent 4"/>
    <w:basedOn w:val="TableNormal"/>
    <w:uiPriority w:val="68"/>
    <w:rsid w:val="00A0182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shd w:val="clear" w:color="auto" w:fill="F2EFF6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color w:val="000000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 w:val="0"/>
        <w:bCs w:val="0"/>
        <w:color w:val="000000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BFB1D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FFFFFF"/>
      </w:tcPr>
    </w:tblStylePr>
  </w:style>
  <w:style w:type="table" w:customStyle="1" w:styleId="Svetlzoznamzvraznenie41">
    <w:name w:val="Svetlý zoznam – zvýraznenie 41"/>
    <w:basedOn w:val="TableNormal"/>
    <w:next w:val="LightListAccent4"/>
    <w:uiPriority w:val="61"/>
    <w:rsid w:val="00A0182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shd w:val="clear" w:color="auto" w:fill="8064A2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Grid1Accent4">
    <w:name w:val="Medium Grid 1 Accent 4"/>
    <w:basedOn w:val="TableNormal"/>
    <w:uiPriority w:val="67"/>
    <w:rsid w:val="00A0182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op w:val="single" w:sz="18" w:space="0" w:color="9F8AB9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BFB1D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BFB1D0"/>
      </w:tcPr>
    </w:tblStylePr>
  </w:style>
  <w:style w:type="character" w:styleId="PageNumber">
    <w:name w:val="page number"/>
    <w:uiPriority w:val="99"/>
    <w:rsid w:val="00A0182B"/>
  </w:style>
  <w:style w:type="table" w:styleId="LightShadingAccent1">
    <w:name w:val="Light Shading Accent 1"/>
    <w:basedOn w:val="TableNormal"/>
    <w:uiPriority w:val="60"/>
    <w:rsid w:val="00A0182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">
    <w:name w:val="Light Grid"/>
    <w:basedOn w:val="TableNormal"/>
    <w:uiPriority w:val="62"/>
    <w:rsid w:val="00A0182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ascii="Cambria" w:eastAsia="Times New Roman" w:hAnsi="Cambria" w:cs="Times New Roman"/>
        <w:b/>
        <w:bCs/>
        <w:rtl w:val="0"/>
        <w:cs w:val="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image" Target="media/image1.emf" /><Relationship Id="rId8" Type="http://schemas.openxmlformats.org/officeDocument/2006/relationships/oleObject" Target="embeddings/oleObject1.bin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6655</Words>
  <Characters>37934</Characters>
  <Application>Microsoft Office Word</Application>
  <DocSecurity>0</DocSecurity>
  <Lines>0</Lines>
  <Paragraphs>0</Paragraphs>
  <ScaleCrop>false</ScaleCrop>
  <Company>MVSR</Company>
  <LinksUpToDate>false</LinksUpToDate>
  <CharactersWithSpaces>44501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Katarína Kazíková</dc:creator>
  <cp:lastModifiedBy>Gašparíková, Jarmila</cp:lastModifiedBy>
  <cp:revision>2</cp:revision>
  <cp:lastPrinted>2011-11-02T13:22:00Z</cp:lastPrinted>
  <dcterms:created xsi:type="dcterms:W3CDTF">2011-11-10T12:34:00Z</dcterms:created>
  <dcterms:modified xsi:type="dcterms:W3CDTF">2011-11-10T12:34:00Z</dcterms:modified>
</cp:coreProperties>
</file>