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RPr="00EB33CC" w:rsidP="00563E5E">
      <w:pPr>
        <w:bidi w:val="0"/>
        <w:jc w:val="center"/>
        <w:rPr>
          <w:rFonts w:ascii="Times New Roman" w:hAnsi="Times New Roman"/>
          <w:b/>
          <w:sz w:val="44"/>
          <w:szCs w:val="28"/>
        </w:rPr>
      </w:pPr>
      <w:r w:rsidRPr="00EB33CC">
        <w:rPr>
          <w:rFonts w:ascii="Times New Roman" w:hAnsi="Times New Roman"/>
          <w:b/>
          <w:sz w:val="44"/>
          <w:szCs w:val="28"/>
        </w:rPr>
        <w:t>Príloha č. 2</w:t>
      </w:r>
    </w:p>
    <w:p w:rsidR="00563E5E" w:rsidRPr="00EB33CC" w:rsidP="00563E5E">
      <w:pPr>
        <w:bidi w:val="0"/>
        <w:jc w:val="center"/>
        <w:rPr>
          <w:rFonts w:ascii="Times New Roman" w:hAnsi="Times New Roman"/>
          <w:b/>
          <w:sz w:val="44"/>
          <w:szCs w:val="28"/>
        </w:rPr>
      </w:pPr>
    </w:p>
    <w:p w:rsidR="00563E5E" w:rsidRPr="00EB33CC" w:rsidP="00563E5E">
      <w:pPr>
        <w:bidi w:val="0"/>
        <w:jc w:val="center"/>
        <w:rPr>
          <w:rFonts w:ascii="Times New Roman" w:hAnsi="Times New Roman"/>
          <w:b/>
          <w:sz w:val="44"/>
          <w:szCs w:val="28"/>
        </w:rPr>
      </w:pPr>
      <w:r w:rsidRPr="00EB33CC">
        <w:rPr>
          <w:rFonts w:ascii="Times New Roman" w:hAnsi="Times New Roman"/>
          <w:b/>
          <w:sz w:val="44"/>
          <w:szCs w:val="28"/>
        </w:rPr>
        <w:t>Rozpočtové vzťahy SR a EÚ</w:t>
      </w: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RPr="0005763F" w:rsidP="00563E5E">
      <w:pPr>
        <w:bidi w:val="0"/>
        <w:rPr>
          <w:rFonts w:ascii="Times New Roman" w:hAnsi="Times New Roman"/>
          <w:b/>
          <w:sz w:val="28"/>
          <w:szCs w:val="28"/>
        </w:rPr>
      </w:pPr>
      <w:r w:rsidRPr="0005763F">
        <w:rPr>
          <w:rFonts w:ascii="Times New Roman" w:hAnsi="Times New Roman"/>
          <w:b/>
          <w:sz w:val="28"/>
          <w:szCs w:val="28"/>
        </w:rPr>
        <w:t>Rozpočtové vzťahy SR a EÚ</w:t>
      </w:r>
    </w:p>
    <w:p w:rsidR="00563E5E" w:rsidRPr="0005763F" w:rsidP="00563E5E">
      <w:pPr>
        <w:bidi w:val="0"/>
        <w:rPr>
          <w:rFonts w:ascii="Times New Roman" w:hAnsi="Times New Roman"/>
        </w:rPr>
      </w:pPr>
    </w:p>
    <w:p w:rsidR="00563E5E" w:rsidRPr="0005763F" w:rsidP="00563E5E">
      <w:pPr>
        <w:bidi w:val="0"/>
        <w:rPr>
          <w:rFonts w:ascii="Times New Roman" w:hAnsi="Times New Roman"/>
        </w:rPr>
      </w:pPr>
    </w:p>
    <w:p w:rsidR="00563E5E" w:rsidRPr="0005763F" w:rsidP="00563E5E">
      <w:pPr>
        <w:bidi w:val="0"/>
        <w:jc w:val="both"/>
        <w:rPr>
          <w:rFonts w:ascii="Times New Roman" w:hAnsi="Times New Roman"/>
          <w:b/>
        </w:rPr>
      </w:pPr>
      <w:r w:rsidRPr="0005763F">
        <w:rPr>
          <w:rFonts w:ascii="Times New Roman" w:hAnsi="Times New Roman"/>
          <w:b/>
        </w:rPr>
        <w:t>1. Základné predpoklady tvorby návrhu rozpočtu verejnej správy na roky 2012 až 2014 pre odvody Slovenskej republiky do všeobecného rozpočtu Európskej únie</w:t>
      </w:r>
    </w:p>
    <w:p w:rsidR="00563E5E" w:rsidRPr="0005763F" w:rsidP="00563E5E">
      <w:pPr>
        <w:bidi w:val="0"/>
        <w:ind w:firstLine="708"/>
        <w:jc w:val="both"/>
        <w:rPr>
          <w:rFonts w:ascii="Times New Roman" w:hAnsi="Times New Roman"/>
        </w:rPr>
      </w:pPr>
    </w:p>
    <w:p w:rsidR="00563E5E" w:rsidRPr="0005763F" w:rsidP="00563E5E">
      <w:pPr>
        <w:bidi w:val="0"/>
        <w:jc w:val="both"/>
        <w:rPr>
          <w:rFonts w:ascii="Times New Roman" w:hAnsi="Times New Roman"/>
        </w:rPr>
      </w:pPr>
      <w:r w:rsidRPr="0005763F">
        <w:rPr>
          <w:rFonts w:ascii="Times New Roman" w:hAnsi="Times New Roman"/>
        </w:rPr>
        <w:tab/>
        <w:t>Základným východiskom pre vypracovanie odhadu odvodov Slovenskej republiky do všeobecného rozpočtu Európskej únie na roky 2012 až 2014 sú závery zo zasadnutia Poradného výboru pre vlastné zdroje (ACOR) zo 17. mája 2011 pri zohľadnení súčasného viacročného finančného rámca Európskej únie.</w:t>
      </w:r>
    </w:p>
    <w:p w:rsidR="00563E5E" w:rsidRPr="0005763F" w:rsidP="00563E5E">
      <w:pPr>
        <w:bidi w:val="0"/>
        <w:jc w:val="both"/>
        <w:rPr>
          <w:rFonts w:ascii="Times New Roman" w:hAnsi="Times New Roman"/>
        </w:rPr>
      </w:pPr>
    </w:p>
    <w:p w:rsidR="00563E5E" w:rsidRPr="0005763F" w:rsidP="00563E5E">
      <w:pPr>
        <w:bidi w:val="0"/>
        <w:ind w:firstLine="708"/>
        <w:jc w:val="both"/>
        <w:rPr>
          <w:rFonts w:ascii="Times New Roman" w:hAnsi="Times New Roman"/>
        </w:rPr>
      </w:pPr>
      <w:r w:rsidRPr="0005763F">
        <w:rPr>
          <w:rFonts w:ascii="Times New Roman" w:hAnsi="Times New Roman"/>
        </w:rPr>
        <w:t>Odhad odvodov Slovenskej republiky do všeobecného rozpočtu Európskej únie na roky 2012 až 2014 je vypracovaný na základe platného rozhodnutia Rady o systéme vlastných zdrojov Európskych spoločenstiev.</w:t>
      </w:r>
    </w:p>
    <w:p w:rsidR="00563E5E" w:rsidRPr="0005763F" w:rsidP="00563E5E">
      <w:pPr>
        <w:bidi w:val="0"/>
        <w:jc w:val="both"/>
        <w:rPr>
          <w:rFonts w:ascii="Times New Roman" w:hAnsi="Times New Roman"/>
        </w:rPr>
      </w:pPr>
    </w:p>
    <w:p w:rsidR="00563E5E" w:rsidRPr="0005763F" w:rsidP="00563E5E">
      <w:pPr>
        <w:bidi w:val="0"/>
        <w:ind w:firstLine="708"/>
        <w:jc w:val="both"/>
        <w:rPr>
          <w:rFonts w:ascii="Times New Roman" w:hAnsi="Times New Roman"/>
        </w:rPr>
      </w:pPr>
      <w:r w:rsidRPr="0005763F">
        <w:rPr>
          <w:rFonts w:ascii="Times New Roman" w:hAnsi="Times New Roman"/>
        </w:rPr>
        <w:t>Od roku 2011 Slovenská republika prispieva do Európskeho rozvojového fondu (ERF). Príspevky do ERF sa hradia v prospech dvoch inštitúcií, spravujúcich prostriedky ERF: Európska komisia a Európska investičná banka. Odhad príspevku Slovenskej republiky na rok 2012 je spracovaný na základe rozhodnutia Rady o finančných príspevkoch, ktoré majú členské štáty uhradiť na účely financovania Európskeho rozvojového fondu v roku 2012 č. 16971/2010 z 29. novembra 2010.  Výška príspevkov na roky 2013 a 2014 ešte nie je stanovená. Keďže prvý návrh výšky platieb pre dané roky bude stanovený až vo štvrtom kvartáli 2011, pre účely zabezpečenia prostriedkov v štátnom rozpočte je možné predpokladať minimálne rovnakú výšku platieb ako v roku 2012. Príspevky sú vykazované ako oficiálna rozvojová pomoc SR.</w:t>
      </w:r>
    </w:p>
    <w:p w:rsidR="00563E5E" w:rsidRPr="0005763F" w:rsidP="00563E5E">
      <w:pPr>
        <w:bidi w:val="0"/>
        <w:jc w:val="both"/>
        <w:rPr>
          <w:rFonts w:ascii="Times New Roman" w:hAnsi="Times New Roman"/>
        </w:rPr>
      </w:pPr>
    </w:p>
    <w:p w:rsidR="00563E5E" w:rsidRPr="0005763F" w:rsidP="00563E5E">
      <w:pPr>
        <w:pStyle w:val="BodyText"/>
        <w:bidi w:val="0"/>
        <w:rPr>
          <w:rFonts w:ascii="Times New Roman" w:hAnsi="Times New Roman"/>
          <w:b/>
          <w:bCs/>
        </w:rPr>
      </w:pPr>
      <w:r w:rsidRPr="0005763F">
        <w:rPr>
          <w:rFonts w:ascii="Times New Roman" w:hAnsi="Times New Roman"/>
          <w:b/>
          <w:bCs/>
        </w:rPr>
        <w:t xml:space="preserve">2. Odvody a príspevky </w:t>
      </w:r>
      <w:r w:rsidRPr="0005763F">
        <w:rPr>
          <w:rFonts w:ascii="Times New Roman" w:hAnsi="Times New Roman"/>
          <w:b/>
        </w:rPr>
        <w:t>Slovenskej republiky do všeobecného rozpočtu Európskej únie</w:t>
      </w:r>
      <w:r w:rsidRPr="0005763F">
        <w:rPr>
          <w:rFonts w:ascii="Times New Roman" w:hAnsi="Times New Roman"/>
          <w:b/>
          <w:bCs/>
        </w:rPr>
        <w:t xml:space="preserve">  </w:t>
      </w:r>
    </w:p>
    <w:p w:rsidR="00563E5E" w:rsidRPr="0005763F" w:rsidP="00563E5E">
      <w:pPr>
        <w:bidi w:val="0"/>
        <w:jc w:val="both"/>
        <w:rPr>
          <w:rFonts w:ascii="Times New Roman" w:hAnsi="Times New Roman"/>
        </w:rPr>
      </w:pPr>
    </w:p>
    <w:p w:rsidR="00563E5E" w:rsidRPr="0005763F" w:rsidP="00563E5E">
      <w:pPr>
        <w:bidi w:val="0"/>
        <w:jc w:val="both"/>
        <w:rPr>
          <w:rFonts w:ascii="Times New Roman" w:hAnsi="Times New Roman"/>
        </w:rPr>
      </w:pPr>
      <w:r w:rsidRPr="0005763F">
        <w:rPr>
          <w:rFonts w:ascii="Times New Roman" w:hAnsi="Times New Roman"/>
          <w:u w:val="single"/>
        </w:rPr>
        <w:t>Tabuľka č. 1:</w:t>
      </w:r>
      <w:r w:rsidRPr="0005763F">
        <w:rPr>
          <w:rFonts w:ascii="Times New Roman" w:hAnsi="Times New Roman"/>
        </w:rPr>
        <w:t xml:space="preserve"> Odvody SR do všeobecného rozpočtu EÚ v rokoch 2009 až 2014 </w:t>
      </w:r>
    </w:p>
    <w:p w:rsidR="00563E5E" w:rsidRPr="0005763F" w:rsidP="00563E5E">
      <w:pPr>
        <w:bidi w:val="0"/>
        <w:jc w:val="both"/>
        <w:rPr>
          <w:rFonts w:ascii="Times New Roman" w:hAnsi="Times New Roman"/>
          <w:sz w:val="16"/>
          <w:szCs w:val="16"/>
        </w:rPr>
      </w:pPr>
      <w:r w:rsidRPr="0005763F">
        <w:rPr>
          <w:rFonts w:ascii="Times New Roman" w:hAnsi="Times New Roman"/>
          <w:sz w:val="22"/>
          <w:szCs w:val="22"/>
        </w:rPr>
        <w:tab/>
        <w:tab/>
        <w:tab/>
        <w:tab/>
        <w:tab/>
        <w:tab/>
        <w:tab/>
        <w:tab/>
        <w:tab/>
        <w:tab/>
        <w:tab/>
        <w:t xml:space="preserve">           </w:t>
      </w:r>
      <w:r w:rsidRPr="0005763F">
        <w:rPr>
          <w:rFonts w:ascii="Times New Roman" w:hAnsi="Times New Roman"/>
          <w:sz w:val="16"/>
          <w:szCs w:val="16"/>
        </w:rPr>
        <w:t>(v tis. eur)</w:t>
      </w:r>
    </w:p>
    <w:tbl>
      <w:tblPr>
        <w:tblStyle w:val="TableNormal"/>
        <w:tblW w:w="9229" w:type="dxa"/>
        <w:tblInd w:w="55" w:type="dxa"/>
        <w:tblLayout w:type="fixed"/>
        <w:tblCellMar>
          <w:left w:w="70" w:type="dxa"/>
          <w:right w:w="70" w:type="dxa"/>
        </w:tblCellMar>
      </w:tblPr>
      <w:tblGrid>
        <w:gridCol w:w="2992"/>
        <w:gridCol w:w="1039"/>
        <w:gridCol w:w="1040"/>
        <w:gridCol w:w="1039"/>
        <w:gridCol w:w="1040"/>
        <w:gridCol w:w="1039"/>
        <w:gridCol w:w="1040"/>
      </w:tblGrid>
      <w:tr>
        <w:tblPrEx>
          <w:tblW w:w="9229" w:type="dxa"/>
          <w:tblInd w:w="55" w:type="dxa"/>
          <w:tblLayout w:type="fixed"/>
          <w:tblCellMar>
            <w:left w:w="70" w:type="dxa"/>
            <w:right w:w="70" w:type="dxa"/>
          </w:tblCellMar>
        </w:tblPrEx>
        <w:trPr>
          <w:trHeight w:val="255"/>
        </w:trPr>
        <w:tc>
          <w:tcPr>
            <w:tcW w:w="2992"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 </w:t>
            </w:r>
          </w:p>
        </w:tc>
        <w:tc>
          <w:tcPr>
            <w:tcW w:w="103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04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03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040"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039"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040"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9229" w:type="dxa"/>
          <w:tblInd w:w="55" w:type="dxa"/>
          <w:tblLayout w:type="fixed"/>
          <w:tblCellMar>
            <w:left w:w="70" w:type="dxa"/>
            <w:right w:w="70" w:type="dxa"/>
          </w:tblCellMar>
        </w:tblPrEx>
        <w:trPr>
          <w:trHeight w:val="324"/>
        </w:trPr>
        <w:tc>
          <w:tcPr>
            <w:tcW w:w="2992" w:type="dxa"/>
            <w:tcBorders>
              <w:top w:val="nil"/>
              <w:left w:val="single" w:sz="4" w:space="0" w:color="auto"/>
              <w:bottom w:val="single" w:sz="4" w:space="0" w:color="auto"/>
              <w:right w:val="single" w:sz="4" w:space="0" w:color="auto"/>
            </w:tcBorders>
            <w:noWrap/>
            <w:textDirection w:val="lrTb"/>
            <w:vAlign w:val="center"/>
          </w:tcPr>
          <w:p w:rsidR="00256EBC"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Tradičné vlastné zdroje</w:t>
            </w:r>
          </w:p>
        </w:tc>
        <w:tc>
          <w:tcPr>
            <w:tcW w:w="1039"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83 610</w:t>
            </w:r>
          </w:p>
        </w:tc>
        <w:tc>
          <w:tcPr>
            <w:tcW w:w="1040"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107 258</w:t>
            </w:r>
          </w:p>
        </w:tc>
        <w:tc>
          <w:tcPr>
            <w:tcW w:w="1039"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94 800</w:t>
            </w:r>
          </w:p>
        </w:tc>
        <w:tc>
          <w:tcPr>
            <w:tcW w:w="1040"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123 400</w:t>
            </w:r>
          </w:p>
        </w:tc>
        <w:tc>
          <w:tcPr>
            <w:tcW w:w="1039"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125 868</w:t>
            </w:r>
          </w:p>
        </w:tc>
        <w:tc>
          <w:tcPr>
            <w:tcW w:w="1040"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128 385</w:t>
            </w:r>
          </w:p>
        </w:tc>
      </w:tr>
      <w:tr>
        <w:tblPrEx>
          <w:tblW w:w="9229" w:type="dxa"/>
          <w:tblInd w:w="55" w:type="dxa"/>
          <w:tblLayout w:type="fixed"/>
          <w:tblCellMar>
            <w:left w:w="70" w:type="dxa"/>
            <w:right w:w="70" w:type="dxa"/>
          </w:tblCellMar>
        </w:tblPrEx>
        <w:trPr>
          <w:trHeight w:val="482"/>
        </w:trPr>
        <w:tc>
          <w:tcPr>
            <w:tcW w:w="2992" w:type="dxa"/>
            <w:tcBorders>
              <w:top w:val="nil"/>
              <w:left w:val="single" w:sz="4" w:space="0" w:color="auto"/>
              <w:bottom w:val="single" w:sz="4" w:space="0" w:color="auto"/>
              <w:right w:val="single" w:sz="4" w:space="0" w:color="auto"/>
            </w:tcBorders>
            <w:shd w:val="clear" w:color="auto" w:fill="C0C0C0"/>
            <w:noWrap/>
            <w:textDirection w:val="lrTb"/>
            <w:vAlign w:val="center"/>
          </w:tcPr>
          <w:p w:rsidR="00256EBC" w:rsidRPr="00250EE8" w:rsidP="007F0659">
            <w:pPr>
              <w:bidi w:val="0"/>
              <w:spacing w:after="0" w:line="240" w:lineRule="auto"/>
              <w:rPr>
                <w:rFonts w:ascii="Times New Roman" w:hAnsi="Times New Roman"/>
                <w:b/>
                <w:bCs/>
                <w:sz w:val="16"/>
                <w:szCs w:val="16"/>
              </w:rPr>
            </w:pPr>
            <w:r w:rsidRPr="00250EE8">
              <w:rPr>
                <w:rFonts w:ascii="Times New Roman" w:hAnsi="Times New Roman"/>
                <w:b/>
                <w:bCs/>
                <w:sz w:val="16"/>
                <w:szCs w:val="16"/>
              </w:rPr>
              <w:t>Odvody SR spolu vrátane tradičných vlastných zdrojov</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695 726</w:t>
            </w:r>
          </w:p>
        </w:tc>
        <w:tc>
          <w:tcPr>
            <w:tcW w:w="1040"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627 528</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744 977</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787 689</w:t>
            </w:r>
          </w:p>
        </w:tc>
        <w:tc>
          <w:tcPr>
            <w:tcW w:w="1039"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864 767</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825 576</w:t>
            </w:r>
          </w:p>
        </w:tc>
      </w:tr>
      <w:tr>
        <w:tblPrEx>
          <w:tblW w:w="9229" w:type="dxa"/>
          <w:tblInd w:w="55" w:type="dxa"/>
          <w:tblLayout w:type="fixed"/>
          <w:tblCellMar>
            <w:left w:w="70" w:type="dxa"/>
            <w:right w:w="70" w:type="dxa"/>
          </w:tblCellMar>
        </w:tblPrEx>
        <w:trPr>
          <w:trHeight w:val="418"/>
        </w:trPr>
        <w:tc>
          <w:tcPr>
            <w:tcW w:w="2992" w:type="dxa"/>
            <w:tcBorders>
              <w:top w:val="nil"/>
              <w:left w:val="single" w:sz="4" w:space="0" w:color="auto"/>
              <w:bottom w:val="single" w:sz="4" w:space="0" w:color="auto"/>
              <w:right w:val="single" w:sz="4" w:space="0" w:color="auto"/>
            </w:tcBorders>
            <w:shd w:val="clear" w:color="auto" w:fill="C0C0C0"/>
            <w:noWrap/>
            <w:textDirection w:val="lrTb"/>
            <w:vAlign w:val="center"/>
          </w:tcPr>
          <w:p w:rsidR="00256EBC" w:rsidRPr="00250EE8" w:rsidP="007F0659">
            <w:pPr>
              <w:bidi w:val="0"/>
              <w:spacing w:after="0" w:line="240" w:lineRule="auto"/>
              <w:rPr>
                <w:rFonts w:ascii="Times New Roman" w:hAnsi="Times New Roman"/>
                <w:b/>
                <w:bCs/>
                <w:sz w:val="16"/>
                <w:szCs w:val="16"/>
              </w:rPr>
            </w:pPr>
            <w:r w:rsidRPr="00250EE8">
              <w:rPr>
                <w:rFonts w:ascii="Times New Roman" w:hAnsi="Times New Roman"/>
                <w:b/>
                <w:bCs/>
                <w:sz w:val="16"/>
                <w:szCs w:val="16"/>
              </w:rPr>
              <w:t>Odvody SR spolu bez tradičných vlastných zdrojov</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612 116</w:t>
            </w:r>
          </w:p>
        </w:tc>
        <w:tc>
          <w:tcPr>
            <w:tcW w:w="1040"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520 270</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650 177</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664 289</w:t>
            </w:r>
          </w:p>
        </w:tc>
        <w:tc>
          <w:tcPr>
            <w:tcW w:w="1039"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FF0000"/>
                <w:sz w:val="16"/>
                <w:szCs w:val="16"/>
              </w:rPr>
            </w:pPr>
            <w:r w:rsidRPr="00256EBC">
              <w:rPr>
                <w:rFonts w:ascii="Times New Roman" w:hAnsi="Times New Roman"/>
                <w:b/>
                <w:bCs/>
                <w:sz w:val="16"/>
                <w:szCs w:val="16"/>
              </w:rPr>
              <w:t>738 899</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697 191</w:t>
            </w:r>
          </w:p>
        </w:tc>
      </w:tr>
    </w:tbl>
    <w:p w:rsidR="00563E5E" w:rsidRPr="0005763F" w:rsidP="00563E5E">
      <w:pPr>
        <w:bidi w:val="0"/>
        <w:jc w:val="both"/>
        <w:rPr>
          <w:rFonts w:ascii="Times New Roman" w:hAnsi="Times New Roman"/>
          <w:sz w:val="22"/>
          <w:szCs w:val="22"/>
          <w:u w:val="single"/>
        </w:rPr>
      </w:pPr>
    </w:p>
    <w:p w:rsidR="00563E5E" w:rsidRPr="0005763F" w:rsidP="00563E5E">
      <w:pPr>
        <w:bidi w:val="0"/>
        <w:jc w:val="both"/>
        <w:rPr>
          <w:rFonts w:ascii="Times New Roman" w:hAnsi="Times New Roman"/>
          <w:szCs w:val="22"/>
        </w:rPr>
      </w:pPr>
      <w:r w:rsidRPr="0005763F">
        <w:rPr>
          <w:rFonts w:ascii="Times New Roman" w:hAnsi="Times New Roman"/>
          <w:szCs w:val="22"/>
          <w:u w:val="single"/>
        </w:rPr>
        <w:t>Tabuľka č. 2:</w:t>
      </w:r>
      <w:r w:rsidRPr="0005763F">
        <w:rPr>
          <w:rFonts w:ascii="Times New Roman" w:hAnsi="Times New Roman"/>
          <w:szCs w:val="22"/>
        </w:rPr>
        <w:t xml:space="preserve"> Príspevky SR do všeobecného rozpočtu EÚ v rokoch 2009 až 2014</w:t>
      </w:r>
    </w:p>
    <w:p w:rsidR="00563E5E" w:rsidRPr="0005763F" w:rsidP="00563E5E">
      <w:pPr>
        <w:bidi w:val="0"/>
        <w:jc w:val="both"/>
        <w:rPr>
          <w:rFonts w:ascii="Times New Roman" w:hAnsi="Times New Roman"/>
          <w:sz w:val="16"/>
          <w:szCs w:val="16"/>
        </w:rPr>
      </w:pPr>
      <w:r w:rsidRPr="0005763F">
        <w:rPr>
          <w:rFonts w:ascii="Times New Roman" w:hAnsi="Times New Roman"/>
          <w:sz w:val="22"/>
          <w:szCs w:val="22"/>
        </w:rPr>
        <w:tab/>
        <w:tab/>
        <w:tab/>
        <w:tab/>
        <w:tab/>
        <w:tab/>
        <w:tab/>
        <w:tab/>
        <w:tab/>
        <w:tab/>
        <w:tab/>
        <w:t xml:space="preserve">           </w:t>
      </w:r>
      <w:r w:rsidRPr="0005763F">
        <w:rPr>
          <w:rFonts w:ascii="Times New Roman" w:hAnsi="Times New Roman"/>
          <w:sz w:val="16"/>
          <w:szCs w:val="16"/>
        </w:rPr>
        <w:t>(v tis. eur)</w:t>
      </w:r>
    </w:p>
    <w:tbl>
      <w:tblPr>
        <w:tblStyle w:val="TableNormal"/>
        <w:tblW w:w="9229" w:type="dxa"/>
        <w:tblInd w:w="55" w:type="dxa"/>
        <w:tblLayout w:type="fixed"/>
        <w:tblCellMar>
          <w:left w:w="70" w:type="dxa"/>
          <w:right w:w="70" w:type="dxa"/>
        </w:tblCellMar>
      </w:tblPr>
      <w:tblGrid>
        <w:gridCol w:w="2992"/>
        <w:gridCol w:w="1039"/>
        <w:gridCol w:w="1040"/>
        <w:gridCol w:w="1039"/>
        <w:gridCol w:w="1040"/>
        <w:gridCol w:w="1039"/>
        <w:gridCol w:w="1040"/>
      </w:tblGrid>
      <w:tr>
        <w:tblPrEx>
          <w:tblW w:w="9229" w:type="dxa"/>
          <w:tblInd w:w="55" w:type="dxa"/>
          <w:tblLayout w:type="fixed"/>
          <w:tblCellMar>
            <w:left w:w="70" w:type="dxa"/>
            <w:right w:w="70" w:type="dxa"/>
          </w:tblCellMar>
        </w:tblPrEx>
        <w:trPr>
          <w:trHeight w:val="255"/>
        </w:trPr>
        <w:tc>
          <w:tcPr>
            <w:tcW w:w="2992"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 </w:t>
            </w:r>
          </w:p>
        </w:tc>
        <w:tc>
          <w:tcPr>
            <w:tcW w:w="103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04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03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040"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039"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040"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9229" w:type="dxa"/>
          <w:tblInd w:w="55" w:type="dxa"/>
          <w:tblLayout w:type="fixed"/>
          <w:tblCellMar>
            <w:left w:w="70" w:type="dxa"/>
            <w:right w:w="70" w:type="dxa"/>
          </w:tblCellMar>
        </w:tblPrEx>
        <w:trPr>
          <w:trHeight w:val="324"/>
        </w:trPr>
        <w:tc>
          <w:tcPr>
            <w:tcW w:w="2992" w:type="dxa"/>
            <w:tcBorders>
              <w:top w:val="nil"/>
              <w:left w:val="single" w:sz="4" w:space="0" w:color="auto"/>
              <w:bottom w:val="single" w:sz="4" w:space="0" w:color="auto"/>
              <w:right w:val="single" w:sz="4" w:space="0" w:color="auto"/>
            </w:tcBorders>
            <w:noWrap/>
            <w:textDirection w:val="lrTb"/>
            <w:vAlign w:val="center"/>
          </w:tcPr>
          <w:p w:rsidR="00563E5E" w:rsidRPr="00250EE8" w:rsidP="0006099E">
            <w:pPr>
              <w:bidi w:val="0"/>
              <w:spacing w:after="0" w:line="240" w:lineRule="auto"/>
              <w:rPr>
                <w:rFonts w:ascii="Times New Roman" w:hAnsi="Times New Roman"/>
                <w:sz w:val="16"/>
                <w:szCs w:val="16"/>
              </w:rPr>
            </w:pPr>
            <w:r w:rsidRPr="00250EE8">
              <w:rPr>
                <w:rFonts w:ascii="Times New Roman" w:hAnsi="Times New Roman"/>
                <w:sz w:val="16"/>
                <w:szCs w:val="16"/>
              </w:rPr>
              <w:t>Príspevky SR do Európskeho rozvojového fondu</w:t>
            </w:r>
          </w:p>
        </w:tc>
        <w:tc>
          <w:tcPr>
            <w:tcW w:w="1039"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p>
        </w:tc>
        <w:tc>
          <w:tcPr>
            <w:tcW w:w="1040"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p>
        </w:tc>
        <w:tc>
          <w:tcPr>
            <w:tcW w:w="1039"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p>
        </w:tc>
        <w:tc>
          <w:tcPr>
            <w:tcW w:w="1040"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p>
        </w:tc>
        <w:tc>
          <w:tcPr>
            <w:tcW w:w="1039"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p>
        </w:tc>
        <w:tc>
          <w:tcPr>
            <w:tcW w:w="1040"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p>
        </w:tc>
      </w:tr>
      <w:tr>
        <w:tblPrEx>
          <w:tblW w:w="9229" w:type="dxa"/>
          <w:tblInd w:w="55" w:type="dxa"/>
          <w:tblLayout w:type="fixed"/>
          <w:tblCellMar>
            <w:left w:w="70" w:type="dxa"/>
            <w:right w:w="70" w:type="dxa"/>
          </w:tblCellMar>
        </w:tblPrEx>
        <w:trPr>
          <w:trHeight w:val="324"/>
        </w:trPr>
        <w:tc>
          <w:tcPr>
            <w:tcW w:w="2992" w:type="dxa"/>
            <w:tcBorders>
              <w:top w:val="nil"/>
              <w:left w:val="single" w:sz="4" w:space="0" w:color="auto"/>
              <w:bottom w:val="single" w:sz="4" w:space="0" w:color="auto"/>
              <w:right w:val="single" w:sz="4" w:space="0" w:color="auto"/>
            </w:tcBorders>
            <w:noWrap/>
            <w:textDirection w:val="lrTb"/>
            <w:vAlign w:val="center"/>
          </w:tcPr>
          <w:p w:rsidR="00563E5E" w:rsidRPr="00250EE8" w:rsidP="0006099E">
            <w:pPr>
              <w:bidi w:val="0"/>
              <w:spacing w:after="0" w:line="240" w:lineRule="auto"/>
              <w:rPr>
                <w:rFonts w:ascii="Times New Roman" w:hAnsi="Times New Roman"/>
                <w:sz w:val="16"/>
                <w:szCs w:val="16"/>
              </w:rPr>
            </w:pPr>
            <w:r w:rsidRPr="00250EE8">
              <w:rPr>
                <w:rFonts w:ascii="Times New Roman" w:hAnsi="Times New Roman"/>
                <w:sz w:val="16"/>
                <w:szCs w:val="16"/>
              </w:rPr>
              <w:t>Z toho platba pre Európsku komisiu</w:t>
            </w:r>
          </w:p>
        </w:tc>
        <w:tc>
          <w:tcPr>
            <w:tcW w:w="1039"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0</w:t>
            </w:r>
          </w:p>
        </w:tc>
        <w:tc>
          <w:tcPr>
            <w:tcW w:w="1040"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0</w:t>
            </w:r>
          </w:p>
        </w:tc>
        <w:tc>
          <w:tcPr>
            <w:tcW w:w="1039"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6 363</w:t>
            </w:r>
          </w:p>
        </w:tc>
        <w:tc>
          <w:tcPr>
            <w:tcW w:w="1040"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7 980</w:t>
            </w:r>
          </w:p>
        </w:tc>
        <w:tc>
          <w:tcPr>
            <w:tcW w:w="1039"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7 980</w:t>
            </w:r>
          </w:p>
        </w:tc>
        <w:tc>
          <w:tcPr>
            <w:tcW w:w="1040"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7 980</w:t>
            </w:r>
          </w:p>
        </w:tc>
      </w:tr>
      <w:tr>
        <w:tblPrEx>
          <w:tblW w:w="9229" w:type="dxa"/>
          <w:tblInd w:w="55" w:type="dxa"/>
          <w:tblLayout w:type="fixed"/>
          <w:tblCellMar>
            <w:left w:w="70" w:type="dxa"/>
            <w:right w:w="70" w:type="dxa"/>
          </w:tblCellMar>
        </w:tblPrEx>
        <w:trPr>
          <w:trHeight w:val="445"/>
        </w:trPr>
        <w:tc>
          <w:tcPr>
            <w:tcW w:w="2992" w:type="dxa"/>
            <w:tcBorders>
              <w:top w:val="nil"/>
              <w:left w:val="single" w:sz="4" w:space="0" w:color="auto"/>
              <w:bottom w:val="single" w:sz="4" w:space="0" w:color="auto"/>
              <w:right w:val="single" w:sz="4" w:space="0" w:color="auto"/>
            </w:tcBorders>
            <w:noWrap/>
            <w:textDirection w:val="lrTb"/>
            <w:vAlign w:val="center"/>
          </w:tcPr>
          <w:p w:rsidR="00563E5E" w:rsidRPr="00250EE8" w:rsidP="0006099E">
            <w:pPr>
              <w:bidi w:val="0"/>
              <w:spacing w:after="0" w:line="240" w:lineRule="auto"/>
              <w:rPr>
                <w:rFonts w:ascii="Times New Roman" w:hAnsi="Times New Roman"/>
                <w:sz w:val="16"/>
                <w:szCs w:val="16"/>
              </w:rPr>
            </w:pPr>
            <w:r w:rsidRPr="00250EE8">
              <w:rPr>
                <w:rFonts w:ascii="Times New Roman" w:hAnsi="Times New Roman"/>
                <w:sz w:val="16"/>
                <w:szCs w:val="16"/>
              </w:rPr>
              <w:t>Z toho platba pre Európsku investičnú banku</w:t>
            </w:r>
          </w:p>
        </w:tc>
        <w:tc>
          <w:tcPr>
            <w:tcW w:w="1039"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0</w:t>
            </w:r>
          </w:p>
        </w:tc>
        <w:tc>
          <w:tcPr>
            <w:tcW w:w="1040"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0</w:t>
            </w:r>
          </w:p>
        </w:tc>
        <w:tc>
          <w:tcPr>
            <w:tcW w:w="1039" w:type="dxa"/>
            <w:tcBorders>
              <w:top w:val="nil"/>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0</w:t>
            </w:r>
          </w:p>
        </w:tc>
        <w:tc>
          <w:tcPr>
            <w:tcW w:w="1040"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588</w:t>
            </w:r>
          </w:p>
        </w:tc>
        <w:tc>
          <w:tcPr>
            <w:tcW w:w="1039"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630</w:t>
            </w:r>
          </w:p>
        </w:tc>
        <w:tc>
          <w:tcPr>
            <w:tcW w:w="1040" w:type="dxa"/>
            <w:tcBorders>
              <w:top w:val="nil"/>
              <w:left w:val="nil"/>
              <w:bottom w:val="single" w:sz="4" w:space="0" w:color="auto"/>
              <w:right w:val="single" w:sz="4" w:space="0" w:color="auto"/>
            </w:tcBorders>
            <w:noWrap/>
            <w:textDirection w:val="lrTb"/>
            <w:vAlign w:val="center"/>
          </w:tcPr>
          <w:p w:rsidR="00563E5E" w:rsidRPr="00250EE8" w:rsidP="007F0659">
            <w:pPr>
              <w:bidi w:val="0"/>
              <w:spacing w:after="0" w:line="240" w:lineRule="auto"/>
              <w:jc w:val="right"/>
              <w:rPr>
                <w:rFonts w:ascii="Times New Roman" w:hAnsi="Times New Roman"/>
                <w:sz w:val="16"/>
                <w:szCs w:val="16"/>
              </w:rPr>
            </w:pPr>
            <w:r w:rsidRPr="00250EE8">
              <w:rPr>
                <w:rFonts w:ascii="Times New Roman" w:hAnsi="Times New Roman"/>
                <w:sz w:val="16"/>
                <w:szCs w:val="16"/>
              </w:rPr>
              <w:t>700</w:t>
            </w:r>
          </w:p>
        </w:tc>
      </w:tr>
      <w:tr>
        <w:tblPrEx>
          <w:tblW w:w="9229" w:type="dxa"/>
          <w:tblInd w:w="55" w:type="dxa"/>
          <w:tblLayout w:type="fixed"/>
          <w:tblCellMar>
            <w:left w:w="70" w:type="dxa"/>
            <w:right w:w="70" w:type="dxa"/>
          </w:tblCellMar>
        </w:tblPrEx>
        <w:trPr>
          <w:trHeight w:val="482"/>
        </w:trPr>
        <w:tc>
          <w:tcPr>
            <w:tcW w:w="2992" w:type="dxa"/>
            <w:tcBorders>
              <w:top w:val="nil"/>
              <w:left w:val="single" w:sz="4" w:space="0" w:color="auto"/>
              <w:bottom w:val="single" w:sz="4" w:space="0" w:color="auto"/>
              <w:right w:val="single" w:sz="4" w:space="0" w:color="auto"/>
            </w:tcBorders>
            <w:shd w:val="clear" w:color="auto" w:fill="C0C0C0"/>
            <w:noWrap/>
            <w:textDirection w:val="lrTb"/>
            <w:vAlign w:val="top"/>
          </w:tcPr>
          <w:p w:rsidR="00563E5E" w:rsidRPr="00250EE8" w:rsidP="007F0659">
            <w:pPr>
              <w:bidi w:val="0"/>
              <w:spacing w:after="0" w:line="240" w:lineRule="auto"/>
              <w:rPr>
                <w:rFonts w:ascii="Times New Roman" w:hAnsi="Times New Roman"/>
                <w:b/>
                <w:sz w:val="16"/>
                <w:szCs w:val="16"/>
              </w:rPr>
            </w:pPr>
            <w:r w:rsidRPr="00250EE8">
              <w:rPr>
                <w:rFonts w:ascii="Times New Roman" w:hAnsi="Times New Roman"/>
                <w:b/>
                <w:sz w:val="16"/>
                <w:szCs w:val="16"/>
              </w:rPr>
              <w:t>Príspevky SR do všeobecného rozpočtu EÚ spolu</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563E5E" w:rsidRPr="00250EE8" w:rsidP="007F0659">
            <w:pPr>
              <w:bidi w:val="0"/>
              <w:spacing w:after="0" w:line="240" w:lineRule="auto"/>
              <w:jc w:val="right"/>
              <w:rPr>
                <w:rFonts w:ascii="Times New Roman" w:hAnsi="Times New Roman"/>
                <w:b/>
                <w:sz w:val="16"/>
                <w:szCs w:val="16"/>
              </w:rPr>
            </w:pPr>
            <w:r w:rsidRPr="00250EE8">
              <w:rPr>
                <w:rFonts w:ascii="Times New Roman" w:hAnsi="Times New Roman"/>
                <w:b/>
                <w:sz w:val="16"/>
                <w:szCs w:val="16"/>
              </w:rPr>
              <w:t>0</w:t>
            </w:r>
          </w:p>
        </w:tc>
        <w:tc>
          <w:tcPr>
            <w:tcW w:w="1040" w:type="dxa"/>
            <w:tcBorders>
              <w:top w:val="nil"/>
              <w:left w:val="single" w:sz="4" w:space="0" w:color="auto"/>
              <w:bottom w:val="single" w:sz="4" w:space="0" w:color="auto"/>
              <w:right w:val="single" w:sz="4" w:space="0" w:color="auto"/>
            </w:tcBorders>
            <w:shd w:val="clear" w:color="auto" w:fill="C0C0C0"/>
            <w:textDirection w:val="lrTb"/>
            <w:vAlign w:val="center"/>
          </w:tcPr>
          <w:p w:rsidR="00563E5E" w:rsidRPr="00250EE8" w:rsidP="007F0659">
            <w:pPr>
              <w:bidi w:val="0"/>
              <w:spacing w:after="0" w:line="240" w:lineRule="auto"/>
              <w:jc w:val="right"/>
              <w:rPr>
                <w:rFonts w:ascii="Times New Roman" w:hAnsi="Times New Roman"/>
                <w:b/>
                <w:sz w:val="16"/>
                <w:szCs w:val="16"/>
              </w:rPr>
            </w:pPr>
            <w:r w:rsidRPr="00250EE8">
              <w:rPr>
                <w:rFonts w:ascii="Times New Roman" w:hAnsi="Times New Roman"/>
                <w:b/>
                <w:sz w:val="16"/>
                <w:szCs w:val="16"/>
              </w:rPr>
              <w:t>0</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563E5E" w:rsidRPr="00250EE8" w:rsidP="007F0659">
            <w:pPr>
              <w:bidi w:val="0"/>
              <w:spacing w:after="0" w:line="240" w:lineRule="auto"/>
              <w:jc w:val="right"/>
              <w:rPr>
                <w:rFonts w:ascii="Times New Roman" w:hAnsi="Times New Roman"/>
                <w:b/>
                <w:sz w:val="16"/>
                <w:szCs w:val="16"/>
              </w:rPr>
            </w:pPr>
            <w:r w:rsidRPr="00250EE8">
              <w:rPr>
                <w:rFonts w:ascii="Times New Roman" w:hAnsi="Times New Roman"/>
                <w:b/>
                <w:sz w:val="16"/>
                <w:szCs w:val="16"/>
              </w:rPr>
              <w:t>6 363</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563E5E" w:rsidRPr="00250EE8" w:rsidP="007F0659">
            <w:pPr>
              <w:bidi w:val="0"/>
              <w:spacing w:after="0" w:line="240" w:lineRule="auto"/>
              <w:jc w:val="right"/>
              <w:rPr>
                <w:rFonts w:ascii="Times New Roman" w:hAnsi="Times New Roman"/>
                <w:b/>
                <w:sz w:val="16"/>
                <w:szCs w:val="16"/>
              </w:rPr>
            </w:pPr>
            <w:r w:rsidRPr="00250EE8">
              <w:rPr>
                <w:rFonts w:ascii="Times New Roman" w:hAnsi="Times New Roman"/>
                <w:b/>
                <w:sz w:val="16"/>
                <w:szCs w:val="16"/>
              </w:rPr>
              <w:t>8 568</w:t>
            </w:r>
          </w:p>
        </w:tc>
        <w:tc>
          <w:tcPr>
            <w:tcW w:w="1039" w:type="dxa"/>
            <w:tcBorders>
              <w:top w:val="nil"/>
              <w:left w:val="nil"/>
              <w:bottom w:val="single" w:sz="4" w:space="0" w:color="auto"/>
              <w:right w:val="single" w:sz="4" w:space="0" w:color="auto"/>
            </w:tcBorders>
            <w:shd w:val="clear" w:color="auto" w:fill="C0C0C0"/>
            <w:noWrap/>
            <w:textDirection w:val="lrTb"/>
            <w:vAlign w:val="center"/>
          </w:tcPr>
          <w:p w:rsidR="00563E5E" w:rsidRPr="00250EE8" w:rsidP="007F0659">
            <w:pPr>
              <w:bidi w:val="0"/>
              <w:spacing w:after="0" w:line="240" w:lineRule="auto"/>
              <w:jc w:val="right"/>
              <w:rPr>
                <w:rFonts w:ascii="Times New Roman" w:hAnsi="Times New Roman"/>
                <w:b/>
                <w:sz w:val="16"/>
                <w:szCs w:val="16"/>
              </w:rPr>
            </w:pPr>
            <w:r w:rsidRPr="00250EE8">
              <w:rPr>
                <w:rFonts w:ascii="Times New Roman" w:hAnsi="Times New Roman"/>
                <w:b/>
                <w:sz w:val="16"/>
                <w:szCs w:val="16"/>
              </w:rPr>
              <w:t>8 610</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563E5E" w:rsidRPr="00250EE8" w:rsidP="007F0659">
            <w:pPr>
              <w:bidi w:val="0"/>
              <w:spacing w:after="0" w:line="240" w:lineRule="auto"/>
              <w:jc w:val="right"/>
              <w:rPr>
                <w:rFonts w:ascii="Times New Roman" w:hAnsi="Times New Roman"/>
                <w:b/>
                <w:sz w:val="16"/>
                <w:szCs w:val="16"/>
              </w:rPr>
            </w:pPr>
            <w:r w:rsidRPr="00250EE8">
              <w:rPr>
                <w:rFonts w:ascii="Times New Roman" w:hAnsi="Times New Roman"/>
                <w:b/>
                <w:sz w:val="16"/>
                <w:szCs w:val="16"/>
              </w:rPr>
              <w:t>8 680</w:t>
            </w:r>
          </w:p>
        </w:tc>
      </w:tr>
    </w:tbl>
    <w:p w:rsidR="00563E5E" w:rsidRPr="0005763F" w:rsidP="00563E5E">
      <w:pPr>
        <w:bidi w:val="0"/>
        <w:jc w:val="both"/>
        <w:rPr>
          <w:rFonts w:ascii="Times New Roman" w:hAnsi="Times New Roman"/>
          <w:sz w:val="22"/>
          <w:szCs w:val="22"/>
        </w:rPr>
      </w:pPr>
    </w:p>
    <w:p w:rsidR="00563E5E" w:rsidRPr="0005763F" w:rsidP="00563E5E">
      <w:pPr>
        <w:pStyle w:val="BodyText"/>
        <w:bidi w:val="0"/>
        <w:ind w:firstLine="708"/>
        <w:rPr>
          <w:rFonts w:ascii="Times New Roman" w:hAnsi="Times New Roman"/>
          <w:lang w:eastAsia="cs-CZ"/>
        </w:rPr>
      </w:pPr>
      <w:r w:rsidRPr="0005763F">
        <w:rPr>
          <w:rFonts w:ascii="Times New Roman" w:hAnsi="Times New Roman"/>
          <w:lang w:eastAsia="cs-CZ"/>
        </w:rPr>
        <w:t xml:space="preserve">Celkové odvody a príspevky Slovenskej republiky do všeobecného rozpočtu Európskej únie v rokoch </w:t>
      </w:r>
      <w:r w:rsidRPr="0005763F">
        <w:rPr>
          <w:rFonts w:ascii="Times New Roman" w:hAnsi="Times New Roman"/>
        </w:rPr>
        <w:t>2009 až 2014</w:t>
      </w:r>
      <w:r w:rsidRPr="0005763F">
        <w:rPr>
          <w:rFonts w:ascii="Times New Roman" w:hAnsi="Times New Roman"/>
          <w:lang w:eastAsia="cs-CZ"/>
        </w:rPr>
        <w:t xml:space="preserve"> vyjadruje nasledovná tabuľka.</w:t>
      </w:r>
    </w:p>
    <w:p w:rsidR="00563E5E" w:rsidRPr="0005763F" w:rsidP="00563E5E">
      <w:pPr>
        <w:bidi w:val="0"/>
        <w:jc w:val="both"/>
        <w:rPr>
          <w:rFonts w:ascii="Times New Roman" w:hAnsi="Times New Roman"/>
        </w:rPr>
      </w:pPr>
    </w:p>
    <w:p w:rsidR="0006099E" w:rsidP="00563E5E">
      <w:pPr>
        <w:pStyle w:val="BodyText"/>
        <w:bidi w:val="0"/>
        <w:rPr>
          <w:rFonts w:ascii="Times New Roman" w:hAnsi="Times New Roman"/>
          <w:bCs/>
          <w:spacing w:val="-4"/>
          <w:u w:val="single"/>
          <w:lang w:eastAsia="cs-CZ"/>
        </w:rPr>
      </w:pPr>
    </w:p>
    <w:p w:rsidR="0006099E" w:rsidP="00563E5E">
      <w:pPr>
        <w:pStyle w:val="BodyText"/>
        <w:bidi w:val="0"/>
        <w:rPr>
          <w:rFonts w:ascii="Times New Roman" w:hAnsi="Times New Roman"/>
          <w:bCs/>
          <w:spacing w:val="-4"/>
          <w:u w:val="single"/>
          <w:lang w:eastAsia="cs-CZ"/>
        </w:rPr>
      </w:pPr>
    </w:p>
    <w:p w:rsidR="00563E5E" w:rsidRPr="00250EE8" w:rsidP="00563E5E">
      <w:pPr>
        <w:pStyle w:val="BodyText"/>
        <w:bidi w:val="0"/>
        <w:rPr>
          <w:rFonts w:ascii="Times New Roman" w:hAnsi="Times New Roman"/>
          <w:spacing w:val="-4"/>
          <w:lang w:eastAsia="cs-CZ"/>
        </w:rPr>
      </w:pPr>
      <w:r w:rsidRPr="0005763F">
        <w:rPr>
          <w:rFonts w:ascii="Times New Roman" w:hAnsi="Times New Roman"/>
          <w:bCs/>
          <w:spacing w:val="-4"/>
          <w:u w:val="single"/>
          <w:lang w:eastAsia="cs-CZ"/>
        </w:rPr>
        <w:t>Tabuľka č. 3:</w:t>
      </w:r>
      <w:r w:rsidRPr="0005763F">
        <w:rPr>
          <w:rFonts w:ascii="Times New Roman" w:hAnsi="Times New Roman"/>
          <w:spacing w:val="-4"/>
          <w:lang w:eastAsia="cs-CZ"/>
        </w:rPr>
        <w:t xml:space="preserve"> Odvody a príspevky SR do všeobecného rozpočtu EÚ v rokoch </w:t>
      </w:r>
      <w:r w:rsidRPr="0005763F">
        <w:rPr>
          <w:rFonts w:ascii="Times New Roman" w:hAnsi="Times New Roman"/>
        </w:rPr>
        <w:t>2009 až 2014</w:t>
      </w:r>
    </w:p>
    <w:p w:rsidR="00563E5E" w:rsidRPr="0005763F" w:rsidP="00563E5E">
      <w:pPr>
        <w:bidi w:val="0"/>
        <w:jc w:val="both"/>
        <w:rPr>
          <w:rFonts w:ascii="Times New Roman" w:hAnsi="Times New Roman"/>
          <w:sz w:val="16"/>
          <w:szCs w:val="16"/>
        </w:rPr>
      </w:pPr>
      <w:r w:rsidRPr="0005763F">
        <w:rPr>
          <w:rFonts w:ascii="Times New Roman" w:hAnsi="Times New Roman"/>
          <w:sz w:val="22"/>
          <w:szCs w:val="22"/>
        </w:rPr>
        <w:tab/>
        <w:tab/>
        <w:tab/>
        <w:tab/>
        <w:tab/>
        <w:tab/>
        <w:tab/>
        <w:tab/>
        <w:tab/>
        <w:tab/>
        <w:tab/>
        <w:t xml:space="preserve">         </w:t>
      </w:r>
      <w:r w:rsidRPr="0005763F">
        <w:rPr>
          <w:rFonts w:ascii="Times New Roman" w:hAnsi="Times New Roman"/>
          <w:sz w:val="16"/>
          <w:szCs w:val="16"/>
        </w:rPr>
        <w:t>(v tis. eur)</w:t>
      </w:r>
    </w:p>
    <w:tbl>
      <w:tblPr>
        <w:tblStyle w:val="TableNormal"/>
        <w:tblW w:w="9229" w:type="dxa"/>
        <w:tblInd w:w="55" w:type="dxa"/>
        <w:tblLayout w:type="fixed"/>
        <w:tblCellMar>
          <w:left w:w="70" w:type="dxa"/>
          <w:right w:w="70" w:type="dxa"/>
        </w:tblCellMar>
      </w:tblPr>
      <w:tblGrid>
        <w:gridCol w:w="2992"/>
        <w:gridCol w:w="1039"/>
        <w:gridCol w:w="1040"/>
        <w:gridCol w:w="1039"/>
        <w:gridCol w:w="1040"/>
        <w:gridCol w:w="1039"/>
        <w:gridCol w:w="1040"/>
      </w:tblGrid>
      <w:tr>
        <w:tblPrEx>
          <w:tblW w:w="9229" w:type="dxa"/>
          <w:tblInd w:w="55" w:type="dxa"/>
          <w:tblLayout w:type="fixed"/>
          <w:tblCellMar>
            <w:left w:w="70" w:type="dxa"/>
            <w:right w:w="70" w:type="dxa"/>
          </w:tblCellMar>
        </w:tblPrEx>
        <w:trPr>
          <w:trHeight w:val="255"/>
        </w:trPr>
        <w:tc>
          <w:tcPr>
            <w:tcW w:w="2992"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rPr>
                <w:rFonts w:ascii="Times New Roman" w:hAnsi="Times New Roman"/>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04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03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040"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039"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040" w:type="dxa"/>
            <w:tcBorders>
              <w:top w:val="single" w:sz="4" w:space="0" w:color="auto"/>
              <w:left w:val="nil"/>
              <w:bottom w:val="single" w:sz="4" w:space="0" w:color="auto"/>
              <w:right w:val="single" w:sz="4" w:space="0" w:color="auto"/>
            </w:tcBorders>
            <w:shd w:val="clear" w:color="auto" w:fill="000000"/>
            <w:noWrap/>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9229" w:type="dxa"/>
          <w:tblInd w:w="55" w:type="dxa"/>
          <w:tblLayout w:type="fixed"/>
          <w:tblCellMar>
            <w:left w:w="70" w:type="dxa"/>
            <w:right w:w="70" w:type="dxa"/>
          </w:tblCellMar>
        </w:tblPrEx>
        <w:trPr>
          <w:trHeight w:val="534"/>
        </w:trPr>
        <w:tc>
          <w:tcPr>
            <w:tcW w:w="2992" w:type="dxa"/>
            <w:tcBorders>
              <w:top w:val="nil"/>
              <w:left w:val="single" w:sz="4" w:space="0" w:color="auto"/>
              <w:bottom w:val="single" w:sz="4" w:space="0" w:color="auto"/>
              <w:right w:val="single" w:sz="4" w:space="0" w:color="auto"/>
            </w:tcBorders>
            <w:noWrap/>
            <w:textDirection w:val="lrTb"/>
            <w:vAlign w:val="center"/>
          </w:tcPr>
          <w:p w:rsidR="00256EBC" w:rsidRPr="00250EE8" w:rsidP="001142D9">
            <w:pPr>
              <w:bidi w:val="0"/>
              <w:spacing w:after="0" w:line="240" w:lineRule="auto"/>
              <w:rPr>
                <w:rFonts w:ascii="Times New Roman" w:hAnsi="Times New Roman"/>
                <w:sz w:val="16"/>
                <w:szCs w:val="16"/>
              </w:rPr>
            </w:pPr>
            <w:r w:rsidRPr="00250EE8">
              <w:rPr>
                <w:rFonts w:ascii="Times New Roman" w:hAnsi="Times New Roman"/>
                <w:sz w:val="16"/>
                <w:szCs w:val="16"/>
              </w:rPr>
              <w:t>Odvody SR spolu vrátane tradičných vlastných zdrojov</w:t>
            </w:r>
          </w:p>
        </w:tc>
        <w:tc>
          <w:tcPr>
            <w:tcW w:w="1039"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695 726</w:t>
            </w:r>
          </w:p>
        </w:tc>
        <w:tc>
          <w:tcPr>
            <w:tcW w:w="1040"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627 528</w:t>
            </w:r>
          </w:p>
        </w:tc>
        <w:tc>
          <w:tcPr>
            <w:tcW w:w="1039"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744 977</w:t>
            </w:r>
          </w:p>
        </w:tc>
        <w:tc>
          <w:tcPr>
            <w:tcW w:w="1040"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787 689</w:t>
            </w:r>
          </w:p>
        </w:tc>
        <w:tc>
          <w:tcPr>
            <w:tcW w:w="1039"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864 767</w:t>
            </w:r>
          </w:p>
        </w:tc>
        <w:tc>
          <w:tcPr>
            <w:tcW w:w="1040"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825 576</w:t>
            </w:r>
          </w:p>
        </w:tc>
      </w:tr>
      <w:tr>
        <w:tblPrEx>
          <w:tblW w:w="9229" w:type="dxa"/>
          <w:tblInd w:w="55" w:type="dxa"/>
          <w:tblLayout w:type="fixed"/>
          <w:tblCellMar>
            <w:left w:w="70" w:type="dxa"/>
            <w:right w:w="70" w:type="dxa"/>
          </w:tblCellMar>
        </w:tblPrEx>
        <w:trPr>
          <w:trHeight w:val="441"/>
        </w:trPr>
        <w:tc>
          <w:tcPr>
            <w:tcW w:w="2992" w:type="dxa"/>
            <w:tcBorders>
              <w:top w:val="nil"/>
              <w:left w:val="single" w:sz="4" w:space="0" w:color="auto"/>
              <w:bottom w:val="single" w:sz="4" w:space="0" w:color="auto"/>
              <w:right w:val="single" w:sz="4" w:space="0" w:color="auto"/>
            </w:tcBorders>
            <w:noWrap/>
            <w:textDirection w:val="lrTb"/>
            <w:vAlign w:val="center"/>
          </w:tcPr>
          <w:p w:rsidR="00256EBC" w:rsidRPr="00250EE8" w:rsidP="001142D9">
            <w:pPr>
              <w:bidi w:val="0"/>
              <w:spacing w:after="0" w:line="240" w:lineRule="auto"/>
              <w:rPr>
                <w:rFonts w:ascii="Times New Roman" w:hAnsi="Times New Roman"/>
                <w:sz w:val="16"/>
                <w:szCs w:val="16"/>
              </w:rPr>
            </w:pPr>
            <w:r w:rsidRPr="00250EE8">
              <w:rPr>
                <w:rFonts w:ascii="Times New Roman" w:hAnsi="Times New Roman"/>
                <w:sz w:val="16"/>
                <w:szCs w:val="16"/>
              </w:rPr>
              <w:t>Príspevky SR do Európskeho rozvojového fondu spolu</w:t>
            </w:r>
          </w:p>
        </w:tc>
        <w:tc>
          <w:tcPr>
            <w:tcW w:w="1039"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1040"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1039" w:type="dxa"/>
            <w:tcBorders>
              <w:top w:val="nil"/>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6 363</w:t>
            </w:r>
          </w:p>
        </w:tc>
        <w:tc>
          <w:tcPr>
            <w:tcW w:w="1040"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8 568</w:t>
            </w:r>
          </w:p>
        </w:tc>
        <w:tc>
          <w:tcPr>
            <w:tcW w:w="1039"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8 610</w:t>
            </w:r>
          </w:p>
        </w:tc>
        <w:tc>
          <w:tcPr>
            <w:tcW w:w="1040" w:type="dxa"/>
            <w:tcBorders>
              <w:top w:val="nil"/>
              <w:left w:val="nil"/>
              <w:bottom w:val="single" w:sz="4" w:space="0" w:color="auto"/>
              <w:right w:val="single" w:sz="4" w:space="0" w:color="auto"/>
            </w:tcBorders>
            <w:noWrap/>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8 680</w:t>
            </w:r>
          </w:p>
        </w:tc>
      </w:tr>
      <w:tr>
        <w:tblPrEx>
          <w:tblW w:w="9229" w:type="dxa"/>
          <w:tblInd w:w="55" w:type="dxa"/>
          <w:tblLayout w:type="fixed"/>
          <w:tblCellMar>
            <w:left w:w="70" w:type="dxa"/>
            <w:right w:w="70" w:type="dxa"/>
          </w:tblCellMar>
        </w:tblPrEx>
        <w:trPr>
          <w:trHeight w:val="482"/>
        </w:trPr>
        <w:tc>
          <w:tcPr>
            <w:tcW w:w="2992" w:type="dxa"/>
            <w:tcBorders>
              <w:top w:val="nil"/>
              <w:left w:val="single" w:sz="4" w:space="0" w:color="auto"/>
              <w:bottom w:val="single" w:sz="4" w:space="0" w:color="auto"/>
              <w:right w:val="single" w:sz="4" w:space="0" w:color="auto"/>
            </w:tcBorders>
            <w:shd w:val="clear" w:color="auto" w:fill="C0C0C0"/>
            <w:noWrap/>
            <w:textDirection w:val="lrTb"/>
            <w:vAlign w:val="center"/>
          </w:tcPr>
          <w:p w:rsidR="00256EBC" w:rsidRPr="00250EE8" w:rsidP="001142D9">
            <w:pPr>
              <w:bidi w:val="0"/>
              <w:spacing w:after="0" w:line="240" w:lineRule="auto"/>
              <w:rPr>
                <w:rFonts w:ascii="Times New Roman" w:hAnsi="Times New Roman"/>
                <w:b/>
                <w:sz w:val="16"/>
                <w:szCs w:val="16"/>
              </w:rPr>
            </w:pPr>
            <w:r w:rsidRPr="00250EE8">
              <w:rPr>
                <w:rFonts w:ascii="Times New Roman" w:hAnsi="Times New Roman"/>
                <w:b/>
                <w:sz w:val="16"/>
                <w:szCs w:val="16"/>
              </w:rPr>
              <w:t>Odvody a príspevky SR spolu vrátane tradičných vlastných zdrojov</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695 726</w:t>
            </w:r>
          </w:p>
        </w:tc>
        <w:tc>
          <w:tcPr>
            <w:tcW w:w="1040"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627 528</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751 340</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796 257</w:t>
            </w:r>
          </w:p>
        </w:tc>
        <w:tc>
          <w:tcPr>
            <w:tcW w:w="1039"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FF0000"/>
                <w:sz w:val="16"/>
                <w:szCs w:val="16"/>
              </w:rPr>
            </w:pPr>
            <w:r w:rsidRPr="00256EBC">
              <w:rPr>
                <w:rFonts w:ascii="Times New Roman" w:hAnsi="Times New Roman"/>
                <w:b/>
                <w:bCs/>
                <w:sz w:val="16"/>
                <w:szCs w:val="16"/>
              </w:rPr>
              <w:t>873 377</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834 256</w:t>
            </w:r>
          </w:p>
        </w:tc>
      </w:tr>
      <w:tr>
        <w:tblPrEx>
          <w:tblW w:w="9229" w:type="dxa"/>
          <w:tblInd w:w="55" w:type="dxa"/>
          <w:tblLayout w:type="fixed"/>
          <w:tblCellMar>
            <w:left w:w="70" w:type="dxa"/>
            <w:right w:w="70" w:type="dxa"/>
          </w:tblCellMar>
        </w:tblPrEx>
        <w:trPr>
          <w:trHeight w:val="418"/>
        </w:trPr>
        <w:tc>
          <w:tcPr>
            <w:tcW w:w="2992" w:type="dxa"/>
            <w:tcBorders>
              <w:top w:val="nil"/>
              <w:left w:val="single" w:sz="4" w:space="0" w:color="auto"/>
              <w:bottom w:val="single" w:sz="4" w:space="0" w:color="auto"/>
              <w:right w:val="single" w:sz="4" w:space="0" w:color="auto"/>
            </w:tcBorders>
            <w:shd w:val="clear" w:color="auto" w:fill="C0C0C0"/>
            <w:noWrap/>
            <w:textDirection w:val="lrTb"/>
            <w:vAlign w:val="center"/>
          </w:tcPr>
          <w:p w:rsidR="00256EBC" w:rsidRPr="00250EE8" w:rsidP="001142D9">
            <w:pPr>
              <w:bidi w:val="0"/>
              <w:spacing w:after="0" w:line="240" w:lineRule="auto"/>
              <w:rPr>
                <w:rFonts w:ascii="Times New Roman" w:hAnsi="Times New Roman"/>
                <w:b/>
                <w:sz w:val="16"/>
                <w:szCs w:val="16"/>
              </w:rPr>
            </w:pPr>
            <w:r w:rsidRPr="00250EE8">
              <w:rPr>
                <w:rFonts w:ascii="Times New Roman" w:hAnsi="Times New Roman"/>
                <w:b/>
                <w:sz w:val="16"/>
                <w:szCs w:val="16"/>
              </w:rPr>
              <w:t>Odvody a príspevky SR spolu bez tradičných vlastných zdrojov</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612 116</w:t>
            </w:r>
          </w:p>
        </w:tc>
        <w:tc>
          <w:tcPr>
            <w:tcW w:w="1040"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520 270</w:t>
            </w:r>
          </w:p>
        </w:tc>
        <w:tc>
          <w:tcPr>
            <w:tcW w:w="1039" w:type="dxa"/>
            <w:tcBorders>
              <w:top w:val="nil"/>
              <w:left w:val="single" w:sz="4" w:space="0" w:color="auto"/>
              <w:bottom w:val="single" w:sz="4" w:space="0" w:color="auto"/>
              <w:right w:val="single" w:sz="4" w:space="0" w:color="auto"/>
            </w:tcBorders>
            <w:shd w:val="clear" w:color="auto" w:fill="C0C0C0"/>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656 540</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672 857</w:t>
            </w:r>
          </w:p>
        </w:tc>
        <w:tc>
          <w:tcPr>
            <w:tcW w:w="1039"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747 509</w:t>
            </w:r>
          </w:p>
        </w:tc>
        <w:tc>
          <w:tcPr>
            <w:tcW w:w="1040" w:type="dxa"/>
            <w:tcBorders>
              <w:top w:val="nil"/>
              <w:left w:val="nil"/>
              <w:bottom w:val="single" w:sz="4" w:space="0" w:color="auto"/>
              <w:right w:val="single" w:sz="4" w:space="0" w:color="auto"/>
            </w:tcBorders>
            <w:shd w:val="clear" w:color="auto" w:fill="C0C0C0"/>
            <w:noWrap/>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705 871</w:t>
            </w:r>
          </w:p>
        </w:tc>
      </w:tr>
    </w:tbl>
    <w:p w:rsidR="00563E5E" w:rsidRPr="0005763F" w:rsidP="00563E5E">
      <w:pPr>
        <w:bidi w:val="0"/>
        <w:jc w:val="both"/>
        <w:rPr>
          <w:rFonts w:ascii="Times New Roman" w:hAnsi="Times New Roman"/>
          <w:sz w:val="16"/>
          <w:szCs w:val="16"/>
        </w:rPr>
      </w:pPr>
    </w:p>
    <w:p w:rsidR="00563E5E" w:rsidRPr="0005763F" w:rsidP="00563E5E">
      <w:pPr>
        <w:bidi w:val="0"/>
        <w:jc w:val="both"/>
        <w:rPr>
          <w:rFonts w:ascii="Times New Roman" w:hAnsi="Times New Roman"/>
          <w:sz w:val="18"/>
          <w:szCs w:val="16"/>
        </w:rPr>
      </w:pPr>
    </w:p>
    <w:p w:rsidR="00563E5E" w:rsidRPr="0005763F" w:rsidP="00563E5E">
      <w:pPr>
        <w:pStyle w:val="BodyText"/>
        <w:bidi w:val="0"/>
        <w:rPr>
          <w:rFonts w:ascii="Times New Roman" w:hAnsi="Times New Roman"/>
          <w:b/>
          <w:szCs w:val="22"/>
        </w:rPr>
      </w:pPr>
      <w:r w:rsidRPr="0005763F">
        <w:rPr>
          <w:rFonts w:ascii="Times New Roman" w:hAnsi="Times New Roman"/>
          <w:b/>
          <w:szCs w:val="22"/>
        </w:rPr>
        <w:t xml:space="preserve">3. Príjmy zo všeobecného rozpočtu EÚ a príjmy SR na základe medzinárodných zmlúv, ktorými je Slovenská republika viazaná v rokoch 2009 až 2014 </w:t>
      </w:r>
    </w:p>
    <w:p w:rsidR="00563E5E" w:rsidRPr="0005763F" w:rsidP="00563E5E">
      <w:pPr>
        <w:bidi w:val="0"/>
        <w:jc w:val="both"/>
        <w:rPr>
          <w:rFonts w:ascii="Times New Roman" w:hAnsi="Times New Roman"/>
          <w:b/>
          <w:szCs w:val="22"/>
        </w:rPr>
      </w:pPr>
    </w:p>
    <w:p w:rsidR="00563E5E" w:rsidRPr="0005763F" w:rsidP="00563E5E">
      <w:pPr>
        <w:bidi w:val="0"/>
        <w:ind w:firstLine="708"/>
        <w:jc w:val="both"/>
        <w:rPr>
          <w:rFonts w:ascii="Times New Roman" w:hAnsi="Times New Roman"/>
          <w:b/>
          <w:szCs w:val="22"/>
        </w:rPr>
      </w:pPr>
      <w:r w:rsidRPr="0005763F">
        <w:rPr>
          <w:rFonts w:ascii="Times New Roman" w:hAnsi="Times New Roman"/>
          <w:szCs w:val="22"/>
        </w:rPr>
        <w:t>Príjmy zo všeobecného rozpočtu EÚ, uvedené v nasledujúcej tabuľke, sa v zmysle § 7 zákona č. 523/2004 Z. z. o rozpočtových pravidlách verejnej správy a o zmene a doplnení niektorých zákonov v znení neskorších predpisov zaraďujú do príjmov štátneho rozpočtu, ak z právnych aktov Európskej únie nevyplýva iné. Príjmy Slovenskej republiky, ktoré nie sú zaradené do príjmov štátneho rozpočtu tvoria aj príjmy, poskytnuté Slovenskej republike na základe medzinárodných zmlúv medzi Slovenskou republikou a inými štátmi. K príjmom, zaradeným do príjmov štátneho rozpočtu sa v zmysle § 8 zákona č. 523/2004 Z. z.  v rovnakej výške rozpočtujú výdavky.</w:t>
      </w:r>
    </w:p>
    <w:p w:rsidR="00563E5E"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P="00563E5E">
      <w:pPr>
        <w:bidi w:val="0"/>
        <w:jc w:val="both"/>
        <w:rPr>
          <w:rFonts w:ascii="Times New Roman" w:hAnsi="Times New Roman"/>
          <w:b/>
          <w:szCs w:val="22"/>
        </w:rPr>
      </w:pPr>
    </w:p>
    <w:p w:rsidR="00F21A50" w:rsidRPr="0005763F" w:rsidP="00563E5E">
      <w:pPr>
        <w:bidi w:val="0"/>
        <w:jc w:val="both"/>
        <w:rPr>
          <w:rFonts w:ascii="Times New Roman" w:hAnsi="Times New Roman"/>
          <w:b/>
          <w:szCs w:val="22"/>
        </w:rPr>
      </w:pPr>
    </w:p>
    <w:p w:rsidR="00563E5E" w:rsidRPr="0005763F" w:rsidP="00563E5E">
      <w:pPr>
        <w:pStyle w:val="BodyText"/>
        <w:bidi w:val="0"/>
        <w:rPr>
          <w:rFonts w:ascii="Times New Roman" w:hAnsi="Times New Roman"/>
          <w:spacing w:val="-4"/>
          <w:szCs w:val="22"/>
          <w:lang w:eastAsia="cs-CZ"/>
        </w:rPr>
      </w:pPr>
      <w:r w:rsidRPr="0005763F">
        <w:rPr>
          <w:rFonts w:ascii="Times New Roman" w:hAnsi="Times New Roman"/>
          <w:bCs/>
          <w:spacing w:val="-4"/>
          <w:szCs w:val="22"/>
          <w:u w:val="single"/>
          <w:lang w:eastAsia="cs-CZ"/>
        </w:rPr>
        <w:t>Tabuľka č. 4:</w:t>
      </w:r>
      <w:r w:rsidRPr="0005763F">
        <w:rPr>
          <w:rFonts w:ascii="Times New Roman" w:hAnsi="Times New Roman"/>
          <w:spacing w:val="-4"/>
          <w:szCs w:val="22"/>
          <w:lang w:eastAsia="cs-CZ"/>
        </w:rPr>
        <w:t xml:space="preserve"> Príjmy SR zo všeobecného rozpočtu EÚ a príjmy SR na základe medzinárodných zmlúv, ktorými je Slovenská republika viazaná v rokoch 2009 až 2014 </w:t>
      </w:r>
    </w:p>
    <w:p w:rsidR="00563E5E" w:rsidRPr="0005763F" w:rsidP="00563E5E">
      <w:pPr>
        <w:pStyle w:val="BodyText"/>
        <w:bidi w:val="0"/>
        <w:jc w:val="right"/>
        <w:rPr>
          <w:rFonts w:ascii="Times New Roman" w:hAnsi="Times New Roman"/>
          <w:spacing w:val="-4"/>
          <w:sz w:val="22"/>
          <w:szCs w:val="22"/>
          <w:lang w:eastAsia="cs-CZ"/>
        </w:rPr>
      </w:pPr>
      <w:r w:rsidRPr="0005763F">
        <w:rPr>
          <w:rFonts w:ascii="Times New Roman" w:hAnsi="Times New Roman"/>
          <w:sz w:val="22"/>
          <w:szCs w:val="22"/>
        </w:rPr>
        <w:t xml:space="preserve">         </w:t>
      </w:r>
      <w:r w:rsidRPr="0005763F">
        <w:rPr>
          <w:rFonts w:ascii="Times New Roman" w:hAnsi="Times New Roman"/>
          <w:sz w:val="16"/>
          <w:szCs w:val="16"/>
        </w:rPr>
        <w:t>(v tis. eur)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001"/>
        <w:gridCol w:w="1031"/>
        <w:gridCol w:w="1031"/>
        <w:gridCol w:w="1031"/>
        <w:gridCol w:w="1031"/>
        <w:gridCol w:w="1031"/>
        <w:gridCol w:w="103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01" w:type="dxa"/>
            <w:tcBorders>
              <w:top w:val="single" w:sz="4" w:space="0" w:color="auto"/>
              <w:left w:val="single" w:sz="4" w:space="0" w:color="auto"/>
              <w:bottom w:val="single" w:sz="4" w:space="0" w:color="auto"/>
              <w:right w:val="single" w:sz="4" w:space="0" w:color="auto"/>
            </w:tcBorders>
            <w:shd w:val="solid" w:color="auto" w:fill="auto"/>
            <w:textDirection w:val="lrTb"/>
            <w:vAlign w:val="top"/>
          </w:tcPr>
          <w:p w:rsidR="00563E5E" w:rsidRPr="00250EE8" w:rsidP="007F0659">
            <w:pPr>
              <w:bidi w:val="0"/>
              <w:spacing w:after="0" w:line="240" w:lineRule="auto"/>
              <w:jc w:val="center"/>
              <w:rPr>
                <w:rFonts w:ascii="Times New Roman" w:hAnsi="Times New Roman"/>
                <w:b/>
                <w:color w:val="FFFFFF"/>
                <w:sz w:val="16"/>
                <w:szCs w:val="16"/>
              </w:rPr>
            </w:pPr>
            <w:r w:rsidRPr="00250EE8">
              <w:rPr>
                <w:rFonts w:ascii="Times New Roman" w:hAnsi="Times New Roman"/>
                <w:sz w:val="16"/>
                <w:szCs w:val="16"/>
              </w:rPr>
              <w:tab/>
            </w:r>
          </w:p>
        </w:tc>
        <w:tc>
          <w:tcPr>
            <w:tcW w:w="2001" w:type="dxa"/>
            <w:tcBorders>
              <w:top w:val="single" w:sz="4" w:space="0" w:color="auto"/>
              <w:left w:val="single" w:sz="4" w:space="0" w:color="auto"/>
              <w:bottom w:val="single" w:sz="4" w:space="0" w:color="auto"/>
              <w:right w:val="single" w:sz="4" w:space="0" w:color="auto"/>
            </w:tcBorders>
            <w:shd w:val="solid" w:color="auto" w:fill="auto"/>
            <w:textDirection w:val="lrTb"/>
            <w:vAlign w:val="top"/>
          </w:tcPr>
          <w:p w:rsidR="00563E5E" w:rsidRPr="00250EE8" w:rsidP="007F0659">
            <w:pPr>
              <w:bidi w:val="0"/>
              <w:spacing w:after="0" w:line="240" w:lineRule="auto"/>
              <w:jc w:val="center"/>
              <w:rPr>
                <w:rFonts w:ascii="Times New Roman" w:hAnsi="Times New Roman"/>
                <w:b/>
                <w:color w:val="FFFFFF"/>
                <w:sz w:val="16"/>
                <w:szCs w:val="16"/>
              </w:rPr>
            </w:pPr>
          </w:p>
        </w:tc>
        <w:tc>
          <w:tcPr>
            <w:tcW w:w="1031"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031"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031"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031"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031"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031"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A1=A11+A12+A13</w:t>
            </w:r>
          </w:p>
        </w:tc>
        <w:tc>
          <w:tcPr>
            <w:tcW w:w="2001" w:type="dxa"/>
            <w:tcBorders>
              <w:top w:val="single" w:sz="4" w:space="0" w:color="auto"/>
              <w:left w:val="single" w:sz="4" w:space="0" w:color="auto"/>
              <w:bottom w:val="single" w:sz="4" w:space="0" w:color="auto"/>
              <w:right w:val="single" w:sz="4" w:space="0" w:color="auto"/>
            </w:tcBorders>
            <w:shd w:val="pct10" w:color="auto" w:fill="auto"/>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Poľnohospodárske fondy v tom:</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527 796</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606 037</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635 023</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709 502</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527 260</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499 447</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A11</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z w:val="16"/>
                <w:szCs w:val="16"/>
              </w:rPr>
              <w:t>EPFZ</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237 441</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255 089</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307 024</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330 627</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372 049</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404 827</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A12</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z w:val="16"/>
                <w:szCs w:val="16"/>
              </w:rPr>
              <w:t>EPFRV</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289 877</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349 429</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325 404</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376 292</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153 938</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92 363</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A13</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z w:val="16"/>
                <w:szCs w:val="16"/>
              </w:rPr>
              <w:t>EFRH</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478</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1 519</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2 595</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2 583</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1 273</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2 257</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A2=A21 + A22</w:t>
            </w:r>
          </w:p>
        </w:tc>
        <w:tc>
          <w:tcPr>
            <w:tcW w:w="2001" w:type="dxa"/>
            <w:tcBorders>
              <w:top w:val="single" w:sz="4" w:space="0" w:color="auto"/>
              <w:left w:val="single" w:sz="4" w:space="0" w:color="auto"/>
              <w:bottom w:val="single" w:sz="4" w:space="0" w:color="auto"/>
              <w:right w:val="single" w:sz="4" w:space="0" w:color="auto"/>
            </w:tcBorders>
            <w:shd w:val="pct10" w:color="auto" w:fill="auto"/>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Štrukturálne operácie I. programové obdobie v tom:</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90 807</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65 980</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0</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A21</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Štrukturálne fondy (bez Európskej územnej spolupráce)</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56 771</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45 443</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A22</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Kohézny fond</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34 036</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20 537</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pStyle w:val="BodyText"/>
              <w:bidi w:val="0"/>
              <w:spacing w:after="0" w:line="240" w:lineRule="auto"/>
              <w:jc w:val="left"/>
              <w:rPr>
                <w:rFonts w:ascii="Times New Roman" w:hAnsi="Times New Roman"/>
                <w:b/>
                <w:sz w:val="16"/>
                <w:szCs w:val="16"/>
              </w:rPr>
            </w:pPr>
            <w:r w:rsidRPr="00250EE8">
              <w:rPr>
                <w:rFonts w:ascii="Times New Roman" w:hAnsi="Times New Roman"/>
                <w:b/>
                <w:sz w:val="16"/>
                <w:szCs w:val="16"/>
              </w:rPr>
              <w:t>A3=A31 + A32</w:t>
            </w:r>
          </w:p>
        </w:tc>
        <w:tc>
          <w:tcPr>
            <w:tcW w:w="2001" w:type="dxa"/>
            <w:tcBorders>
              <w:top w:val="single" w:sz="4" w:space="0" w:color="auto"/>
              <w:left w:val="single" w:sz="4" w:space="0" w:color="auto"/>
              <w:bottom w:val="single" w:sz="4" w:space="0" w:color="auto"/>
              <w:right w:val="single" w:sz="4" w:space="0" w:color="auto"/>
            </w:tcBorders>
            <w:shd w:val="pct10" w:color="auto" w:fill="auto"/>
            <w:textDirection w:val="lrTb"/>
            <w:vAlign w:val="top"/>
          </w:tcPr>
          <w:p w:rsidR="00563E5E" w:rsidRPr="00250EE8" w:rsidP="007F0659">
            <w:pPr>
              <w:pStyle w:val="BodyText"/>
              <w:bidi w:val="0"/>
              <w:spacing w:after="0" w:line="240" w:lineRule="auto"/>
              <w:rPr>
                <w:rFonts w:ascii="Times New Roman" w:hAnsi="Times New Roman"/>
                <w:spacing w:val="-4"/>
                <w:sz w:val="16"/>
                <w:szCs w:val="16"/>
                <w:lang w:eastAsia="cs-CZ"/>
              </w:rPr>
            </w:pPr>
            <w:r w:rsidRPr="00250EE8">
              <w:rPr>
                <w:rFonts w:ascii="Times New Roman" w:hAnsi="Times New Roman"/>
                <w:b/>
                <w:spacing w:val="-4"/>
                <w:sz w:val="16"/>
                <w:szCs w:val="16"/>
                <w:lang w:eastAsia="cs-CZ"/>
              </w:rPr>
              <w:t>Štrukturálne operácie II. programové obdobie v tom:</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491 897</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991 302</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2 708 867</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2 373 484</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2 179 634</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1 669 174</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A31</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Štrukturálne fondy (bez Európskej územnej spolupráce)</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311 847</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686 277</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1 843 307</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1 619 565</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1 317 240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964 676</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A32</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Kohézny fond</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180 050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305 025</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865 560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753 919</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862 394</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704 498</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pStyle w:val="BodyText"/>
              <w:bidi w:val="0"/>
              <w:spacing w:after="0" w:line="240" w:lineRule="auto"/>
              <w:jc w:val="left"/>
              <w:rPr>
                <w:rFonts w:ascii="Times New Roman" w:hAnsi="Times New Roman"/>
                <w:b/>
                <w:sz w:val="16"/>
                <w:szCs w:val="16"/>
              </w:rPr>
            </w:pPr>
            <w:r w:rsidRPr="00250EE8">
              <w:rPr>
                <w:rFonts w:ascii="Times New Roman" w:hAnsi="Times New Roman"/>
                <w:b/>
                <w:sz w:val="16"/>
                <w:szCs w:val="16"/>
              </w:rPr>
              <w:t>A4</w:t>
            </w:r>
          </w:p>
        </w:tc>
        <w:tc>
          <w:tcPr>
            <w:tcW w:w="2001" w:type="dxa"/>
            <w:tcBorders>
              <w:top w:val="single" w:sz="4" w:space="0" w:color="auto"/>
              <w:left w:val="single" w:sz="4" w:space="0" w:color="auto"/>
              <w:bottom w:val="single" w:sz="4" w:space="0" w:color="auto"/>
              <w:right w:val="single" w:sz="4" w:space="0" w:color="auto"/>
            </w:tcBorders>
            <w:shd w:val="pct10" w:color="auto" w:fill="auto"/>
            <w:textDirection w:val="lrTb"/>
            <w:vAlign w:val="top"/>
          </w:tcPr>
          <w:p w:rsidR="00563E5E" w:rsidRPr="00250EE8" w:rsidP="007F0659">
            <w:pPr>
              <w:pStyle w:val="BodyText"/>
              <w:bidi w:val="0"/>
              <w:spacing w:after="0" w:line="240" w:lineRule="auto"/>
              <w:rPr>
                <w:rFonts w:ascii="Times New Roman" w:hAnsi="Times New Roman"/>
                <w:b/>
                <w:spacing w:val="-4"/>
                <w:sz w:val="16"/>
                <w:szCs w:val="16"/>
                <w:lang w:eastAsia="cs-CZ"/>
              </w:rPr>
            </w:pPr>
            <w:r w:rsidRPr="00250EE8">
              <w:rPr>
                <w:rFonts w:ascii="Times New Roman" w:hAnsi="Times New Roman"/>
                <w:b/>
                <w:spacing w:val="-4"/>
                <w:sz w:val="16"/>
                <w:szCs w:val="16"/>
                <w:lang w:eastAsia="cs-CZ"/>
              </w:rPr>
              <w:t>III. programové obdobie</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031"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650 000</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563E5E" w:rsidRPr="00250EE8" w:rsidP="007F0659">
            <w:pPr>
              <w:pStyle w:val="BodyText"/>
              <w:bidi w:val="0"/>
              <w:spacing w:after="0" w:line="240" w:lineRule="auto"/>
              <w:jc w:val="left"/>
              <w:rPr>
                <w:rFonts w:ascii="Times New Roman" w:hAnsi="Times New Roman"/>
                <w:b/>
                <w:sz w:val="16"/>
                <w:szCs w:val="16"/>
              </w:rPr>
            </w:pPr>
            <w:r w:rsidRPr="00250EE8">
              <w:rPr>
                <w:rFonts w:ascii="Times New Roman" w:hAnsi="Times New Roman"/>
                <w:b/>
                <w:sz w:val="16"/>
                <w:szCs w:val="16"/>
              </w:rPr>
              <w:t>A=A1+A2+A3+A4</w:t>
            </w:r>
          </w:p>
        </w:tc>
        <w:tc>
          <w:tcPr>
            <w:tcW w:w="2001" w:type="dxa"/>
            <w:tcBorders>
              <w:top w:val="single" w:sz="4" w:space="0" w:color="auto"/>
              <w:left w:val="single" w:sz="4" w:space="0" w:color="auto"/>
              <w:bottom w:val="single" w:sz="4" w:space="0" w:color="auto"/>
              <w:right w:val="single" w:sz="4" w:space="0" w:color="auto"/>
            </w:tcBorders>
            <w:shd w:val="pct20" w:color="auto" w:fill="auto"/>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Príjmy z EÚ zaradené do príjmov a výdavkov štátneho rozpočtu spolu</w:t>
            </w:r>
          </w:p>
        </w:tc>
        <w:tc>
          <w:tcPr>
            <w:tcW w:w="1031"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1 110 500</w:t>
            </w:r>
          </w:p>
        </w:tc>
        <w:tc>
          <w:tcPr>
            <w:tcW w:w="1031"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1 663 319</w:t>
            </w:r>
          </w:p>
        </w:tc>
        <w:tc>
          <w:tcPr>
            <w:tcW w:w="1031"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3 343 890</w:t>
            </w:r>
          </w:p>
        </w:tc>
        <w:tc>
          <w:tcPr>
            <w:tcW w:w="1031"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3 082 986</w:t>
            </w:r>
          </w:p>
        </w:tc>
        <w:tc>
          <w:tcPr>
            <w:tcW w:w="1031"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2 706 894</w:t>
            </w:r>
          </w:p>
        </w:tc>
        <w:tc>
          <w:tcPr>
            <w:tcW w:w="1031"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2 818 621</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B1</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Programy Európskej územnej spolupráce</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118</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54 368</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60 792</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61 214</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31 889</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B2</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Vnútorné politiky/vnútorné opatrenia vr. predvstupových fondov</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9 159</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9 046</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174 479</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105 193</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112 733</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101 835</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B=B1+B2</w:t>
            </w:r>
          </w:p>
        </w:tc>
        <w:tc>
          <w:tcPr>
            <w:tcW w:w="2001" w:type="dxa"/>
            <w:tcBorders>
              <w:top w:val="single" w:sz="4" w:space="0" w:color="auto"/>
              <w:left w:val="single" w:sz="4" w:space="0" w:color="auto"/>
              <w:bottom w:val="single" w:sz="4" w:space="0" w:color="auto"/>
              <w:right w:val="single" w:sz="4" w:space="0" w:color="auto"/>
            </w:tcBorders>
            <w:shd w:val="pct25" w:color="auto" w:fill="auto"/>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Príjmy z EÚ nezaradené do príjmov a výdavkov štátneho rozpočtu spolu</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9 159</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9 164</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228 847</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165 985</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173 947</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133 724</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C=A+B</w:t>
            </w:r>
          </w:p>
        </w:tc>
        <w:tc>
          <w:tcPr>
            <w:tcW w:w="2001" w:type="dxa"/>
            <w:tcBorders>
              <w:top w:val="single" w:sz="4" w:space="0" w:color="auto"/>
              <w:left w:val="single" w:sz="4" w:space="0" w:color="auto"/>
              <w:bottom w:val="single" w:sz="4" w:space="0" w:color="auto"/>
              <w:right w:val="single" w:sz="4" w:space="0" w:color="auto"/>
            </w:tcBorders>
            <w:shd w:val="pct25" w:color="auto" w:fill="auto"/>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Príjmy z EÚ spolu</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1 119 659</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1 672 483</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3 572 737</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3 248 971</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2 880 841</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2 952 345</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D=D1+D2</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Iné prostriedky zo zahraničia na základe medzinárodných zmlúv v tom:</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53 303</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17 141</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25 067</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26 906</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D1</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pacing w:val="-4"/>
                <w:sz w:val="16"/>
                <w:szCs w:val="16"/>
                <w:lang w:eastAsia="cs-CZ"/>
              </w:rPr>
            </w:pPr>
            <w:r w:rsidRPr="00250EE8">
              <w:rPr>
                <w:rFonts w:ascii="Times New Roman" w:hAnsi="Times New Roman"/>
                <w:spacing w:val="-4"/>
                <w:sz w:val="16"/>
                <w:szCs w:val="16"/>
                <w:lang w:eastAsia="cs-CZ"/>
              </w:rPr>
              <w:t>Finančný mechanizmus EHP a Nórsky finančný mechanizmus</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45 000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6 201</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10 801</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17 271</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D2</w:t>
            </w:r>
          </w:p>
        </w:tc>
        <w:tc>
          <w:tcPr>
            <w:tcW w:w="2001" w:type="dxa"/>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Švajčiarsky finančný mechanizmus</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8 303</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10 940</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14 266</w:t>
            </w:r>
          </w:p>
        </w:tc>
        <w:tc>
          <w:tcPr>
            <w:tcW w:w="103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9 635</w:t>
            </w:r>
          </w:p>
        </w:tc>
      </w:tr>
      <w:tr>
        <w:tblPrEx>
          <w:tblW w:w="0" w:type="auto"/>
          <w:tblLayout w:type="fixed"/>
          <w:tblLook w:val="04A0"/>
        </w:tblPrEx>
        <w:tc>
          <w:tcPr>
            <w:tcW w:w="110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E=C+D</w:t>
            </w:r>
          </w:p>
        </w:tc>
        <w:tc>
          <w:tcPr>
            <w:tcW w:w="2001" w:type="dxa"/>
            <w:tcBorders>
              <w:top w:val="single" w:sz="4" w:space="0" w:color="auto"/>
              <w:left w:val="single" w:sz="4" w:space="0" w:color="auto"/>
              <w:bottom w:val="single" w:sz="4" w:space="0" w:color="auto"/>
              <w:right w:val="single" w:sz="4" w:space="0" w:color="auto"/>
            </w:tcBorders>
            <w:shd w:val="pct25" w:color="auto" w:fill="auto"/>
            <w:textDirection w:val="lrTb"/>
            <w:vAlign w:val="top"/>
          </w:tcPr>
          <w:p w:rsidR="00563E5E"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Príjmy z EÚ a iné prostriedky zo zahraničia na základe medzinárodných zmlúv spolu</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1 119 661</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1 672 483</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3 626 040</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3 266 112</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2 905 908</w:t>
            </w:r>
          </w:p>
        </w:tc>
        <w:tc>
          <w:tcPr>
            <w:tcW w:w="103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2 979 251</w:t>
            </w:r>
          </w:p>
        </w:tc>
      </w:tr>
    </w:tbl>
    <w:p w:rsidR="00563E5E" w:rsidRPr="0005763F" w:rsidP="00563E5E">
      <w:pPr>
        <w:bidi w:val="0"/>
        <w:jc w:val="both"/>
        <w:rPr>
          <w:rFonts w:ascii="Times New Roman" w:hAnsi="Times New Roman"/>
          <w:spacing w:val="-4"/>
          <w:sz w:val="22"/>
          <w:szCs w:val="22"/>
          <w:lang w:eastAsia="cs-CZ"/>
        </w:rPr>
      </w:pPr>
      <w:r w:rsidRPr="0005763F">
        <w:rPr>
          <w:rFonts w:ascii="Times New Roman" w:hAnsi="Times New Roman"/>
          <w:spacing w:val="-4"/>
          <w:sz w:val="22"/>
          <w:szCs w:val="22"/>
          <w:lang w:eastAsia="cs-CZ"/>
        </w:rPr>
        <w:t>*</w:t>
      </w:r>
      <w:r w:rsidRPr="0005763F">
        <w:rPr>
          <w:rFonts w:ascii="Times New Roman" w:hAnsi="Times New Roman"/>
          <w:spacing w:val="-4"/>
          <w:sz w:val="20"/>
          <w:szCs w:val="20"/>
          <w:lang w:eastAsia="cs-CZ"/>
        </w:rPr>
        <w:t>Plnenie príjmov štátneho rozpočtu.</w:t>
      </w:r>
    </w:p>
    <w:p w:rsidR="00563E5E" w:rsidRPr="0005763F" w:rsidP="00563E5E">
      <w:pPr>
        <w:pStyle w:val="BodyText"/>
        <w:bidi w:val="0"/>
        <w:rPr>
          <w:rFonts w:ascii="Times New Roman" w:hAnsi="Times New Roman"/>
          <w:spacing w:val="-4"/>
          <w:sz w:val="22"/>
          <w:szCs w:val="22"/>
          <w:lang w:eastAsia="cs-CZ"/>
        </w:rPr>
      </w:pPr>
    </w:p>
    <w:p w:rsidR="00563E5E" w:rsidRPr="0005763F" w:rsidP="00563E5E">
      <w:pPr>
        <w:autoSpaceDE w:val="0"/>
        <w:autoSpaceDN w:val="0"/>
        <w:bidi w:val="0"/>
        <w:ind w:firstLine="708"/>
        <w:jc w:val="both"/>
        <w:rPr>
          <w:rFonts w:ascii="Times New Roman" w:hAnsi="Times New Roman"/>
          <w:spacing w:val="-4"/>
          <w:szCs w:val="22"/>
          <w:lang w:eastAsia="cs-CZ"/>
        </w:rPr>
      </w:pPr>
      <w:r w:rsidRPr="0005763F">
        <w:rPr>
          <w:rFonts w:ascii="Times New Roman" w:hAnsi="Times New Roman"/>
          <w:spacing w:val="-4"/>
          <w:szCs w:val="22"/>
          <w:lang w:eastAsia="cs-CZ"/>
        </w:rPr>
        <w:t xml:space="preserve">Príjmy z Európskeho poľnohospodárskeho fondu pre rozvoj vidieka a z Európskeho poľnohospodárskeho záručného fondu  na priame platby a trhovo orientované výdavky sa  rozpočtujú v kapitole Ministerstva pôdohospodárstva a rozvoja vidieka  SR.  V prípade stanovenia priamych platieb sa vychádzalo z odhadov čerpania zdrojov určených na jednotnú platbu na plochu a osobitnej platby na cukor. Do odhadov sú zahrnuté osobitná platba a prechodná platba na ovocie a zeleninu, osobitná platba a prechodná platba na ovocie a zeleninu – paradajky   a dodatočné priame platby. Očakávané príjmy z Európskeho poľnohospodárskeho fondu pre rozvoj vidieka sa rozpočtujú vo väzbe na programový dokument Program rozvoja vidieka SR 2007 – 2013, schválený Európskou komisiou. Európsky poľnohospodársky záručný fond nie je programovo štruktúrovaný, príjmom v roku 2014 Slovenská republika dosiahne strop povoleného čerpania v rámci legislatívy EÚ pre II. programové obdobie. Príjmy v roku 2014 v rámci III. programového obdobia budú závisieť od konečnej podoby spoločnej poľnohospodárskej politiky. </w:t>
      </w:r>
    </w:p>
    <w:p w:rsidR="00563E5E" w:rsidRPr="0005763F" w:rsidP="00563E5E">
      <w:pPr>
        <w:bidi w:val="0"/>
        <w:jc w:val="both"/>
        <w:rPr>
          <w:rFonts w:ascii="Times New Roman" w:hAnsi="Times New Roman"/>
          <w:szCs w:val="22"/>
        </w:rPr>
      </w:pPr>
    </w:p>
    <w:p w:rsidR="00563E5E" w:rsidRPr="0005763F" w:rsidP="00563E5E">
      <w:pPr>
        <w:autoSpaceDE w:val="0"/>
        <w:autoSpaceDN w:val="0"/>
        <w:bidi w:val="0"/>
        <w:ind w:firstLine="708"/>
        <w:jc w:val="both"/>
        <w:rPr>
          <w:rFonts w:ascii="Times New Roman" w:hAnsi="Times New Roman"/>
          <w:spacing w:val="-4"/>
          <w:szCs w:val="22"/>
          <w:lang w:eastAsia="cs-CZ"/>
        </w:rPr>
      </w:pPr>
      <w:r w:rsidRPr="0005763F">
        <w:rPr>
          <w:rFonts w:ascii="Times New Roman" w:hAnsi="Times New Roman"/>
          <w:noProof/>
          <w:szCs w:val="22"/>
        </w:rPr>
        <w:t>Príjmy zo štrukturálnych fondov a Kohézneho fondu na roky 2012 až 2014 odzrkadľujú odhadovanú úroveň čerpania výdavkov rezortov, zodpovedných za implementáciu programových dokumentov Národného strategického referenčného rámca 2007 – 2013.  V</w:t>
      </w:r>
      <w:r w:rsidRPr="0005763F">
        <w:rPr>
          <w:rFonts w:ascii="Times New Roman" w:hAnsi="Times New Roman"/>
          <w:spacing w:val="-4"/>
          <w:szCs w:val="22"/>
          <w:lang w:eastAsia="cs-CZ"/>
        </w:rPr>
        <w:t xml:space="preserve">yplývajú z úrovne záväzkov programového obdobia  2007 – 2013 podľa programových dokumentov, schválených Európskou komisiou  v rámci Národného strategického referenčného rámca, navýšených technickou  úpravou finančného rámca pre roky 2011 – 2013 v súlade s pohybom HND o 137 711 534 EUR. Príjmy sú rozpočtované vo väzbe na aktuálne finančné plány operačných programov a ich skutočné plnenie ovplyvnia tiež realokácie, schvaľované na národnej úrovni a na úrovni Európskej komisie. </w:t>
      </w:r>
    </w:p>
    <w:p w:rsidR="00563E5E" w:rsidRPr="0005763F" w:rsidP="00563E5E">
      <w:pPr>
        <w:autoSpaceDE w:val="0"/>
        <w:autoSpaceDN w:val="0"/>
        <w:bidi w:val="0"/>
        <w:jc w:val="both"/>
        <w:rPr>
          <w:rFonts w:ascii="Times New Roman" w:hAnsi="Times New Roman"/>
          <w:spacing w:val="-4"/>
          <w:szCs w:val="22"/>
          <w:lang w:eastAsia="cs-CZ"/>
        </w:rPr>
      </w:pPr>
    </w:p>
    <w:p w:rsidR="00563E5E" w:rsidRPr="0005763F" w:rsidP="00563E5E">
      <w:pPr>
        <w:bidi w:val="0"/>
        <w:ind w:firstLine="708"/>
        <w:jc w:val="both"/>
        <w:rPr>
          <w:rFonts w:ascii="Times New Roman" w:hAnsi="Times New Roman"/>
          <w:bCs/>
          <w:szCs w:val="22"/>
        </w:rPr>
      </w:pPr>
      <w:r w:rsidRPr="0005763F">
        <w:rPr>
          <w:rFonts w:ascii="Times New Roman" w:hAnsi="Times New Roman"/>
          <w:szCs w:val="22"/>
        </w:rPr>
        <w:t xml:space="preserve">V rámci Európskej územnej spolupráce sa očakávajú príjmy pomerne k záväzkom operačných programov: Program cezhraničnej spolupráce Slovenská republika - Česká republika 2007-2013, </w:t>
      </w:r>
      <w:r w:rsidRPr="0005763F">
        <w:rPr>
          <w:rFonts w:ascii="Times New Roman" w:hAnsi="Times New Roman"/>
          <w:bCs/>
          <w:szCs w:val="22"/>
        </w:rPr>
        <w:t>Program  cezhraničnej  spolupráce Rakúsko – Slovensko, Program  cezhraničnej  spolupráce  Poľsko – Slovensko, Program cezhraničnej spolupráce Maďarsko – Slovensko,   programy   nadnárodnej   spolupráce ENPI  spoločný operačný program Maďarsko – Slovensko – Rakúsko a Ukrajina a program INTERACT II. Výška príjmov, nezaradených do príjmov štátneho rozpočtu, odzrkadľuje očakávaný príjem pre prijímateľov zo Slovenskej republiky.</w:t>
      </w:r>
    </w:p>
    <w:p w:rsidR="00563E5E" w:rsidRPr="0005763F" w:rsidP="00563E5E">
      <w:pPr>
        <w:bidi w:val="0"/>
        <w:jc w:val="both"/>
        <w:rPr>
          <w:rFonts w:ascii="Times New Roman" w:hAnsi="Times New Roman"/>
          <w:spacing w:val="-4"/>
          <w:szCs w:val="22"/>
          <w:lang w:eastAsia="cs-CZ"/>
        </w:rPr>
      </w:pPr>
    </w:p>
    <w:p w:rsidR="00563E5E" w:rsidRPr="0005763F" w:rsidP="00563E5E">
      <w:pPr>
        <w:bidi w:val="0"/>
        <w:ind w:firstLine="708"/>
        <w:jc w:val="both"/>
        <w:rPr>
          <w:rFonts w:ascii="Times New Roman" w:hAnsi="Times New Roman"/>
          <w:spacing w:val="-4"/>
          <w:szCs w:val="22"/>
          <w:lang w:eastAsia="cs-CZ"/>
        </w:rPr>
      </w:pPr>
      <w:r w:rsidRPr="0005763F">
        <w:rPr>
          <w:rFonts w:ascii="Times New Roman" w:hAnsi="Times New Roman"/>
          <w:spacing w:val="-4"/>
          <w:szCs w:val="22"/>
          <w:lang w:eastAsia="cs-CZ"/>
        </w:rPr>
        <w:t>V rámci vnútorných politík sa odhadujú tiež príjmy Slovenskej republiky formou  grantov v rokoch 2012  až  2014 podľa záväzkov finančného rámca na roky 2007 - 2013. Reálne naplnenie príjmov  štátneho rozpočtu bude závisieť od stavu implementácie projektov na úrovni prijímateľov, štátnych rozpočtových organizácií, z ktorých najväčší objem sa odhaduje v rámci programu Solidarita a riadenie migračných tokov. Odhady príjmov z grantov v rámci vnútorných politík EÚ a z programov Európskej územnej spolupráce v rokoch 2012 až 2014 sú zobrazené v nasledovnej tabuľke.</w:t>
      </w:r>
    </w:p>
    <w:p w:rsidR="00563E5E" w:rsidRPr="0005763F" w:rsidP="00563E5E">
      <w:pPr>
        <w:bidi w:val="0"/>
        <w:ind w:firstLine="708"/>
        <w:jc w:val="both"/>
        <w:rPr>
          <w:rFonts w:ascii="Times New Roman" w:hAnsi="Times New Roman"/>
          <w:spacing w:val="-4"/>
          <w:szCs w:val="22"/>
          <w:lang w:eastAsia="cs-CZ"/>
        </w:rPr>
      </w:pPr>
    </w:p>
    <w:p w:rsidR="00563E5E" w:rsidRPr="0005763F" w:rsidP="00563E5E">
      <w:pPr>
        <w:bidi w:val="0"/>
        <w:jc w:val="both"/>
        <w:rPr>
          <w:rFonts w:ascii="Times New Roman" w:hAnsi="Times New Roman"/>
          <w:spacing w:val="-4"/>
          <w:szCs w:val="22"/>
          <w:lang w:eastAsia="cs-CZ"/>
        </w:rPr>
      </w:pPr>
      <w:r w:rsidRPr="0005763F">
        <w:rPr>
          <w:rFonts w:ascii="Times New Roman" w:hAnsi="Times New Roman"/>
          <w:bCs/>
          <w:spacing w:val="-4"/>
          <w:szCs w:val="22"/>
          <w:u w:val="single"/>
          <w:lang w:eastAsia="cs-CZ"/>
        </w:rPr>
        <w:t>Tabuľka č. 5:</w:t>
      </w:r>
      <w:r w:rsidRPr="0005763F">
        <w:rPr>
          <w:rFonts w:ascii="Times New Roman" w:hAnsi="Times New Roman"/>
          <w:spacing w:val="-4"/>
          <w:szCs w:val="22"/>
          <w:lang w:eastAsia="cs-CZ"/>
        </w:rPr>
        <w:t xml:space="preserve"> Odhady príjmov z grantov  v rámci vnútorných politík EÚ a z programov Európskej územnej spolupráce v rokoch 2009 až 2014 </w:t>
      </w:r>
    </w:p>
    <w:p w:rsidR="00563E5E" w:rsidRPr="0005763F" w:rsidP="00563E5E">
      <w:pPr>
        <w:pStyle w:val="BodyText"/>
        <w:bidi w:val="0"/>
        <w:jc w:val="right"/>
        <w:rPr>
          <w:rFonts w:ascii="Times New Roman" w:hAnsi="Times New Roman"/>
          <w:sz w:val="16"/>
          <w:szCs w:val="16"/>
        </w:rPr>
      </w:pPr>
      <w:r w:rsidRPr="0005763F">
        <w:rPr>
          <w:rFonts w:ascii="Times New Roman" w:hAnsi="Times New Roman"/>
          <w:sz w:val="16"/>
          <w:szCs w:val="16"/>
        </w:rPr>
        <w:t xml:space="preserve">         (v tis. eur)</w:t>
      </w:r>
    </w:p>
    <w:tbl>
      <w:tblPr>
        <w:tblStyle w:val="TableNormal"/>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063"/>
        <w:gridCol w:w="1063"/>
        <w:gridCol w:w="1063"/>
        <w:gridCol w:w="1063"/>
        <w:gridCol w:w="1063"/>
        <w:gridCol w:w="1063"/>
      </w:tblGrid>
      <w:tr>
        <w:tblPrEx>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26" w:type="pct"/>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63E5E" w:rsidRPr="00250EE8" w:rsidP="007F0659">
            <w:pPr>
              <w:pStyle w:val="BodyText"/>
              <w:bidi w:val="0"/>
              <w:spacing w:after="0" w:line="240" w:lineRule="auto"/>
              <w:rPr>
                <w:rFonts w:ascii="Times New Roman" w:hAnsi="Times New Roman"/>
                <w:spacing w:val="-4"/>
                <w:sz w:val="16"/>
                <w:szCs w:val="16"/>
                <w:lang w:eastAsia="cs-CZ"/>
              </w:rPr>
            </w:pPr>
          </w:p>
        </w:tc>
        <w:tc>
          <w:tcPr>
            <w:tcW w:w="579"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579" w:type="pct"/>
            <w:tcBorders>
              <w:top w:val="nil"/>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579"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579"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579"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579" w:type="pc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4942" w:type="pct"/>
          <w:tblLayout w:type="fixed"/>
          <w:tblLook w:val="01E0"/>
        </w:tblPrEx>
        <w:trPr>
          <w:trHeight w:val="339"/>
        </w:trPr>
        <w:tc>
          <w:tcPr>
            <w:tcW w:w="1526" w:type="pct"/>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bidi w:val="0"/>
              <w:spacing w:after="0" w:line="240" w:lineRule="auto"/>
              <w:rPr>
                <w:rFonts w:ascii="Times New Roman" w:hAnsi="Times New Roman"/>
                <w:spacing w:val="-4"/>
                <w:sz w:val="16"/>
                <w:szCs w:val="16"/>
                <w:lang w:eastAsia="cs-CZ"/>
              </w:rPr>
            </w:pPr>
            <w:r w:rsidRPr="00250EE8">
              <w:rPr>
                <w:rFonts w:ascii="Times New Roman" w:hAnsi="Times New Roman"/>
                <w:spacing w:val="-4"/>
                <w:sz w:val="16"/>
                <w:szCs w:val="16"/>
                <w:lang w:eastAsia="cs-CZ"/>
              </w:rPr>
              <w:t>Programy Európskej územnej spolupráce</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118</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54 368</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60 792</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61 214</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31 889</w:t>
            </w:r>
          </w:p>
        </w:tc>
      </w:tr>
      <w:tr>
        <w:tblPrEx>
          <w:tblW w:w="4942" w:type="pct"/>
          <w:tblLayout w:type="fixed"/>
          <w:tblLook w:val="01E0"/>
        </w:tblPrEx>
        <w:trPr>
          <w:trHeight w:val="216"/>
        </w:trPr>
        <w:tc>
          <w:tcPr>
            <w:tcW w:w="1526" w:type="pct"/>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bidi w:val="0"/>
              <w:spacing w:after="0" w:line="240" w:lineRule="auto"/>
              <w:rPr>
                <w:rFonts w:ascii="Times New Roman" w:hAnsi="Times New Roman"/>
                <w:spacing w:val="-4"/>
                <w:sz w:val="16"/>
                <w:szCs w:val="16"/>
                <w:lang w:eastAsia="cs-CZ"/>
              </w:rPr>
            </w:pPr>
            <w:r w:rsidRPr="00250EE8">
              <w:rPr>
                <w:rFonts w:ascii="Times New Roman" w:hAnsi="Times New Roman"/>
                <w:spacing w:val="-4"/>
                <w:sz w:val="16"/>
                <w:szCs w:val="16"/>
                <w:lang w:eastAsia="cs-CZ"/>
              </w:rPr>
              <w:t>Odstavenie bloku V1 Jaslovské Bohunice</w:t>
            </w:r>
          </w:p>
        </w:tc>
        <w:tc>
          <w:tcPr>
            <w:tcW w:w="579" w:type="pct"/>
            <w:vMerge w:val="restar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9 159</w:t>
            </w:r>
          </w:p>
        </w:tc>
        <w:tc>
          <w:tcPr>
            <w:tcW w:w="579" w:type="pct"/>
            <w:vMerge w:val="restar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9 046</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72 000</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87 500</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93 173</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99 255</w:t>
            </w:r>
          </w:p>
        </w:tc>
      </w:tr>
      <w:tr>
        <w:tblPrEx>
          <w:tblW w:w="4942" w:type="pct"/>
          <w:tblLayout w:type="fixed"/>
          <w:tblLook w:val="01E0"/>
        </w:tblPrEx>
        <w:trPr>
          <w:trHeight w:val="134"/>
        </w:trPr>
        <w:tc>
          <w:tcPr>
            <w:tcW w:w="1526" w:type="pct"/>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bidi w:val="0"/>
              <w:spacing w:after="0" w:line="240" w:lineRule="auto"/>
              <w:rPr>
                <w:rFonts w:ascii="Times New Roman" w:hAnsi="Times New Roman"/>
                <w:spacing w:val="-4"/>
                <w:sz w:val="16"/>
                <w:szCs w:val="16"/>
                <w:lang w:eastAsia="cs-CZ"/>
              </w:rPr>
            </w:pPr>
            <w:r w:rsidRPr="00250EE8">
              <w:rPr>
                <w:rFonts w:ascii="Times New Roman" w:hAnsi="Times New Roman"/>
                <w:spacing w:val="-4"/>
                <w:sz w:val="16"/>
                <w:szCs w:val="16"/>
                <w:lang w:eastAsia="cs-CZ"/>
              </w:rPr>
              <w:t>Sloboda, bezpečnosť a spravodlivosť</w:t>
            </w:r>
          </w:p>
        </w:tc>
        <w:tc>
          <w:tcPr>
            <w:tcW w:w="579" w:type="pct"/>
            <w:vMerge/>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p>
        </w:tc>
        <w:tc>
          <w:tcPr>
            <w:tcW w:w="579" w:type="pct"/>
            <w:vMerge/>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4 307</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4 220</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5 290</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2 580</w:t>
            </w:r>
          </w:p>
        </w:tc>
      </w:tr>
      <w:tr>
        <w:tblPrEx>
          <w:tblW w:w="4942" w:type="pct"/>
          <w:tblLayout w:type="fixed"/>
          <w:tblLook w:val="01E0"/>
        </w:tblPrEx>
        <w:trPr>
          <w:trHeight w:val="134"/>
        </w:trPr>
        <w:tc>
          <w:tcPr>
            <w:tcW w:w="1526" w:type="pct"/>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bidi w:val="0"/>
              <w:spacing w:after="0" w:line="240" w:lineRule="auto"/>
              <w:rPr>
                <w:rFonts w:ascii="Times New Roman" w:hAnsi="Times New Roman"/>
                <w:spacing w:val="-4"/>
                <w:sz w:val="16"/>
                <w:szCs w:val="16"/>
                <w:lang w:eastAsia="cs-CZ"/>
              </w:rPr>
            </w:pPr>
            <w:r w:rsidRPr="00250EE8">
              <w:rPr>
                <w:rFonts w:ascii="Times New Roman" w:hAnsi="Times New Roman"/>
                <w:spacing w:val="-4"/>
                <w:sz w:val="16"/>
                <w:szCs w:val="16"/>
                <w:lang w:eastAsia="cs-CZ"/>
              </w:rPr>
              <w:t>Nástroj pre životné prostredie LIFE+</w:t>
            </w:r>
          </w:p>
        </w:tc>
        <w:tc>
          <w:tcPr>
            <w:tcW w:w="579" w:type="pct"/>
            <w:vMerge/>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p>
        </w:tc>
        <w:tc>
          <w:tcPr>
            <w:tcW w:w="579" w:type="pct"/>
            <w:vMerge/>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3 437</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3 669</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3 850</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r>
      <w:tr>
        <w:tblPrEx>
          <w:tblW w:w="4942" w:type="pct"/>
          <w:tblLayout w:type="fixed"/>
          <w:tblLook w:val="01E0"/>
        </w:tblPrEx>
        <w:trPr>
          <w:trHeight w:val="134"/>
        </w:trPr>
        <w:tc>
          <w:tcPr>
            <w:tcW w:w="1526" w:type="pct"/>
            <w:tcBorders>
              <w:top w:val="single" w:sz="4" w:space="0" w:color="auto"/>
              <w:left w:val="single" w:sz="4" w:space="0" w:color="auto"/>
              <w:bottom w:val="single" w:sz="4" w:space="0" w:color="auto"/>
              <w:right w:val="single" w:sz="4" w:space="0" w:color="auto"/>
            </w:tcBorders>
            <w:textDirection w:val="lrTb"/>
            <w:vAlign w:val="top"/>
          </w:tcPr>
          <w:p w:rsidR="00563E5E" w:rsidRPr="00250EE8" w:rsidP="007F0659">
            <w:pPr>
              <w:bidi w:val="0"/>
              <w:spacing w:after="0" w:line="240" w:lineRule="auto"/>
              <w:rPr>
                <w:rFonts w:ascii="Times New Roman" w:hAnsi="Times New Roman"/>
                <w:spacing w:val="-4"/>
                <w:sz w:val="16"/>
                <w:szCs w:val="16"/>
                <w:lang w:eastAsia="cs-CZ"/>
              </w:rPr>
            </w:pPr>
            <w:r w:rsidRPr="00250EE8">
              <w:rPr>
                <w:rFonts w:ascii="Times New Roman" w:hAnsi="Times New Roman"/>
                <w:spacing w:val="-4"/>
                <w:sz w:val="16"/>
                <w:szCs w:val="16"/>
                <w:lang w:eastAsia="cs-CZ"/>
              </w:rPr>
              <w:t>Ostatné vnútorné politiky</w:t>
            </w:r>
          </w:p>
        </w:tc>
        <w:tc>
          <w:tcPr>
            <w:tcW w:w="579" w:type="pct"/>
            <w:vMerge/>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p>
        </w:tc>
        <w:tc>
          <w:tcPr>
            <w:tcW w:w="579" w:type="pct"/>
            <w:vMerge/>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94 736</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9 804</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10 420</w:t>
            </w:r>
          </w:p>
        </w:tc>
        <w:tc>
          <w:tcPr>
            <w:tcW w:w="579" w:type="pct"/>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0</w:t>
            </w:r>
          </w:p>
        </w:tc>
      </w:tr>
      <w:tr>
        <w:tblPrEx>
          <w:tblW w:w="4942" w:type="pct"/>
          <w:tblLayout w:type="fixed"/>
          <w:tblLook w:val="01E0"/>
        </w:tblPrEx>
        <w:trPr>
          <w:trHeight w:val="134"/>
        </w:trPr>
        <w:tc>
          <w:tcPr>
            <w:tcW w:w="1526" w:type="pct"/>
            <w:tcBorders>
              <w:top w:val="single" w:sz="4" w:space="0" w:color="auto"/>
              <w:left w:val="single" w:sz="4" w:space="0" w:color="auto"/>
              <w:bottom w:val="single" w:sz="4" w:space="0" w:color="auto"/>
              <w:right w:val="single" w:sz="4" w:space="0" w:color="auto"/>
            </w:tcBorders>
            <w:shd w:val="pct25" w:color="auto" w:fill="auto"/>
            <w:textDirection w:val="lrTb"/>
            <w:vAlign w:val="top"/>
          </w:tcPr>
          <w:p w:rsidR="00563E5E" w:rsidRPr="00250EE8" w:rsidP="007F0659">
            <w:pPr>
              <w:pStyle w:val="BodyText"/>
              <w:bidi w:val="0"/>
              <w:spacing w:after="0" w:line="240" w:lineRule="auto"/>
              <w:jc w:val="left"/>
              <w:rPr>
                <w:rFonts w:ascii="Times New Roman" w:hAnsi="Times New Roman"/>
                <w:b/>
                <w:spacing w:val="-4"/>
                <w:sz w:val="16"/>
                <w:szCs w:val="16"/>
                <w:lang w:eastAsia="cs-CZ"/>
              </w:rPr>
            </w:pPr>
            <w:r w:rsidRPr="00250EE8">
              <w:rPr>
                <w:rFonts w:ascii="Times New Roman" w:hAnsi="Times New Roman"/>
                <w:b/>
                <w:spacing w:val="-4"/>
                <w:sz w:val="16"/>
                <w:szCs w:val="16"/>
                <w:lang w:eastAsia="cs-CZ"/>
              </w:rPr>
              <w:t>Programy Európskej územnej spolupráce a vnútorné politiky EÚ spolu</w:t>
            </w:r>
          </w:p>
        </w:tc>
        <w:tc>
          <w:tcPr>
            <w:tcW w:w="579" w:type="pct"/>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9 159</w:t>
            </w:r>
          </w:p>
        </w:tc>
        <w:tc>
          <w:tcPr>
            <w:tcW w:w="579" w:type="pct"/>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9 164</w:t>
            </w:r>
          </w:p>
        </w:tc>
        <w:tc>
          <w:tcPr>
            <w:tcW w:w="579" w:type="pct"/>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228 848</w:t>
            </w:r>
          </w:p>
        </w:tc>
        <w:tc>
          <w:tcPr>
            <w:tcW w:w="579" w:type="pct"/>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165 985</w:t>
            </w:r>
          </w:p>
        </w:tc>
        <w:tc>
          <w:tcPr>
            <w:tcW w:w="579" w:type="pct"/>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173 947</w:t>
            </w:r>
          </w:p>
        </w:tc>
        <w:tc>
          <w:tcPr>
            <w:tcW w:w="579" w:type="pct"/>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133 724</w:t>
            </w:r>
          </w:p>
        </w:tc>
      </w:tr>
    </w:tbl>
    <w:p w:rsidR="00563E5E" w:rsidRPr="0005763F" w:rsidP="00563E5E">
      <w:pPr>
        <w:pStyle w:val="BodyText"/>
        <w:bidi w:val="0"/>
        <w:rPr>
          <w:rFonts w:ascii="Times New Roman" w:hAnsi="Times New Roman"/>
          <w:sz w:val="16"/>
          <w:szCs w:val="16"/>
        </w:rPr>
      </w:pPr>
    </w:p>
    <w:p w:rsidR="00563E5E" w:rsidRPr="0005763F" w:rsidP="00563E5E">
      <w:pPr>
        <w:bidi w:val="0"/>
        <w:jc w:val="both"/>
        <w:rPr>
          <w:rFonts w:ascii="Times New Roman" w:hAnsi="Times New Roman"/>
          <w:szCs w:val="22"/>
        </w:rPr>
      </w:pPr>
    </w:p>
    <w:p w:rsidR="00563E5E" w:rsidRPr="0005763F" w:rsidP="00563E5E">
      <w:pPr>
        <w:bidi w:val="0"/>
        <w:ind w:firstLine="708"/>
        <w:jc w:val="both"/>
        <w:rPr>
          <w:rFonts w:ascii="Times New Roman" w:hAnsi="Times New Roman"/>
          <w:szCs w:val="22"/>
        </w:rPr>
      </w:pPr>
      <w:r w:rsidRPr="0005763F">
        <w:rPr>
          <w:rFonts w:ascii="Times New Roman" w:hAnsi="Times New Roman"/>
          <w:szCs w:val="22"/>
        </w:rPr>
        <w:t xml:space="preserve">V prípade finančného mechanizmu EHP a Nórskeho finančného mechanizmu je pre Slovenskú republiku na celé I. programové obdobie vyplácania alokovaná suma 70 329 000 eur. Slovenská republika vstúpila do II. programového obdobia 2009 - 2014, v rámci ktorého sa v závislosti od podpisu zmlúv s prijímateľmi na národnej úrovni odhaduje príjem z grantov v období 2012 až 2014 podľa tabuľky č. 4. Celkový objem alokácie na II. programové obdobie je 74 290 000 eur. Predpokladaný objem príspevku Švajčiarskej konfederácie prostredníctvom Švajčiarskeho finančného mechanizmu pre Slovenskú republiku na obdobie päť rokov počnúc rokom 2006 je 66 866 000 CHF. Odhadovaný príjem grantov pre Slovenskú republiku na obdobie rokov 2012 až 2014 je uvedený v tabuľke č. 4. Podpora z daného mechanizmu bude smerovať najmä do oblasti bezpečnosti, stability, životného prostredia, infraštruktúry, ľudského a sociálneho rozvoja a podpory súkromného sektora. </w:t>
      </w:r>
    </w:p>
    <w:p w:rsidR="00563E5E" w:rsidRPr="0005763F" w:rsidP="00563E5E">
      <w:pPr>
        <w:bidi w:val="0"/>
        <w:ind w:firstLine="708"/>
        <w:jc w:val="both"/>
        <w:rPr>
          <w:rFonts w:ascii="Times New Roman" w:hAnsi="Times New Roman"/>
          <w:szCs w:val="22"/>
        </w:rPr>
      </w:pPr>
    </w:p>
    <w:p w:rsidR="00563E5E" w:rsidRPr="0005763F" w:rsidP="00563E5E">
      <w:pPr>
        <w:bidi w:val="0"/>
        <w:jc w:val="both"/>
        <w:rPr>
          <w:rFonts w:ascii="Times New Roman" w:hAnsi="Times New Roman"/>
          <w:b/>
          <w:szCs w:val="22"/>
        </w:rPr>
      </w:pPr>
      <w:r w:rsidRPr="0005763F">
        <w:rPr>
          <w:rFonts w:ascii="Times New Roman" w:hAnsi="Times New Roman"/>
          <w:b/>
          <w:szCs w:val="22"/>
        </w:rPr>
        <w:t xml:space="preserve">4. Výdavky EÚ a výdavky na spolufinancovanie spoločných programov Slovenskej republiky a Európskej únie a na financovanie iných finančných nástrojov </w:t>
      </w:r>
    </w:p>
    <w:p w:rsidR="00563E5E" w:rsidRPr="0005763F" w:rsidP="00563E5E">
      <w:pPr>
        <w:bidi w:val="0"/>
        <w:jc w:val="both"/>
        <w:rPr>
          <w:rFonts w:ascii="Times New Roman" w:hAnsi="Times New Roman"/>
          <w:b/>
          <w:szCs w:val="22"/>
        </w:rPr>
      </w:pPr>
    </w:p>
    <w:p w:rsidR="00563E5E" w:rsidRPr="0005763F" w:rsidP="00563E5E">
      <w:pPr>
        <w:bidi w:val="0"/>
        <w:ind w:firstLine="708"/>
        <w:jc w:val="both"/>
        <w:rPr>
          <w:rFonts w:ascii="Times New Roman" w:hAnsi="Times New Roman"/>
          <w:szCs w:val="22"/>
        </w:rPr>
      </w:pPr>
      <w:r w:rsidRPr="0005763F">
        <w:rPr>
          <w:rFonts w:ascii="Times New Roman" w:hAnsi="Times New Roman"/>
          <w:noProof/>
          <w:szCs w:val="22"/>
        </w:rPr>
        <w:t xml:space="preserve">V rokoch 2012 až 2014 sa  prostriedky Európskej únie na základe </w:t>
      </w:r>
      <w:r w:rsidRPr="0005763F">
        <w:rPr>
          <w:rFonts w:ascii="Times New Roman" w:hAnsi="Times New Roman"/>
          <w:szCs w:val="22"/>
        </w:rPr>
        <w:t>§§ 7 a 8 zákona č. 523/2004 Z. z. o rozpočtových pravidlách verejnej správy a o zmene a doplnení niektorých zákonov v znení neskorších predpisov</w:t>
      </w:r>
      <w:r w:rsidRPr="0005763F">
        <w:rPr>
          <w:rFonts w:ascii="Times New Roman" w:hAnsi="Times New Roman"/>
          <w:noProof/>
          <w:szCs w:val="22"/>
        </w:rPr>
        <w:t xml:space="preserve"> rozpočtujú ako príjmy a v rovnakej výške ako výdavky. </w:t>
      </w:r>
      <w:r w:rsidRPr="0005763F">
        <w:rPr>
          <w:rFonts w:ascii="Times New Roman" w:hAnsi="Times New Roman"/>
          <w:spacing w:val="-4"/>
          <w:szCs w:val="22"/>
          <w:lang w:eastAsia="cs-CZ"/>
        </w:rPr>
        <w:t>K príjmom z rozpočtu Európskej únie, zaradeným do príjmov štátneho rozpočtu podľa tabuľky č. 4 sa na  rovnakej úrovni rozpočtujú výdavky - na rok 2012 vo výške 3 082 986 tis. eur, na rok 2013 v objeme 2 706 894  tis. eur a na rok 2014 v objeme  2 818 621 tis. eur, z toho pre III. programové obdobie v objeme 650 000 tis. eur</w:t>
      </w:r>
      <w:r w:rsidRPr="0005763F">
        <w:rPr>
          <w:rFonts w:ascii="Times New Roman" w:hAnsi="Times New Roman"/>
          <w:szCs w:val="22"/>
        </w:rPr>
        <w:t xml:space="preserve">. Vo všeobecnosti sa pri reálnom čerpaní prostriedkov na financovanie programov EÚ prvotne realizujú príslušné rozpočtované výdavky, na ktoré sa priebežne napĺňajú príjmy. Z tohto dôvodu, predovšetkým vzhľadom na možnosť využívania systému zálohových platieb, resp. predfinancovania na úrovni prijímateľov, vzniká v priebehu rozpočtového roka nesúlad medzi plnením príjmov z prostriedkov EÚ a čerpaním výdavkov. </w:t>
      </w:r>
      <w:r w:rsidRPr="0005763F">
        <w:rPr>
          <w:rFonts w:ascii="Times New Roman" w:hAnsi="Times New Roman"/>
          <w:spacing w:val="-4"/>
          <w:szCs w:val="22"/>
          <w:lang w:eastAsia="cs-CZ"/>
        </w:rPr>
        <w:t>Výdavky programového obdobia 2007 – 2013 z Európskeho poľnohospodárskeho fondu pre rozvoj vidieka, zo štrukturálnych fondov, Kohézneho fondu a z Európskeho fondu pre rybné hospodárstvo sa vo väzbe na pravidlo n + 2 navrhujú aj v roku 2014.  Zároveň sa pre prvý rok III. programového obdobia 2014 – 2020 rozpočtujú príjmy a výdavky v  kapitole Všeobecná pokladničná správa a v kapitole Ministerstva dopravy, výstavby a regionálneho rozvoja SR.</w:t>
      </w:r>
    </w:p>
    <w:p w:rsidR="00563E5E" w:rsidRPr="0005763F" w:rsidP="00563E5E">
      <w:pPr>
        <w:bidi w:val="0"/>
        <w:jc w:val="both"/>
        <w:rPr>
          <w:rFonts w:ascii="Times New Roman" w:hAnsi="Times New Roman"/>
          <w:szCs w:val="22"/>
        </w:rPr>
      </w:pPr>
    </w:p>
    <w:p w:rsidR="00563E5E" w:rsidRPr="0005763F" w:rsidP="00563E5E">
      <w:pPr>
        <w:bidi w:val="0"/>
        <w:ind w:firstLine="708"/>
        <w:jc w:val="both"/>
        <w:rPr>
          <w:rFonts w:ascii="Times New Roman" w:hAnsi="Times New Roman"/>
          <w:szCs w:val="22"/>
        </w:rPr>
      </w:pPr>
      <w:r w:rsidRPr="0005763F">
        <w:rPr>
          <w:rFonts w:ascii="Times New Roman" w:hAnsi="Times New Roman"/>
          <w:szCs w:val="22"/>
        </w:rPr>
        <w:t xml:space="preserve">Pri tvorbe návrhu rozpočtu výdavkov na roky 2012 až 2014 za prostriedky EÚ a prostriedky štátneho rozpočtu na spolufinancovanie pre programy Národného strategického referenčného rámca 2007 – 2013, Program rozvoja vidieka SR 2007 – 2013 a OP Rybné hospodárstvo SR 2007 – 2013 </w:t>
      </w:r>
      <w:r w:rsidRPr="0005763F">
        <w:rPr>
          <w:rFonts w:ascii="Times New Roman" w:hAnsi="Times New Roman"/>
          <w:b/>
          <w:szCs w:val="22"/>
        </w:rPr>
        <w:t>Ministerstvo financií SR plne rešpektovalo požiadavky rezortov</w:t>
      </w:r>
      <w:r w:rsidRPr="0005763F">
        <w:rPr>
          <w:rFonts w:ascii="Times New Roman" w:hAnsi="Times New Roman"/>
          <w:szCs w:val="22"/>
        </w:rPr>
        <w:t xml:space="preserve">, ktoré boli do návrhu zapracované v nimi požadovanej výške do úrovne záväzkov II. programového obdobia tak, ako tomu bolo aj v roku 2011. Navrhované požiadavky na rozpočet platobných jednotiek/Pôdohospodárskej platobnej agentúry </w:t>
      </w:r>
      <w:r w:rsidRPr="0005763F">
        <w:rPr>
          <w:rFonts w:ascii="Times New Roman" w:hAnsi="Times New Roman"/>
          <w:spacing w:val="-4"/>
          <w:szCs w:val="22"/>
          <w:lang w:eastAsia="cs-CZ"/>
        </w:rPr>
        <w:t>sú uvedené v tabuľke č. 6.</w:t>
      </w:r>
    </w:p>
    <w:p w:rsidR="00563E5E" w:rsidRPr="0005763F" w:rsidP="00563E5E">
      <w:pPr>
        <w:autoSpaceDE w:val="0"/>
        <w:autoSpaceDN w:val="0"/>
        <w:bidi w:val="0"/>
        <w:jc w:val="both"/>
        <w:rPr>
          <w:rFonts w:ascii="Times New Roman" w:hAnsi="Times New Roman"/>
          <w:spacing w:val="-4"/>
          <w:szCs w:val="22"/>
          <w:lang w:eastAsia="cs-CZ"/>
        </w:rPr>
      </w:pPr>
    </w:p>
    <w:p w:rsidR="00563E5E" w:rsidRPr="0005763F" w:rsidP="00563E5E">
      <w:pPr>
        <w:autoSpaceDE w:val="0"/>
        <w:autoSpaceDN w:val="0"/>
        <w:bidi w:val="0"/>
        <w:jc w:val="both"/>
        <w:rPr>
          <w:rFonts w:ascii="Times New Roman" w:hAnsi="Times New Roman"/>
          <w:spacing w:val="-4"/>
          <w:szCs w:val="22"/>
          <w:lang w:eastAsia="cs-CZ"/>
        </w:rPr>
      </w:pPr>
      <w:r w:rsidRPr="0005763F">
        <w:rPr>
          <w:rFonts w:ascii="Times New Roman" w:hAnsi="Times New Roman"/>
          <w:spacing w:val="-4"/>
          <w:szCs w:val="22"/>
          <w:u w:val="single"/>
          <w:lang w:eastAsia="cs-CZ"/>
        </w:rPr>
        <w:t>Tabuľka č. 6</w:t>
      </w:r>
      <w:r w:rsidRPr="0005763F">
        <w:rPr>
          <w:rFonts w:ascii="Times New Roman" w:hAnsi="Times New Roman"/>
          <w:spacing w:val="-4"/>
          <w:szCs w:val="22"/>
          <w:lang w:eastAsia="cs-CZ"/>
        </w:rPr>
        <w:t xml:space="preserve">: Použitie disponibilného rozpočtu za prostriedky EÚ, zaradené do výdavkov štátneho rozpočtu </w:t>
      </w:r>
      <w:r w:rsidR="00015524">
        <w:rPr>
          <w:rFonts w:ascii="Times New Roman" w:hAnsi="Times New Roman"/>
          <w:spacing w:val="-4"/>
          <w:szCs w:val="22"/>
          <w:lang w:eastAsia="cs-CZ"/>
        </w:rPr>
        <w:t xml:space="preserve"> </w:t>
      </w:r>
      <w:r w:rsidRPr="0005763F">
        <w:rPr>
          <w:rFonts w:ascii="Times New Roman" w:hAnsi="Times New Roman"/>
          <w:spacing w:val="-4"/>
          <w:szCs w:val="22"/>
          <w:lang w:eastAsia="cs-CZ"/>
        </w:rPr>
        <w:t>podľa operačných programov a poľnohospodárskych fondov na roky 2009 až 2014 na úrovni platobných jednotiek a Pôdohospodárskej platobnej agentúry.</w:t>
      </w:r>
    </w:p>
    <w:p w:rsidR="00563E5E" w:rsidRPr="00250EE8" w:rsidP="00563E5E">
      <w:pPr>
        <w:pStyle w:val="BodyText"/>
        <w:bidi w:val="0"/>
        <w:jc w:val="right"/>
        <w:rPr>
          <w:rFonts w:ascii="Times New Roman" w:hAnsi="Times New Roman"/>
          <w:spacing w:val="-4"/>
          <w:sz w:val="16"/>
          <w:szCs w:val="20"/>
          <w:lang w:eastAsia="cs-CZ"/>
        </w:rPr>
      </w:pPr>
      <w:r w:rsidRPr="00250EE8">
        <w:rPr>
          <w:rFonts w:ascii="Times New Roman" w:hAnsi="Times New Roman"/>
          <w:sz w:val="16"/>
          <w:szCs w:val="20"/>
        </w:rPr>
        <w:t xml:space="preserve">         (v tis. eur)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110"/>
        <w:gridCol w:w="1110"/>
        <w:gridCol w:w="1111"/>
        <w:gridCol w:w="1110"/>
        <w:gridCol w:w="1110"/>
        <w:gridCol w:w="111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1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63E5E" w:rsidRPr="00250EE8" w:rsidP="007F0659">
            <w:pPr>
              <w:bidi w:val="0"/>
              <w:spacing w:after="0" w:line="240" w:lineRule="auto"/>
              <w:jc w:val="center"/>
              <w:rPr>
                <w:rFonts w:ascii="Times New Roman" w:hAnsi="Times New Roman"/>
                <w:b/>
                <w:color w:val="FFFFFF"/>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11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111"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11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11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111"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Informatizácia spoločnosti</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6 482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35 574</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258 259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167 452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194 099</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161 414</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Životné prostredie</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41 954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104 406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670 179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284 962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331 708</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330 046</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Vzdelávanie</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46 165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40 036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130 013</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125 027</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140 277</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119 059</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OP Výskum a vývoj</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48 978</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109 184</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288 486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354 600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275 028</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157 454</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OP Zdravotníctvo</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14 732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41 654</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108 800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73 544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12 415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3 356</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pacing w:val="-4"/>
                <w:sz w:val="16"/>
                <w:szCs w:val="16"/>
                <w:lang w:eastAsia="cs-CZ"/>
              </w:rPr>
            </w:pPr>
            <w:r w:rsidRPr="00250EE8">
              <w:rPr>
                <w:rFonts w:ascii="Times New Roman" w:hAnsi="Times New Roman"/>
                <w:spacing w:val="-4"/>
                <w:sz w:val="16"/>
                <w:szCs w:val="16"/>
                <w:lang w:eastAsia="cs-CZ"/>
              </w:rPr>
              <w:t>OP Zamestnanosť a sociálna inklúzia</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73 101</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138 245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136 230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143 560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139 986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130 831</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pacing w:val="-4"/>
                <w:sz w:val="16"/>
                <w:szCs w:val="16"/>
                <w:lang w:eastAsia="cs-CZ"/>
              </w:rPr>
            </w:pPr>
            <w:r w:rsidRPr="00250EE8">
              <w:rPr>
                <w:rFonts w:ascii="Times New Roman" w:hAnsi="Times New Roman"/>
                <w:spacing w:val="-4"/>
                <w:sz w:val="16"/>
                <w:szCs w:val="16"/>
                <w:lang w:eastAsia="cs-CZ"/>
              </w:rPr>
              <w:t>OP Konkurencieschopnosť a hospodársky rast</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55 336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92 784</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241 644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123 360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81 480</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68 408</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Regionálny operačný program</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102 608</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235 281</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294 725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330 370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260 400</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159 565</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Bratislavský kraj</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4 575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9 671</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18 612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13 000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8 575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8 075</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OP Doprava</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230 896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358 979</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542 995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746 810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725 766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521 074</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Technická pomoc</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11 183</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20 271</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18 924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10 799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9 900</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9 892</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b/>
                <w:sz w:val="16"/>
                <w:szCs w:val="16"/>
              </w:rPr>
            </w:pPr>
            <w:r w:rsidRPr="00250EE8">
              <w:rPr>
                <w:rFonts w:ascii="Times New Roman" w:hAnsi="Times New Roman"/>
                <w:b/>
                <w:sz w:val="16"/>
                <w:szCs w:val="16"/>
              </w:rPr>
              <w:t>Operačné programy spolu</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636 010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1 186 085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2 708 867</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2 373 484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2 179 634</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1 669 174</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EPZF</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264 610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254 660</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307 024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330 627</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372 049</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404 827</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EPFRV</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327 743</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350 294</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325 404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376 292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153 938</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92 363</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EPRH</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512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1 484</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2 595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2 583</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1 273</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color w:val="000000"/>
                <w:sz w:val="16"/>
                <w:szCs w:val="16"/>
              </w:rPr>
            </w:pPr>
            <w:r w:rsidRPr="00250EE8">
              <w:rPr>
                <w:rFonts w:ascii="Times New Roman" w:hAnsi="Times New Roman"/>
                <w:color w:val="000000"/>
                <w:sz w:val="16"/>
                <w:szCs w:val="16"/>
              </w:rPr>
              <w:t>2 257</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b/>
                <w:sz w:val="16"/>
                <w:szCs w:val="16"/>
              </w:rPr>
            </w:pPr>
            <w:r w:rsidRPr="00250EE8">
              <w:rPr>
                <w:rFonts w:ascii="Times New Roman" w:hAnsi="Times New Roman"/>
                <w:b/>
                <w:sz w:val="16"/>
                <w:szCs w:val="16"/>
              </w:rPr>
              <w:t>Poľnohospodárske fondy spolu</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592 865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606 438</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635 023</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709 502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527 260</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499 447</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rPr>
                <w:rFonts w:ascii="Times New Roman" w:hAnsi="Times New Roman"/>
                <w:b/>
                <w:sz w:val="16"/>
                <w:szCs w:val="16"/>
              </w:rPr>
            </w:pPr>
            <w:r w:rsidRPr="00250EE8">
              <w:rPr>
                <w:rFonts w:ascii="Times New Roman" w:hAnsi="Times New Roman"/>
                <w:b/>
                <w:sz w:val="16"/>
                <w:szCs w:val="16"/>
              </w:rPr>
              <w:t>III. programové obdobie</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 </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650 000</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184991">
            <w:pPr>
              <w:bidi w:val="0"/>
              <w:spacing w:after="0" w:line="240" w:lineRule="auto"/>
              <w:rPr>
                <w:rFonts w:ascii="Times New Roman" w:hAnsi="Times New Roman"/>
                <w:sz w:val="16"/>
                <w:szCs w:val="16"/>
              </w:rPr>
            </w:pPr>
            <w:r w:rsidRPr="00250EE8">
              <w:rPr>
                <w:rFonts w:ascii="Times New Roman" w:hAnsi="Times New Roman"/>
                <w:b/>
                <w:sz w:val="16"/>
                <w:szCs w:val="16"/>
              </w:rPr>
              <w:t>Prostriedky EÚ zaraden</w:t>
            </w:r>
            <w:r w:rsidR="00184991">
              <w:rPr>
                <w:rFonts w:ascii="Times New Roman" w:hAnsi="Times New Roman"/>
                <w:b/>
                <w:sz w:val="16"/>
                <w:szCs w:val="16"/>
              </w:rPr>
              <w:t>é</w:t>
            </w:r>
            <w:r w:rsidRPr="00250EE8">
              <w:rPr>
                <w:rFonts w:ascii="Times New Roman" w:hAnsi="Times New Roman"/>
                <w:b/>
                <w:sz w:val="16"/>
                <w:szCs w:val="16"/>
              </w:rPr>
              <w:t xml:space="preserve"> do výdavkov štátneho rozpočtu  spolu</w:t>
            </w:r>
          </w:p>
        </w:tc>
        <w:tc>
          <w:tcPr>
            <w:tcW w:w="1110"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1 228 875</w:t>
            </w:r>
          </w:p>
        </w:tc>
        <w:tc>
          <w:tcPr>
            <w:tcW w:w="1110"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1 792 523</w:t>
            </w:r>
          </w:p>
        </w:tc>
        <w:tc>
          <w:tcPr>
            <w:tcW w:w="111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3 343 890</w:t>
            </w:r>
          </w:p>
        </w:tc>
        <w:tc>
          <w:tcPr>
            <w:tcW w:w="1110"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3 082 986</w:t>
            </w:r>
          </w:p>
        </w:tc>
        <w:tc>
          <w:tcPr>
            <w:tcW w:w="1110"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2 706 894</w:t>
            </w:r>
          </w:p>
        </w:tc>
        <w:tc>
          <w:tcPr>
            <w:tcW w:w="111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563E5E" w:rsidRPr="00250EE8" w:rsidP="007F0659">
            <w:pPr>
              <w:bidi w:val="0"/>
              <w:spacing w:after="0" w:line="240" w:lineRule="auto"/>
              <w:jc w:val="right"/>
              <w:rPr>
                <w:rFonts w:ascii="Times New Roman" w:hAnsi="Times New Roman"/>
                <w:b/>
                <w:bCs/>
                <w:color w:val="000000"/>
                <w:sz w:val="16"/>
                <w:szCs w:val="16"/>
              </w:rPr>
            </w:pPr>
            <w:r w:rsidRPr="00250EE8">
              <w:rPr>
                <w:rFonts w:ascii="Times New Roman" w:hAnsi="Times New Roman"/>
                <w:b/>
                <w:bCs/>
                <w:color w:val="000000"/>
                <w:sz w:val="16"/>
                <w:szCs w:val="16"/>
              </w:rPr>
              <w:t>2 818 621</w:t>
            </w:r>
          </w:p>
        </w:tc>
      </w:tr>
    </w:tbl>
    <w:p w:rsidR="00563E5E" w:rsidRPr="0005763F" w:rsidP="00563E5E">
      <w:pPr>
        <w:bidi w:val="0"/>
        <w:jc w:val="both"/>
        <w:rPr>
          <w:rFonts w:ascii="Times New Roman" w:hAnsi="Times New Roman"/>
          <w:sz w:val="22"/>
          <w:szCs w:val="22"/>
        </w:rPr>
      </w:pPr>
    </w:p>
    <w:p w:rsidR="00563E5E" w:rsidRPr="00CA002C" w:rsidP="00563E5E">
      <w:pPr>
        <w:bidi w:val="0"/>
        <w:ind w:firstLine="708"/>
        <w:jc w:val="both"/>
        <w:rPr>
          <w:rFonts w:ascii="Times New Roman" w:hAnsi="Times New Roman"/>
          <w:szCs w:val="22"/>
        </w:rPr>
      </w:pPr>
      <w:r w:rsidRPr="00CA002C">
        <w:rPr>
          <w:rFonts w:ascii="Times New Roman" w:hAnsi="Times New Roman"/>
          <w:szCs w:val="22"/>
        </w:rPr>
        <w:t xml:space="preserve">K prostriedkom EÚ, zaradeným do výdavkov štátneho rozpočtu podľa tabuľky č. 6 sa navrhuje na obdobie rokov 2012 až 2014 vyčleniť objem výdavkov štátneho rozpočtu na spolufinancovanie podľa finančných plánov operačných programov/programových dokumentov, ako je uvedené  v tabuľke č. 7. </w:t>
      </w:r>
    </w:p>
    <w:p w:rsidR="00563E5E" w:rsidRPr="00CA002C" w:rsidP="00563E5E">
      <w:pPr>
        <w:bidi w:val="0"/>
        <w:ind w:firstLine="708"/>
        <w:jc w:val="both"/>
        <w:rPr>
          <w:rFonts w:ascii="Times New Roman" w:hAnsi="Times New Roman"/>
          <w:szCs w:val="22"/>
        </w:rPr>
      </w:pPr>
    </w:p>
    <w:p w:rsidR="00563E5E" w:rsidRPr="00CA002C" w:rsidP="00563E5E">
      <w:pPr>
        <w:autoSpaceDE w:val="0"/>
        <w:autoSpaceDN w:val="0"/>
        <w:bidi w:val="0"/>
        <w:jc w:val="both"/>
        <w:rPr>
          <w:rFonts w:ascii="Times New Roman" w:hAnsi="Times New Roman"/>
          <w:spacing w:val="-4"/>
          <w:szCs w:val="22"/>
          <w:lang w:eastAsia="cs-CZ"/>
        </w:rPr>
      </w:pPr>
      <w:r w:rsidRPr="00CA002C">
        <w:rPr>
          <w:rFonts w:ascii="Times New Roman" w:hAnsi="Times New Roman"/>
          <w:spacing w:val="-4"/>
          <w:szCs w:val="22"/>
          <w:u w:val="single"/>
          <w:lang w:eastAsia="cs-CZ"/>
        </w:rPr>
        <w:t>Tabuľka č. 7</w:t>
      </w:r>
      <w:r w:rsidRPr="00CA002C">
        <w:rPr>
          <w:rFonts w:ascii="Times New Roman" w:hAnsi="Times New Roman"/>
          <w:spacing w:val="-4"/>
          <w:szCs w:val="22"/>
          <w:lang w:eastAsia="cs-CZ"/>
        </w:rPr>
        <w:t>: Použitie disponibilného rozpočtu za prostriedky štátneho rozpočtu na spolufinancovanie k prostriedkom EÚ, zaradeným do výdavkov štátneho rozpočtu podľa  operačných programov a poľnohospodárskych fondov na roky 2009 až 2014 na úrovni platobných jednotiek a Pôdohospodárskej platobnej agentúry.</w:t>
      </w:r>
    </w:p>
    <w:p w:rsidR="00563E5E" w:rsidRPr="0005763F" w:rsidP="00563E5E">
      <w:pPr>
        <w:pStyle w:val="BodyText"/>
        <w:bidi w:val="0"/>
        <w:rPr>
          <w:rFonts w:ascii="Times New Roman" w:hAnsi="Times New Roman"/>
          <w:spacing w:val="-4"/>
          <w:sz w:val="20"/>
          <w:szCs w:val="20"/>
          <w:lang w:eastAsia="cs-CZ"/>
        </w:rPr>
      </w:pPr>
      <w:r w:rsidRPr="0005763F">
        <w:rPr>
          <w:rFonts w:ascii="Times New Roman" w:hAnsi="Times New Roman"/>
          <w:sz w:val="20"/>
          <w:szCs w:val="20"/>
        </w:rPr>
        <w:t xml:space="preserve">        </w:t>
        <w:tab/>
        <w:tab/>
        <w:tab/>
        <w:tab/>
        <w:tab/>
        <w:tab/>
        <w:tab/>
        <w:tab/>
        <w:tab/>
        <w:tab/>
        <w:tab/>
        <w:t xml:space="preserve">         (v tis. eur)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110"/>
        <w:gridCol w:w="1110"/>
        <w:gridCol w:w="1111"/>
        <w:gridCol w:w="1110"/>
        <w:gridCol w:w="1110"/>
        <w:gridCol w:w="111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1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63E5E" w:rsidRPr="00250EE8" w:rsidP="007F0659">
            <w:pPr>
              <w:bidi w:val="0"/>
              <w:spacing w:after="0" w:line="240" w:lineRule="auto"/>
              <w:jc w:val="center"/>
              <w:rPr>
                <w:rFonts w:ascii="Times New Roman" w:hAnsi="Times New Roman"/>
                <w:b/>
                <w:color w:val="FFFFFF"/>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11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111"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11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11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111"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Informatizácia spoločnosti</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1 656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10 589</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74 231</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52 559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51 395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34 890</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Životné prostredie</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6 486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14 832</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94 807</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43 603</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56 033</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59 693</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Vzdelávanie</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7 397</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5 966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20 821</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19 459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20 926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17 971</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OP Výskum a vývoj</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7 789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14 945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43 264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49 805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39 445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25 278</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OP Zdravotníctvo</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2 600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7 348</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19 200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12 978</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2 191</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592</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pStyle w:val="BodyText"/>
              <w:bidi w:val="0"/>
              <w:spacing w:after="0" w:line="240" w:lineRule="auto"/>
              <w:jc w:val="left"/>
              <w:rPr>
                <w:rFonts w:ascii="Times New Roman" w:hAnsi="Times New Roman"/>
                <w:spacing w:val="-4"/>
                <w:sz w:val="16"/>
                <w:szCs w:val="16"/>
                <w:lang w:eastAsia="cs-CZ"/>
              </w:rPr>
            </w:pPr>
            <w:r w:rsidRPr="00250EE8">
              <w:rPr>
                <w:rFonts w:ascii="Times New Roman" w:hAnsi="Times New Roman"/>
                <w:spacing w:val="-4"/>
                <w:sz w:val="16"/>
                <w:szCs w:val="16"/>
                <w:lang w:eastAsia="cs-CZ"/>
              </w:rPr>
              <w:t>OP Zamestnanosť a sociálna inklúzia</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12 580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24 007</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24 069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25 432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24 796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22 952</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pStyle w:val="BodyText"/>
              <w:bidi w:val="0"/>
              <w:spacing w:after="0" w:line="240" w:lineRule="auto"/>
              <w:jc w:val="left"/>
              <w:rPr>
                <w:rFonts w:ascii="Times New Roman" w:hAnsi="Times New Roman"/>
                <w:spacing w:val="-4"/>
                <w:sz w:val="16"/>
                <w:szCs w:val="16"/>
                <w:lang w:eastAsia="cs-CZ"/>
              </w:rPr>
            </w:pPr>
            <w:r w:rsidRPr="00250EE8">
              <w:rPr>
                <w:rFonts w:ascii="Times New Roman" w:hAnsi="Times New Roman"/>
                <w:spacing w:val="-4"/>
                <w:sz w:val="16"/>
                <w:szCs w:val="16"/>
                <w:lang w:eastAsia="cs-CZ"/>
              </w:rPr>
              <w:t>OP Konkurencieschopnosť a hospodársky rast</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9 394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15 539</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39 634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20 121</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13 211</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10 690</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Regionálny operačný program</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12 309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27 455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36 512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48 035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35 849</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793</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Bratislavský kraj</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744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1 335</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2 554</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1 800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1 230</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1 070</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OP Doprava</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48 006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64 776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118 568</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162 523</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139 361</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92 902</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OP Technická pomoc</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2 212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4 217</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4 088</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2 420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2 264</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2 207</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b/>
                <w:sz w:val="16"/>
                <w:szCs w:val="16"/>
              </w:rPr>
            </w:pPr>
            <w:r w:rsidRPr="00250EE8">
              <w:rPr>
                <w:rFonts w:ascii="Times New Roman" w:hAnsi="Times New Roman"/>
                <w:b/>
                <w:sz w:val="16"/>
                <w:szCs w:val="16"/>
              </w:rPr>
              <w:t>Operačné programy spolu</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111 173</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191 009</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477 748</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438 735</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386 701</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269 038</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EPZF</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139 246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96 622</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82 609</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64 146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36 606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3 856</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EPFRV</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100 210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107 280</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99 796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116 200</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47 536</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28 522</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sz w:val="16"/>
                <w:szCs w:val="16"/>
              </w:rPr>
              <w:t>EPRH</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181</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510</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1 002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906</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439</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900</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b/>
                <w:sz w:val="16"/>
                <w:szCs w:val="16"/>
              </w:rPr>
            </w:pPr>
            <w:r w:rsidRPr="00250EE8">
              <w:rPr>
                <w:rFonts w:ascii="Times New Roman" w:hAnsi="Times New Roman"/>
                <w:b/>
                <w:sz w:val="16"/>
                <w:szCs w:val="16"/>
              </w:rPr>
              <w:t>Poľnohospodárske fondy spolu</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239 637</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204 412</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183 407</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181 252</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84 581</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33 278</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D534C9" w:rsidRPr="00250EE8" w:rsidP="007F0659">
            <w:pPr>
              <w:bidi w:val="0"/>
              <w:spacing w:after="0" w:line="240" w:lineRule="auto"/>
              <w:rPr>
                <w:rFonts w:ascii="Times New Roman" w:hAnsi="Times New Roman"/>
                <w:b/>
                <w:sz w:val="16"/>
                <w:szCs w:val="16"/>
              </w:rPr>
            </w:pPr>
            <w:r w:rsidRPr="00250EE8">
              <w:rPr>
                <w:rFonts w:ascii="Times New Roman" w:hAnsi="Times New Roman"/>
                <w:b/>
                <w:sz w:val="16"/>
                <w:szCs w:val="16"/>
              </w:rPr>
              <w:t>III. programové obdobie</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110"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111" w:type="dxa"/>
            <w:tcBorders>
              <w:top w:val="single" w:sz="4" w:space="0" w:color="auto"/>
              <w:left w:val="single" w:sz="4" w:space="0" w:color="auto"/>
              <w:bottom w:val="single" w:sz="4" w:space="0" w:color="auto"/>
              <w:right w:val="single" w:sz="4" w:space="0" w:color="auto"/>
            </w:tcBorders>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145 360</w:t>
            </w:r>
          </w:p>
        </w:tc>
      </w:tr>
      <w:tr>
        <w:tblPrEx>
          <w:tblW w:w="0" w:type="auto"/>
          <w:tblLook w:val="04A0"/>
        </w:tblPrEx>
        <w:tc>
          <w:tcPr>
            <w:tcW w:w="2518"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D534C9" w:rsidRPr="00250EE8" w:rsidP="007F0659">
            <w:pPr>
              <w:bidi w:val="0"/>
              <w:spacing w:after="0" w:line="240" w:lineRule="auto"/>
              <w:rPr>
                <w:rFonts w:ascii="Times New Roman" w:hAnsi="Times New Roman"/>
                <w:sz w:val="16"/>
                <w:szCs w:val="16"/>
              </w:rPr>
            </w:pPr>
            <w:r w:rsidRPr="00250EE8">
              <w:rPr>
                <w:rFonts w:ascii="Times New Roman" w:hAnsi="Times New Roman"/>
                <w:b/>
                <w:sz w:val="16"/>
                <w:szCs w:val="16"/>
              </w:rPr>
              <w:t>Prostriedky štátneho rozpočtu na spolufinancovanie k prostriedkom EÚ, zaradeným do výdavkov štátneho rozpočtu  spolu</w:t>
            </w:r>
          </w:p>
        </w:tc>
        <w:tc>
          <w:tcPr>
            <w:tcW w:w="1110"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350 810</w:t>
            </w:r>
          </w:p>
        </w:tc>
        <w:tc>
          <w:tcPr>
            <w:tcW w:w="1110"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395 421</w:t>
            </w:r>
          </w:p>
        </w:tc>
        <w:tc>
          <w:tcPr>
            <w:tcW w:w="111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661 155</w:t>
            </w:r>
          </w:p>
        </w:tc>
        <w:tc>
          <w:tcPr>
            <w:tcW w:w="1110"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619 987</w:t>
            </w:r>
          </w:p>
        </w:tc>
        <w:tc>
          <w:tcPr>
            <w:tcW w:w="1110"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471 282</w:t>
            </w:r>
          </w:p>
        </w:tc>
        <w:tc>
          <w:tcPr>
            <w:tcW w:w="1111"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D534C9">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447 676</w:t>
            </w:r>
          </w:p>
        </w:tc>
      </w:tr>
    </w:tbl>
    <w:p w:rsidR="00563E5E" w:rsidRPr="0005763F" w:rsidP="00563E5E">
      <w:pPr>
        <w:bidi w:val="0"/>
        <w:ind w:firstLine="708"/>
        <w:jc w:val="both"/>
        <w:rPr>
          <w:rFonts w:ascii="Times New Roman" w:hAnsi="Times New Roman"/>
          <w:sz w:val="22"/>
          <w:szCs w:val="22"/>
        </w:rPr>
      </w:pPr>
    </w:p>
    <w:p w:rsidR="00563E5E" w:rsidRPr="00CA002C" w:rsidP="00563E5E">
      <w:pPr>
        <w:bidi w:val="0"/>
        <w:ind w:firstLine="708"/>
        <w:jc w:val="both"/>
        <w:rPr>
          <w:rFonts w:ascii="Times New Roman" w:hAnsi="Times New Roman"/>
          <w:szCs w:val="22"/>
        </w:rPr>
      </w:pPr>
    </w:p>
    <w:p w:rsidR="00563E5E" w:rsidRPr="00CA002C" w:rsidP="00563E5E">
      <w:pPr>
        <w:bidi w:val="0"/>
        <w:ind w:firstLine="708"/>
        <w:jc w:val="both"/>
        <w:rPr>
          <w:rFonts w:ascii="Times New Roman" w:hAnsi="Times New Roman"/>
          <w:szCs w:val="22"/>
        </w:rPr>
      </w:pPr>
      <w:r w:rsidRPr="00CA002C">
        <w:rPr>
          <w:rFonts w:ascii="Times New Roman" w:hAnsi="Times New Roman"/>
          <w:szCs w:val="22"/>
        </w:rPr>
        <w:t xml:space="preserve">Celkový objem prostriedkov štátneho rozpočtu na spolufinancovanie spoločných programov Slovenskej republiky a Európskej únie, vnútorných politík a na financovanie iných finančných nástrojov v rokoch 2009 až 2014, rozpočtovaný na úrovni platobných jednotiek/Pôdohospodárskej platobnej agentúry a v kapitole Všeobecná pokladničná správa uvádza tabuľka č. 8 v členení podľa fondov. </w:t>
      </w:r>
    </w:p>
    <w:p w:rsidR="00563E5E"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P="00563E5E">
      <w:pPr>
        <w:bidi w:val="0"/>
        <w:jc w:val="both"/>
        <w:rPr>
          <w:rFonts w:ascii="Times New Roman" w:hAnsi="Times New Roman"/>
          <w:szCs w:val="22"/>
        </w:rPr>
      </w:pPr>
    </w:p>
    <w:p w:rsidR="00F21A50" w:rsidRPr="00CA002C" w:rsidP="00563E5E">
      <w:pPr>
        <w:bidi w:val="0"/>
        <w:jc w:val="both"/>
        <w:rPr>
          <w:rFonts w:ascii="Times New Roman" w:hAnsi="Times New Roman"/>
          <w:szCs w:val="22"/>
        </w:rPr>
      </w:pPr>
    </w:p>
    <w:p w:rsidR="00563E5E" w:rsidRPr="00CA002C" w:rsidP="00563E5E">
      <w:pPr>
        <w:bidi w:val="0"/>
        <w:jc w:val="both"/>
        <w:rPr>
          <w:rFonts w:ascii="Times New Roman" w:hAnsi="Times New Roman"/>
          <w:spacing w:val="-4"/>
          <w:szCs w:val="22"/>
          <w:lang w:eastAsia="cs-CZ"/>
        </w:rPr>
      </w:pPr>
      <w:r w:rsidRPr="00CA002C">
        <w:rPr>
          <w:rFonts w:ascii="Times New Roman" w:hAnsi="Times New Roman"/>
          <w:bCs/>
          <w:spacing w:val="-4"/>
          <w:szCs w:val="22"/>
          <w:u w:val="single"/>
          <w:lang w:eastAsia="cs-CZ"/>
        </w:rPr>
        <w:t>Tabuľka č. 8:</w:t>
      </w:r>
      <w:r w:rsidRPr="00CA002C">
        <w:rPr>
          <w:rFonts w:ascii="Times New Roman" w:hAnsi="Times New Roman"/>
          <w:spacing w:val="-4"/>
          <w:szCs w:val="22"/>
          <w:lang w:eastAsia="cs-CZ"/>
        </w:rPr>
        <w:t xml:space="preserve"> Výdavky na spolufinancovanie spoločných programov Slovenskej republiky a Európskej únie,  vnútorných politík a na financovanie iných finančných nástrojov v rokoch 2009 až 2014. </w:t>
      </w:r>
    </w:p>
    <w:p w:rsidR="00563E5E" w:rsidRPr="0005763F" w:rsidP="00563E5E">
      <w:pPr>
        <w:bidi w:val="0"/>
        <w:jc w:val="both"/>
        <w:rPr>
          <w:rFonts w:ascii="Times New Roman" w:hAnsi="Times New Roman"/>
          <w:spacing w:val="-4"/>
          <w:sz w:val="22"/>
          <w:szCs w:val="22"/>
          <w:lang w:eastAsia="cs-CZ"/>
        </w:rPr>
      </w:pPr>
    </w:p>
    <w:p w:rsidR="00563E5E" w:rsidRPr="0005763F" w:rsidP="00563E5E">
      <w:pPr>
        <w:pStyle w:val="BodyText"/>
        <w:bidi w:val="0"/>
        <w:jc w:val="right"/>
        <w:rPr>
          <w:rFonts w:ascii="Times New Roman" w:hAnsi="Times New Roman"/>
          <w:sz w:val="16"/>
          <w:szCs w:val="16"/>
        </w:rPr>
      </w:pPr>
      <w:r w:rsidRPr="0005763F">
        <w:rPr>
          <w:rFonts w:ascii="Times New Roman" w:hAnsi="Times New Roman"/>
          <w:sz w:val="20"/>
          <w:szCs w:val="20"/>
        </w:rPr>
        <w:t xml:space="preserve">         </w:t>
      </w:r>
      <w:r w:rsidRPr="0005763F">
        <w:rPr>
          <w:rFonts w:ascii="Times New Roman" w:hAnsi="Times New Roman"/>
          <w:sz w:val="16"/>
          <w:szCs w:val="16"/>
        </w:rPr>
        <w:t>(v tis. eur)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1830"/>
        <w:gridCol w:w="1044"/>
        <w:gridCol w:w="1044"/>
        <w:gridCol w:w="1044"/>
        <w:gridCol w:w="1044"/>
        <w:gridCol w:w="1044"/>
        <w:gridCol w:w="10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4"/>
        </w:trPr>
        <w:tc>
          <w:tcPr>
            <w:tcW w:w="1194" w:type="dxa"/>
            <w:tcBorders>
              <w:top w:val="single" w:sz="4" w:space="0" w:color="auto"/>
              <w:left w:val="single" w:sz="4" w:space="0" w:color="auto"/>
              <w:bottom w:val="single" w:sz="4" w:space="0" w:color="auto"/>
              <w:right w:val="single" w:sz="4" w:space="0" w:color="auto"/>
            </w:tcBorders>
            <w:shd w:val="solid" w:color="auto" w:fill="auto"/>
            <w:textDirection w:val="lrTb"/>
            <w:vAlign w:val="top"/>
          </w:tcPr>
          <w:p w:rsidR="00563E5E" w:rsidRPr="00250EE8" w:rsidP="007F0659">
            <w:pPr>
              <w:bidi w:val="0"/>
              <w:spacing w:after="0" w:line="240" w:lineRule="auto"/>
              <w:jc w:val="center"/>
              <w:rPr>
                <w:rFonts w:ascii="Times New Roman" w:hAnsi="Times New Roman"/>
                <w:b/>
                <w:color w:val="FFFFFF"/>
                <w:sz w:val="16"/>
                <w:szCs w:val="16"/>
              </w:rPr>
            </w:pPr>
            <w:r w:rsidRPr="00250EE8">
              <w:rPr>
                <w:rFonts w:ascii="Times New Roman" w:hAnsi="Times New Roman"/>
                <w:sz w:val="16"/>
                <w:szCs w:val="16"/>
              </w:rPr>
              <w:tab/>
            </w:r>
          </w:p>
        </w:tc>
        <w:tc>
          <w:tcPr>
            <w:tcW w:w="1830" w:type="dxa"/>
            <w:tcBorders>
              <w:top w:val="single" w:sz="4" w:space="0" w:color="auto"/>
              <w:left w:val="single" w:sz="4" w:space="0" w:color="auto"/>
              <w:bottom w:val="single" w:sz="4" w:space="0" w:color="auto"/>
              <w:right w:val="single" w:sz="4" w:space="0" w:color="auto"/>
            </w:tcBorders>
            <w:shd w:val="solid" w:color="auto" w:fill="auto"/>
            <w:textDirection w:val="lrTb"/>
            <w:vAlign w:val="top"/>
          </w:tcPr>
          <w:p w:rsidR="00563E5E" w:rsidRPr="00250EE8" w:rsidP="007F0659">
            <w:pPr>
              <w:bidi w:val="0"/>
              <w:spacing w:after="0" w:line="240" w:lineRule="auto"/>
              <w:jc w:val="center"/>
              <w:rPr>
                <w:rFonts w:ascii="Times New Roman" w:hAnsi="Times New Roman"/>
                <w:b/>
                <w:color w:val="FFFFFF"/>
                <w:sz w:val="16"/>
                <w:szCs w:val="16"/>
              </w:rPr>
            </w:pPr>
          </w:p>
        </w:tc>
        <w:tc>
          <w:tcPr>
            <w:tcW w:w="104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04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04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04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04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04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rsidRPr="00250EE8" w:rsidP="007F0659">
            <w:pPr>
              <w:pStyle w:val="BodyText"/>
              <w:bidi w:val="0"/>
              <w:spacing w:after="0" w:line="240" w:lineRule="auto"/>
              <w:jc w:val="left"/>
              <w:rPr>
                <w:rFonts w:ascii="Times New Roman" w:hAnsi="Times New Roman"/>
                <w:b/>
                <w:spacing w:val="-4"/>
                <w:sz w:val="16"/>
                <w:szCs w:val="16"/>
                <w:lang w:eastAsia="cs-CZ"/>
              </w:rPr>
            </w:pPr>
            <w:r w:rsidRPr="00250EE8">
              <w:rPr>
                <w:rFonts w:ascii="Times New Roman" w:hAnsi="Times New Roman"/>
                <w:b/>
                <w:spacing w:val="-4"/>
                <w:sz w:val="16"/>
                <w:szCs w:val="16"/>
                <w:lang w:eastAsia="cs-CZ"/>
              </w:rPr>
              <w:t>A1=A11+A12+</w:t>
            </w:r>
          </w:p>
          <w:p w:rsidR="00E773C8" w:rsidRPr="00250EE8" w:rsidP="007F0659">
            <w:pPr>
              <w:pStyle w:val="BodyText"/>
              <w:bidi w:val="0"/>
              <w:spacing w:after="0" w:line="240" w:lineRule="auto"/>
              <w:jc w:val="left"/>
              <w:rPr>
                <w:rFonts w:ascii="Times New Roman" w:hAnsi="Times New Roman"/>
                <w:b/>
                <w:spacing w:val="-4"/>
                <w:sz w:val="16"/>
                <w:szCs w:val="16"/>
                <w:lang w:eastAsia="cs-CZ"/>
              </w:rPr>
            </w:pPr>
            <w:r w:rsidRPr="00250EE8">
              <w:rPr>
                <w:rFonts w:ascii="Times New Roman" w:hAnsi="Times New Roman"/>
                <w:b/>
                <w:spacing w:val="-4"/>
                <w:sz w:val="16"/>
                <w:szCs w:val="16"/>
                <w:lang w:eastAsia="cs-CZ"/>
              </w:rPr>
              <w:t>A13+A14+ A15</w:t>
            </w:r>
          </w:p>
        </w:tc>
        <w:tc>
          <w:tcPr>
            <w:tcW w:w="1830" w:type="dxa"/>
            <w:tcBorders>
              <w:top w:val="single" w:sz="4" w:space="0" w:color="auto"/>
              <w:left w:val="single" w:sz="4" w:space="0" w:color="auto"/>
              <w:bottom w:val="single" w:sz="4" w:space="0" w:color="auto"/>
              <w:right w:val="single" w:sz="4" w:space="0" w:color="auto"/>
            </w:tcBorders>
            <w:shd w:val="pct10" w:color="auto" w:fill="auto"/>
            <w:textDirection w:val="lrTb"/>
            <w:vAlign w:val="top"/>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Spolufinancovanie fondov na podporu poľnohospodárstva a rybného hospodárstva v tom spolufinancovanie:</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239 997</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210 447</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183 407</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181 252</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84 581</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33 278</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A11</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Medziročný nárast pohľadávky na priame platby</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29 702</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29 304</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38 789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42 865</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33 118</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A12</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Národná vyrovnávacia platba</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107 355</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64 599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40 598</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18 000</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0</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A13</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Trhovo orientované výdavky</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2 189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2 719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3 222</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3 280</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3 488</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3 856</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br/>
              <w:t>A14</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Program</w:t>
            </w:r>
            <w:r w:rsidRPr="00250EE8">
              <w:rPr>
                <w:rFonts w:ascii="Times New Roman" w:hAnsi="Times New Roman"/>
                <w:bCs/>
                <w:sz w:val="16"/>
                <w:szCs w:val="16"/>
              </w:rPr>
              <w:t xml:space="preserve"> rozvoja vidieka SR</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100 586</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113 309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99 796</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116 200</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47 536</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28 522</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A15</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Európsky fond pre rybné hospodárstvo SR</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165</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516</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1 002</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907</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439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900</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A2=A21 +  A22</w:t>
            </w:r>
          </w:p>
        </w:tc>
        <w:tc>
          <w:tcPr>
            <w:tcW w:w="1830" w:type="dxa"/>
            <w:tcBorders>
              <w:top w:val="single" w:sz="4" w:space="0" w:color="auto"/>
              <w:left w:val="single" w:sz="4" w:space="0" w:color="auto"/>
              <w:bottom w:val="single" w:sz="4" w:space="0" w:color="auto"/>
              <w:right w:val="single" w:sz="4" w:space="0" w:color="auto"/>
            </w:tcBorders>
            <w:shd w:val="pct10" w:color="auto" w:fill="auto"/>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Spolufinancovanie štrukturálnych operácií v tom spolufinancovanie fondov</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192 654</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199 504</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477 748</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438 735</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386 701</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269 038</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A21</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Štrukturálne fondy (bez Európskej územnej spolupráce)</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122 443</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132 889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344 135</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310 628</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235 701</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144 168</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A22</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Kohézny fond</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70 211</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66 615</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133 613</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128 107</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151 000</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124 870</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rsidRPr="00250EE8" w:rsidP="007F0659">
            <w:pPr>
              <w:pStyle w:val="BodyText"/>
              <w:bidi w:val="0"/>
              <w:spacing w:after="0" w:line="240" w:lineRule="auto"/>
              <w:jc w:val="left"/>
              <w:rPr>
                <w:rFonts w:ascii="Times New Roman" w:hAnsi="Times New Roman"/>
                <w:b/>
                <w:sz w:val="16"/>
                <w:szCs w:val="16"/>
              </w:rPr>
            </w:pPr>
            <w:r w:rsidRPr="00250EE8">
              <w:rPr>
                <w:rFonts w:ascii="Times New Roman" w:hAnsi="Times New Roman"/>
                <w:b/>
                <w:sz w:val="16"/>
                <w:szCs w:val="16"/>
              </w:rPr>
              <w:t>A3</w:t>
            </w:r>
          </w:p>
        </w:tc>
        <w:tc>
          <w:tcPr>
            <w:tcW w:w="1830" w:type="dxa"/>
            <w:tcBorders>
              <w:top w:val="single" w:sz="4" w:space="0" w:color="auto"/>
              <w:left w:val="single" w:sz="4" w:space="0" w:color="auto"/>
              <w:bottom w:val="single" w:sz="4" w:space="0" w:color="auto"/>
              <w:right w:val="single" w:sz="4" w:space="0" w:color="auto"/>
            </w:tcBorders>
            <w:shd w:val="pct10" w:color="auto" w:fill="auto"/>
            <w:textDirection w:val="lrTb"/>
            <w:vAlign w:val="top"/>
          </w:tcPr>
          <w:p w:rsidR="00E773C8" w:rsidRPr="00250EE8" w:rsidP="007F0659">
            <w:pPr>
              <w:pStyle w:val="BodyText"/>
              <w:bidi w:val="0"/>
              <w:spacing w:after="0" w:line="240" w:lineRule="auto"/>
              <w:rPr>
                <w:rFonts w:ascii="Times New Roman" w:hAnsi="Times New Roman"/>
                <w:b/>
                <w:spacing w:val="-4"/>
                <w:sz w:val="16"/>
                <w:szCs w:val="16"/>
                <w:lang w:eastAsia="cs-CZ"/>
              </w:rPr>
            </w:pPr>
            <w:r w:rsidRPr="00250EE8">
              <w:rPr>
                <w:rFonts w:ascii="Times New Roman" w:hAnsi="Times New Roman"/>
                <w:b/>
                <w:spacing w:val="-4"/>
                <w:sz w:val="16"/>
                <w:szCs w:val="16"/>
                <w:lang w:eastAsia="cs-CZ"/>
              </w:rPr>
              <w:t>III. programové obdobie</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 </w:t>
            </w:r>
          </w:p>
        </w:tc>
        <w:tc>
          <w:tcPr>
            <w:tcW w:w="1044" w:type="dxa"/>
            <w:tcBorders>
              <w:top w:val="single" w:sz="4" w:space="0" w:color="auto"/>
              <w:left w:val="single" w:sz="4" w:space="0" w:color="auto"/>
              <w:bottom w:val="single" w:sz="4" w:space="0" w:color="auto"/>
              <w:right w:val="single" w:sz="4" w:space="0" w:color="auto"/>
            </w:tcBorders>
            <w:shd w:val="pct1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145 360</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rsidRPr="00250EE8" w:rsidP="007F0659">
            <w:pPr>
              <w:pStyle w:val="BodyText"/>
              <w:bidi w:val="0"/>
              <w:spacing w:after="0" w:line="240" w:lineRule="auto"/>
              <w:jc w:val="left"/>
              <w:rPr>
                <w:rFonts w:ascii="Times New Roman" w:hAnsi="Times New Roman"/>
                <w:b/>
                <w:sz w:val="16"/>
                <w:szCs w:val="16"/>
              </w:rPr>
            </w:pPr>
            <w:r w:rsidRPr="00250EE8">
              <w:rPr>
                <w:rFonts w:ascii="Times New Roman" w:hAnsi="Times New Roman"/>
                <w:b/>
                <w:sz w:val="16"/>
                <w:szCs w:val="16"/>
              </w:rPr>
              <w:t>A=A1+A2+A3</w:t>
            </w:r>
          </w:p>
        </w:tc>
        <w:tc>
          <w:tcPr>
            <w:tcW w:w="1830" w:type="dxa"/>
            <w:tcBorders>
              <w:top w:val="single" w:sz="4" w:space="0" w:color="auto"/>
              <w:left w:val="single" w:sz="4" w:space="0" w:color="auto"/>
              <w:bottom w:val="single" w:sz="4" w:space="0" w:color="auto"/>
              <w:right w:val="single" w:sz="4" w:space="0" w:color="auto"/>
            </w:tcBorders>
            <w:shd w:val="pct20" w:color="auto" w:fill="auto"/>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Spolufinancovanie prostriedkov EÚ, zaradených do výdavkov štátneho rozpočtu spolu</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432 651</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409 951</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661 155</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619 987</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471 282</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447 676</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B=B1+B2</w:t>
            </w:r>
          </w:p>
        </w:tc>
        <w:tc>
          <w:tcPr>
            <w:tcW w:w="1830" w:type="dxa"/>
            <w:tcBorders>
              <w:top w:val="single" w:sz="4" w:space="0" w:color="auto"/>
              <w:left w:val="single" w:sz="4" w:space="0" w:color="auto"/>
              <w:bottom w:val="single" w:sz="4" w:space="0" w:color="auto"/>
              <w:right w:val="single" w:sz="4" w:space="0" w:color="auto"/>
            </w:tcBorders>
            <w:shd w:val="pct20" w:color="auto" w:fill="auto"/>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Spolufinancovanie príjmov z EÚ,  nezaradených do  výdavkov štátneho rozpočtu spolu</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3 613</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4 624</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19 688</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15 955</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18 979</w:t>
            </w:r>
          </w:p>
        </w:tc>
        <w:tc>
          <w:tcPr>
            <w:tcW w:w="1044" w:type="dxa"/>
            <w:tcBorders>
              <w:top w:val="single" w:sz="4" w:space="0" w:color="auto"/>
              <w:left w:val="single" w:sz="4" w:space="0" w:color="auto"/>
              <w:bottom w:val="single" w:sz="4" w:space="0" w:color="auto"/>
              <w:right w:val="single" w:sz="4" w:space="0" w:color="auto"/>
            </w:tcBorders>
            <w:shd w:val="pct20"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9 928</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B1</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Spolufinancovanie programov Európskej územnej spolupráce</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655</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1 640</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4 874</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9 946</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11 299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5 672</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B2</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Spolufinancovanie vnútorných politík/pred. fondov</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2 958</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2 984</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14 814</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6 009</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7 680</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4 256</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C=A+B</w:t>
            </w:r>
          </w:p>
        </w:tc>
        <w:tc>
          <w:tcPr>
            <w:tcW w:w="1830" w:type="dxa"/>
            <w:tcBorders>
              <w:top w:val="single" w:sz="4" w:space="0" w:color="auto"/>
              <w:left w:val="single" w:sz="4" w:space="0" w:color="auto"/>
              <w:bottom w:val="single" w:sz="4" w:space="0" w:color="auto"/>
              <w:right w:val="single" w:sz="4" w:space="0" w:color="auto"/>
            </w:tcBorders>
            <w:shd w:val="pct25" w:color="auto" w:fill="auto"/>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Spolufinancovanie príjmov z EÚ spolu</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436 264</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414 575</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680 843</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635 942</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490 261</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457 604</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D=D1+D2</w:t>
            </w:r>
          </w:p>
        </w:tc>
        <w:tc>
          <w:tcPr>
            <w:tcW w:w="1830" w:type="dxa"/>
            <w:tcBorders>
              <w:top w:val="single" w:sz="4" w:space="0" w:color="auto"/>
              <w:left w:val="single" w:sz="4" w:space="0" w:color="auto"/>
              <w:bottom w:val="single" w:sz="4" w:space="0" w:color="auto"/>
              <w:right w:val="single" w:sz="4" w:space="0" w:color="auto"/>
            </w:tcBorders>
            <w:shd w:val="pct25" w:color="auto" w:fill="auto"/>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Výdavky na financovanie iných prostriedkov zo zahraničia na základe medzinárodných zmlúv  v tom</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4 748</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6 633</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13 079</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4 415</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3 793</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3 600</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D1</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Finančný mechanizmus EHP a Nórsky finančný mechanizmus</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3 884</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5 173</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8 841</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1 961</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1 275</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2 292</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D2</w:t>
            </w:r>
          </w:p>
        </w:tc>
        <w:tc>
          <w:tcPr>
            <w:tcW w:w="1830" w:type="dxa"/>
            <w:tcBorders>
              <w:top w:val="single" w:sz="4" w:space="0" w:color="auto"/>
              <w:left w:val="single" w:sz="4" w:space="0" w:color="auto"/>
              <w:bottom w:val="single" w:sz="4" w:space="0" w:color="auto"/>
              <w:right w:val="single" w:sz="4" w:space="0" w:color="auto"/>
            </w:tcBorders>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spacing w:val="-4"/>
                <w:sz w:val="16"/>
                <w:szCs w:val="16"/>
                <w:lang w:eastAsia="cs-CZ"/>
              </w:rPr>
              <w:t>Švajčiarsky finančný mechanizmus</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864</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1 460</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4 238</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2 454</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2 518</w:t>
            </w:r>
          </w:p>
        </w:tc>
        <w:tc>
          <w:tcPr>
            <w:tcW w:w="1044" w:type="dxa"/>
            <w:tcBorders>
              <w:top w:val="single" w:sz="4" w:space="0" w:color="auto"/>
              <w:left w:val="single" w:sz="4" w:space="0" w:color="auto"/>
              <w:bottom w:val="single" w:sz="4" w:space="0" w:color="auto"/>
              <w:right w:val="single" w:sz="4" w:space="0" w:color="auto"/>
            </w:tcBorders>
            <w:textDirection w:val="lrTb"/>
            <w:vAlign w:val="center"/>
          </w:tcPr>
          <w:p w:rsidR="00E773C8">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1 308</w:t>
            </w:r>
          </w:p>
        </w:tc>
      </w:tr>
      <w:tr>
        <w:tblPrEx>
          <w:tblW w:w="0" w:type="auto"/>
          <w:tblLook w:val="04A0"/>
        </w:tblPrEx>
        <w:tc>
          <w:tcPr>
            <w:tcW w:w="119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pacing w:val="-4"/>
                <w:sz w:val="16"/>
                <w:szCs w:val="16"/>
                <w:lang w:eastAsia="cs-CZ"/>
              </w:rPr>
              <w:t>E=C+D</w:t>
            </w:r>
          </w:p>
        </w:tc>
        <w:tc>
          <w:tcPr>
            <w:tcW w:w="1830" w:type="dxa"/>
            <w:tcBorders>
              <w:top w:val="single" w:sz="4" w:space="0" w:color="auto"/>
              <w:left w:val="single" w:sz="4" w:space="0" w:color="auto"/>
              <w:bottom w:val="single" w:sz="4" w:space="0" w:color="auto"/>
              <w:right w:val="single" w:sz="4" w:space="0" w:color="auto"/>
            </w:tcBorders>
            <w:shd w:val="pct25" w:color="auto" w:fill="auto"/>
            <w:textDirection w:val="lrTb"/>
            <w:vAlign w:val="top"/>
          </w:tcPr>
          <w:p w:rsidR="00E773C8" w:rsidRPr="00250EE8" w:rsidP="007F0659">
            <w:pPr>
              <w:pStyle w:val="BodyText"/>
              <w:bidi w:val="0"/>
              <w:spacing w:after="0" w:line="240" w:lineRule="auto"/>
              <w:rPr>
                <w:rFonts w:ascii="Times New Roman" w:hAnsi="Times New Roman"/>
                <w:sz w:val="16"/>
                <w:szCs w:val="16"/>
              </w:rPr>
            </w:pPr>
            <w:r w:rsidRPr="00250EE8">
              <w:rPr>
                <w:rFonts w:ascii="Times New Roman" w:hAnsi="Times New Roman"/>
                <w:b/>
                <w:spacing w:val="-4"/>
                <w:sz w:val="16"/>
                <w:szCs w:val="16"/>
                <w:lang w:eastAsia="cs-CZ"/>
              </w:rPr>
              <w:t>Spolufinancovanie príjmov z EÚ a iných prostriedkov zo zahraničia na základe medzinárodných zmlúv spolu</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441 012</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421 208</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693 922</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640 357</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494 054</w:t>
            </w:r>
          </w:p>
        </w:tc>
        <w:tc>
          <w:tcPr>
            <w:tcW w:w="104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E773C8">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461 204</w:t>
            </w:r>
          </w:p>
        </w:tc>
      </w:tr>
    </w:tbl>
    <w:p w:rsidR="00563E5E" w:rsidRPr="0005763F" w:rsidP="00563E5E">
      <w:pPr>
        <w:pStyle w:val="BodyText"/>
        <w:bidi w:val="0"/>
        <w:rPr>
          <w:rFonts w:ascii="Times New Roman" w:hAnsi="Times New Roman"/>
          <w:sz w:val="16"/>
          <w:szCs w:val="16"/>
        </w:rPr>
      </w:pPr>
    </w:p>
    <w:p w:rsidR="00563E5E" w:rsidRPr="00284B2B" w:rsidP="00563E5E">
      <w:pPr>
        <w:pStyle w:val="BodyText"/>
        <w:bidi w:val="0"/>
        <w:rPr>
          <w:rFonts w:ascii="Times New Roman" w:hAnsi="Times New Roman"/>
          <w:sz w:val="18"/>
          <w:szCs w:val="16"/>
        </w:rPr>
      </w:pPr>
    </w:p>
    <w:p w:rsidR="00563E5E" w:rsidRPr="00284B2B" w:rsidP="00563E5E">
      <w:pPr>
        <w:bidi w:val="0"/>
        <w:ind w:firstLine="708"/>
        <w:jc w:val="both"/>
        <w:rPr>
          <w:rFonts w:ascii="Times New Roman" w:hAnsi="Times New Roman"/>
          <w:szCs w:val="22"/>
        </w:rPr>
      </w:pPr>
      <w:r w:rsidRPr="00284B2B">
        <w:rPr>
          <w:rFonts w:ascii="Times New Roman" w:hAnsi="Times New Roman"/>
          <w:szCs w:val="22"/>
        </w:rPr>
        <w:t xml:space="preserve">Výdavky na spolufinancovanie Finančného mechanizmu EHP, Nórskeho finančného mechanizmu a Švajčiarskeho finančného mechanizmu sú zabezpečené v kapitole Všeobecná pokladničná správa. Tieto výdavky zahŕňajú aj prostriedky na predfinancovanie projektov a financovanie kurzových rozdielov, dane z úrokov, bankové poplatky za vedenie účtov a pod. </w:t>
      </w:r>
    </w:p>
    <w:p w:rsidR="00563E5E" w:rsidRPr="00284B2B" w:rsidP="00563E5E">
      <w:pPr>
        <w:bidi w:val="0"/>
        <w:ind w:firstLine="708"/>
        <w:jc w:val="both"/>
        <w:rPr>
          <w:rFonts w:ascii="Times New Roman" w:hAnsi="Times New Roman"/>
          <w:szCs w:val="22"/>
        </w:rPr>
      </w:pPr>
    </w:p>
    <w:p w:rsidR="00563E5E" w:rsidRPr="00284B2B" w:rsidP="00563E5E">
      <w:pPr>
        <w:bidi w:val="0"/>
        <w:ind w:firstLine="708"/>
        <w:jc w:val="both"/>
        <w:rPr>
          <w:rFonts w:ascii="Times New Roman" w:hAnsi="Times New Roman"/>
          <w:szCs w:val="22"/>
        </w:rPr>
      </w:pPr>
      <w:r w:rsidRPr="00284B2B">
        <w:rPr>
          <w:rFonts w:ascii="Times New Roman" w:hAnsi="Times New Roman"/>
          <w:szCs w:val="22"/>
        </w:rPr>
        <w:t xml:space="preserve">V kapitole Ministerstva financií SR sú vyčlenené tiež prostriedky štátneho rozpočtu na výdavky, spojené s preplatením cestovných výdavkov zamestnancov ústredných orgánov štátnej správy a iných inštitúcií, súvisiacich s účasťou zástupcov Slovenskej republiky na zasadnutiach výborov a pracovných skupín Rady Európskej únie pre roky 2012 až 2014 v sume po 264 eur ročne (finančná obálka). </w:t>
      </w:r>
    </w:p>
    <w:p w:rsidR="00563E5E" w:rsidRPr="00284B2B" w:rsidP="00563E5E">
      <w:pPr>
        <w:bidi w:val="0"/>
        <w:jc w:val="both"/>
        <w:rPr>
          <w:rFonts w:ascii="Times New Roman" w:hAnsi="Times New Roman"/>
          <w:szCs w:val="22"/>
        </w:rPr>
      </w:pPr>
    </w:p>
    <w:p w:rsidR="00563E5E" w:rsidRPr="00284B2B" w:rsidP="00563E5E">
      <w:pPr>
        <w:bidi w:val="0"/>
        <w:jc w:val="both"/>
        <w:rPr>
          <w:rFonts w:ascii="Times New Roman" w:hAnsi="Times New Roman"/>
          <w:b/>
          <w:szCs w:val="22"/>
        </w:rPr>
      </w:pPr>
      <w:r w:rsidRPr="00284B2B">
        <w:rPr>
          <w:rFonts w:ascii="Times New Roman" w:hAnsi="Times New Roman"/>
          <w:b/>
          <w:szCs w:val="22"/>
        </w:rPr>
        <w:t>5. Rezerva na prostriedky Európskej únie a odvody Európskej únii</w:t>
      </w:r>
    </w:p>
    <w:p w:rsidR="00563E5E" w:rsidRPr="00284B2B" w:rsidP="00563E5E">
      <w:pPr>
        <w:bidi w:val="0"/>
        <w:spacing w:before="120" w:after="100" w:afterAutospacing="1"/>
        <w:ind w:firstLine="708"/>
        <w:jc w:val="both"/>
        <w:rPr>
          <w:rFonts w:ascii="Times New Roman" w:hAnsi="Times New Roman"/>
          <w:szCs w:val="22"/>
        </w:rPr>
      </w:pPr>
      <w:r w:rsidRPr="00284B2B">
        <w:rPr>
          <w:rFonts w:ascii="Times New Roman" w:hAnsi="Times New Roman"/>
          <w:szCs w:val="22"/>
        </w:rPr>
        <w:t>Rezerva na prostriedky Európskej únie a odvody Európskej únii, rozpočtovaná v kapitole Všeobecná pokladničná správa, slúži na  administrovanie odvodov do všeobecného rozpočtu EÚ, rýchlejšiu realizáciu a väčší počet projektov, na zefektívnenie systému finančného riadenia fondov a na ďalšie výdavky, súvisiace s financovaním spoločných programov Slovenskej republiky a Európskej únie a iných finančných nástrojov. Návrh výšky rozpočtu výdavkov na obdobie rokov 2012 až 2014 je uvedený v tabuľke č. 9.</w:t>
      </w:r>
    </w:p>
    <w:p w:rsidR="00563E5E" w:rsidRPr="00284B2B" w:rsidP="00563E5E">
      <w:pPr>
        <w:bidi w:val="0"/>
        <w:jc w:val="both"/>
        <w:rPr>
          <w:rFonts w:ascii="Times New Roman" w:hAnsi="Times New Roman"/>
          <w:spacing w:val="-4"/>
          <w:szCs w:val="22"/>
          <w:lang w:eastAsia="cs-CZ"/>
        </w:rPr>
      </w:pPr>
      <w:r w:rsidRPr="00284B2B">
        <w:rPr>
          <w:rFonts w:ascii="Times New Roman" w:hAnsi="Times New Roman"/>
          <w:szCs w:val="22"/>
          <w:u w:val="single"/>
        </w:rPr>
        <w:t>Tabuľka č. 9:</w:t>
      </w:r>
      <w:r w:rsidRPr="00284B2B">
        <w:rPr>
          <w:rFonts w:ascii="Times New Roman" w:hAnsi="Times New Roman"/>
          <w:szCs w:val="22"/>
        </w:rPr>
        <w:t xml:space="preserve"> Rezerva na prostriedky Európskej únie a odvody Európskej únii  v rokoch 2009 </w:t>
      </w:r>
      <w:r w:rsidRPr="00284B2B">
        <w:rPr>
          <w:rFonts w:ascii="Times New Roman" w:hAnsi="Times New Roman"/>
          <w:spacing w:val="-4"/>
          <w:szCs w:val="22"/>
          <w:lang w:eastAsia="cs-CZ"/>
        </w:rPr>
        <w:t xml:space="preserve">až 2014 </w:t>
      </w:r>
    </w:p>
    <w:p w:rsidR="00563E5E" w:rsidRPr="00250EE8" w:rsidP="00563E5E">
      <w:pPr>
        <w:pStyle w:val="BodyText"/>
        <w:bidi w:val="0"/>
        <w:jc w:val="right"/>
        <w:rPr>
          <w:rFonts w:ascii="Times New Roman" w:hAnsi="Times New Roman"/>
          <w:sz w:val="16"/>
          <w:szCs w:val="20"/>
        </w:rPr>
      </w:pPr>
      <w:r w:rsidRPr="0005763F">
        <w:rPr>
          <w:rFonts w:ascii="Times New Roman" w:hAnsi="Times New Roman"/>
          <w:sz w:val="20"/>
          <w:szCs w:val="20"/>
        </w:rPr>
        <w:t xml:space="preserve">         </w:t>
      </w:r>
      <w:r w:rsidRPr="00250EE8">
        <w:rPr>
          <w:rFonts w:ascii="Times New Roman" w:hAnsi="Times New Roman"/>
          <w:sz w:val="16"/>
          <w:szCs w:val="20"/>
        </w:rPr>
        <w:t>(v tis. eur)</w:t>
      </w:r>
    </w:p>
    <w:tbl>
      <w:tblPr>
        <w:tblStyle w:val="TableNorm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134"/>
        <w:gridCol w:w="1134"/>
        <w:gridCol w:w="1134"/>
        <w:gridCol w:w="1134"/>
        <w:gridCol w:w="1134"/>
        <w:gridCol w:w="1134"/>
      </w:tblGrid>
      <w:tr>
        <w:tblPrEx>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18" w:type="dxa"/>
            <w:tcBorders>
              <w:top w:val="single" w:sz="4" w:space="0" w:color="auto"/>
              <w:left w:val="single" w:sz="4" w:space="0" w:color="auto"/>
              <w:bottom w:val="single" w:sz="4" w:space="0" w:color="auto"/>
              <w:right w:val="single" w:sz="4" w:space="0" w:color="auto"/>
            </w:tcBorders>
            <w:shd w:val="solid" w:color="auto" w:fill="auto"/>
            <w:textDirection w:val="lrTb"/>
            <w:vAlign w:val="top"/>
          </w:tcPr>
          <w:p w:rsidR="00563E5E" w:rsidRPr="00250EE8" w:rsidP="007F0659">
            <w:pPr>
              <w:bidi w:val="0"/>
              <w:spacing w:after="0" w:line="240" w:lineRule="auto"/>
              <w:jc w:val="center"/>
              <w:rPr>
                <w:rFonts w:ascii="Times New Roman" w:hAnsi="Times New Roman"/>
                <w:b/>
                <w:color w:val="FFFFFF"/>
                <w:sz w:val="16"/>
                <w:szCs w:val="16"/>
              </w:rPr>
            </w:pPr>
          </w:p>
        </w:tc>
        <w:tc>
          <w:tcPr>
            <w:tcW w:w="113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13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13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13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13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134"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9322" w:type="dxa"/>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7F0659"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Rezerva na odvody do všeobecného rozpočtu EÚ</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62 052</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12 360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1</w:t>
            </w:r>
          </w:p>
        </w:tc>
      </w:tr>
      <w:tr>
        <w:tblPrEx>
          <w:tblW w:w="9322" w:type="dxa"/>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7F0659"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Rezerva na štrukturálne operácie</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3 752</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41 500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2 500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2 500</w:t>
            </w:r>
          </w:p>
        </w:tc>
      </w:tr>
      <w:tr>
        <w:tblPrEx>
          <w:tblW w:w="9322" w:type="dxa"/>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7F0659"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sz w:val="16"/>
                <w:szCs w:val="16"/>
              </w:rPr>
              <w:t>Rezerva na financovanie fondov na podporu poľnohospodárstva a rybného hospodárstva</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1 000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2 000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1 000</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F0659" w:rsidRPr="007F0659">
            <w:pPr>
              <w:bidi w:val="0"/>
              <w:spacing w:after="0" w:line="240" w:lineRule="auto"/>
              <w:jc w:val="right"/>
              <w:rPr>
                <w:rFonts w:ascii="Times New Roman" w:hAnsi="Times New Roman"/>
                <w:sz w:val="16"/>
                <w:szCs w:val="16"/>
              </w:rPr>
            </w:pPr>
            <w:r w:rsidRPr="007F0659">
              <w:rPr>
                <w:rFonts w:ascii="Times New Roman" w:hAnsi="Times New Roman"/>
                <w:sz w:val="16"/>
                <w:szCs w:val="16"/>
              </w:rPr>
              <w:t>1 000</w:t>
            </w:r>
          </w:p>
        </w:tc>
      </w:tr>
      <w:tr>
        <w:tblPrEx>
          <w:tblW w:w="9322" w:type="dxa"/>
          <w:tblLook w:val="04A0"/>
        </w:tblPrEx>
        <w:tc>
          <w:tcPr>
            <w:tcW w:w="2518"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7F0659" w:rsidRPr="00250EE8" w:rsidP="007F0659">
            <w:pPr>
              <w:pStyle w:val="BodyText"/>
              <w:bidi w:val="0"/>
              <w:spacing w:after="0" w:line="240" w:lineRule="auto"/>
              <w:jc w:val="left"/>
              <w:rPr>
                <w:rFonts w:ascii="Times New Roman" w:hAnsi="Times New Roman"/>
                <w:sz w:val="16"/>
                <w:szCs w:val="16"/>
              </w:rPr>
            </w:pPr>
            <w:r w:rsidRPr="00250EE8">
              <w:rPr>
                <w:rFonts w:ascii="Times New Roman" w:hAnsi="Times New Roman"/>
                <w:b/>
                <w:sz w:val="16"/>
                <w:szCs w:val="16"/>
              </w:rPr>
              <w:t>Rezerva na prostriedky EÚ a odvody EÚ spolu</w:t>
            </w:r>
          </w:p>
        </w:tc>
        <w:tc>
          <w:tcPr>
            <w:tcW w:w="113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7F0659" w:rsidRPr="007F0659">
            <w:pPr>
              <w:bidi w:val="0"/>
              <w:spacing w:after="0" w:line="240" w:lineRule="auto"/>
              <w:jc w:val="right"/>
              <w:rPr>
                <w:rFonts w:ascii="Times New Roman" w:hAnsi="Times New Roman"/>
                <w:b/>
                <w:bCs/>
                <w:sz w:val="16"/>
                <w:szCs w:val="16"/>
              </w:rPr>
            </w:pPr>
            <w:r w:rsidRPr="007F0659">
              <w:rPr>
                <w:rFonts w:ascii="Times New Roman" w:hAnsi="Times New Roman"/>
                <w:b/>
                <w:bCs/>
                <w:sz w:val="16"/>
                <w:szCs w:val="16"/>
              </w:rPr>
              <w:t>62 052</w:t>
            </w:r>
          </w:p>
        </w:tc>
        <w:tc>
          <w:tcPr>
            <w:tcW w:w="113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7F0659" w:rsidRPr="007F0659">
            <w:pPr>
              <w:bidi w:val="0"/>
              <w:spacing w:after="0" w:line="240" w:lineRule="auto"/>
              <w:jc w:val="right"/>
              <w:rPr>
                <w:rFonts w:ascii="Times New Roman" w:hAnsi="Times New Roman"/>
                <w:b/>
                <w:bCs/>
                <w:sz w:val="16"/>
                <w:szCs w:val="16"/>
              </w:rPr>
            </w:pPr>
            <w:r w:rsidRPr="007F0659">
              <w:rPr>
                <w:rFonts w:ascii="Times New Roman" w:hAnsi="Times New Roman"/>
                <w:b/>
                <w:bCs/>
                <w:sz w:val="16"/>
                <w:szCs w:val="16"/>
              </w:rPr>
              <w:t>0</w:t>
            </w:r>
          </w:p>
        </w:tc>
        <w:tc>
          <w:tcPr>
            <w:tcW w:w="113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7F0659" w:rsidRPr="007F0659">
            <w:pPr>
              <w:bidi w:val="0"/>
              <w:spacing w:after="0" w:line="240" w:lineRule="auto"/>
              <w:jc w:val="right"/>
              <w:rPr>
                <w:rFonts w:ascii="Times New Roman" w:hAnsi="Times New Roman"/>
                <w:b/>
                <w:bCs/>
                <w:sz w:val="16"/>
                <w:szCs w:val="16"/>
              </w:rPr>
            </w:pPr>
            <w:r w:rsidRPr="007F0659">
              <w:rPr>
                <w:rFonts w:ascii="Times New Roman" w:hAnsi="Times New Roman"/>
                <w:b/>
                <w:bCs/>
                <w:sz w:val="16"/>
                <w:szCs w:val="16"/>
              </w:rPr>
              <w:t>17 112</w:t>
            </w:r>
          </w:p>
        </w:tc>
        <w:tc>
          <w:tcPr>
            <w:tcW w:w="113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7F0659" w:rsidRPr="007F0659">
            <w:pPr>
              <w:bidi w:val="0"/>
              <w:spacing w:after="0" w:line="240" w:lineRule="auto"/>
              <w:jc w:val="right"/>
              <w:rPr>
                <w:rFonts w:ascii="Times New Roman" w:hAnsi="Times New Roman"/>
                <w:b/>
                <w:bCs/>
                <w:sz w:val="16"/>
                <w:szCs w:val="16"/>
              </w:rPr>
            </w:pPr>
            <w:r w:rsidRPr="007F0659">
              <w:rPr>
                <w:rFonts w:ascii="Times New Roman" w:hAnsi="Times New Roman"/>
                <w:b/>
                <w:bCs/>
                <w:sz w:val="16"/>
                <w:szCs w:val="16"/>
              </w:rPr>
              <w:t>43 501</w:t>
            </w:r>
          </w:p>
        </w:tc>
        <w:tc>
          <w:tcPr>
            <w:tcW w:w="113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7F0659" w:rsidRPr="007F0659">
            <w:pPr>
              <w:bidi w:val="0"/>
              <w:spacing w:after="0" w:line="240" w:lineRule="auto"/>
              <w:jc w:val="right"/>
              <w:rPr>
                <w:rFonts w:ascii="Times New Roman" w:hAnsi="Times New Roman"/>
                <w:b/>
                <w:bCs/>
                <w:sz w:val="16"/>
                <w:szCs w:val="16"/>
              </w:rPr>
            </w:pPr>
            <w:r w:rsidRPr="007F0659">
              <w:rPr>
                <w:rFonts w:ascii="Times New Roman" w:hAnsi="Times New Roman"/>
                <w:b/>
                <w:bCs/>
                <w:sz w:val="16"/>
                <w:szCs w:val="16"/>
              </w:rPr>
              <w:t>3 501</w:t>
            </w:r>
          </w:p>
        </w:tc>
        <w:tc>
          <w:tcPr>
            <w:tcW w:w="1134"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7F0659" w:rsidRPr="007F0659">
            <w:pPr>
              <w:bidi w:val="0"/>
              <w:spacing w:after="0" w:line="240" w:lineRule="auto"/>
              <w:jc w:val="right"/>
              <w:rPr>
                <w:rFonts w:ascii="Times New Roman" w:hAnsi="Times New Roman"/>
                <w:b/>
                <w:bCs/>
                <w:sz w:val="16"/>
                <w:szCs w:val="16"/>
              </w:rPr>
            </w:pPr>
            <w:r w:rsidRPr="007F0659">
              <w:rPr>
                <w:rFonts w:ascii="Times New Roman" w:hAnsi="Times New Roman"/>
                <w:b/>
                <w:bCs/>
                <w:sz w:val="16"/>
                <w:szCs w:val="16"/>
              </w:rPr>
              <w:t>3 501</w:t>
            </w:r>
          </w:p>
        </w:tc>
      </w:tr>
    </w:tbl>
    <w:p w:rsidR="00563E5E" w:rsidRPr="0005763F" w:rsidP="00563E5E">
      <w:pPr>
        <w:pStyle w:val="BodyText"/>
        <w:bidi w:val="0"/>
        <w:rPr>
          <w:rFonts w:ascii="Times New Roman" w:hAnsi="Times New Roman"/>
          <w:sz w:val="20"/>
          <w:szCs w:val="20"/>
        </w:rPr>
      </w:pPr>
    </w:p>
    <w:p w:rsidR="00563E5E" w:rsidRPr="0005763F" w:rsidP="00563E5E">
      <w:pPr>
        <w:bidi w:val="0"/>
        <w:jc w:val="both"/>
        <w:rPr>
          <w:rFonts w:ascii="Times New Roman" w:hAnsi="Times New Roman"/>
          <w:b/>
          <w:sz w:val="22"/>
          <w:szCs w:val="22"/>
        </w:rPr>
      </w:pPr>
    </w:p>
    <w:p w:rsidR="00563E5E" w:rsidRPr="00284B2B" w:rsidP="00563E5E">
      <w:pPr>
        <w:bidi w:val="0"/>
        <w:jc w:val="both"/>
        <w:rPr>
          <w:rFonts w:ascii="Times New Roman" w:hAnsi="Times New Roman"/>
          <w:b/>
          <w:szCs w:val="22"/>
        </w:rPr>
      </w:pPr>
      <w:r w:rsidRPr="00284B2B">
        <w:rPr>
          <w:rFonts w:ascii="Times New Roman" w:hAnsi="Times New Roman"/>
          <w:b/>
          <w:szCs w:val="22"/>
        </w:rPr>
        <w:t xml:space="preserve">6. Čistá finančná pozícia SR voči EÚ v rokoch 2012 až 2014 </w:t>
      </w:r>
    </w:p>
    <w:p w:rsidR="00563E5E" w:rsidRPr="00284B2B" w:rsidP="00563E5E">
      <w:pPr>
        <w:bidi w:val="0"/>
        <w:jc w:val="both"/>
        <w:rPr>
          <w:rFonts w:ascii="Times New Roman" w:hAnsi="Times New Roman"/>
          <w:b/>
          <w:szCs w:val="22"/>
        </w:rPr>
      </w:pPr>
    </w:p>
    <w:p w:rsidR="00563E5E" w:rsidRPr="00284B2B" w:rsidP="00563E5E">
      <w:pPr>
        <w:bidi w:val="0"/>
        <w:ind w:firstLine="708"/>
        <w:jc w:val="both"/>
        <w:rPr>
          <w:rFonts w:ascii="Times New Roman" w:hAnsi="Times New Roman"/>
          <w:b/>
          <w:szCs w:val="22"/>
        </w:rPr>
      </w:pPr>
      <w:r w:rsidRPr="00284B2B">
        <w:rPr>
          <w:rFonts w:ascii="Times New Roman" w:hAnsi="Times New Roman"/>
          <w:szCs w:val="22"/>
        </w:rPr>
        <w:t xml:space="preserve">Čistá finančná pozícia SR voči EÚ z navrhovaných rozpočtových vzťahov s EÚ </w:t>
      </w:r>
      <w:r w:rsidRPr="00284B2B">
        <w:rPr>
          <w:rFonts w:ascii="Times New Roman" w:hAnsi="Times New Roman"/>
          <w:spacing w:val="-4"/>
          <w:szCs w:val="22"/>
          <w:lang w:eastAsia="cs-CZ"/>
        </w:rPr>
        <w:t xml:space="preserve">bez zohľadnenia  </w:t>
      </w:r>
      <w:r w:rsidRPr="00284B2B">
        <w:rPr>
          <w:rFonts w:ascii="Times New Roman" w:hAnsi="Times New Roman"/>
          <w:szCs w:val="22"/>
        </w:rPr>
        <w:t xml:space="preserve">medziročného nárastu pohľadávok voči EÚ sa pre rok 2012 odhaduje na úrovni  </w:t>
      </w:r>
      <w:r w:rsidR="008547BB">
        <w:rPr>
          <w:rFonts w:ascii="Times New Roman" w:hAnsi="Times New Roman"/>
          <w:szCs w:val="22"/>
        </w:rPr>
        <w:t>2 452 714</w:t>
      </w:r>
      <w:r w:rsidRPr="00D36DE7">
        <w:rPr>
          <w:rFonts w:ascii="Times New Roman" w:hAnsi="Times New Roman"/>
          <w:szCs w:val="22"/>
        </w:rPr>
        <w:t xml:space="preserve"> tis</w:t>
      </w:r>
      <w:r w:rsidRPr="00284B2B">
        <w:rPr>
          <w:rFonts w:ascii="Times New Roman" w:hAnsi="Times New Roman"/>
          <w:szCs w:val="22"/>
        </w:rPr>
        <w:t xml:space="preserve">. eur, </w:t>
      </w:r>
      <w:r w:rsidRPr="00284B2B">
        <w:rPr>
          <w:rFonts w:ascii="Times New Roman" w:hAnsi="Times New Roman"/>
          <w:b/>
          <w:szCs w:val="22"/>
        </w:rPr>
        <w:t xml:space="preserve"> </w:t>
      </w:r>
      <w:r w:rsidRPr="00284B2B">
        <w:rPr>
          <w:rFonts w:ascii="Times New Roman" w:hAnsi="Times New Roman"/>
          <w:szCs w:val="22"/>
        </w:rPr>
        <w:t xml:space="preserve">na obdobie rokov </w:t>
      </w:r>
      <w:r w:rsidR="00256EBC">
        <w:rPr>
          <w:rFonts w:ascii="Times New Roman" w:hAnsi="Times New Roman"/>
          <w:spacing w:val="-4"/>
          <w:szCs w:val="22"/>
          <w:lang w:eastAsia="cs-CZ"/>
        </w:rPr>
        <w:t xml:space="preserve">2009 až 2014 vo </w:t>
      </w:r>
      <w:r w:rsidRPr="00284B2B">
        <w:rPr>
          <w:rFonts w:ascii="Times New Roman" w:hAnsi="Times New Roman"/>
          <w:spacing w:val="-4"/>
          <w:szCs w:val="22"/>
          <w:lang w:eastAsia="cs-CZ"/>
        </w:rPr>
        <w:t xml:space="preserve">výške </w:t>
      </w:r>
      <w:r w:rsidR="00256EBC">
        <w:rPr>
          <w:rFonts w:ascii="Times New Roman" w:hAnsi="Times New Roman"/>
          <w:spacing w:val="-4"/>
          <w:szCs w:val="22"/>
          <w:lang w:eastAsia="cs-CZ"/>
        </w:rPr>
        <w:t xml:space="preserve">10 868 552 </w:t>
      </w:r>
      <w:r w:rsidRPr="00284B2B">
        <w:rPr>
          <w:rFonts w:ascii="Times New Roman" w:hAnsi="Times New Roman"/>
          <w:spacing w:val="-4"/>
          <w:szCs w:val="22"/>
          <w:lang w:eastAsia="cs-CZ"/>
        </w:rPr>
        <w:t xml:space="preserve">tis. eur. </w:t>
      </w:r>
    </w:p>
    <w:p w:rsidR="00563E5E" w:rsidRPr="00284B2B" w:rsidP="00563E5E">
      <w:pPr>
        <w:bidi w:val="0"/>
        <w:jc w:val="both"/>
        <w:rPr>
          <w:rFonts w:ascii="Times New Roman" w:hAnsi="Times New Roman"/>
          <w:b/>
          <w:szCs w:val="22"/>
        </w:rPr>
      </w:pPr>
    </w:p>
    <w:p w:rsidR="00563E5E" w:rsidRPr="00284B2B" w:rsidP="00563E5E">
      <w:pPr>
        <w:bidi w:val="0"/>
        <w:jc w:val="both"/>
        <w:rPr>
          <w:rFonts w:ascii="Times New Roman" w:hAnsi="Times New Roman"/>
          <w:szCs w:val="22"/>
        </w:rPr>
      </w:pPr>
      <w:r w:rsidRPr="00284B2B">
        <w:rPr>
          <w:rFonts w:ascii="Times New Roman" w:hAnsi="Times New Roman"/>
          <w:szCs w:val="22"/>
          <w:u w:val="single"/>
        </w:rPr>
        <w:t>Tabuľka č. 10:</w:t>
      </w:r>
      <w:r w:rsidRPr="00284B2B">
        <w:rPr>
          <w:rFonts w:ascii="Times New Roman" w:hAnsi="Times New Roman"/>
          <w:szCs w:val="22"/>
        </w:rPr>
        <w:t xml:space="preserve">  Čistá finančná pozícia v rokoch 2009 až 2014 </w:t>
      </w:r>
    </w:p>
    <w:p w:rsidR="00563E5E" w:rsidRPr="0005763F" w:rsidP="00563E5E">
      <w:pPr>
        <w:bidi w:val="0"/>
        <w:jc w:val="right"/>
        <w:rPr>
          <w:rFonts w:ascii="Times New Roman" w:hAnsi="Times New Roman"/>
          <w:sz w:val="16"/>
          <w:szCs w:val="16"/>
        </w:rPr>
      </w:pPr>
      <w:r w:rsidRPr="0005763F">
        <w:rPr>
          <w:rFonts w:ascii="Times New Roman" w:hAnsi="Times New Roman"/>
          <w:sz w:val="16"/>
          <w:szCs w:val="16"/>
        </w:rPr>
        <w:t xml:space="preserve">         (v tis. eur)</w:t>
      </w:r>
    </w:p>
    <w:tbl>
      <w:tblPr>
        <w:tblStyle w:val="TableNormal"/>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552"/>
        <w:gridCol w:w="1015"/>
        <w:gridCol w:w="1016"/>
        <w:gridCol w:w="1016"/>
        <w:gridCol w:w="1016"/>
        <w:gridCol w:w="1016"/>
        <w:gridCol w:w="1016"/>
      </w:tblGrid>
      <w:tr>
        <w:tblPrEx>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9" w:type="dxa"/>
            <w:tcBorders>
              <w:top w:val="single" w:sz="4" w:space="0" w:color="auto"/>
              <w:left w:val="single" w:sz="4" w:space="0" w:color="auto"/>
              <w:bottom w:val="single" w:sz="4" w:space="0" w:color="auto"/>
              <w:right w:val="single" w:sz="4" w:space="0" w:color="auto"/>
            </w:tcBorders>
            <w:shd w:val="solid" w:color="auto" w:fill="auto"/>
            <w:textDirection w:val="lrTb"/>
            <w:vAlign w:val="top"/>
          </w:tcPr>
          <w:p w:rsidR="00563E5E" w:rsidRPr="00250EE8" w:rsidP="007F0659">
            <w:pPr>
              <w:bidi w:val="0"/>
              <w:spacing w:after="0" w:line="240" w:lineRule="auto"/>
              <w:jc w:val="center"/>
              <w:rPr>
                <w:rFonts w:ascii="Times New Roman" w:hAnsi="Times New Roman"/>
                <w:b/>
                <w:color w:val="FFFFFF"/>
                <w:sz w:val="16"/>
                <w:szCs w:val="20"/>
              </w:rPr>
            </w:pPr>
          </w:p>
        </w:tc>
        <w:tc>
          <w:tcPr>
            <w:tcW w:w="2552" w:type="dxa"/>
            <w:tcBorders>
              <w:top w:val="single" w:sz="4" w:space="0" w:color="auto"/>
              <w:left w:val="single" w:sz="4" w:space="0" w:color="auto"/>
              <w:bottom w:val="single" w:sz="4" w:space="0" w:color="auto"/>
              <w:right w:val="single" w:sz="4" w:space="0" w:color="auto"/>
            </w:tcBorders>
            <w:shd w:val="solid" w:color="auto" w:fill="auto"/>
            <w:textDirection w:val="lrTb"/>
            <w:vAlign w:val="top"/>
          </w:tcPr>
          <w:p w:rsidR="00563E5E" w:rsidRPr="00250EE8" w:rsidP="007F0659">
            <w:pPr>
              <w:bidi w:val="0"/>
              <w:spacing w:after="0" w:line="240" w:lineRule="auto"/>
              <w:jc w:val="center"/>
              <w:rPr>
                <w:rFonts w:ascii="Times New Roman" w:hAnsi="Times New Roman"/>
                <w:b/>
                <w:color w:val="FFFFFF"/>
                <w:sz w:val="16"/>
                <w:szCs w:val="20"/>
              </w:rPr>
            </w:pPr>
          </w:p>
        </w:tc>
        <w:tc>
          <w:tcPr>
            <w:tcW w:w="1015"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2009</w:t>
            </w:r>
            <w:r>
              <w:rPr>
                <w:rFonts w:ascii="Times New Roman" w:hAnsi="Times New Roman"/>
                <w:b/>
                <w:sz w:val="16"/>
                <w:szCs w:val="16"/>
              </w:rPr>
              <w:t xml:space="preserve"> S</w:t>
            </w:r>
          </w:p>
        </w:tc>
        <w:tc>
          <w:tcPr>
            <w:tcW w:w="1016"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 xml:space="preserve"> 2010</w:t>
            </w:r>
            <w:r>
              <w:rPr>
                <w:rFonts w:ascii="Times New Roman" w:hAnsi="Times New Roman"/>
                <w:b/>
                <w:sz w:val="16"/>
                <w:szCs w:val="16"/>
              </w:rPr>
              <w:t xml:space="preserve"> S</w:t>
            </w:r>
          </w:p>
        </w:tc>
        <w:tc>
          <w:tcPr>
            <w:tcW w:w="1016"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2011</w:t>
            </w:r>
            <w:r>
              <w:rPr>
                <w:rFonts w:ascii="Times New Roman" w:hAnsi="Times New Roman"/>
                <w:b/>
                <w:sz w:val="16"/>
                <w:szCs w:val="16"/>
              </w:rPr>
              <w:t xml:space="preserve"> R</w:t>
            </w:r>
          </w:p>
        </w:tc>
        <w:tc>
          <w:tcPr>
            <w:tcW w:w="1016"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2012</w:t>
            </w:r>
            <w:r>
              <w:rPr>
                <w:rFonts w:ascii="Times New Roman" w:hAnsi="Times New Roman"/>
                <w:b/>
                <w:sz w:val="16"/>
                <w:szCs w:val="16"/>
              </w:rPr>
              <w:t xml:space="preserve"> N</w:t>
            </w:r>
          </w:p>
        </w:tc>
        <w:tc>
          <w:tcPr>
            <w:tcW w:w="1016"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2013</w:t>
            </w:r>
            <w:r>
              <w:rPr>
                <w:rFonts w:ascii="Times New Roman" w:hAnsi="Times New Roman"/>
                <w:b/>
                <w:sz w:val="16"/>
                <w:szCs w:val="16"/>
              </w:rPr>
              <w:t xml:space="preserve"> N</w:t>
            </w:r>
          </w:p>
        </w:tc>
        <w:tc>
          <w:tcPr>
            <w:tcW w:w="1016" w:type="dxa"/>
            <w:tcBorders>
              <w:top w:val="single" w:sz="4" w:space="0" w:color="auto"/>
              <w:left w:val="single" w:sz="4" w:space="0" w:color="auto"/>
              <w:bottom w:val="single" w:sz="4" w:space="0" w:color="auto"/>
              <w:right w:val="single" w:sz="4" w:space="0" w:color="auto"/>
            </w:tcBorders>
            <w:shd w:val="solid" w:color="auto" w:fill="auto"/>
            <w:textDirection w:val="lrTb"/>
            <w:vAlign w:val="center"/>
          </w:tcPr>
          <w:p w:rsidR="00563E5E" w:rsidRPr="00250EE8" w:rsidP="007F0659">
            <w:pPr>
              <w:bidi w:val="0"/>
              <w:spacing w:after="0" w:line="240" w:lineRule="auto"/>
              <w:jc w:val="center"/>
              <w:rPr>
                <w:rFonts w:ascii="Times New Roman" w:hAnsi="Times New Roman"/>
                <w:b/>
                <w:sz w:val="16"/>
                <w:szCs w:val="16"/>
              </w:rPr>
            </w:pPr>
            <w:r w:rsidRPr="00250EE8">
              <w:rPr>
                <w:rFonts w:ascii="Times New Roman" w:hAnsi="Times New Roman"/>
                <w:b/>
                <w:sz w:val="16"/>
                <w:szCs w:val="16"/>
              </w:rPr>
              <w:t>2014</w:t>
            </w:r>
            <w:r>
              <w:rPr>
                <w:rFonts w:ascii="Times New Roman" w:hAnsi="Times New Roman"/>
                <w:b/>
                <w:sz w:val="16"/>
                <w:szCs w:val="16"/>
              </w:rPr>
              <w:t xml:space="preserve"> N</w:t>
            </w:r>
          </w:p>
        </w:tc>
      </w:tr>
      <w:tr>
        <w:tblPrEx>
          <w:tblW w:w="9356" w:type="dxa"/>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center"/>
          </w:tcPr>
          <w:p w:rsidR="00256EBC" w:rsidRPr="00250EE8" w:rsidP="007F0659">
            <w:pPr>
              <w:pStyle w:val="BodyText"/>
              <w:bidi w:val="0"/>
              <w:spacing w:after="0" w:line="240" w:lineRule="auto"/>
              <w:jc w:val="left"/>
              <w:rPr>
                <w:rFonts w:ascii="Times New Roman" w:hAnsi="Times New Roman"/>
                <w:sz w:val="16"/>
                <w:szCs w:val="20"/>
              </w:rPr>
            </w:pPr>
            <w:r w:rsidRPr="00250EE8">
              <w:rPr>
                <w:rFonts w:ascii="Times New Roman" w:hAnsi="Times New Roman"/>
                <w:sz w:val="16"/>
                <w:szCs w:val="20"/>
              </w:rPr>
              <w:t>A</w:t>
            </w:r>
          </w:p>
        </w:tc>
        <w:tc>
          <w:tcPr>
            <w:tcW w:w="2552" w:type="dxa"/>
            <w:tcBorders>
              <w:top w:val="single" w:sz="4" w:space="0" w:color="auto"/>
              <w:left w:val="single" w:sz="4" w:space="0" w:color="auto"/>
              <w:bottom w:val="single" w:sz="4" w:space="0" w:color="auto"/>
              <w:right w:val="single" w:sz="4" w:space="0" w:color="auto"/>
            </w:tcBorders>
            <w:textDirection w:val="lrTb"/>
            <w:vAlign w:val="center"/>
          </w:tcPr>
          <w:p w:rsidR="00256EBC" w:rsidRPr="00250EE8" w:rsidP="007F0659">
            <w:pPr>
              <w:pStyle w:val="BodyText"/>
              <w:bidi w:val="0"/>
              <w:spacing w:after="0" w:line="240" w:lineRule="auto"/>
              <w:jc w:val="left"/>
              <w:rPr>
                <w:rFonts w:ascii="Times New Roman" w:hAnsi="Times New Roman"/>
                <w:sz w:val="16"/>
                <w:szCs w:val="20"/>
              </w:rPr>
            </w:pPr>
            <w:r w:rsidRPr="00250EE8">
              <w:rPr>
                <w:rFonts w:ascii="Times New Roman" w:hAnsi="Times New Roman"/>
                <w:sz w:val="16"/>
                <w:szCs w:val="20"/>
              </w:rPr>
              <w:t>Odvody a príspevky SR do všeobecného rozpočtu EÚ</w:t>
            </w:r>
          </w:p>
        </w:tc>
        <w:tc>
          <w:tcPr>
            <w:tcW w:w="1015"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695 726</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627 528</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751 340</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796 257</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FF0000"/>
                <w:sz w:val="16"/>
                <w:szCs w:val="16"/>
              </w:rPr>
            </w:pPr>
            <w:r w:rsidRPr="00256EBC">
              <w:rPr>
                <w:rFonts w:ascii="Times New Roman" w:hAnsi="Times New Roman"/>
                <w:sz w:val="16"/>
                <w:szCs w:val="16"/>
              </w:rPr>
              <w:t>873 377</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834 256</w:t>
            </w:r>
          </w:p>
        </w:tc>
      </w:tr>
      <w:tr>
        <w:tblPrEx>
          <w:tblW w:w="9356" w:type="dxa"/>
          <w:tblInd w:w="-34" w:type="dxa"/>
          <w:tblLook w:val="04A0"/>
        </w:tblPrEx>
        <w:trPr>
          <w:trHeight w:val="194"/>
        </w:trPr>
        <w:tc>
          <w:tcPr>
            <w:tcW w:w="709" w:type="dxa"/>
            <w:tcBorders>
              <w:top w:val="single" w:sz="4" w:space="0" w:color="auto"/>
              <w:left w:val="single" w:sz="4" w:space="0" w:color="auto"/>
              <w:bottom w:val="single" w:sz="4" w:space="0" w:color="auto"/>
              <w:right w:val="single" w:sz="4" w:space="0" w:color="auto"/>
            </w:tcBorders>
            <w:textDirection w:val="lrTb"/>
            <w:vAlign w:val="center"/>
          </w:tcPr>
          <w:p w:rsidR="00256EBC" w:rsidRPr="00250EE8" w:rsidP="007F0659">
            <w:pPr>
              <w:pStyle w:val="BodyText"/>
              <w:bidi w:val="0"/>
              <w:spacing w:after="0" w:line="240" w:lineRule="auto"/>
              <w:jc w:val="left"/>
              <w:rPr>
                <w:rFonts w:ascii="Times New Roman" w:hAnsi="Times New Roman"/>
                <w:sz w:val="16"/>
                <w:szCs w:val="20"/>
              </w:rPr>
            </w:pPr>
            <w:r w:rsidRPr="00250EE8">
              <w:rPr>
                <w:rFonts w:ascii="Times New Roman" w:hAnsi="Times New Roman"/>
                <w:sz w:val="16"/>
                <w:szCs w:val="20"/>
              </w:rPr>
              <w:t>B</w:t>
            </w:r>
          </w:p>
        </w:tc>
        <w:tc>
          <w:tcPr>
            <w:tcW w:w="2552" w:type="dxa"/>
            <w:tcBorders>
              <w:top w:val="single" w:sz="4" w:space="0" w:color="auto"/>
              <w:left w:val="single" w:sz="4" w:space="0" w:color="auto"/>
              <w:bottom w:val="single" w:sz="4" w:space="0" w:color="auto"/>
              <w:right w:val="single" w:sz="4" w:space="0" w:color="auto"/>
            </w:tcBorders>
            <w:textDirection w:val="lrTb"/>
            <w:vAlign w:val="center"/>
          </w:tcPr>
          <w:p w:rsidR="00256EBC" w:rsidRPr="00250EE8" w:rsidP="007F0659">
            <w:pPr>
              <w:pStyle w:val="BodyText"/>
              <w:bidi w:val="0"/>
              <w:spacing w:after="0" w:line="240" w:lineRule="auto"/>
              <w:jc w:val="left"/>
              <w:rPr>
                <w:rFonts w:ascii="Times New Roman" w:hAnsi="Times New Roman"/>
                <w:sz w:val="16"/>
                <w:szCs w:val="20"/>
              </w:rPr>
            </w:pPr>
            <w:r w:rsidRPr="00250EE8">
              <w:rPr>
                <w:rFonts w:ascii="Times New Roman" w:hAnsi="Times New Roman"/>
                <w:sz w:val="16"/>
                <w:szCs w:val="20"/>
              </w:rPr>
              <w:t>Príjmy z EÚ spolu</w:t>
            </w:r>
          </w:p>
        </w:tc>
        <w:tc>
          <w:tcPr>
            <w:tcW w:w="1015"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1 119 659</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1 672 483</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3 572 737</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3 248 971</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2 880 841</w:t>
            </w:r>
          </w:p>
        </w:tc>
        <w:tc>
          <w:tcPr>
            <w:tcW w:w="1016" w:type="dxa"/>
            <w:tcBorders>
              <w:top w:val="single" w:sz="4" w:space="0" w:color="auto"/>
              <w:left w:val="single" w:sz="4" w:space="0" w:color="auto"/>
              <w:bottom w:val="single" w:sz="4" w:space="0" w:color="auto"/>
              <w:right w:val="single" w:sz="4" w:space="0" w:color="auto"/>
            </w:tcBorders>
            <w:textDirection w:val="lrTb"/>
            <w:vAlign w:val="center"/>
          </w:tcPr>
          <w:p w:rsidR="00256EBC">
            <w:pPr>
              <w:bidi w:val="0"/>
              <w:spacing w:after="0" w:line="240" w:lineRule="auto"/>
              <w:jc w:val="right"/>
              <w:rPr>
                <w:rFonts w:ascii="Times New Roman" w:hAnsi="Times New Roman"/>
                <w:color w:val="000000"/>
                <w:sz w:val="16"/>
                <w:szCs w:val="16"/>
              </w:rPr>
            </w:pPr>
            <w:r>
              <w:rPr>
                <w:rFonts w:ascii="Times New Roman" w:hAnsi="Times New Roman"/>
                <w:color w:val="000000"/>
                <w:sz w:val="16"/>
                <w:szCs w:val="16"/>
              </w:rPr>
              <w:t>2 952 345</w:t>
            </w:r>
          </w:p>
        </w:tc>
      </w:tr>
      <w:tr>
        <w:tblPrEx>
          <w:tblW w:w="9356" w:type="dxa"/>
          <w:tblInd w:w="-34" w:type="dxa"/>
          <w:tblLook w:val="04A0"/>
        </w:tblPrEx>
        <w:tc>
          <w:tcPr>
            <w:tcW w:w="709"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256EBC" w:rsidRPr="00250EE8" w:rsidP="007F0659">
            <w:pPr>
              <w:pStyle w:val="BodyText"/>
              <w:bidi w:val="0"/>
              <w:spacing w:after="0" w:line="240" w:lineRule="auto"/>
              <w:jc w:val="left"/>
              <w:rPr>
                <w:rFonts w:ascii="Times New Roman" w:hAnsi="Times New Roman"/>
                <w:b/>
                <w:sz w:val="16"/>
                <w:szCs w:val="20"/>
              </w:rPr>
            </w:pPr>
            <w:r w:rsidRPr="00250EE8">
              <w:rPr>
                <w:rFonts w:ascii="Times New Roman" w:hAnsi="Times New Roman"/>
                <w:b/>
                <w:sz w:val="16"/>
                <w:szCs w:val="20"/>
              </w:rPr>
              <w:t>C=B-A</w:t>
            </w:r>
          </w:p>
        </w:tc>
        <w:tc>
          <w:tcPr>
            <w:tcW w:w="2552"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256EBC" w:rsidRPr="00250EE8" w:rsidP="007F0659">
            <w:pPr>
              <w:pStyle w:val="BodyText"/>
              <w:bidi w:val="0"/>
              <w:spacing w:after="0" w:line="240" w:lineRule="auto"/>
              <w:jc w:val="left"/>
              <w:rPr>
                <w:rFonts w:ascii="Times New Roman" w:hAnsi="Times New Roman"/>
                <w:b/>
                <w:sz w:val="16"/>
                <w:szCs w:val="20"/>
              </w:rPr>
            </w:pPr>
            <w:r w:rsidRPr="00250EE8">
              <w:rPr>
                <w:rFonts w:ascii="Times New Roman" w:hAnsi="Times New Roman"/>
                <w:b/>
                <w:sz w:val="16"/>
                <w:szCs w:val="20"/>
              </w:rPr>
              <w:t>Čistá finančná pozícia SR</w:t>
            </w:r>
          </w:p>
        </w:tc>
        <w:tc>
          <w:tcPr>
            <w:tcW w:w="1015"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423 933</w:t>
            </w:r>
          </w:p>
        </w:tc>
        <w:tc>
          <w:tcPr>
            <w:tcW w:w="1016"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1 044 955</w:t>
            </w:r>
          </w:p>
        </w:tc>
        <w:tc>
          <w:tcPr>
            <w:tcW w:w="1016"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2 821 397</w:t>
            </w:r>
          </w:p>
        </w:tc>
        <w:tc>
          <w:tcPr>
            <w:tcW w:w="1016"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2 452 714</w:t>
            </w:r>
          </w:p>
        </w:tc>
        <w:tc>
          <w:tcPr>
            <w:tcW w:w="1016"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2 007 464</w:t>
            </w:r>
          </w:p>
        </w:tc>
        <w:tc>
          <w:tcPr>
            <w:tcW w:w="1016" w:type="dxa"/>
            <w:tcBorders>
              <w:top w:val="single" w:sz="4" w:space="0" w:color="auto"/>
              <w:left w:val="single" w:sz="4" w:space="0" w:color="auto"/>
              <w:bottom w:val="single" w:sz="4" w:space="0" w:color="auto"/>
              <w:right w:val="single" w:sz="4" w:space="0" w:color="auto"/>
            </w:tcBorders>
            <w:shd w:val="pct25" w:color="auto" w:fill="auto"/>
            <w:textDirection w:val="lrTb"/>
            <w:vAlign w:val="center"/>
          </w:tcPr>
          <w:p w:rsidR="00256EBC">
            <w:pPr>
              <w:bidi w:val="0"/>
              <w:spacing w:after="0" w:line="240" w:lineRule="auto"/>
              <w:jc w:val="right"/>
              <w:rPr>
                <w:rFonts w:ascii="Times New Roman" w:hAnsi="Times New Roman"/>
                <w:b/>
                <w:bCs/>
                <w:color w:val="000000"/>
                <w:sz w:val="16"/>
                <w:szCs w:val="16"/>
              </w:rPr>
            </w:pPr>
            <w:r>
              <w:rPr>
                <w:rFonts w:ascii="Times New Roman" w:hAnsi="Times New Roman"/>
                <w:b/>
                <w:bCs/>
                <w:color w:val="000000"/>
                <w:sz w:val="16"/>
                <w:szCs w:val="16"/>
              </w:rPr>
              <w:t>2 118 089</w:t>
            </w:r>
          </w:p>
        </w:tc>
      </w:tr>
    </w:tbl>
    <w:p w:rsidR="00563E5E" w:rsidRPr="00284B2B" w:rsidP="00563E5E">
      <w:pPr>
        <w:bidi w:val="0"/>
        <w:jc w:val="right"/>
        <w:rPr>
          <w:rFonts w:ascii="Times New Roman" w:hAnsi="Times New Roman"/>
          <w:sz w:val="20"/>
          <w:szCs w:val="16"/>
        </w:rPr>
      </w:pPr>
    </w:p>
    <w:p w:rsidR="00563E5E" w:rsidRPr="00284B2B" w:rsidP="00563E5E">
      <w:pPr>
        <w:bidi w:val="0"/>
        <w:jc w:val="both"/>
        <w:rPr>
          <w:rFonts w:ascii="Times New Roman" w:hAnsi="Times New Roman"/>
          <w:szCs w:val="22"/>
        </w:rPr>
      </w:pPr>
      <w:r w:rsidRPr="00284B2B">
        <w:rPr>
          <w:rFonts w:ascii="Times New Roman" w:hAnsi="Times New Roman"/>
          <w:szCs w:val="22"/>
        </w:rPr>
        <w:tab/>
        <w:t xml:space="preserve">Prostriedky EÚ, zaradené do príjmov a výdavkov štátneho rozpočtu sa v návrhu rozpočtu na roky 2012 až 2014 rozpočtujú s neutrálnym dopadom na verejné financie.  </w:t>
      </w:r>
    </w:p>
    <w:sectPr w:rsidSect="0012764B">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ourier">
    <w:panose1 w:val="02070409020205020404"/>
    <w:charset w:val="00"/>
    <w:family w:val="modern"/>
    <w:pitch w:val="fixed"/>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4B">
    <w:pPr>
      <w:pStyle w:val="Footer"/>
      <w:bidi w:val="0"/>
      <w:jc w:val="center"/>
      <w:rPr>
        <w:rFonts w:ascii="Times New Roman" w:hAnsi="Times New Roman"/>
      </w:rPr>
    </w:pPr>
    <w:r w:rsidR="00E3448E">
      <w:rPr>
        <w:rFonts w:ascii="Times New Roman" w:hAnsi="Times New Roman"/>
      </w:rPr>
      <w:fldChar w:fldCharType="begin"/>
    </w:r>
    <w:r w:rsidR="00E3448E">
      <w:rPr>
        <w:rFonts w:ascii="Times New Roman" w:hAnsi="Times New Roman"/>
      </w:rPr>
      <w:instrText xml:space="preserve"> PAGE   \* MERGEFORMAT </w:instrText>
    </w:r>
    <w:r w:rsidR="00E3448E">
      <w:rPr>
        <w:rFonts w:ascii="Times New Roman" w:hAnsi="Times New Roman"/>
      </w:rPr>
      <w:fldChar w:fldCharType="separate"/>
    </w:r>
    <w:r w:rsidR="001B5F2F">
      <w:rPr>
        <w:rFonts w:ascii="Times New Roman" w:hAnsi="Times New Roman"/>
        <w:noProof/>
      </w:rPr>
      <w:t>9</w:t>
    </w:r>
    <w:r w:rsidR="00E3448E">
      <w:rPr>
        <w:rFonts w:ascii="Times New Roman" w:hAnsi="Times New Roman"/>
      </w:rPr>
      <w:fldChar w:fldCharType="end"/>
    </w:r>
  </w:p>
  <w:p w:rsidR="0012764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297B"/>
    <w:multiLevelType w:val="hybridMultilevel"/>
    <w:tmpl w:val="04905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C202F66"/>
    <w:multiLevelType w:val="hybridMultilevel"/>
    <w:tmpl w:val="0DF82F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0"/>
      <w:numFmt w:val="bullet"/>
      <w:lvlText w:val="-"/>
      <w:lvlJc w:val="left"/>
      <w:pPr>
        <w:tabs>
          <w:tab w:val="num" w:pos="1800"/>
        </w:tabs>
        <w:ind w:left="1800" w:hanging="360"/>
      </w:pPr>
      <w:rPr>
        <w:rFonts w:ascii="Times New Roman" w:eastAsia="Times New Roman" w:hAnsi="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21993547"/>
    <w:multiLevelType w:val="hybridMultilevel"/>
    <w:tmpl w:val="ECEC9AF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7A6565C"/>
    <w:multiLevelType w:val="hybridMultilevel"/>
    <w:tmpl w:val="CEECB70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F6A2EF4"/>
    <w:multiLevelType w:val="hybridMultilevel"/>
    <w:tmpl w:val="D32004A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527517E"/>
    <w:multiLevelType w:val="hybridMultilevel"/>
    <w:tmpl w:val="680285C2"/>
    <w:lvl w:ilvl="0">
      <w:start w:val="67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230F40"/>
    <w:multiLevelType w:val="hybridMultilevel"/>
    <w:tmpl w:val="C60EC494"/>
    <w:lvl w:ilvl="0">
      <w:start w:val="8"/>
      <w:numFmt w:val="bullet"/>
      <w:lvlText w:val="-"/>
      <w:lvlJc w:val="left"/>
      <w:pPr>
        <w:ind w:left="840" w:hanging="360"/>
      </w:pPr>
      <w:rPr>
        <w:rFonts w:ascii="Arial Narrow" w:eastAsia="Times New Roman" w:hAnsi="Arial Narrow" w:hint="default"/>
      </w:rPr>
    </w:lvl>
    <w:lvl w:ilvl="1">
      <w:start w:val="1"/>
      <w:numFmt w:val="bullet"/>
      <w:lvlText w:val="o"/>
      <w:lvlJc w:val="left"/>
      <w:pPr>
        <w:ind w:left="1560" w:hanging="360"/>
      </w:pPr>
      <w:rPr>
        <w:rFonts w:ascii="Courier New" w:hAnsi="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hint="default"/>
      </w:rPr>
    </w:lvl>
    <w:lvl w:ilvl="8">
      <w:start w:val="1"/>
      <w:numFmt w:val="bullet"/>
      <w:lvlText w:val=""/>
      <w:lvlJc w:val="left"/>
      <w:pPr>
        <w:ind w:left="6600" w:hanging="360"/>
      </w:pPr>
      <w:rPr>
        <w:rFonts w:ascii="Wingdings" w:hAnsi="Wingdings" w:hint="default"/>
      </w:rPr>
    </w:lvl>
  </w:abstractNum>
  <w:abstractNum w:abstractNumId="7">
    <w:nsid w:val="372E0EE7"/>
    <w:multiLevelType w:val="multilevel"/>
    <w:tmpl w:val="041B001F"/>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8">
    <w:nsid w:val="3BBD1270"/>
    <w:multiLevelType w:val="hybridMultilevel"/>
    <w:tmpl w:val="5DA4CCA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05A070E"/>
    <w:multiLevelType w:val="hybridMultilevel"/>
    <w:tmpl w:val="48E27F5E"/>
    <w:lvl w:ilvl="0">
      <w:start w:val="6"/>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F581C1B"/>
    <w:multiLevelType w:val="hybridMultilevel"/>
    <w:tmpl w:val="879AA0A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52E901BA"/>
    <w:multiLevelType w:val="multilevel"/>
    <w:tmpl w:val="CED4420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pStyle w:val="tl3"/>
      <w:lvlText w:val="%1.%2.%3."/>
      <w:lvlJc w:val="left"/>
      <w:pPr>
        <w:tabs>
          <w:tab w:val="num" w:pos="357"/>
        </w:tabs>
        <w:ind w:left="357" w:hanging="357"/>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12">
    <w:nsid w:val="579075F5"/>
    <w:multiLevelType w:val="hybridMultilevel"/>
    <w:tmpl w:val="CB342EBE"/>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587C64B9"/>
    <w:multiLevelType w:val="hybridMultilevel"/>
    <w:tmpl w:val="E4A8A142"/>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68122F9"/>
    <w:multiLevelType w:val="hybridMultilevel"/>
    <w:tmpl w:val="CDDCE78C"/>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7FF6A13"/>
    <w:multiLevelType w:val="hybridMultilevel"/>
    <w:tmpl w:val="B58A21FE"/>
    <w:lvl w:ilvl="0">
      <w:start w:val="0"/>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69D133A4"/>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17">
    <w:nsid w:val="6D6E74A5"/>
    <w:multiLevelType w:val="hybridMultilevel"/>
    <w:tmpl w:val="6E9A9BE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9C83819"/>
    <w:multiLevelType w:val="hybridMultilevel"/>
    <w:tmpl w:val="2974A1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7F037323"/>
    <w:multiLevelType w:val="hybridMultilevel"/>
    <w:tmpl w:val="F87C61F0"/>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nsid w:val="7F652CAB"/>
    <w:multiLevelType w:val="hybridMultilevel"/>
    <w:tmpl w:val="C9426D80"/>
    <w:lvl w:ilvl="0">
      <w:start w:val="1"/>
      <w:numFmt w:val="bullet"/>
      <w:lvlText w:val=""/>
      <w:lvlJc w:val="left"/>
      <w:pPr>
        <w:ind w:left="885" w:hanging="360"/>
      </w:pPr>
      <w:rPr>
        <w:rFonts w:ascii="Wingdings" w:hAnsi="Wingdings" w:hint="default"/>
      </w:rPr>
    </w:lvl>
    <w:lvl w:ilvl="1">
      <w:start w:val="1"/>
      <w:numFmt w:val="bullet"/>
      <w:lvlText w:val="o"/>
      <w:lvlJc w:val="left"/>
      <w:pPr>
        <w:ind w:left="1605" w:hanging="360"/>
      </w:pPr>
      <w:rPr>
        <w:rFonts w:ascii="Courier New" w:hAnsi="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hint="default"/>
      </w:rPr>
    </w:lvl>
    <w:lvl w:ilvl="8">
      <w:start w:val="1"/>
      <w:numFmt w:val="bullet"/>
      <w:lvlText w:val=""/>
      <w:lvlJc w:val="left"/>
      <w:pPr>
        <w:ind w:left="6645" w:hanging="360"/>
      </w:pPr>
      <w:rPr>
        <w:rFonts w:ascii="Wingdings" w:hAnsi="Wingdings" w:hint="default"/>
      </w:rPr>
    </w:lvl>
  </w:abstractNum>
  <w:num w:numId="1">
    <w:abstractNumId w:val="6"/>
  </w:num>
  <w:num w:numId="2">
    <w:abstractNumId w:val="9"/>
  </w:num>
  <w:num w:numId="3">
    <w:abstractNumId w:val="8"/>
  </w:num>
  <w:num w:numId="4">
    <w:abstractNumId w:val="18"/>
  </w:num>
  <w:num w:numId="5">
    <w:abstractNumId w:val="5"/>
  </w:num>
  <w:num w:numId="6">
    <w:abstractNumId w:val="13"/>
  </w:num>
  <w:num w:numId="7">
    <w:abstractNumId w:val="14"/>
  </w:num>
  <w:num w:numId="8">
    <w:abstractNumId w:val="7"/>
  </w:num>
  <w:num w:numId="9">
    <w:abstractNumId w:val="16"/>
  </w:num>
  <w:num w:numId="10">
    <w:abstractNumId w:val="11"/>
  </w:num>
  <w:num w:numId="11">
    <w:abstractNumId w:val="1"/>
  </w:num>
  <w:num w:numId="12">
    <w:abstractNumId w:val="3"/>
  </w:num>
  <w:num w:numId="13">
    <w:abstractNumId w:val="10"/>
  </w:num>
  <w:num w:numId="14">
    <w:abstractNumId w:val="4"/>
  </w:num>
  <w:num w:numId="1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rawingGridHorizontalSpacing w:val="120"/>
  <w:displayHorizontalDrawingGridEvery w:val="2"/>
  <w:displayVerticalDrawingGridEvery w:val="2"/>
  <w:characterSpacingControl w:val="doNotCompress"/>
  <w:compat/>
  <w:rsids>
    <w:rsidRoot w:val="00563E5E"/>
    <w:rsid w:val="00015524"/>
    <w:rsid w:val="0005763F"/>
    <w:rsid w:val="0006099E"/>
    <w:rsid w:val="000658CD"/>
    <w:rsid w:val="001142D9"/>
    <w:rsid w:val="0012764B"/>
    <w:rsid w:val="00144D60"/>
    <w:rsid w:val="00184991"/>
    <w:rsid w:val="001B5F2F"/>
    <w:rsid w:val="00250EE8"/>
    <w:rsid w:val="00256EBC"/>
    <w:rsid w:val="00284B2B"/>
    <w:rsid w:val="003427B9"/>
    <w:rsid w:val="004238F9"/>
    <w:rsid w:val="004765E5"/>
    <w:rsid w:val="004D05AA"/>
    <w:rsid w:val="00563E5E"/>
    <w:rsid w:val="006C13AB"/>
    <w:rsid w:val="007D1C10"/>
    <w:rsid w:val="007F0659"/>
    <w:rsid w:val="007F3CF3"/>
    <w:rsid w:val="008353B5"/>
    <w:rsid w:val="008547BB"/>
    <w:rsid w:val="0099458B"/>
    <w:rsid w:val="00A31B2A"/>
    <w:rsid w:val="00A8025E"/>
    <w:rsid w:val="00BE4F53"/>
    <w:rsid w:val="00C7797F"/>
    <w:rsid w:val="00CA002C"/>
    <w:rsid w:val="00CD14BC"/>
    <w:rsid w:val="00D3362A"/>
    <w:rsid w:val="00D36DE7"/>
    <w:rsid w:val="00D534C9"/>
    <w:rsid w:val="00DE0E6F"/>
    <w:rsid w:val="00E3448E"/>
    <w:rsid w:val="00E773C8"/>
    <w:rsid w:val="00EB33CC"/>
    <w:rsid w:val="00F21A50"/>
    <w:rsid w:val="00F84E8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5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563E5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Heading2Char"/>
    <w:qFormat/>
    <w:rsid w:val="00563E5E"/>
    <w:pPr>
      <w:keepNext/>
      <w:spacing w:before="240" w:after="60"/>
      <w:jc w:val="left"/>
      <w:outlineLvl w:val="1"/>
    </w:pPr>
    <w:rPr>
      <w:rFonts w:ascii="Arial" w:hAnsi="Arial" w:cs="Arial"/>
      <w:b/>
      <w:bCs/>
      <w:i/>
      <w:iCs/>
      <w:sz w:val="28"/>
      <w:szCs w:val="28"/>
    </w:rPr>
  </w:style>
  <w:style w:type="paragraph" w:styleId="Heading3">
    <w:name w:val="heading 3"/>
    <w:aliases w:val="Char Char"/>
    <w:basedOn w:val="Normal"/>
    <w:next w:val="Normal"/>
    <w:link w:val="Heading3Char"/>
    <w:qFormat/>
    <w:rsid w:val="00563E5E"/>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563E5E"/>
    <w:rPr>
      <w:rFonts w:ascii="Arial" w:hAnsi="Arial" w:cs="Arial"/>
      <w:b/>
      <w:bCs/>
      <w:kern w:val="32"/>
      <w:sz w:val="32"/>
      <w:szCs w:val="32"/>
      <w:rtl w:val="0"/>
      <w:cs w:val="0"/>
      <w:lang w:val="x-none" w:eastAsia="sk-SK"/>
    </w:rPr>
  </w:style>
  <w:style w:type="character" w:customStyle="1" w:styleId="Heading2Char">
    <w:name w:val="Heading 2 Char"/>
    <w:basedOn w:val="DefaultParagraphFont"/>
    <w:link w:val="Heading2"/>
    <w:locked/>
    <w:rsid w:val="00563E5E"/>
    <w:rPr>
      <w:rFonts w:ascii="Arial" w:hAnsi="Arial" w:cs="Arial"/>
      <w:b/>
      <w:bCs/>
      <w:i/>
      <w:iCs/>
      <w:sz w:val="28"/>
      <w:szCs w:val="28"/>
      <w:rtl w:val="0"/>
      <w:cs w:val="0"/>
      <w:lang w:val="x-none" w:eastAsia="sk-SK"/>
    </w:rPr>
  </w:style>
  <w:style w:type="character" w:customStyle="1" w:styleId="Heading3Char">
    <w:name w:val="Heading 3 Char"/>
    <w:aliases w:val="Char Char Char"/>
    <w:basedOn w:val="DefaultParagraphFont"/>
    <w:link w:val="Heading3"/>
    <w:locked/>
    <w:rsid w:val="00563E5E"/>
    <w:rPr>
      <w:rFonts w:ascii="Arial" w:hAnsi="Arial" w:cs="Arial"/>
      <w:b/>
      <w:bCs/>
      <w:sz w:val="26"/>
      <w:szCs w:val="26"/>
      <w:rtl w:val="0"/>
      <w:cs w:val="0"/>
      <w:lang w:val="x-none" w:eastAsia="sk-SK"/>
    </w:rPr>
  </w:style>
  <w:style w:type="table" w:styleId="TableGrid">
    <w:name w:val="Table Grid"/>
    <w:basedOn w:val="TableNormal"/>
    <w:rsid w:val="00563E5E"/>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3E5E"/>
    <w:pPr>
      <w:jc w:val="both"/>
    </w:pPr>
  </w:style>
  <w:style w:type="character" w:customStyle="1" w:styleId="BodyTextChar">
    <w:name w:val="Body Text Char"/>
    <w:basedOn w:val="DefaultParagraphFont"/>
    <w:link w:val="BodyText"/>
    <w:locked/>
    <w:rsid w:val="00563E5E"/>
    <w:rPr>
      <w:rFonts w:ascii="Times New Roman" w:hAnsi="Times New Roman" w:cs="Times New Roman"/>
      <w:sz w:val="24"/>
      <w:szCs w:val="24"/>
      <w:rtl w:val="0"/>
      <w:cs w:val="0"/>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FootnoteTextChar"/>
    <w:uiPriority w:val="99"/>
    <w:semiHidden/>
    <w:rsid w:val="00563E5E"/>
    <w:pPr>
      <w:jc w:val="left"/>
    </w:pPr>
    <w:rPr>
      <w:lang w:eastAsia="cs-CZ"/>
    </w:rPr>
  </w:style>
  <w:style w:type="character" w:customStyle="1" w:styleId="FootnoteTextChar">
    <w:name w:val="Footnote Text Char"/>
    <w:aliases w:val="Footnote Text Char Char1 Char Char Char Char Char,Footnote Text Char1 Char Char,Footnote Text Char1 Char Char Char Char,Footnote Text Char2 Char,Footnote Text Char2 Char Char Char,Footnote Text Char2 Char Char Char Char Char"/>
    <w:basedOn w:val="DefaultParagraphFont"/>
    <w:link w:val="FootnoteText"/>
    <w:uiPriority w:val="99"/>
    <w:semiHidden/>
    <w:locked/>
    <w:rsid w:val="00563E5E"/>
    <w:rPr>
      <w:rFonts w:ascii="Times New Roman" w:hAnsi="Times New Roman" w:cs="Times New Roman"/>
      <w:sz w:val="24"/>
      <w:szCs w:val="24"/>
      <w:rtl w:val="0"/>
      <w:cs w:val="0"/>
      <w:lang w:val="x-none" w:eastAsia="cs-CZ"/>
    </w:rPr>
  </w:style>
  <w:style w:type="paragraph" w:customStyle="1" w:styleId="Texttabulky">
    <w:name w:val="Text tabulky"/>
    <w:rsid w:val="00563E5E"/>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Footer">
    <w:name w:val="footer"/>
    <w:basedOn w:val="Normal"/>
    <w:link w:val="FooterChar"/>
    <w:uiPriority w:val="99"/>
    <w:rsid w:val="00563E5E"/>
    <w:pPr>
      <w:tabs>
        <w:tab w:val="center" w:pos="4536"/>
        <w:tab w:val="right" w:pos="9072"/>
      </w:tabs>
      <w:jc w:val="left"/>
    </w:pPr>
  </w:style>
  <w:style w:type="character" w:customStyle="1" w:styleId="FooterChar">
    <w:name w:val="Footer Char"/>
    <w:basedOn w:val="DefaultParagraphFont"/>
    <w:link w:val="Footer"/>
    <w:uiPriority w:val="99"/>
    <w:locked/>
    <w:rsid w:val="00563E5E"/>
    <w:rPr>
      <w:rFonts w:ascii="Times New Roman" w:hAnsi="Times New Roman" w:cs="Times New Roman"/>
      <w:sz w:val="24"/>
      <w:szCs w:val="24"/>
      <w:rtl w:val="0"/>
      <w:cs w:val="0"/>
      <w:lang w:val="x-none" w:eastAsia="sk-SK"/>
    </w:rPr>
  </w:style>
  <w:style w:type="character" w:styleId="PageNumber">
    <w:name w:val="page number"/>
    <w:basedOn w:val="DefaultParagraphFont"/>
    <w:rsid w:val="00563E5E"/>
    <w:rPr>
      <w:rFonts w:cs="Times New Roman"/>
      <w:rtl w:val="0"/>
      <w:cs w:val="0"/>
    </w:rPr>
  </w:style>
  <w:style w:type="character" w:styleId="FootnoteReference">
    <w:name w:val="footnote reference"/>
    <w:uiPriority w:val="99"/>
    <w:semiHidden/>
    <w:rsid w:val="00563E5E"/>
    <w:rPr>
      <w:vertAlign w:val="superscript"/>
    </w:rPr>
  </w:style>
  <w:style w:type="paragraph" w:styleId="BalloonText">
    <w:name w:val="Balloon Text"/>
    <w:basedOn w:val="Normal"/>
    <w:link w:val="BalloonTextChar"/>
    <w:semiHidden/>
    <w:rsid w:val="00563E5E"/>
    <w:pPr>
      <w:jc w:val="left"/>
    </w:pPr>
    <w:rPr>
      <w:rFonts w:ascii="Tahoma" w:hAnsi="Tahoma"/>
      <w:sz w:val="16"/>
      <w:szCs w:val="16"/>
    </w:rPr>
  </w:style>
  <w:style w:type="character" w:customStyle="1" w:styleId="BalloonTextChar">
    <w:name w:val="Balloon Text Char"/>
    <w:basedOn w:val="DefaultParagraphFont"/>
    <w:link w:val="BalloonText"/>
    <w:semiHidden/>
    <w:locked/>
    <w:rsid w:val="00563E5E"/>
    <w:rPr>
      <w:rFonts w:ascii="Tahoma" w:hAnsi="Tahoma" w:cs="Times New Roman"/>
      <w:sz w:val="16"/>
      <w:szCs w:val="16"/>
      <w:rtl w:val="0"/>
      <w:cs w:val="0"/>
      <w:lang w:val="x-none" w:eastAsia="sk-SK"/>
    </w:rPr>
  </w:style>
  <w:style w:type="paragraph" w:styleId="Header">
    <w:name w:val="header"/>
    <w:basedOn w:val="Normal"/>
    <w:link w:val="HeaderChar"/>
    <w:rsid w:val="00563E5E"/>
    <w:pPr>
      <w:tabs>
        <w:tab w:val="center" w:pos="4536"/>
        <w:tab w:val="right" w:pos="9072"/>
      </w:tabs>
      <w:jc w:val="left"/>
    </w:pPr>
  </w:style>
  <w:style w:type="character" w:customStyle="1" w:styleId="HeaderChar">
    <w:name w:val="Header Char"/>
    <w:basedOn w:val="DefaultParagraphFont"/>
    <w:link w:val="Header"/>
    <w:locked/>
    <w:rsid w:val="00563E5E"/>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563E5E"/>
    <w:pPr>
      <w:ind w:left="720"/>
      <w:jc w:val="left"/>
    </w:pPr>
    <w:rPr>
      <w:rFonts w:ascii="Calibri" w:eastAsia="Calibri" w:hAnsi="Calibri"/>
      <w:sz w:val="22"/>
      <w:szCs w:val="22"/>
    </w:rPr>
  </w:style>
  <w:style w:type="character" w:styleId="CommentReference">
    <w:name w:val="annotation reference"/>
    <w:rsid w:val="00563E5E"/>
    <w:rPr>
      <w:sz w:val="16"/>
    </w:rPr>
  </w:style>
  <w:style w:type="paragraph" w:styleId="CommentText">
    <w:name w:val="annotation text"/>
    <w:basedOn w:val="Normal"/>
    <w:link w:val="CommentTextChar"/>
    <w:rsid w:val="00563E5E"/>
    <w:pPr>
      <w:jc w:val="left"/>
    </w:pPr>
    <w:rPr>
      <w:sz w:val="20"/>
      <w:szCs w:val="20"/>
    </w:rPr>
  </w:style>
  <w:style w:type="character" w:customStyle="1" w:styleId="CommentTextChar">
    <w:name w:val="Comment Text Char"/>
    <w:basedOn w:val="DefaultParagraphFont"/>
    <w:link w:val="CommentText"/>
    <w:locked/>
    <w:rsid w:val="00563E5E"/>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CommentSubjectChar"/>
    <w:rsid w:val="00563E5E"/>
    <w:pPr>
      <w:jc w:val="left"/>
    </w:pPr>
    <w:rPr>
      <w:b/>
      <w:bCs/>
    </w:rPr>
  </w:style>
  <w:style w:type="character" w:customStyle="1" w:styleId="CommentSubjectChar">
    <w:name w:val="Comment Subject Char"/>
    <w:basedOn w:val="CommentTextChar"/>
    <w:link w:val="CommentSubject"/>
    <w:locked/>
    <w:rsid w:val="00563E5E"/>
    <w:rPr>
      <w:b/>
      <w:bCs/>
    </w:rPr>
  </w:style>
  <w:style w:type="paragraph" w:customStyle="1" w:styleId="tlCharCharCharCharCharChar1">
    <w:name w:val="Štýl Char Char Char Char Char Char1"/>
    <w:basedOn w:val="Normal"/>
    <w:rsid w:val="00563E5E"/>
    <w:pPr>
      <w:spacing w:after="160" w:line="240" w:lineRule="exact"/>
      <w:jc w:val="left"/>
    </w:pPr>
    <w:rPr>
      <w:rFonts w:ascii="Tahoma" w:hAnsi="Tahoma" w:cs="Tahoma"/>
      <w:sz w:val="20"/>
      <w:szCs w:val="20"/>
      <w:lang w:val="en-US" w:eastAsia="en-US"/>
    </w:rPr>
  </w:style>
  <w:style w:type="paragraph" w:styleId="TOC1">
    <w:name w:val="toc 1"/>
    <w:basedOn w:val="Normal"/>
    <w:next w:val="Normal"/>
    <w:autoRedefine/>
    <w:rsid w:val="00563E5E"/>
    <w:pPr>
      <w:jc w:val="left"/>
    </w:pPr>
  </w:style>
  <w:style w:type="paragraph" w:styleId="TOC3">
    <w:name w:val="toc 3"/>
    <w:basedOn w:val="Normal"/>
    <w:next w:val="Normal"/>
    <w:autoRedefine/>
    <w:rsid w:val="00563E5E"/>
    <w:pPr>
      <w:ind w:left="480"/>
      <w:jc w:val="left"/>
    </w:pPr>
  </w:style>
  <w:style w:type="character" w:styleId="Hyperlink">
    <w:name w:val="Hyperlink"/>
    <w:basedOn w:val="DefaultParagraphFont"/>
    <w:rsid w:val="00563E5E"/>
    <w:rPr>
      <w:rFonts w:cs="Times New Roman"/>
      <w:color w:val="0000FF"/>
      <w:u w:val="single"/>
      <w:rtl w:val="0"/>
      <w:cs w:val="0"/>
    </w:rPr>
  </w:style>
  <w:style w:type="paragraph" w:customStyle="1" w:styleId="CharChar1">
    <w:name w:val="Char Char1"/>
    <w:basedOn w:val="Normal"/>
    <w:rsid w:val="00563E5E"/>
    <w:pPr>
      <w:spacing w:after="160" w:line="240" w:lineRule="exact"/>
      <w:jc w:val="left"/>
    </w:pPr>
    <w:rPr>
      <w:rFonts w:ascii="Tahoma" w:hAnsi="Tahoma"/>
      <w:sz w:val="20"/>
      <w:szCs w:val="20"/>
      <w:lang w:eastAsia="en-US"/>
    </w:rPr>
  </w:style>
  <w:style w:type="paragraph" w:customStyle="1" w:styleId="tlCharCharCharCharCharChar">
    <w:name w:val="Štýl Char Char Char Char Char Char"/>
    <w:basedOn w:val="Normal"/>
    <w:rsid w:val="00563E5E"/>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al"/>
    <w:rsid w:val="00563E5E"/>
    <w:pPr>
      <w:spacing w:after="160" w:line="240" w:lineRule="exact"/>
      <w:jc w:val="left"/>
    </w:pPr>
    <w:rPr>
      <w:rFonts w:ascii="Arial Narrow" w:hAnsi="Arial Narrow"/>
      <w:sz w:val="22"/>
      <w:szCs w:val="20"/>
      <w:lang w:val="en-US" w:eastAsia="en-US"/>
    </w:rPr>
  </w:style>
  <w:style w:type="paragraph" w:customStyle="1" w:styleId="tlCharCharCharChar">
    <w:name w:val="Štýl Char Char Char Char"/>
    <w:basedOn w:val="Normal"/>
    <w:rsid w:val="00563E5E"/>
    <w:pPr>
      <w:spacing w:after="160" w:line="240" w:lineRule="exact"/>
      <w:jc w:val="left"/>
    </w:pPr>
    <w:rPr>
      <w:rFonts w:ascii="Tahoma" w:hAnsi="Tahoma" w:cs="Tahoma"/>
      <w:sz w:val="20"/>
      <w:szCs w:val="20"/>
      <w:lang w:val="en-US" w:eastAsia="en-US"/>
    </w:rPr>
  </w:style>
  <w:style w:type="paragraph" w:styleId="BodyText2">
    <w:name w:val="Body Text 2"/>
    <w:basedOn w:val="Normal"/>
    <w:link w:val="BodyText2Char"/>
    <w:unhideWhenUsed/>
    <w:rsid w:val="00563E5E"/>
    <w:pPr>
      <w:spacing w:after="120" w:line="480" w:lineRule="auto"/>
      <w:jc w:val="left"/>
    </w:pPr>
  </w:style>
  <w:style w:type="character" w:customStyle="1" w:styleId="BodyText2Char">
    <w:name w:val="Body Text 2 Char"/>
    <w:basedOn w:val="DefaultParagraphFont"/>
    <w:link w:val="BodyText2"/>
    <w:locked/>
    <w:rsid w:val="00563E5E"/>
    <w:rPr>
      <w:rFonts w:ascii="Times New Roman" w:hAnsi="Times New Roman" w:cs="Times New Roman"/>
      <w:sz w:val="24"/>
      <w:szCs w:val="24"/>
      <w:rtl w:val="0"/>
      <w:cs w:val="0"/>
      <w:lang w:val="x-none" w:eastAsia="sk-SK"/>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563E5E"/>
    <w:pPr>
      <w:spacing w:after="160" w:line="240" w:lineRule="exact"/>
      <w:jc w:val="left"/>
    </w:pPr>
    <w:rPr>
      <w:rFonts w:ascii="Tahoma" w:hAnsi="Tahoma"/>
      <w:sz w:val="20"/>
      <w:szCs w:val="20"/>
      <w:lang w:val="en-US" w:eastAsia="en-US"/>
    </w:rPr>
  </w:style>
  <w:style w:type="paragraph" w:customStyle="1" w:styleId="tl3">
    <w:name w:val="Štýl3"/>
    <w:basedOn w:val="Heading3"/>
    <w:autoRedefine/>
    <w:rsid w:val="00563E5E"/>
    <w:pPr>
      <w:numPr>
        <w:ilvl w:val="2"/>
        <w:numId w:val="10"/>
      </w:numPr>
      <w:tabs>
        <w:tab w:val="num" w:pos="357"/>
      </w:tabs>
      <w:spacing w:before="100" w:beforeAutospacing="1" w:after="100" w:afterAutospacing="1"/>
      <w:ind w:left="357" w:hanging="357"/>
      <w:jc w:val="left"/>
    </w:pPr>
    <w:rPr>
      <w:rFonts w:ascii="Book Antiqua" w:hAnsi="Book Antiqua" w:cs="Times New Roman"/>
      <w:sz w:val="22"/>
      <w:szCs w:val="22"/>
      <w:lang w:eastAsia="cs-CZ"/>
    </w:rPr>
  </w:style>
  <w:style w:type="paragraph" w:customStyle="1" w:styleId="Zkladntext">
    <w:name w:val="Základní text"/>
    <w:rsid w:val="00563E5E"/>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Indent2">
    <w:name w:val="Body Text Indent 2"/>
    <w:basedOn w:val="Normal"/>
    <w:link w:val="BodyTextIndent2Char"/>
    <w:rsid w:val="00563E5E"/>
    <w:pPr>
      <w:spacing w:after="120" w:line="480" w:lineRule="auto"/>
      <w:ind w:left="283"/>
      <w:jc w:val="left"/>
    </w:pPr>
  </w:style>
  <w:style w:type="character" w:customStyle="1" w:styleId="BodyTextIndent2Char">
    <w:name w:val="Body Text Indent 2 Char"/>
    <w:basedOn w:val="DefaultParagraphFont"/>
    <w:link w:val="BodyTextIndent2"/>
    <w:locked/>
    <w:rsid w:val="00563E5E"/>
    <w:rPr>
      <w:rFonts w:ascii="Times New Roman" w:hAnsi="Times New Roman" w:cs="Times New Roman"/>
      <w:sz w:val="24"/>
      <w:szCs w:val="24"/>
      <w:rtl w:val="0"/>
      <w:cs w:val="0"/>
      <w:lang w:val="x-none" w:eastAsia="sk-SK"/>
    </w:rPr>
  </w:style>
  <w:style w:type="paragraph" w:styleId="BodyTextIndent3">
    <w:name w:val="Body Text Indent 3"/>
    <w:aliases w:val="Char"/>
    <w:basedOn w:val="Normal"/>
    <w:link w:val="BodyTextIndent3Char"/>
    <w:rsid w:val="00563E5E"/>
    <w:pPr>
      <w:ind w:firstLine="708"/>
      <w:jc w:val="both"/>
    </w:pPr>
    <w:rPr>
      <w:rFonts w:ascii="Arial Narrow" w:hAnsi="Arial Narrow"/>
      <w:sz w:val="22"/>
      <w:szCs w:val="22"/>
    </w:rPr>
  </w:style>
  <w:style w:type="character" w:customStyle="1" w:styleId="BodyTextIndent3Char">
    <w:name w:val="Body Text Indent 3 Char"/>
    <w:aliases w:val="Char Char1_0"/>
    <w:basedOn w:val="DefaultParagraphFont"/>
    <w:link w:val="BodyTextIndent3"/>
    <w:locked/>
    <w:rsid w:val="00563E5E"/>
    <w:rPr>
      <w:rFonts w:eastAsia="Times New Roman" w:cs="Times New Roman"/>
      <w:sz w:val="22"/>
      <w:szCs w:val="22"/>
      <w:rtl w:val="0"/>
      <w:cs w:val="0"/>
      <w:lang w:val="x-none" w:eastAsia="sk-SK"/>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_0"/>
    <w:basedOn w:val="Normal"/>
    <w:rsid w:val="00563E5E"/>
    <w:pPr>
      <w:spacing w:after="160" w:line="240" w:lineRule="exact"/>
      <w:jc w:val="left"/>
    </w:pPr>
    <w:rPr>
      <w:rFonts w:ascii="Tahoma" w:hAnsi="Tahoma" w:cs="Tahoma"/>
      <w:sz w:val="20"/>
      <w:szCs w:val="20"/>
      <w:lang w:val="en-US" w:eastAsia="en-US"/>
    </w:rPr>
  </w:style>
  <w:style w:type="paragraph" w:styleId="BodyTextIndent">
    <w:name w:val="Body Text Indent"/>
    <w:basedOn w:val="Normal"/>
    <w:link w:val="BodyTextIndentChar"/>
    <w:rsid w:val="00563E5E"/>
    <w:pPr>
      <w:spacing w:after="120"/>
      <w:ind w:left="283"/>
      <w:jc w:val="left"/>
    </w:pPr>
    <w:rPr>
      <w:rFonts w:ascii="Courier" w:hAnsi="Courier"/>
      <w:szCs w:val="20"/>
      <w:lang w:eastAsia="cs-CZ"/>
    </w:rPr>
  </w:style>
  <w:style w:type="character" w:customStyle="1" w:styleId="BodyTextIndentChar">
    <w:name w:val="Body Text Indent Char"/>
    <w:basedOn w:val="DefaultParagraphFont"/>
    <w:link w:val="BodyTextIndent"/>
    <w:locked/>
    <w:rsid w:val="00563E5E"/>
    <w:rPr>
      <w:rFonts w:ascii="Courier" w:hAnsi="Courier" w:cs="Times New Roman"/>
      <w:sz w:val="20"/>
      <w:szCs w:val="20"/>
      <w:rtl w:val="0"/>
      <w:cs w:val="0"/>
      <w:lang w:val="x-none" w:eastAsia="cs-CZ"/>
    </w:rPr>
  </w:style>
  <w:style w:type="paragraph" w:customStyle="1" w:styleId="Odsekzoznamu1">
    <w:name w:val="Odsek zoznamu1"/>
    <w:basedOn w:val="Normal"/>
    <w:rsid w:val="00563E5E"/>
    <w:pPr>
      <w:spacing w:after="200" w:line="276" w:lineRule="auto"/>
      <w:ind w:left="720"/>
      <w:jc w:val="left"/>
    </w:pPr>
    <w:rPr>
      <w:rFonts w:ascii="Calibri" w:hAnsi="Calibri"/>
      <w:sz w:val="22"/>
      <w:szCs w:val="22"/>
      <w:lang w:eastAsia="en-US"/>
    </w:rPr>
  </w:style>
  <w:style w:type="paragraph" w:customStyle="1" w:styleId="Default">
    <w:name w:val="Default"/>
    <w:rsid w:val="00563E5E"/>
    <w:pPr>
      <w:framePr w:wrap="auto"/>
      <w:widowControl/>
      <w:autoSpaceDE w:val="0"/>
      <w:autoSpaceDN w:val="0"/>
      <w:adjustRightInd w:val="0"/>
      <w:ind w:left="0" w:right="0"/>
      <w:jc w:val="left"/>
      <w:textAlignment w:val="auto"/>
    </w:pPr>
    <w:rPr>
      <w:rFonts w:ascii="Arial" w:eastAsia="Calibri" w:hAnsi="Arial" w:cs="Arial"/>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8ADA-298D-417A-9B9D-29BBC7A1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3202</Words>
  <Characters>18253</Characters>
  <Application>Microsoft Office Word</Application>
  <DocSecurity>0</DocSecurity>
  <Lines>0</Lines>
  <Paragraphs>0</Paragraphs>
  <ScaleCrop>false</ScaleCrop>
  <Company>Kancelaria NR SR</Company>
  <LinksUpToDate>false</LinksUpToDate>
  <CharactersWithSpaces>21413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Majerska Katarina</dc:creator>
  <cp:lastModifiedBy>Gašparíková, Jarmila</cp:lastModifiedBy>
  <cp:revision>2</cp:revision>
  <cp:lastPrinted>2011-08-08T13:24:00Z</cp:lastPrinted>
  <dcterms:created xsi:type="dcterms:W3CDTF">2011-10-14T13:15:00Z</dcterms:created>
  <dcterms:modified xsi:type="dcterms:W3CDTF">2011-10-14T13:15:00Z</dcterms:modified>
</cp:coreProperties>
</file>