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P="00E109C4">
      <w:pPr>
        <w:pStyle w:val="NormalWeb"/>
        <w:bidi w:val="0"/>
        <w:spacing w:before="0" w:beforeAutospacing="0" w:after="0" w:afterAutospacing="0"/>
        <w:jc w:val="center"/>
        <w:rPr>
          <w:rFonts w:ascii="Times New Roman" w:hAnsi="Times New Roman"/>
          <w:b/>
          <w:bCs/>
          <w:sz w:val="44"/>
          <w:szCs w:val="44"/>
        </w:rPr>
      </w:pPr>
    </w:p>
    <w:p w:rsidR="00E109C4" w:rsidRPr="00577F0F" w:rsidP="00D53C11">
      <w:pPr>
        <w:pStyle w:val="NormalWeb"/>
        <w:bidi w:val="0"/>
        <w:spacing w:before="0" w:beforeAutospacing="0" w:after="0" w:afterAutospacing="0"/>
        <w:jc w:val="center"/>
        <w:rPr>
          <w:rFonts w:ascii="Times New Roman" w:hAnsi="Times New Roman"/>
        </w:rPr>
      </w:pPr>
      <w:r w:rsidRPr="00577F0F">
        <w:rPr>
          <w:rFonts w:ascii="Times New Roman" w:hAnsi="Times New Roman"/>
          <w:b/>
          <w:bCs/>
          <w:sz w:val="44"/>
          <w:szCs w:val="44"/>
        </w:rPr>
        <w:t>Príloha č. 1</w:t>
      </w:r>
    </w:p>
    <w:p w:rsidR="00E109C4" w:rsidRPr="00577F0F" w:rsidP="00E109C4">
      <w:pPr>
        <w:pStyle w:val="NormalWeb"/>
        <w:bidi w:val="0"/>
        <w:spacing w:before="0" w:beforeAutospacing="0" w:after="0" w:afterAutospacing="0"/>
        <w:jc w:val="center"/>
        <w:rPr>
          <w:rFonts w:ascii="Times New Roman" w:hAnsi="Times New Roman"/>
        </w:rPr>
      </w:pPr>
      <w:r w:rsidRPr="00577F0F">
        <w:rPr>
          <w:rFonts w:ascii="Times New Roman" w:hAnsi="Times New Roman"/>
          <w:b/>
          <w:bCs/>
          <w:sz w:val="44"/>
          <w:szCs w:val="44"/>
        </w:rPr>
        <w:t> </w:t>
      </w:r>
    </w:p>
    <w:p w:rsidR="00E109C4" w:rsidRPr="00577F0F" w:rsidP="00E109C4">
      <w:pPr>
        <w:pStyle w:val="NormalWeb"/>
        <w:bidi w:val="0"/>
        <w:spacing w:before="0" w:beforeAutospacing="0" w:after="0" w:afterAutospacing="0"/>
        <w:jc w:val="center"/>
        <w:rPr>
          <w:rFonts w:ascii="Times New Roman" w:hAnsi="Times New Roman"/>
        </w:rPr>
      </w:pPr>
      <w:r w:rsidRPr="00577F0F">
        <w:rPr>
          <w:rFonts w:ascii="Times New Roman" w:hAnsi="Times New Roman"/>
          <w:b/>
          <w:bCs/>
          <w:sz w:val="44"/>
          <w:szCs w:val="44"/>
        </w:rPr>
        <w:t xml:space="preserve">Rozpočtovanie príjmov a výdavkov </w:t>
      </w:r>
    </w:p>
    <w:p w:rsidR="00E109C4" w:rsidRPr="00577F0F" w:rsidP="00E109C4">
      <w:pPr>
        <w:pStyle w:val="NormalWeb"/>
        <w:bidi w:val="0"/>
        <w:spacing w:before="0" w:beforeAutospacing="0" w:after="0" w:afterAutospacing="0"/>
        <w:jc w:val="center"/>
        <w:rPr>
          <w:rFonts w:ascii="Times New Roman" w:hAnsi="Times New Roman"/>
        </w:rPr>
      </w:pPr>
      <w:r w:rsidRPr="00577F0F">
        <w:rPr>
          <w:rFonts w:ascii="Times New Roman" w:hAnsi="Times New Roman"/>
          <w:b/>
          <w:bCs/>
          <w:sz w:val="44"/>
          <w:szCs w:val="44"/>
        </w:rPr>
        <w:t>ostatných subjektov verejnej správy v metodike ESA 95</w:t>
      </w: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9550B9" w:rsidP="007B64C5">
      <w:pPr>
        <w:pStyle w:val="NormalWeb"/>
        <w:bidi w:val="0"/>
        <w:spacing w:before="0" w:beforeAutospacing="0" w:after="0" w:afterAutospacing="0"/>
        <w:rPr>
          <w:rFonts w:ascii="Times New Roman" w:hAnsi="Times New Roman"/>
          <w:b/>
          <w:bCs/>
          <w:color w:val="FF0000"/>
          <w:sz w:val="28"/>
          <w:szCs w:val="28"/>
        </w:rPr>
      </w:pPr>
    </w:p>
    <w:p w:rsidR="009550B9"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9550B9"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D53C11" w:rsidP="007B64C5">
      <w:pPr>
        <w:pStyle w:val="NormalWeb"/>
        <w:bidi w:val="0"/>
        <w:spacing w:before="0" w:beforeAutospacing="0" w:after="0" w:afterAutospacing="0"/>
        <w:rPr>
          <w:rFonts w:ascii="Times New Roman" w:hAnsi="Times New Roman"/>
          <w:b/>
          <w:bCs/>
          <w:color w:val="FF0000"/>
          <w:sz w:val="28"/>
          <w:szCs w:val="28"/>
        </w:rPr>
      </w:pPr>
    </w:p>
    <w:p w:rsidR="00E109C4" w:rsidRPr="002C0E33" w:rsidP="007B64C5">
      <w:pPr>
        <w:pStyle w:val="NormalWeb"/>
        <w:bidi w:val="0"/>
        <w:spacing w:before="0" w:beforeAutospacing="0" w:after="0" w:afterAutospacing="0"/>
        <w:rPr>
          <w:rFonts w:ascii="Times New Roman" w:hAnsi="Times New Roman"/>
        </w:rPr>
      </w:pPr>
      <w:r w:rsidRPr="002C0E33">
        <w:rPr>
          <w:rFonts w:ascii="Times New Roman" w:hAnsi="Times New Roman"/>
          <w:b/>
          <w:bCs/>
          <w:sz w:val="28"/>
          <w:szCs w:val="28"/>
        </w:rPr>
        <w:t>Rozpočtovanie príjmov a výdavkov ostatných subjektov verejnej správy v metodike ESA 95</w:t>
      </w:r>
    </w:p>
    <w:p w:rsidR="00E109C4" w:rsidRPr="00E109C4" w:rsidP="00E109C4">
      <w:pPr>
        <w:pStyle w:val="NormalWeb"/>
        <w:bidi w:val="0"/>
        <w:spacing w:before="0" w:beforeAutospacing="0" w:after="0" w:afterAutospacing="0"/>
        <w:jc w:val="both"/>
        <w:rPr>
          <w:rFonts w:ascii="Times New Roman" w:hAnsi="Times New Roman"/>
          <w:color w:val="FF0000"/>
        </w:rPr>
      </w:pPr>
      <w:r w:rsidRPr="00E109C4">
        <w:rPr>
          <w:rFonts w:ascii="Times New Roman" w:hAnsi="Times New Roman"/>
          <w:b/>
          <w:bCs/>
          <w:color w:val="FF0000"/>
          <w:sz w:val="22"/>
          <w:szCs w:val="22"/>
        </w:rPr>
        <w:t> </w:t>
      </w:r>
    </w:p>
    <w:p w:rsidR="009E362C" w:rsidRPr="009E2972" w:rsidP="009E362C">
      <w:pPr>
        <w:bidi w:val="0"/>
        <w:jc w:val="both"/>
        <w:rPr>
          <w:rFonts w:ascii="Times New Roman" w:hAnsi="Times New Roman"/>
        </w:rPr>
      </w:pPr>
      <w:r w:rsidRPr="009E2972">
        <w:rPr>
          <w:rFonts w:ascii="Times New Roman" w:hAnsi="Times New Roman"/>
          <w:b/>
        </w:rPr>
        <w:t>1. Obce a vyššie územné celky</w:t>
      </w:r>
    </w:p>
    <w:p w:rsidR="009E362C" w:rsidRPr="009E2972" w:rsidP="009E362C">
      <w:pPr>
        <w:bidi w:val="0"/>
        <w:jc w:val="both"/>
        <w:rPr>
          <w:rFonts w:ascii="Times New Roman" w:hAnsi="Times New Roman"/>
          <w:sz w:val="22"/>
          <w:szCs w:val="22"/>
        </w:rPr>
      </w:pPr>
    </w:p>
    <w:p w:rsidR="009E362C" w:rsidRPr="00EB33CC" w:rsidP="009E362C">
      <w:pPr>
        <w:bidi w:val="0"/>
        <w:ind w:firstLine="708"/>
        <w:jc w:val="both"/>
        <w:rPr>
          <w:rFonts w:ascii="Times New Roman" w:hAnsi="Times New Roman"/>
        </w:rPr>
      </w:pPr>
      <w:r w:rsidRPr="00EB33CC">
        <w:rPr>
          <w:rFonts w:ascii="Times New Roman" w:hAnsi="Times New Roman"/>
        </w:rPr>
        <w:t xml:space="preserve">V návrhu rozpočtu verejnej správy na roky 2012 až 2014 v rozpočtoch obcí a vyšších územných celkov (ďalej len „VÚC“) je zohľadnená aktualizácia systému fiškálnej decentralizácie v nadväznosti na návrh nového zákona o rozpočtovom určení niektorých daní územnej samospráve. Návrh zákona sleduje tri základné ciele: </w:t>
      </w:r>
    </w:p>
    <w:p w:rsidR="009E362C" w:rsidRPr="00EB33CC" w:rsidP="009E362C">
      <w:pPr>
        <w:bidi w:val="0"/>
        <w:jc w:val="both"/>
        <w:rPr>
          <w:rFonts w:ascii="Times New Roman" w:hAnsi="Times New Roman"/>
        </w:rPr>
      </w:pPr>
    </w:p>
    <w:p w:rsidR="009E362C" w:rsidRPr="00EB33CC" w:rsidP="00A3532C">
      <w:pPr>
        <w:pStyle w:val="ListParagraph"/>
        <w:numPr>
          <w:numId w:val="4"/>
        </w:numPr>
        <w:bidi w:val="0"/>
        <w:spacing w:before="120"/>
        <w:ind w:left="714" w:hanging="357"/>
        <w:jc w:val="both"/>
        <w:rPr>
          <w:rFonts w:ascii="Times New Roman" w:hAnsi="Times New Roman"/>
          <w:sz w:val="24"/>
          <w:szCs w:val="24"/>
        </w:rPr>
      </w:pPr>
      <w:r w:rsidRPr="00EB33CC">
        <w:rPr>
          <w:rFonts w:ascii="Times New Roman" w:hAnsi="Times New Roman" w:hint="default"/>
          <w:b/>
          <w:sz w:val="24"/>
          <w:szCs w:val="24"/>
        </w:rPr>
        <w:t>ú</w:t>
      </w:r>
      <w:r w:rsidRPr="00EB33CC">
        <w:rPr>
          <w:rFonts w:ascii="Times New Roman" w:hAnsi="Times New Roman" w:hint="default"/>
          <w:b/>
          <w:sz w:val="24"/>
          <w:szCs w:val="24"/>
        </w:rPr>
        <w:t>pravu deficitu verejnej sprá</w:t>
      </w:r>
      <w:r w:rsidRPr="00EB33CC">
        <w:rPr>
          <w:rFonts w:ascii="Times New Roman" w:hAnsi="Times New Roman" w:hint="default"/>
          <w:b/>
          <w:sz w:val="24"/>
          <w:szCs w:val="24"/>
        </w:rPr>
        <w:t>vy v roku 2012</w:t>
      </w:r>
      <w:r w:rsidRPr="00EB33CC">
        <w:rPr>
          <w:rFonts w:ascii="Times New Roman" w:hAnsi="Times New Roman" w:hint="default"/>
          <w:sz w:val="24"/>
          <w:szCs w:val="24"/>
        </w:rPr>
        <w:t xml:space="preserve"> prostrední</w:t>
      </w:r>
      <w:r w:rsidRPr="00EB33CC">
        <w:rPr>
          <w:rFonts w:ascii="Times New Roman" w:hAnsi="Times New Roman" w:hint="default"/>
          <w:sz w:val="24"/>
          <w:szCs w:val="24"/>
        </w:rPr>
        <w:t>ctvom zvýš</w:t>
      </w:r>
      <w:r w:rsidRPr="00EB33CC">
        <w:rPr>
          <w:rFonts w:ascii="Times New Roman" w:hAnsi="Times New Roman" w:hint="default"/>
          <w:sz w:val="24"/>
          <w:szCs w:val="24"/>
        </w:rPr>
        <w:t>enia prí</w:t>
      </w:r>
      <w:r w:rsidRPr="00EB33CC">
        <w:rPr>
          <w:rFonts w:ascii="Times New Roman" w:hAnsi="Times New Roman" w:hint="default"/>
          <w:sz w:val="24"/>
          <w:szCs w:val="24"/>
        </w:rPr>
        <w:t>jmov š</w:t>
      </w:r>
      <w:r w:rsidRPr="00EB33CC">
        <w:rPr>
          <w:rFonts w:ascii="Times New Roman" w:hAnsi="Times New Roman" w:hint="default"/>
          <w:sz w:val="24"/>
          <w:szCs w:val="24"/>
        </w:rPr>
        <w:t>tá</w:t>
      </w:r>
      <w:r w:rsidRPr="00EB33CC">
        <w:rPr>
          <w:rFonts w:ascii="Times New Roman" w:hAnsi="Times New Roman" w:hint="default"/>
          <w:sz w:val="24"/>
          <w:szCs w:val="24"/>
        </w:rPr>
        <w:t>tneho rozpoč</w:t>
      </w:r>
      <w:r w:rsidRPr="00EB33CC">
        <w:rPr>
          <w:rFonts w:ascii="Times New Roman" w:hAnsi="Times New Roman" w:hint="default"/>
          <w:sz w:val="24"/>
          <w:szCs w:val="24"/>
        </w:rPr>
        <w:t>tu. Uvedený</w:t>
      </w:r>
      <w:r w:rsidRPr="00EB33CC">
        <w:rPr>
          <w:rFonts w:ascii="Times New Roman" w:hAnsi="Times New Roman" w:hint="default"/>
          <w:sz w:val="24"/>
          <w:szCs w:val="24"/>
        </w:rPr>
        <w:t xml:space="preserve"> ná</w:t>
      </w:r>
      <w:r w:rsidRPr="00EB33CC">
        <w:rPr>
          <w:rFonts w:ascii="Times New Roman" w:hAnsi="Times New Roman" w:hint="default"/>
          <w:sz w:val="24"/>
          <w:szCs w:val="24"/>
        </w:rPr>
        <w:t>vrh napriek tomu znamená</w:t>
      </w:r>
      <w:r w:rsidRPr="00EB33CC">
        <w:rPr>
          <w:rFonts w:ascii="Times New Roman" w:hAnsi="Times New Roman" w:hint="default"/>
          <w:sz w:val="24"/>
          <w:szCs w:val="24"/>
        </w:rPr>
        <w:t xml:space="preserve"> medziroč</w:t>
      </w:r>
      <w:r w:rsidRPr="00EB33CC">
        <w:rPr>
          <w:rFonts w:ascii="Times New Roman" w:hAnsi="Times New Roman" w:hint="default"/>
          <w:sz w:val="24"/>
          <w:szCs w:val="24"/>
        </w:rPr>
        <w:t>né</w:t>
      </w:r>
      <w:r w:rsidRPr="00EB33CC">
        <w:rPr>
          <w:rFonts w:ascii="Times New Roman" w:hAnsi="Times New Roman" w:hint="default"/>
          <w:sz w:val="24"/>
          <w:szCs w:val="24"/>
        </w:rPr>
        <w:t xml:space="preserve"> zvýš</w:t>
      </w:r>
      <w:r w:rsidRPr="00EB33CC">
        <w:rPr>
          <w:rFonts w:ascii="Times New Roman" w:hAnsi="Times New Roman" w:hint="default"/>
          <w:sz w:val="24"/>
          <w:szCs w:val="24"/>
        </w:rPr>
        <w:t>enie prí</w:t>
      </w:r>
      <w:r w:rsidRPr="00EB33CC">
        <w:rPr>
          <w:rFonts w:ascii="Times New Roman" w:hAnsi="Times New Roman" w:hint="default"/>
          <w:sz w:val="24"/>
          <w:szCs w:val="24"/>
        </w:rPr>
        <w:t>jmov ú</w:t>
      </w:r>
      <w:r w:rsidRPr="00EB33CC">
        <w:rPr>
          <w:rFonts w:ascii="Times New Roman" w:hAnsi="Times New Roman" w:hint="default"/>
          <w:sz w:val="24"/>
          <w:szCs w:val="24"/>
        </w:rPr>
        <w:t>zemnej samosprá</w:t>
      </w:r>
      <w:r w:rsidRPr="00EB33CC">
        <w:rPr>
          <w:rFonts w:ascii="Times New Roman" w:hAnsi="Times New Roman" w:hint="default"/>
          <w:sz w:val="24"/>
          <w:szCs w:val="24"/>
        </w:rPr>
        <w:t>vy z </w:t>
      </w:r>
      <w:r w:rsidRPr="00EB33CC">
        <w:rPr>
          <w:rFonts w:ascii="Times New Roman" w:hAnsi="Times New Roman" w:hint="default"/>
          <w:sz w:val="24"/>
          <w:szCs w:val="24"/>
        </w:rPr>
        <w:t>podielový</w:t>
      </w:r>
      <w:r w:rsidRPr="00EB33CC">
        <w:rPr>
          <w:rFonts w:ascii="Times New Roman" w:hAnsi="Times New Roman" w:hint="default"/>
          <w:sz w:val="24"/>
          <w:szCs w:val="24"/>
        </w:rPr>
        <w:t>ch daní</w:t>
      </w:r>
      <w:r w:rsidRPr="00EB33CC">
        <w:rPr>
          <w:rFonts w:ascii="Times New Roman" w:hAnsi="Times New Roman" w:hint="default"/>
          <w:sz w:val="24"/>
          <w:szCs w:val="24"/>
        </w:rPr>
        <w:t xml:space="preserve"> v rok</w:t>
      </w:r>
      <w:r w:rsidRPr="00EB33CC">
        <w:rPr>
          <w:rFonts w:ascii="Times New Roman" w:hAnsi="Times New Roman" w:hint="default"/>
          <w:sz w:val="24"/>
          <w:szCs w:val="24"/>
        </w:rPr>
        <w:t>u 2012 o 3,0</w:t>
      </w:r>
      <w:r>
        <w:rPr>
          <w:rFonts w:ascii="Times New Roman" w:hAnsi="Times New Roman"/>
          <w:sz w:val="24"/>
          <w:szCs w:val="24"/>
        </w:rPr>
        <w:t xml:space="preserve"> </w:t>
      </w:r>
      <w:r w:rsidRPr="00EB33CC">
        <w:rPr>
          <w:rFonts w:ascii="Times New Roman" w:hAnsi="Times New Roman"/>
          <w:sz w:val="24"/>
          <w:szCs w:val="24"/>
        </w:rPr>
        <w:t>% a </w:t>
      </w:r>
      <w:r w:rsidRPr="00EB33CC">
        <w:rPr>
          <w:rFonts w:ascii="Times New Roman" w:hAnsi="Times New Roman" w:hint="default"/>
          <w:sz w:val="24"/>
          <w:szCs w:val="24"/>
        </w:rPr>
        <w:t>zá</w:t>
      </w:r>
      <w:r w:rsidRPr="00EB33CC">
        <w:rPr>
          <w:rFonts w:ascii="Times New Roman" w:hAnsi="Times New Roman" w:hint="default"/>
          <w:sz w:val="24"/>
          <w:szCs w:val="24"/>
        </w:rPr>
        <w:t>roveň</w:t>
      </w:r>
      <w:r w:rsidRPr="00EB33CC">
        <w:rPr>
          <w:rFonts w:ascii="Times New Roman" w:hAnsi="Times New Roman" w:hint="default"/>
          <w:sz w:val="24"/>
          <w:szCs w:val="24"/>
        </w:rPr>
        <w:t xml:space="preserve"> predstavuje ná</w:t>
      </w:r>
      <w:r w:rsidRPr="00EB33CC">
        <w:rPr>
          <w:rFonts w:ascii="Times New Roman" w:hAnsi="Times New Roman" w:hint="default"/>
          <w:sz w:val="24"/>
          <w:szCs w:val="24"/>
        </w:rPr>
        <w:t>rast jej prí</w:t>
      </w:r>
      <w:r w:rsidRPr="00EB33CC">
        <w:rPr>
          <w:rFonts w:ascii="Times New Roman" w:hAnsi="Times New Roman" w:hint="default"/>
          <w:sz w:val="24"/>
          <w:szCs w:val="24"/>
        </w:rPr>
        <w:t>jmov oproti predkrí</w:t>
      </w:r>
      <w:r w:rsidRPr="00EB33CC">
        <w:rPr>
          <w:rFonts w:ascii="Times New Roman" w:hAnsi="Times New Roman" w:hint="default"/>
          <w:sz w:val="24"/>
          <w:szCs w:val="24"/>
        </w:rPr>
        <w:t>zové</w:t>
      </w:r>
      <w:r w:rsidRPr="00EB33CC">
        <w:rPr>
          <w:rFonts w:ascii="Times New Roman" w:hAnsi="Times New Roman" w:hint="default"/>
          <w:sz w:val="24"/>
          <w:szCs w:val="24"/>
        </w:rPr>
        <w:t>mu roku 2007 o 13,</w:t>
      </w:r>
      <w:r>
        <w:rPr>
          <w:rFonts w:ascii="Times New Roman" w:hAnsi="Times New Roman"/>
          <w:sz w:val="24"/>
          <w:szCs w:val="24"/>
        </w:rPr>
        <w:t xml:space="preserve">1 </w:t>
      </w:r>
      <w:r w:rsidRPr="00EB33CC">
        <w:rPr>
          <w:rFonts w:ascii="Times New Roman" w:hAnsi="Times New Roman"/>
          <w:sz w:val="24"/>
          <w:szCs w:val="24"/>
        </w:rPr>
        <w:t xml:space="preserve">%, </w:t>
      </w:r>
    </w:p>
    <w:p w:rsidR="009E362C" w:rsidRPr="00EB33CC" w:rsidP="00A3532C">
      <w:pPr>
        <w:pStyle w:val="ListParagraph"/>
        <w:numPr>
          <w:numId w:val="4"/>
        </w:numPr>
        <w:bidi w:val="0"/>
        <w:spacing w:before="120"/>
        <w:ind w:left="714" w:hanging="357"/>
        <w:jc w:val="both"/>
        <w:rPr>
          <w:rFonts w:ascii="Times New Roman" w:hAnsi="Times New Roman"/>
          <w:b/>
          <w:sz w:val="24"/>
          <w:szCs w:val="24"/>
        </w:rPr>
      </w:pPr>
      <w:r w:rsidRPr="00EB33CC">
        <w:rPr>
          <w:rFonts w:ascii="Times New Roman" w:hAnsi="Times New Roman" w:hint="default"/>
          <w:b/>
          <w:sz w:val="24"/>
          <w:szCs w:val="24"/>
        </w:rPr>
        <w:t>väčš</w:t>
      </w:r>
      <w:r w:rsidRPr="00EB33CC">
        <w:rPr>
          <w:rFonts w:ascii="Times New Roman" w:hAnsi="Times New Roman" w:hint="default"/>
          <w:b/>
          <w:sz w:val="24"/>
          <w:szCs w:val="24"/>
        </w:rPr>
        <w:t>iu spravodlivosť</w:t>
      </w:r>
      <w:r w:rsidRPr="00EB33CC">
        <w:rPr>
          <w:rFonts w:ascii="Times New Roman" w:hAnsi="Times New Roman" w:hint="default"/>
          <w:b/>
          <w:sz w:val="24"/>
          <w:szCs w:val="24"/>
        </w:rPr>
        <w:t xml:space="preserve"> v </w:t>
      </w:r>
      <w:r w:rsidRPr="00EB33CC">
        <w:rPr>
          <w:rFonts w:ascii="Times New Roman" w:hAnsi="Times New Roman" w:hint="default"/>
          <w:b/>
          <w:sz w:val="24"/>
          <w:szCs w:val="24"/>
        </w:rPr>
        <w:t>prerozdelení</w:t>
      </w:r>
      <w:r w:rsidRPr="00EB33CC">
        <w:rPr>
          <w:rFonts w:ascii="Times New Roman" w:hAnsi="Times New Roman" w:hint="default"/>
          <w:b/>
          <w:sz w:val="24"/>
          <w:szCs w:val="24"/>
        </w:rPr>
        <w:t xml:space="preserve"> daní</w:t>
      </w:r>
      <w:r w:rsidRPr="00EB33CC">
        <w:rPr>
          <w:rFonts w:ascii="Times New Roman" w:hAnsi="Times New Roman" w:hint="default"/>
          <w:b/>
          <w:sz w:val="24"/>
          <w:szCs w:val="24"/>
        </w:rPr>
        <w:t xml:space="preserve"> </w:t>
      </w:r>
      <w:r w:rsidRPr="00EB33CC">
        <w:rPr>
          <w:rFonts w:ascii="Times New Roman" w:hAnsi="Times New Roman" w:hint="default"/>
          <w:b/>
          <w:sz w:val="24"/>
          <w:szCs w:val="24"/>
        </w:rPr>
        <w:t>–</w:t>
      </w:r>
      <w:r w:rsidRPr="00EB33CC">
        <w:rPr>
          <w:rFonts w:ascii="Times New Roman" w:hAnsi="Times New Roman" w:hint="default"/>
          <w:b/>
          <w:sz w:val="24"/>
          <w:szCs w:val="24"/>
        </w:rPr>
        <w:t xml:space="preserve"> </w:t>
      </w:r>
      <w:r w:rsidRPr="00EB33CC">
        <w:rPr>
          <w:rFonts w:ascii="Times New Roman" w:hAnsi="Times New Roman" w:hint="default"/>
          <w:sz w:val="24"/>
          <w:szCs w:val="24"/>
        </w:rPr>
        <w:t>zmenou definí</w:t>
      </w:r>
      <w:r w:rsidRPr="00EB33CC">
        <w:rPr>
          <w:rFonts w:ascii="Times New Roman" w:hAnsi="Times New Roman" w:hint="default"/>
          <w:sz w:val="24"/>
          <w:szCs w:val="24"/>
        </w:rPr>
        <w:t>cie zá</w:t>
      </w:r>
      <w:r w:rsidRPr="00EB33CC">
        <w:rPr>
          <w:rFonts w:ascii="Times New Roman" w:hAnsi="Times New Roman" w:hint="default"/>
          <w:sz w:val="24"/>
          <w:szCs w:val="24"/>
        </w:rPr>
        <w:t>kladne pre vý</w:t>
      </w:r>
      <w:r w:rsidRPr="00EB33CC">
        <w:rPr>
          <w:rFonts w:ascii="Times New Roman" w:hAnsi="Times New Roman" w:hint="default"/>
          <w:sz w:val="24"/>
          <w:szCs w:val="24"/>
        </w:rPr>
        <w:t>poč</w:t>
      </w:r>
      <w:r w:rsidRPr="00EB33CC">
        <w:rPr>
          <w:rFonts w:ascii="Times New Roman" w:hAnsi="Times New Roman" w:hint="default"/>
          <w:sz w:val="24"/>
          <w:szCs w:val="24"/>
        </w:rPr>
        <w:t>et podielový</w:t>
      </w:r>
      <w:r w:rsidRPr="00EB33CC">
        <w:rPr>
          <w:rFonts w:ascii="Times New Roman" w:hAnsi="Times New Roman" w:hint="default"/>
          <w:sz w:val="24"/>
          <w:szCs w:val="24"/>
        </w:rPr>
        <w:t>ch daní</w:t>
      </w:r>
      <w:r w:rsidRPr="00EB33CC">
        <w:rPr>
          <w:rFonts w:ascii="Times New Roman" w:hAnsi="Times New Roman" w:hint="default"/>
          <w:sz w:val="24"/>
          <w:szCs w:val="24"/>
        </w:rPr>
        <w:t xml:space="preserve">  č</w:t>
      </w:r>
      <w:r w:rsidRPr="00EB33CC">
        <w:rPr>
          <w:rFonts w:ascii="Times New Roman" w:hAnsi="Times New Roman" w:hint="default"/>
          <w:sz w:val="24"/>
          <w:szCs w:val="24"/>
        </w:rPr>
        <w:t>isto z dan</w:t>
      </w:r>
      <w:r>
        <w:rPr>
          <w:rFonts w:ascii="Times New Roman" w:hAnsi="Times New Roman"/>
          <w:sz w:val="24"/>
          <w:szCs w:val="24"/>
        </w:rPr>
        <w:t>e</w:t>
      </w:r>
      <w:r w:rsidRPr="00EB33CC">
        <w:rPr>
          <w:rFonts w:ascii="Times New Roman" w:hAnsi="Times New Roman"/>
          <w:sz w:val="24"/>
          <w:szCs w:val="24"/>
        </w:rPr>
        <w:t xml:space="preserve"> z </w:t>
      </w:r>
      <w:r w:rsidRPr="00EB33CC">
        <w:rPr>
          <w:rFonts w:ascii="Times New Roman" w:hAnsi="Times New Roman" w:hint="default"/>
          <w:sz w:val="24"/>
          <w:szCs w:val="24"/>
        </w:rPr>
        <w:t>prí</w:t>
      </w:r>
      <w:r w:rsidRPr="00EB33CC">
        <w:rPr>
          <w:rFonts w:ascii="Times New Roman" w:hAnsi="Times New Roman" w:hint="default"/>
          <w:sz w:val="24"/>
          <w:szCs w:val="24"/>
        </w:rPr>
        <w:t>jmov fyzický</w:t>
      </w:r>
      <w:r w:rsidRPr="00EB33CC">
        <w:rPr>
          <w:rFonts w:ascii="Times New Roman" w:hAnsi="Times New Roman" w:hint="default"/>
          <w:sz w:val="24"/>
          <w:szCs w:val="24"/>
        </w:rPr>
        <w:t>ch osô</w:t>
      </w:r>
      <w:r w:rsidRPr="00EB33CC">
        <w:rPr>
          <w:rFonts w:ascii="Times New Roman" w:hAnsi="Times New Roman" w:hint="default"/>
          <w:sz w:val="24"/>
          <w:szCs w:val="24"/>
        </w:rPr>
        <w:t>b (DPFO) na zá</w:t>
      </w:r>
      <w:r w:rsidRPr="00EB33CC">
        <w:rPr>
          <w:rFonts w:ascii="Times New Roman" w:hAnsi="Times New Roman" w:hint="default"/>
          <w:sz w:val="24"/>
          <w:szCs w:val="24"/>
        </w:rPr>
        <w:t>kladné</w:t>
      </w:r>
      <w:r w:rsidRPr="00EB33CC">
        <w:rPr>
          <w:rFonts w:ascii="Times New Roman" w:hAnsi="Times New Roman" w:hint="default"/>
          <w:sz w:val="24"/>
          <w:szCs w:val="24"/>
        </w:rPr>
        <w:t xml:space="preserve"> da</w:t>
      </w:r>
      <w:r w:rsidRPr="00EB33CC">
        <w:rPr>
          <w:rFonts w:ascii="Times New Roman" w:hAnsi="Times New Roman" w:hint="default"/>
          <w:sz w:val="24"/>
          <w:szCs w:val="24"/>
        </w:rPr>
        <w:t>ň</w:t>
      </w:r>
      <w:r w:rsidRPr="00EB33CC">
        <w:rPr>
          <w:rFonts w:ascii="Times New Roman" w:hAnsi="Times New Roman" w:hint="default"/>
          <w:sz w:val="24"/>
          <w:szCs w:val="24"/>
        </w:rPr>
        <w:t>ové</w:t>
      </w:r>
      <w:r w:rsidRPr="00EB33CC">
        <w:rPr>
          <w:rFonts w:ascii="Times New Roman" w:hAnsi="Times New Roman" w:hint="default"/>
          <w:sz w:val="24"/>
          <w:szCs w:val="24"/>
        </w:rPr>
        <w:t xml:space="preserve"> prí</w:t>
      </w:r>
      <w:r w:rsidRPr="00EB33CC">
        <w:rPr>
          <w:rFonts w:ascii="Times New Roman" w:hAnsi="Times New Roman" w:hint="default"/>
          <w:sz w:val="24"/>
          <w:szCs w:val="24"/>
        </w:rPr>
        <w:t>jmy verejnej sprá</w:t>
      </w:r>
      <w:r w:rsidRPr="00EB33CC">
        <w:rPr>
          <w:rFonts w:ascii="Times New Roman" w:hAnsi="Times New Roman" w:hint="default"/>
          <w:sz w:val="24"/>
          <w:szCs w:val="24"/>
        </w:rPr>
        <w:t>vy sa od roku 2013 zabezpečí</w:t>
      </w:r>
      <w:r w:rsidRPr="00EB33CC">
        <w:rPr>
          <w:rFonts w:ascii="Times New Roman" w:hAnsi="Times New Roman" w:hint="default"/>
          <w:sz w:val="24"/>
          <w:szCs w:val="24"/>
        </w:rPr>
        <w:t xml:space="preserve"> rovnaký</w:t>
      </w:r>
      <w:r w:rsidRPr="00EB33CC">
        <w:rPr>
          <w:rFonts w:ascii="Times New Roman" w:hAnsi="Times New Roman" w:hint="default"/>
          <w:sz w:val="24"/>
          <w:szCs w:val="24"/>
        </w:rPr>
        <w:t xml:space="preserve"> rast prí</w:t>
      </w:r>
      <w:r w:rsidRPr="00EB33CC">
        <w:rPr>
          <w:rFonts w:ascii="Times New Roman" w:hAnsi="Times New Roman" w:hint="default"/>
          <w:sz w:val="24"/>
          <w:szCs w:val="24"/>
        </w:rPr>
        <w:t>jmov ú</w:t>
      </w:r>
      <w:r w:rsidRPr="00EB33CC">
        <w:rPr>
          <w:rFonts w:ascii="Times New Roman" w:hAnsi="Times New Roman" w:hint="default"/>
          <w:sz w:val="24"/>
          <w:szCs w:val="24"/>
        </w:rPr>
        <w:t>zemnej samosprá</w:t>
      </w:r>
      <w:r w:rsidRPr="00EB33CC">
        <w:rPr>
          <w:rFonts w:ascii="Times New Roman" w:hAnsi="Times New Roman" w:hint="default"/>
          <w:sz w:val="24"/>
          <w:szCs w:val="24"/>
        </w:rPr>
        <w:t>vy z </w:t>
      </w:r>
      <w:r w:rsidRPr="00EB33CC">
        <w:rPr>
          <w:rFonts w:ascii="Times New Roman" w:hAnsi="Times New Roman" w:hint="default"/>
          <w:sz w:val="24"/>
          <w:szCs w:val="24"/>
        </w:rPr>
        <w:t>podielový</w:t>
      </w:r>
      <w:r w:rsidRPr="00EB33CC">
        <w:rPr>
          <w:rFonts w:ascii="Times New Roman" w:hAnsi="Times New Roman" w:hint="default"/>
          <w:sz w:val="24"/>
          <w:szCs w:val="24"/>
        </w:rPr>
        <w:t>ch daní</w:t>
      </w:r>
      <w:r w:rsidRPr="00EB33CC">
        <w:rPr>
          <w:rFonts w:ascii="Times New Roman" w:hAnsi="Times New Roman" w:hint="default"/>
          <w:sz w:val="24"/>
          <w:szCs w:val="24"/>
        </w:rPr>
        <w:t xml:space="preserve"> ako je rast daň</w:t>
      </w:r>
      <w:r w:rsidRPr="00EB33CC">
        <w:rPr>
          <w:rFonts w:ascii="Times New Roman" w:hAnsi="Times New Roman" w:hint="default"/>
          <w:sz w:val="24"/>
          <w:szCs w:val="24"/>
        </w:rPr>
        <w:t>ový</w:t>
      </w:r>
      <w:r w:rsidRPr="00EB33CC">
        <w:rPr>
          <w:rFonts w:ascii="Times New Roman" w:hAnsi="Times New Roman" w:hint="default"/>
          <w:sz w:val="24"/>
          <w:szCs w:val="24"/>
        </w:rPr>
        <w:t>ch prí</w:t>
      </w:r>
      <w:r w:rsidRPr="00EB33CC">
        <w:rPr>
          <w:rFonts w:ascii="Times New Roman" w:hAnsi="Times New Roman" w:hint="default"/>
          <w:sz w:val="24"/>
          <w:szCs w:val="24"/>
        </w:rPr>
        <w:t>jmov š</w:t>
      </w:r>
      <w:r w:rsidRPr="00EB33CC">
        <w:rPr>
          <w:rFonts w:ascii="Times New Roman" w:hAnsi="Times New Roman" w:hint="default"/>
          <w:sz w:val="24"/>
          <w:szCs w:val="24"/>
        </w:rPr>
        <w:t>tá</w:t>
      </w:r>
      <w:r w:rsidRPr="00EB33CC">
        <w:rPr>
          <w:rFonts w:ascii="Times New Roman" w:hAnsi="Times New Roman" w:hint="default"/>
          <w:sz w:val="24"/>
          <w:szCs w:val="24"/>
        </w:rPr>
        <w:t>tneho rozpoč</w:t>
      </w:r>
      <w:r w:rsidRPr="00EB33CC">
        <w:rPr>
          <w:rFonts w:ascii="Times New Roman" w:hAnsi="Times New Roman" w:hint="default"/>
          <w:sz w:val="24"/>
          <w:szCs w:val="24"/>
        </w:rPr>
        <w:t>tu,</w:t>
      </w:r>
    </w:p>
    <w:p w:rsidR="009E362C" w:rsidP="00A3532C">
      <w:pPr>
        <w:pStyle w:val="ListParagraph"/>
        <w:numPr>
          <w:numId w:val="4"/>
        </w:numPr>
        <w:bidi w:val="0"/>
        <w:spacing w:before="120"/>
        <w:ind w:left="714" w:hanging="357"/>
        <w:jc w:val="both"/>
        <w:rPr>
          <w:rFonts w:ascii="Times New Roman" w:hAnsi="Times New Roman"/>
          <w:sz w:val="24"/>
          <w:szCs w:val="24"/>
        </w:rPr>
      </w:pPr>
      <w:r w:rsidRPr="00EB33CC">
        <w:rPr>
          <w:rFonts w:ascii="Times New Roman" w:hAnsi="Times New Roman" w:hint="default"/>
          <w:b/>
          <w:sz w:val="24"/>
          <w:szCs w:val="24"/>
        </w:rPr>
        <w:t>väčš</w:t>
      </w:r>
      <w:r w:rsidRPr="00EB33CC">
        <w:rPr>
          <w:rFonts w:ascii="Times New Roman" w:hAnsi="Times New Roman" w:hint="default"/>
          <w:b/>
          <w:sz w:val="24"/>
          <w:szCs w:val="24"/>
        </w:rPr>
        <w:t>iu stabilit</w:t>
      </w:r>
      <w:r>
        <w:rPr>
          <w:rFonts w:ascii="Times New Roman" w:hAnsi="Times New Roman"/>
          <w:b/>
          <w:sz w:val="24"/>
          <w:szCs w:val="24"/>
        </w:rPr>
        <w:t>u</w:t>
      </w:r>
      <w:r w:rsidRPr="00EB33CC">
        <w:rPr>
          <w:rFonts w:ascii="Times New Roman" w:hAnsi="Times New Roman" w:hint="default"/>
          <w:b/>
          <w:sz w:val="24"/>
          <w:szCs w:val="24"/>
        </w:rPr>
        <w:t xml:space="preserve"> prí</w:t>
      </w:r>
      <w:r w:rsidRPr="00EB33CC">
        <w:rPr>
          <w:rFonts w:ascii="Times New Roman" w:hAnsi="Times New Roman" w:hint="default"/>
          <w:b/>
          <w:sz w:val="24"/>
          <w:szCs w:val="24"/>
        </w:rPr>
        <w:t>jmov ú</w:t>
      </w:r>
      <w:r w:rsidRPr="00EB33CC">
        <w:rPr>
          <w:rFonts w:ascii="Times New Roman" w:hAnsi="Times New Roman" w:hint="default"/>
          <w:b/>
          <w:sz w:val="24"/>
          <w:szCs w:val="24"/>
        </w:rPr>
        <w:t>zemnej samosprá</w:t>
      </w:r>
      <w:r w:rsidRPr="00EB33CC">
        <w:rPr>
          <w:rFonts w:ascii="Times New Roman" w:hAnsi="Times New Roman" w:hint="default"/>
          <w:b/>
          <w:sz w:val="24"/>
          <w:szCs w:val="24"/>
        </w:rPr>
        <w:t>vy</w:t>
      </w:r>
      <w:r w:rsidRPr="00EB33CC">
        <w:rPr>
          <w:rFonts w:ascii="Times New Roman" w:hAnsi="Times New Roman"/>
          <w:sz w:val="24"/>
          <w:szCs w:val="24"/>
        </w:rPr>
        <w:t xml:space="preserve"> </w:t>
      </w:r>
      <w:r w:rsidRPr="00EB33CC">
        <w:rPr>
          <w:rFonts w:ascii="Times New Roman" w:hAnsi="Times New Roman" w:hint="default"/>
          <w:sz w:val="24"/>
          <w:szCs w:val="24"/>
        </w:rPr>
        <w:t>–</w:t>
      </w:r>
      <w:r w:rsidRPr="00EB33CC">
        <w:rPr>
          <w:rFonts w:ascii="Times New Roman" w:hAnsi="Times New Roman" w:hint="default"/>
          <w:sz w:val="24"/>
          <w:szCs w:val="24"/>
        </w:rPr>
        <w:t xml:space="preserve"> vä</w:t>
      </w:r>
      <w:r w:rsidRPr="00EB33CC">
        <w:rPr>
          <w:rFonts w:ascii="Times New Roman" w:hAnsi="Times New Roman" w:hint="default"/>
          <w:sz w:val="24"/>
          <w:szCs w:val="24"/>
        </w:rPr>
        <w:t>zba prí</w:t>
      </w:r>
      <w:r w:rsidRPr="00EB33CC">
        <w:rPr>
          <w:rFonts w:ascii="Times New Roman" w:hAnsi="Times New Roman" w:hint="default"/>
          <w:sz w:val="24"/>
          <w:szCs w:val="24"/>
        </w:rPr>
        <w:t>jmov na vý</w:t>
      </w:r>
      <w:r w:rsidRPr="00EB33CC">
        <w:rPr>
          <w:rFonts w:ascii="Times New Roman" w:hAnsi="Times New Roman" w:hint="default"/>
          <w:sz w:val="24"/>
          <w:szCs w:val="24"/>
        </w:rPr>
        <w:t>voj celkový</w:t>
      </w:r>
      <w:r w:rsidRPr="00EB33CC">
        <w:rPr>
          <w:rFonts w:ascii="Times New Roman" w:hAnsi="Times New Roman" w:hint="default"/>
          <w:sz w:val="24"/>
          <w:szCs w:val="24"/>
        </w:rPr>
        <w:t>ch daň</w:t>
      </w:r>
      <w:r w:rsidRPr="00EB33CC">
        <w:rPr>
          <w:rFonts w:ascii="Times New Roman" w:hAnsi="Times New Roman" w:hint="default"/>
          <w:sz w:val="24"/>
          <w:szCs w:val="24"/>
        </w:rPr>
        <w:t>ový</w:t>
      </w:r>
      <w:r w:rsidRPr="00EB33CC">
        <w:rPr>
          <w:rFonts w:ascii="Times New Roman" w:hAnsi="Times New Roman" w:hint="default"/>
          <w:sz w:val="24"/>
          <w:szCs w:val="24"/>
        </w:rPr>
        <w:t>ch prí</w:t>
      </w:r>
      <w:r w:rsidRPr="00EB33CC">
        <w:rPr>
          <w:rFonts w:ascii="Times New Roman" w:hAnsi="Times New Roman" w:hint="default"/>
          <w:sz w:val="24"/>
          <w:szCs w:val="24"/>
        </w:rPr>
        <w:t>jmov</w:t>
      </w:r>
      <w:r w:rsidRPr="00EB33CC">
        <w:rPr>
          <w:rFonts w:ascii="Times New Roman" w:hAnsi="Times New Roman" w:hint="default"/>
          <w:sz w:val="24"/>
          <w:szCs w:val="24"/>
        </w:rPr>
        <w:t xml:space="preserve"> verejnej sprá</w:t>
      </w:r>
      <w:r w:rsidRPr="00EB33CC">
        <w:rPr>
          <w:rFonts w:ascii="Times New Roman" w:hAnsi="Times New Roman" w:hint="default"/>
          <w:sz w:val="24"/>
          <w:szCs w:val="24"/>
        </w:rPr>
        <w:t>vy (nielen jednej konkré</w:t>
      </w:r>
      <w:r w:rsidRPr="00EB33CC">
        <w:rPr>
          <w:rFonts w:ascii="Times New Roman" w:hAnsi="Times New Roman" w:hint="default"/>
          <w:sz w:val="24"/>
          <w:szCs w:val="24"/>
        </w:rPr>
        <w:t>tnej dane) prináš</w:t>
      </w:r>
      <w:r w:rsidRPr="00EB33CC">
        <w:rPr>
          <w:rFonts w:ascii="Times New Roman" w:hAnsi="Times New Roman" w:hint="default"/>
          <w:sz w:val="24"/>
          <w:szCs w:val="24"/>
        </w:rPr>
        <w:t>a so sebou vyšš</w:t>
      </w:r>
      <w:r w:rsidRPr="00EB33CC">
        <w:rPr>
          <w:rFonts w:ascii="Times New Roman" w:hAnsi="Times New Roman" w:hint="default"/>
          <w:sz w:val="24"/>
          <w:szCs w:val="24"/>
        </w:rPr>
        <w:t>iu stabilitu, nakoľ</w:t>
      </w:r>
      <w:r w:rsidRPr="00EB33CC">
        <w:rPr>
          <w:rFonts w:ascii="Times New Roman" w:hAnsi="Times New Roman" w:hint="default"/>
          <w:sz w:val="24"/>
          <w:szCs w:val="24"/>
        </w:rPr>
        <w:t>ko v </w:t>
      </w:r>
      <w:r w:rsidRPr="00EB33CC">
        <w:rPr>
          <w:rFonts w:ascii="Times New Roman" w:hAnsi="Times New Roman" w:hint="default"/>
          <w:sz w:val="24"/>
          <w:szCs w:val="24"/>
        </w:rPr>
        <w:t>súč</w:t>
      </w:r>
      <w:r w:rsidRPr="00EB33CC">
        <w:rPr>
          <w:rFonts w:ascii="Times New Roman" w:hAnsi="Times New Roman" w:hint="default"/>
          <w:sz w:val="24"/>
          <w:szCs w:val="24"/>
        </w:rPr>
        <w:t>asnosti zmena vo vý</w:t>
      </w:r>
      <w:r w:rsidRPr="00EB33CC">
        <w:rPr>
          <w:rFonts w:ascii="Times New Roman" w:hAnsi="Times New Roman" w:hint="default"/>
          <w:sz w:val="24"/>
          <w:szCs w:val="24"/>
        </w:rPr>
        <w:t>voji DPFO (z dô</w:t>
      </w:r>
      <w:r w:rsidRPr="00EB33CC">
        <w:rPr>
          <w:rFonts w:ascii="Times New Roman" w:hAnsi="Times New Roman" w:hint="default"/>
          <w:sz w:val="24"/>
          <w:szCs w:val="24"/>
        </w:rPr>
        <w:t>vodu ekonomické</w:t>
      </w:r>
      <w:r w:rsidRPr="00EB33CC">
        <w:rPr>
          <w:rFonts w:ascii="Times New Roman" w:hAnsi="Times New Roman" w:hint="default"/>
          <w:sz w:val="24"/>
          <w:szCs w:val="24"/>
        </w:rPr>
        <w:t>ho vý</w:t>
      </w:r>
      <w:r w:rsidRPr="00EB33CC">
        <w:rPr>
          <w:rFonts w:ascii="Times New Roman" w:hAnsi="Times New Roman" w:hint="default"/>
          <w:sz w:val="24"/>
          <w:szCs w:val="24"/>
        </w:rPr>
        <w:t>voja alebo legislatí</w:t>
      </w:r>
      <w:r w:rsidRPr="00EB33CC">
        <w:rPr>
          <w:rFonts w:ascii="Times New Roman" w:hAnsi="Times New Roman" w:hint="default"/>
          <w:sz w:val="24"/>
          <w:szCs w:val="24"/>
        </w:rPr>
        <w:t>vy) priamoú</w:t>
      </w:r>
      <w:r w:rsidRPr="00EB33CC">
        <w:rPr>
          <w:rFonts w:ascii="Times New Roman" w:hAnsi="Times New Roman" w:hint="default"/>
          <w:sz w:val="24"/>
          <w:szCs w:val="24"/>
        </w:rPr>
        <w:t>merne ovplyvň</w:t>
      </w:r>
      <w:r w:rsidRPr="00EB33CC">
        <w:rPr>
          <w:rFonts w:ascii="Times New Roman" w:hAnsi="Times New Roman" w:hint="default"/>
          <w:sz w:val="24"/>
          <w:szCs w:val="24"/>
        </w:rPr>
        <w:t>uje prí</w:t>
      </w:r>
      <w:r w:rsidRPr="00EB33CC">
        <w:rPr>
          <w:rFonts w:ascii="Times New Roman" w:hAnsi="Times New Roman" w:hint="default"/>
          <w:sz w:val="24"/>
          <w:szCs w:val="24"/>
        </w:rPr>
        <w:t>jmy ú</w:t>
      </w:r>
      <w:r w:rsidRPr="00EB33CC">
        <w:rPr>
          <w:rFonts w:ascii="Times New Roman" w:hAnsi="Times New Roman" w:hint="default"/>
          <w:sz w:val="24"/>
          <w:szCs w:val="24"/>
        </w:rPr>
        <w:t>zemnej samosprá</w:t>
      </w:r>
      <w:r w:rsidRPr="00EB33CC">
        <w:rPr>
          <w:rFonts w:ascii="Times New Roman" w:hAnsi="Times New Roman" w:hint="default"/>
          <w:sz w:val="24"/>
          <w:szCs w:val="24"/>
        </w:rPr>
        <w:t>vy. V </w:t>
      </w:r>
      <w:r w:rsidRPr="00EB33CC">
        <w:rPr>
          <w:rFonts w:ascii="Times New Roman" w:hAnsi="Times New Roman" w:hint="default"/>
          <w:sz w:val="24"/>
          <w:szCs w:val="24"/>
        </w:rPr>
        <w:t>novom systé</w:t>
      </w:r>
      <w:r w:rsidRPr="00EB33CC">
        <w:rPr>
          <w:rFonts w:ascii="Times New Roman" w:hAnsi="Times New Roman" w:hint="default"/>
          <w:sz w:val="24"/>
          <w:szCs w:val="24"/>
        </w:rPr>
        <w:t>me sa vplyv zmie</w:t>
      </w:r>
      <w:r w:rsidRPr="00EB33CC">
        <w:rPr>
          <w:rFonts w:ascii="Times New Roman" w:hAnsi="Times New Roman" w:hint="default"/>
          <w:sz w:val="24"/>
          <w:szCs w:val="24"/>
        </w:rPr>
        <w:t>n</w:t>
      </w:r>
      <w:r w:rsidRPr="00EB33CC">
        <w:rPr>
          <w:rFonts w:ascii="Times New Roman" w:hAnsi="Times New Roman" w:hint="default"/>
          <w:sz w:val="24"/>
          <w:szCs w:val="24"/>
        </w:rPr>
        <w:t xml:space="preserve"> zniž</w:t>
      </w:r>
      <w:r w:rsidRPr="00EB33CC">
        <w:rPr>
          <w:rFonts w:ascii="Times New Roman" w:hAnsi="Times New Roman" w:hint="default"/>
          <w:sz w:val="24"/>
          <w:szCs w:val="24"/>
        </w:rPr>
        <w:t>uje, nakoľ</w:t>
      </w:r>
      <w:r w:rsidRPr="00EB33CC">
        <w:rPr>
          <w:rFonts w:ascii="Times New Roman" w:hAnsi="Times New Roman" w:hint="default"/>
          <w:sz w:val="24"/>
          <w:szCs w:val="24"/>
        </w:rPr>
        <w:t>ko vá</w:t>
      </w:r>
      <w:r w:rsidRPr="00EB33CC">
        <w:rPr>
          <w:rFonts w:ascii="Times New Roman" w:hAnsi="Times New Roman" w:hint="default"/>
          <w:sz w:val="24"/>
          <w:szCs w:val="24"/>
        </w:rPr>
        <w:t>ha jednotlivý</w:t>
      </w:r>
      <w:r w:rsidRPr="00EB33CC">
        <w:rPr>
          <w:rFonts w:ascii="Times New Roman" w:hAnsi="Times New Roman" w:hint="default"/>
          <w:sz w:val="24"/>
          <w:szCs w:val="24"/>
        </w:rPr>
        <w:t>ch daní</w:t>
      </w:r>
      <w:r w:rsidRPr="00EB33CC">
        <w:rPr>
          <w:rFonts w:ascii="Times New Roman" w:hAnsi="Times New Roman" w:hint="default"/>
          <w:sz w:val="24"/>
          <w:szCs w:val="24"/>
        </w:rPr>
        <w:t xml:space="preserve"> je nižš</w:t>
      </w:r>
      <w:r w:rsidRPr="00EB33CC">
        <w:rPr>
          <w:rFonts w:ascii="Times New Roman" w:hAnsi="Times New Roman" w:hint="default"/>
          <w:sz w:val="24"/>
          <w:szCs w:val="24"/>
        </w:rPr>
        <w:t xml:space="preserve">ia. </w:t>
      </w:r>
    </w:p>
    <w:p w:rsidR="009E362C" w:rsidRPr="00EB33CC" w:rsidP="009E362C">
      <w:pPr>
        <w:pStyle w:val="ListParagraph"/>
        <w:bidi w:val="0"/>
        <w:spacing w:before="120"/>
        <w:ind w:left="714"/>
        <w:jc w:val="both"/>
        <w:rPr>
          <w:rFonts w:ascii="Times New Roman" w:hAnsi="Times New Roman"/>
          <w:sz w:val="24"/>
          <w:szCs w:val="24"/>
        </w:rPr>
      </w:pPr>
    </w:p>
    <w:p w:rsidR="009E362C" w:rsidP="009E362C">
      <w:pPr>
        <w:bidi w:val="0"/>
        <w:ind w:firstLine="708"/>
        <w:jc w:val="both"/>
        <w:rPr>
          <w:rFonts w:ascii="Times New Roman" w:hAnsi="Times New Roman"/>
        </w:rPr>
      </w:pPr>
      <w:r w:rsidRPr="00EE09A6">
        <w:rPr>
          <w:rFonts w:ascii="Times New Roman" w:hAnsi="Times New Roman"/>
        </w:rPr>
        <w:t>Východiskom pri kvantifikácii nového modelu fiškálnej decentralizácie v návrhu rozpočtu verejnej správy na roky 2012 až 2014 je úprava príjmov územnej samosprávy  z dôvodu nutnej fiškálnej konsolidácie tak, aby rast jej príjmov z podielových daní dosiahol v roku 2012 medziročný nárast o 3 %.</w:t>
      </w:r>
      <w:r w:rsidRPr="00EB33CC">
        <w:rPr>
          <w:rFonts w:ascii="Times New Roman" w:hAnsi="Times New Roman"/>
        </w:rPr>
        <w:t xml:space="preserve"> </w:t>
      </w:r>
    </w:p>
    <w:p w:rsidR="009E362C" w:rsidP="009E362C">
      <w:pPr>
        <w:bidi w:val="0"/>
        <w:ind w:firstLine="357"/>
        <w:jc w:val="both"/>
        <w:rPr>
          <w:rFonts w:ascii="Times New Roman" w:hAnsi="Times New Roman"/>
          <w:szCs w:val="22"/>
        </w:rPr>
      </w:pPr>
    </w:p>
    <w:p w:rsidR="009E362C" w:rsidP="009E362C">
      <w:pPr>
        <w:bidi w:val="0"/>
        <w:ind w:firstLine="708"/>
        <w:jc w:val="both"/>
        <w:rPr>
          <w:rFonts w:ascii="Times New Roman" w:hAnsi="Times New Roman"/>
          <w:szCs w:val="22"/>
        </w:rPr>
      </w:pPr>
      <w:r w:rsidRPr="00EB33CC">
        <w:rPr>
          <w:rFonts w:ascii="Times New Roman" w:hAnsi="Times New Roman"/>
          <w:szCs w:val="22"/>
        </w:rPr>
        <w:t>Nastavením nového mechanizmu podielových daní sa docieli, že od roku 2013 už budú príjmy z podielových daní územnej samosprávy rásť rovnakým tempom ako daňové príjmy štátneho rozpočtu. Mierny rozdiel v jednotlivých rokoch bude spôsobený mesačným posunom prevodu daní samospráve. Z uvedeného dôvodu sa kumulatívny rast podielových daní ÚS a ŠR priebežne vyrovnáva. V roku 2014 bude rast daňových príjmov z podielových daní územnej samosprávy oproti roku 2012 na úrovni 16,5</w:t>
      </w:r>
      <w:r>
        <w:rPr>
          <w:rFonts w:ascii="Times New Roman" w:hAnsi="Times New Roman"/>
          <w:szCs w:val="22"/>
        </w:rPr>
        <w:t xml:space="preserve"> </w:t>
      </w:r>
      <w:r w:rsidRPr="00EB33CC">
        <w:rPr>
          <w:rFonts w:ascii="Times New Roman" w:hAnsi="Times New Roman"/>
          <w:szCs w:val="22"/>
        </w:rPr>
        <w:t>% a rast daňových príjmov ŠR približne 15,6</w:t>
      </w:r>
      <w:r>
        <w:rPr>
          <w:rFonts w:ascii="Times New Roman" w:hAnsi="Times New Roman"/>
          <w:szCs w:val="22"/>
        </w:rPr>
        <w:t xml:space="preserve"> </w:t>
      </w:r>
      <w:r w:rsidRPr="00EB33CC">
        <w:rPr>
          <w:rFonts w:ascii="Times New Roman" w:hAnsi="Times New Roman"/>
          <w:szCs w:val="22"/>
        </w:rPr>
        <w:t xml:space="preserve">%. </w:t>
      </w:r>
    </w:p>
    <w:p w:rsidR="009E362C" w:rsidRPr="00EB33CC" w:rsidP="009E362C">
      <w:pPr>
        <w:bidi w:val="0"/>
        <w:ind w:firstLine="425"/>
        <w:jc w:val="both"/>
        <w:rPr>
          <w:rFonts w:ascii="Times New Roman" w:hAnsi="Times New Roman"/>
          <w:szCs w:val="22"/>
        </w:rPr>
      </w:pPr>
    </w:p>
    <w:p w:rsidR="009E362C" w:rsidP="009E362C">
      <w:pPr>
        <w:bidi w:val="0"/>
        <w:spacing w:after="120"/>
        <w:ind w:firstLine="708"/>
        <w:jc w:val="both"/>
        <w:rPr>
          <w:rFonts w:ascii="Times New Roman" w:hAnsi="Times New Roman"/>
          <w:szCs w:val="22"/>
        </w:rPr>
      </w:pPr>
    </w:p>
    <w:p w:rsidR="009E362C" w:rsidP="009E362C">
      <w:pPr>
        <w:bidi w:val="0"/>
        <w:spacing w:after="120"/>
        <w:ind w:firstLine="708"/>
        <w:jc w:val="both"/>
        <w:rPr>
          <w:rFonts w:ascii="Times New Roman" w:hAnsi="Times New Roman"/>
          <w:szCs w:val="22"/>
        </w:rPr>
      </w:pPr>
    </w:p>
    <w:p w:rsidR="009E362C" w:rsidP="009E362C">
      <w:pPr>
        <w:bidi w:val="0"/>
        <w:spacing w:after="120"/>
        <w:ind w:firstLine="708"/>
        <w:jc w:val="both"/>
        <w:rPr>
          <w:rFonts w:ascii="Times New Roman" w:hAnsi="Times New Roman"/>
          <w:szCs w:val="22"/>
        </w:rPr>
      </w:pPr>
    </w:p>
    <w:p w:rsidR="009E362C" w:rsidP="009E362C">
      <w:pPr>
        <w:bidi w:val="0"/>
        <w:spacing w:after="120"/>
        <w:ind w:firstLine="708"/>
        <w:jc w:val="both"/>
        <w:rPr>
          <w:rFonts w:ascii="Times New Roman" w:hAnsi="Times New Roman"/>
          <w:szCs w:val="22"/>
        </w:rPr>
      </w:pPr>
    </w:p>
    <w:p w:rsidR="009E362C" w:rsidP="009E362C">
      <w:pPr>
        <w:bidi w:val="0"/>
        <w:spacing w:after="120"/>
        <w:ind w:firstLine="708"/>
        <w:jc w:val="both"/>
        <w:rPr>
          <w:rFonts w:ascii="Times New Roman" w:hAnsi="Times New Roman"/>
          <w:szCs w:val="22"/>
        </w:rPr>
      </w:pPr>
    </w:p>
    <w:p w:rsidR="009E362C" w:rsidP="009E362C">
      <w:pPr>
        <w:bidi w:val="0"/>
        <w:spacing w:after="120"/>
        <w:ind w:firstLine="708"/>
        <w:jc w:val="both"/>
        <w:rPr>
          <w:rFonts w:ascii="Times New Roman" w:hAnsi="Times New Roman"/>
          <w:szCs w:val="22"/>
        </w:rPr>
      </w:pPr>
    </w:p>
    <w:p w:rsidR="009E362C" w:rsidP="009E362C">
      <w:pPr>
        <w:bidi w:val="0"/>
        <w:spacing w:after="120"/>
        <w:ind w:firstLine="708"/>
        <w:jc w:val="both"/>
        <w:rPr>
          <w:rFonts w:ascii="Times New Roman" w:hAnsi="Times New Roman"/>
          <w:szCs w:val="22"/>
        </w:rPr>
      </w:pPr>
    </w:p>
    <w:p w:rsidR="009E362C" w:rsidP="009E362C">
      <w:pPr>
        <w:bidi w:val="0"/>
        <w:ind w:firstLine="709"/>
        <w:jc w:val="both"/>
        <w:rPr>
          <w:rFonts w:ascii="Times New Roman" w:hAnsi="Times New Roman"/>
          <w:szCs w:val="22"/>
        </w:rPr>
      </w:pPr>
      <w:r w:rsidRPr="00EB33CC">
        <w:rPr>
          <w:rFonts w:ascii="Times New Roman" w:hAnsi="Times New Roman"/>
          <w:szCs w:val="22"/>
        </w:rPr>
        <w:t>Skutočné príjmy územnej samosprávy z DPFO do roku 2011 a navrhované príjmy z podielových daní v r</w:t>
      </w:r>
      <w:r>
        <w:rPr>
          <w:rFonts w:ascii="Times New Roman" w:hAnsi="Times New Roman"/>
          <w:szCs w:val="22"/>
        </w:rPr>
        <w:t>okoch 2012 – 2014 sú nasledovné.</w:t>
      </w:r>
      <w:r w:rsidRPr="00EB33CC">
        <w:rPr>
          <w:rFonts w:ascii="Times New Roman" w:hAnsi="Times New Roman"/>
          <w:szCs w:val="22"/>
        </w:rPr>
        <w:t xml:space="preserve"> </w:t>
      </w:r>
    </w:p>
    <w:p w:rsidR="009E362C" w:rsidP="009E362C">
      <w:pPr>
        <w:bidi w:val="0"/>
        <w:ind w:firstLine="709"/>
        <w:jc w:val="both"/>
        <w:rPr>
          <w:rFonts w:ascii="Times New Roman" w:hAnsi="Times New Roman"/>
          <w:szCs w:val="22"/>
        </w:rPr>
      </w:pPr>
    </w:p>
    <w:tbl>
      <w:tblPr>
        <w:tblStyle w:val="TableNormal"/>
        <w:tblW w:w="8895" w:type="dxa"/>
        <w:tblInd w:w="106" w:type="dxa"/>
        <w:tblLayout w:type="fixed"/>
        <w:tblCellMar>
          <w:left w:w="70" w:type="dxa"/>
          <w:right w:w="70" w:type="dxa"/>
        </w:tblCellMar>
        <w:tblLook w:val="04A0"/>
      </w:tblPr>
      <w:tblGrid>
        <w:gridCol w:w="160"/>
        <w:gridCol w:w="2340"/>
        <w:gridCol w:w="580"/>
        <w:gridCol w:w="580"/>
        <w:gridCol w:w="580"/>
        <w:gridCol w:w="580"/>
        <w:gridCol w:w="580"/>
        <w:gridCol w:w="580"/>
        <w:gridCol w:w="647"/>
        <w:gridCol w:w="638"/>
        <w:gridCol w:w="496"/>
        <w:gridCol w:w="164"/>
        <w:gridCol w:w="709"/>
        <w:gridCol w:w="261"/>
      </w:tblGrid>
      <w:tr>
        <w:tblPrEx>
          <w:tblW w:w="8895" w:type="dxa"/>
          <w:tblInd w:w="106" w:type="dxa"/>
          <w:tblLayout w:type="fixed"/>
          <w:tblCellMar>
            <w:left w:w="70" w:type="dxa"/>
            <w:right w:w="70" w:type="dxa"/>
          </w:tblCellMar>
          <w:tblLook w:val="04A0"/>
        </w:tblPrEx>
        <w:trPr>
          <w:gridAfter w:val="1"/>
          <w:wAfter w:w="261" w:type="dxa"/>
          <w:trHeight w:val="318"/>
        </w:trPr>
        <w:tc>
          <w:tcPr>
            <w:tcW w:w="8634" w:type="dxa"/>
            <w:gridSpan w:val="13"/>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E362C" w:rsidRPr="00201C50" w:rsidP="00A64696">
            <w:pPr>
              <w:bidi w:val="0"/>
              <w:rPr>
                <w:rFonts w:ascii="Times New Roman" w:hAnsi="Times New Roman"/>
                <w:b/>
                <w:bCs/>
                <w:sz w:val="16"/>
                <w:szCs w:val="16"/>
              </w:rPr>
            </w:pPr>
            <w:r w:rsidRPr="00201C50">
              <w:rPr>
                <w:rFonts w:ascii="Times New Roman" w:hAnsi="Times New Roman"/>
                <w:b/>
                <w:bCs/>
                <w:sz w:val="16"/>
                <w:szCs w:val="16"/>
              </w:rPr>
              <w:t xml:space="preserve">Daňové príjmy ÚS a ŠR - návrh podielu ÚS na úrovni </w:t>
            </w:r>
            <w:r>
              <w:rPr>
                <w:rFonts w:ascii="Times New Roman" w:hAnsi="Times New Roman"/>
                <w:b/>
                <w:bCs/>
                <w:sz w:val="16"/>
                <w:szCs w:val="16"/>
              </w:rPr>
              <w:t xml:space="preserve">13,07 </w:t>
            </w:r>
            <w:r w:rsidRPr="00201C50">
              <w:rPr>
                <w:rFonts w:ascii="Times New Roman" w:hAnsi="Times New Roman"/>
                <w:b/>
                <w:bCs/>
                <w:sz w:val="16"/>
                <w:szCs w:val="16"/>
              </w:rPr>
              <w:t>% (hotovostný princíp, so sankciami, v mil. eur)</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shd w:val="clear" w:color="000000" w:fill="BFBFBF"/>
            <w:noWrap/>
            <w:textDirection w:val="lrTb"/>
            <w:vAlign w:val="center"/>
            <w:hideMark/>
          </w:tcPr>
          <w:p w:rsidR="009E362C" w:rsidRPr="009E2972" w:rsidP="00A64696">
            <w:pPr>
              <w:bidi w:val="0"/>
              <w:rPr>
                <w:rFonts w:ascii="Times New Roman" w:hAnsi="Times New Roman"/>
                <w:sz w:val="18"/>
                <w:szCs w:val="18"/>
              </w:rPr>
            </w:pPr>
            <w:r w:rsidRPr="009E2972">
              <w:rPr>
                <w:rFonts w:ascii="Times New Roman" w:hAnsi="Times New Roman"/>
                <w:sz w:val="18"/>
                <w:szCs w:val="18"/>
              </w:rPr>
              <w:t> </w:t>
            </w:r>
          </w:p>
        </w:tc>
        <w:tc>
          <w:tcPr>
            <w:tcW w:w="2340" w:type="dxa"/>
            <w:tcBorders>
              <w:top w:val="single" w:sz="4" w:space="0" w:color="auto"/>
              <w:left w:val="none" w:sz="0"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2005</w:t>
            </w:r>
          </w:p>
        </w:tc>
        <w:tc>
          <w:tcPr>
            <w:tcW w:w="5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2006</w:t>
            </w:r>
          </w:p>
        </w:tc>
        <w:tc>
          <w:tcPr>
            <w:tcW w:w="5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2007</w:t>
            </w:r>
          </w:p>
        </w:tc>
        <w:tc>
          <w:tcPr>
            <w:tcW w:w="5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2008</w:t>
            </w:r>
          </w:p>
        </w:tc>
        <w:tc>
          <w:tcPr>
            <w:tcW w:w="5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2009</w:t>
            </w:r>
          </w:p>
        </w:tc>
        <w:tc>
          <w:tcPr>
            <w:tcW w:w="5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2010</w:t>
            </w:r>
          </w:p>
        </w:tc>
        <w:tc>
          <w:tcPr>
            <w:tcW w:w="64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2011E</w:t>
            </w:r>
          </w:p>
        </w:tc>
        <w:tc>
          <w:tcPr>
            <w:tcW w:w="63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2012F</w:t>
            </w:r>
          </w:p>
        </w:tc>
        <w:tc>
          <w:tcPr>
            <w:tcW w:w="660" w:type="dxa"/>
            <w:gridSpan w:val="2"/>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2013F</w:t>
            </w:r>
          </w:p>
        </w:tc>
        <w:tc>
          <w:tcPr>
            <w:tcW w:w="70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2014F</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1</w:t>
            </w:r>
          </w:p>
        </w:tc>
        <w:tc>
          <w:tcPr>
            <w:tcW w:w="2340" w:type="dxa"/>
            <w:tcBorders>
              <w:top w:val="single" w:sz="4" w:space="0" w:color="auto"/>
              <w:left w:val="none" w:sz="0" w:space="0" w:color="auto"/>
              <w:bottom w:val="single" w:sz="4" w:space="0" w:color="auto"/>
              <w:right w:val="single" w:sz="4" w:space="0" w:color="auto"/>
            </w:tcBorders>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Daňové príjmy ÚS (len DPFO)</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1 179</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1 336</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1 437</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1 709</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1 610</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1 328</w:t>
            </w:r>
          </w:p>
        </w:tc>
        <w:tc>
          <w:tcPr>
            <w:tcW w:w="647"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 xml:space="preserve">1 </w:t>
            </w:r>
            <w:r>
              <w:rPr>
                <w:rFonts w:ascii="Times New Roman" w:hAnsi="Times New Roman"/>
                <w:sz w:val="16"/>
                <w:szCs w:val="16"/>
              </w:rPr>
              <w:t>578</w:t>
            </w:r>
          </w:p>
        </w:tc>
        <w:tc>
          <w:tcPr>
            <w:tcW w:w="638"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1 6</w:t>
            </w:r>
            <w:r>
              <w:rPr>
                <w:rFonts w:ascii="Times New Roman" w:hAnsi="Times New Roman"/>
                <w:sz w:val="16"/>
                <w:szCs w:val="16"/>
              </w:rPr>
              <w:t>25</w:t>
            </w:r>
          </w:p>
        </w:tc>
        <w:tc>
          <w:tcPr>
            <w:tcW w:w="6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1 7</w:t>
            </w:r>
            <w:r>
              <w:rPr>
                <w:rFonts w:ascii="Times New Roman" w:hAnsi="Times New Roman"/>
                <w:sz w:val="16"/>
                <w:szCs w:val="16"/>
              </w:rPr>
              <w:t>88</w:t>
            </w:r>
          </w:p>
        </w:tc>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1 893</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9E2972" w:rsidP="00A64696">
            <w:pPr>
              <w:bidi w:val="0"/>
              <w:jc w:val="center"/>
              <w:rPr>
                <w:rFonts w:ascii="Times New Roman" w:hAnsi="Times New Roman"/>
                <w:b/>
                <w:bCs/>
                <w:sz w:val="18"/>
                <w:szCs w:val="18"/>
              </w:rPr>
            </w:pPr>
          </w:p>
        </w:tc>
        <w:tc>
          <w:tcPr>
            <w:tcW w:w="2340" w:type="dxa"/>
            <w:tcBorders>
              <w:top w:val="single" w:sz="4" w:space="0" w:color="auto"/>
              <w:left w:val="none" w:sz="0" w:space="0" w:color="auto"/>
              <w:bottom w:val="single" w:sz="4" w:space="0" w:color="auto"/>
              <w:right w:val="single" w:sz="4" w:space="0" w:color="auto"/>
            </w:tcBorders>
            <w:shd w:val="clear" w:color="auto" w:fill="FFFFFF"/>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rast y-o-y (v %)</w:t>
            </w:r>
          </w:p>
        </w:tc>
        <w:tc>
          <w:tcPr>
            <w:tcW w:w="58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201C50" w:rsidP="00A64696">
            <w:pPr>
              <w:bidi w:val="0"/>
              <w:jc w:val="center"/>
              <w:rPr>
                <w:rFonts w:ascii="Times New Roman" w:hAnsi="Times New Roman"/>
                <w:sz w:val="16"/>
                <w:szCs w:val="16"/>
              </w:rPr>
            </w:pPr>
          </w:p>
        </w:tc>
        <w:tc>
          <w:tcPr>
            <w:tcW w:w="58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13,4</w:t>
            </w:r>
          </w:p>
        </w:tc>
        <w:tc>
          <w:tcPr>
            <w:tcW w:w="58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7,5</w:t>
            </w:r>
          </w:p>
        </w:tc>
        <w:tc>
          <w:tcPr>
            <w:tcW w:w="58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19,0</w:t>
            </w:r>
          </w:p>
        </w:tc>
        <w:tc>
          <w:tcPr>
            <w:tcW w:w="58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-5,8</w:t>
            </w:r>
          </w:p>
        </w:tc>
        <w:tc>
          <w:tcPr>
            <w:tcW w:w="580"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-17,5</w:t>
            </w:r>
          </w:p>
        </w:tc>
        <w:tc>
          <w:tcPr>
            <w:tcW w:w="647"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18,8</w:t>
            </w:r>
          </w:p>
        </w:tc>
        <w:tc>
          <w:tcPr>
            <w:tcW w:w="638"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3,0</w:t>
            </w:r>
          </w:p>
        </w:tc>
        <w:tc>
          <w:tcPr>
            <w:tcW w:w="660" w:type="dxa"/>
            <w:gridSpan w:val="2"/>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E362C" w:rsidRPr="001611BF" w:rsidP="00A64696">
            <w:pPr>
              <w:bidi w:val="0"/>
              <w:jc w:val="center"/>
              <w:rPr>
                <w:rFonts w:ascii="Times New Roman" w:hAnsi="Times New Roman"/>
                <w:sz w:val="16"/>
                <w:szCs w:val="16"/>
              </w:rPr>
            </w:pPr>
            <w:r w:rsidRPr="001611BF">
              <w:rPr>
                <w:rFonts w:ascii="Times New Roman" w:hAnsi="Times New Roman"/>
                <w:sz w:val="16"/>
                <w:szCs w:val="16"/>
              </w:rPr>
              <w:t>5,9</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9E2972" w:rsidP="00A64696">
            <w:pPr>
              <w:bidi w:val="0"/>
              <w:jc w:val="center"/>
              <w:rPr>
                <w:rFonts w:ascii="Times New Roman" w:hAnsi="Times New Roman"/>
                <w:b/>
                <w:bCs/>
                <w:sz w:val="18"/>
                <w:szCs w:val="18"/>
              </w:rPr>
            </w:pPr>
          </w:p>
        </w:tc>
        <w:tc>
          <w:tcPr>
            <w:tcW w:w="2340" w:type="dxa"/>
            <w:tcBorders>
              <w:top w:val="single" w:sz="4" w:space="0" w:color="auto"/>
              <w:left w:val="none" w:sz="0" w:space="0" w:color="auto"/>
              <w:bottom w:val="single" w:sz="4" w:space="0" w:color="auto"/>
              <w:right w:val="single" w:sz="4" w:space="0" w:color="auto"/>
            </w:tcBorders>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rast od roku 2005 (v %)</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13,4</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21,9</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45,0</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36,6</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12,7</w:t>
            </w:r>
          </w:p>
        </w:tc>
        <w:tc>
          <w:tcPr>
            <w:tcW w:w="647"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33,8</w:t>
            </w:r>
          </w:p>
        </w:tc>
        <w:tc>
          <w:tcPr>
            <w:tcW w:w="638"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37,8</w:t>
            </w:r>
            <w:r w:rsidRPr="00201C50">
              <w:rPr>
                <w:rFonts w:ascii="Times New Roman" w:hAnsi="Times New Roman"/>
                <w:sz w:val="16"/>
                <w:szCs w:val="16"/>
              </w:rPr>
              <w:t>*</w:t>
            </w:r>
          </w:p>
        </w:tc>
        <w:tc>
          <w:tcPr>
            <w:tcW w:w="6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51,7</w:t>
            </w:r>
          </w:p>
        </w:tc>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60,6</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2</w:t>
            </w:r>
          </w:p>
        </w:tc>
        <w:tc>
          <w:tcPr>
            <w:tcW w:w="2340" w:type="dxa"/>
            <w:tcBorders>
              <w:top w:val="single" w:sz="4" w:space="0" w:color="auto"/>
              <w:left w:val="none" w:sz="0" w:space="0" w:color="auto"/>
              <w:bottom w:val="single" w:sz="4" w:space="0" w:color="auto"/>
              <w:right w:val="single" w:sz="4" w:space="0" w:color="auto"/>
            </w:tcBorders>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Daňové príjmy ŠR**</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7 388</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7 843</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8 572</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9 024</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8 024</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7 9</w:t>
            </w:r>
            <w:r>
              <w:rPr>
                <w:rFonts w:ascii="Times New Roman" w:hAnsi="Times New Roman"/>
                <w:sz w:val="16"/>
                <w:szCs w:val="16"/>
              </w:rPr>
              <w:t>58</w:t>
            </w:r>
          </w:p>
        </w:tc>
        <w:tc>
          <w:tcPr>
            <w:tcW w:w="647"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 xml:space="preserve">8 </w:t>
            </w:r>
            <w:r>
              <w:rPr>
                <w:rFonts w:ascii="Times New Roman" w:hAnsi="Times New Roman"/>
                <w:sz w:val="16"/>
                <w:szCs w:val="16"/>
              </w:rPr>
              <w:t>757</w:t>
            </w:r>
          </w:p>
        </w:tc>
        <w:tc>
          <w:tcPr>
            <w:tcW w:w="638"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9 750</w:t>
            </w:r>
          </w:p>
        </w:tc>
        <w:tc>
          <w:tcPr>
            <w:tcW w:w="6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10 611</w:t>
            </w:r>
          </w:p>
        </w:tc>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11 137</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 </w:t>
            </w:r>
          </w:p>
        </w:tc>
        <w:tc>
          <w:tcPr>
            <w:tcW w:w="2340" w:type="dxa"/>
            <w:tcBorders>
              <w:top w:val="single" w:sz="4" w:space="0" w:color="auto"/>
              <w:left w:val="none" w:sz="0" w:space="0" w:color="auto"/>
              <w:bottom w:val="single" w:sz="4" w:space="0" w:color="auto"/>
              <w:right w:val="single" w:sz="4" w:space="0" w:color="auto"/>
            </w:tcBorders>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rast y-o-y (v %)</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6,2</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9,3</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5,3</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-11,1</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-0,8</w:t>
            </w:r>
          </w:p>
        </w:tc>
        <w:tc>
          <w:tcPr>
            <w:tcW w:w="647"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10,0</w:t>
            </w:r>
          </w:p>
        </w:tc>
        <w:tc>
          <w:tcPr>
            <w:tcW w:w="638"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11,3</w:t>
            </w:r>
          </w:p>
        </w:tc>
        <w:tc>
          <w:tcPr>
            <w:tcW w:w="6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8,8</w:t>
            </w:r>
          </w:p>
        </w:tc>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5,0</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9E2972" w:rsidP="00A64696">
            <w:pPr>
              <w:bidi w:val="0"/>
              <w:jc w:val="center"/>
              <w:rPr>
                <w:rFonts w:ascii="Times New Roman" w:hAnsi="Times New Roman"/>
                <w:b/>
                <w:bCs/>
                <w:sz w:val="18"/>
                <w:szCs w:val="18"/>
              </w:rPr>
            </w:pPr>
          </w:p>
        </w:tc>
        <w:tc>
          <w:tcPr>
            <w:tcW w:w="2340" w:type="dxa"/>
            <w:tcBorders>
              <w:top w:val="single" w:sz="4" w:space="0" w:color="auto"/>
              <w:left w:val="none" w:sz="0" w:space="0" w:color="auto"/>
              <w:bottom w:val="single" w:sz="4" w:space="0" w:color="auto"/>
              <w:right w:val="single" w:sz="4" w:space="0" w:color="auto"/>
            </w:tcBorders>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rast od roku 2005 (v %)</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 </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6,2</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16,0</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22,1</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8,6</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7,7</w:t>
            </w:r>
          </w:p>
        </w:tc>
        <w:tc>
          <w:tcPr>
            <w:tcW w:w="647"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18,5</w:t>
            </w:r>
          </w:p>
        </w:tc>
        <w:tc>
          <w:tcPr>
            <w:tcW w:w="638"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32,0</w:t>
            </w:r>
          </w:p>
        </w:tc>
        <w:tc>
          <w:tcPr>
            <w:tcW w:w="6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43,6</w:t>
            </w:r>
          </w:p>
        </w:tc>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50,7</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201C50" w:rsidP="00A64696">
            <w:pPr>
              <w:bidi w:val="0"/>
              <w:jc w:val="center"/>
              <w:rPr>
                <w:rFonts w:ascii="Times New Roman" w:hAnsi="Times New Roman"/>
                <w:b/>
                <w:bCs/>
                <w:sz w:val="16"/>
                <w:szCs w:val="16"/>
              </w:rPr>
            </w:pPr>
            <w:r w:rsidRPr="00201C50">
              <w:rPr>
                <w:rFonts w:ascii="Times New Roman" w:hAnsi="Times New Roman"/>
                <w:b/>
                <w:bCs/>
                <w:sz w:val="16"/>
                <w:szCs w:val="16"/>
              </w:rPr>
              <w:t>3</w:t>
            </w:r>
          </w:p>
        </w:tc>
        <w:tc>
          <w:tcPr>
            <w:tcW w:w="2340" w:type="dxa"/>
            <w:tcBorders>
              <w:top w:val="single" w:sz="4" w:space="0" w:color="auto"/>
              <w:left w:val="none" w:sz="0" w:space="0" w:color="auto"/>
              <w:bottom w:val="single" w:sz="4" w:space="0" w:color="auto"/>
              <w:right w:val="single" w:sz="4" w:space="0" w:color="auto"/>
            </w:tcBorders>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CPI v (%)</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2,7</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4,5</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2,8</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4,6</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1,6</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1,0</w:t>
            </w:r>
          </w:p>
        </w:tc>
        <w:tc>
          <w:tcPr>
            <w:tcW w:w="647"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4,</w:t>
            </w:r>
            <w:r>
              <w:rPr>
                <w:rFonts w:ascii="Times New Roman" w:hAnsi="Times New Roman"/>
                <w:sz w:val="16"/>
                <w:szCs w:val="16"/>
              </w:rPr>
              <w:t>0</w:t>
            </w:r>
          </w:p>
        </w:tc>
        <w:tc>
          <w:tcPr>
            <w:tcW w:w="638"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3,</w:t>
            </w:r>
            <w:r>
              <w:rPr>
                <w:rFonts w:ascii="Times New Roman" w:hAnsi="Times New Roman"/>
                <w:sz w:val="16"/>
                <w:szCs w:val="16"/>
              </w:rPr>
              <w:t>4</w:t>
            </w:r>
          </w:p>
        </w:tc>
        <w:tc>
          <w:tcPr>
            <w:tcW w:w="6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3,5</w:t>
            </w:r>
          </w:p>
        </w:tc>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3,7</w:t>
            </w:r>
          </w:p>
        </w:tc>
      </w:tr>
      <w:tr>
        <w:tblPrEx>
          <w:tblW w:w="8895" w:type="dxa"/>
          <w:tblInd w:w="106" w:type="dxa"/>
          <w:tblLayout w:type="fixed"/>
          <w:tblCellMar>
            <w:left w:w="70" w:type="dxa"/>
            <w:right w:w="70" w:type="dxa"/>
          </w:tblCellMar>
          <w:tblLook w:val="04A0"/>
        </w:tblPrEx>
        <w:trPr>
          <w:gridAfter w:val="1"/>
          <w:wAfter w:w="261" w:type="dxa"/>
          <w:trHeight w:val="318"/>
        </w:trPr>
        <w:tc>
          <w:tcPr>
            <w:tcW w:w="160" w:type="dxa"/>
            <w:tcBorders>
              <w:top w:val="single" w:sz="4" w:space="0" w:color="auto"/>
              <w:left w:val="single" w:sz="4" w:space="0" w:color="auto"/>
              <w:bottom w:val="single" w:sz="4" w:space="0" w:color="auto"/>
              <w:right w:val="none" w:sz="0" w:space="0" w:color="auto"/>
            </w:tcBorders>
            <w:noWrap/>
            <w:textDirection w:val="lrTb"/>
            <w:vAlign w:val="center"/>
            <w:hideMark/>
          </w:tcPr>
          <w:p w:rsidR="009E362C" w:rsidRPr="009E2972" w:rsidP="00A64696">
            <w:pPr>
              <w:bidi w:val="0"/>
              <w:jc w:val="center"/>
              <w:rPr>
                <w:rFonts w:ascii="Times New Roman" w:hAnsi="Times New Roman"/>
                <w:b/>
                <w:bCs/>
                <w:sz w:val="18"/>
                <w:szCs w:val="18"/>
              </w:rPr>
            </w:pPr>
          </w:p>
        </w:tc>
        <w:tc>
          <w:tcPr>
            <w:tcW w:w="2340" w:type="dxa"/>
            <w:tcBorders>
              <w:top w:val="single" w:sz="4" w:space="0" w:color="auto"/>
              <w:left w:val="none" w:sz="0" w:space="0" w:color="auto"/>
              <w:bottom w:val="single" w:sz="4" w:space="0" w:color="auto"/>
              <w:right w:val="single" w:sz="4" w:space="0" w:color="auto"/>
            </w:tcBorders>
            <w:noWrap/>
            <w:textDirection w:val="lrTb"/>
            <w:vAlign w:val="center"/>
            <w:hideMark/>
          </w:tcPr>
          <w:p w:rsidR="009E362C" w:rsidRPr="00201C50" w:rsidP="00A64696">
            <w:pPr>
              <w:bidi w:val="0"/>
              <w:rPr>
                <w:rFonts w:ascii="Times New Roman" w:hAnsi="Times New Roman"/>
                <w:sz w:val="16"/>
                <w:szCs w:val="16"/>
              </w:rPr>
            </w:pPr>
            <w:r w:rsidRPr="00201C50">
              <w:rPr>
                <w:rFonts w:ascii="Times New Roman" w:hAnsi="Times New Roman"/>
                <w:sz w:val="16"/>
                <w:szCs w:val="16"/>
              </w:rPr>
              <w:t xml:space="preserve">        rast od roku 2005 (v %)</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4,5</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7,4</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12,4</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14,2</w:t>
            </w:r>
          </w:p>
        </w:tc>
        <w:tc>
          <w:tcPr>
            <w:tcW w:w="580"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15,3</w:t>
            </w:r>
          </w:p>
        </w:tc>
        <w:tc>
          <w:tcPr>
            <w:tcW w:w="647"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Pr>
                <w:rFonts w:ascii="Times New Roman" w:hAnsi="Times New Roman"/>
                <w:sz w:val="16"/>
                <w:szCs w:val="16"/>
              </w:rPr>
              <w:t>19,9</w:t>
            </w:r>
          </w:p>
        </w:tc>
        <w:tc>
          <w:tcPr>
            <w:tcW w:w="638"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24,</w:t>
            </w:r>
            <w:r>
              <w:rPr>
                <w:rFonts w:ascii="Times New Roman" w:hAnsi="Times New Roman"/>
                <w:sz w:val="16"/>
                <w:szCs w:val="16"/>
              </w:rPr>
              <w:t>0</w:t>
            </w:r>
          </w:p>
        </w:tc>
        <w:tc>
          <w:tcPr>
            <w:tcW w:w="6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28,</w:t>
            </w:r>
            <w:r>
              <w:rPr>
                <w:rFonts w:ascii="Times New Roman" w:hAnsi="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9E362C" w:rsidRPr="00201C50" w:rsidP="00A64696">
            <w:pPr>
              <w:bidi w:val="0"/>
              <w:jc w:val="center"/>
              <w:rPr>
                <w:rFonts w:ascii="Times New Roman" w:hAnsi="Times New Roman"/>
                <w:sz w:val="16"/>
                <w:szCs w:val="16"/>
              </w:rPr>
            </w:pPr>
            <w:r w:rsidRPr="00201C50">
              <w:rPr>
                <w:rFonts w:ascii="Times New Roman" w:hAnsi="Times New Roman"/>
                <w:sz w:val="16"/>
                <w:szCs w:val="16"/>
              </w:rPr>
              <w:t>33</w:t>
            </w:r>
            <w:r>
              <w:rPr>
                <w:rFonts w:ascii="Times New Roman" w:hAnsi="Times New Roman"/>
                <w:sz w:val="16"/>
                <w:szCs w:val="16"/>
              </w:rPr>
              <w:t>,1</w:t>
            </w:r>
          </w:p>
        </w:tc>
      </w:tr>
      <w:tr>
        <w:tblPrEx>
          <w:tblW w:w="8895" w:type="dxa"/>
          <w:tblInd w:w="106" w:type="dxa"/>
          <w:tblLayout w:type="fixed"/>
          <w:tblCellMar>
            <w:left w:w="70" w:type="dxa"/>
            <w:right w:w="70" w:type="dxa"/>
          </w:tblCellMar>
          <w:tblLook w:val="04A0"/>
        </w:tblPrEx>
        <w:trPr>
          <w:trHeight w:val="227"/>
        </w:trPr>
        <w:tc>
          <w:tcPr>
            <w:tcW w:w="7761" w:type="dxa"/>
            <w:gridSpan w:val="11"/>
            <w:tcBorders>
              <w:top w:val="single" w:sz="4" w:space="0" w:color="auto"/>
              <w:left w:val="nil"/>
              <w:bottom w:val="none" w:sz="0" w:space="0" w:color="auto"/>
              <w:right w:val="nil"/>
            </w:tcBorders>
            <w:noWrap/>
            <w:textDirection w:val="lrTb"/>
            <w:vAlign w:val="center"/>
            <w:hideMark/>
          </w:tcPr>
          <w:p w:rsidR="009E362C" w:rsidRPr="009E2972" w:rsidP="00A64696">
            <w:pPr>
              <w:bidi w:val="0"/>
              <w:rPr>
                <w:rFonts w:ascii="Times New Roman" w:hAnsi="Times New Roman"/>
                <w:color w:val="FF0000"/>
              </w:rPr>
            </w:pPr>
            <w:r w:rsidRPr="009E2972">
              <w:rPr>
                <w:rFonts w:ascii="Times New Roman" w:hAnsi="Times New Roman"/>
                <w:i/>
                <w:iCs/>
                <w:sz w:val="16"/>
                <w:szCs w:val="16"/>
              </w:rPr>
              <w:t>* po zohľadnení legislatívou určených nových úloh v oblasti neštátneho školstva (27,8 mil. eur) rast daňových príjmov ÚS predstavuje 3</w:t>
            </w:r>
            <w:r>
              <w:rPr>
                <w:rFonts w:ascii="Times New Roman" w:hAnsi="Times New Roman"/>
                <w:i/>
                <w:iCs/>
                <w:sz w:val="16"/>
                <w:szCs w:val="16"/>
              </w:rPr>
              <w:t>5</w:t>
            </w:r>
            <w:r w:rsidRPr="009E2972">
              <w:rPr>
                <w:rFonts w:ascii="Times New Roman" w:hAnsi="Times New Roman"/>
                <w:i/>
                <w:iCs/>
                <w:sz w:val="16"/>
                <w:szCs w:val="16"/>
              </w:rPr>
              <w:t>,5%</w:t>
            </w:r>
          </w:p>
        </w:tc>
        <w:tc>
          <w:tcPr>
            <w:tcW w:w="1134" w:type="dxa"/>
            <w:gridSpan w:val="3"/>
            <w:tcBorders>
              <w:top w:val="none" w:sz="0" w:space="0" w:color="auto"/>
              <w:left w:val="nil"/>
              <w:bottom w:val="none" w:sz="0" w:space="0" w:color="auto"/>
              <w:right w:val="nil"/>
            </w:tcBorders>
            <w:textDirection w:val="lrTb"/>
            <w:vAlign w:val="center"/>
          </w:tcPr>
          <w:p w:rsidR="009E362C" w:rsidRPr="009E2972" w:rsidP="00A64696">
            <w:pPr>
              <w:bidi w:val="0"/>
              <w:jc w:val="center"/>
              <w:rPr>
                <w:rFonts w:ascii="Times New Roman" w:hAnsi="Times New Roman"/>
                <w:i/>
                <w:iCs/>
                <w:sz w:val="16"/>
                <w:szCs w:val="16"/>
              </w:rPr>
            </w:pPr>
            <w:r w:rsidRPr="009E2972">
              <w:rPr>
                <w:rFonts w:ascii="Times New Roman" w:hAnsi="Times New Roman"/>
                <w:i/>
                <w:iCs/>
                <w:sz w:val="16"/>
                <w:szCs w:val="16"/>
              </w:rPr>
              <w:t xml:space="preserve">Zdroj: </w:t>
            </w:r>
            <w:r>
              <w:rPr>
                <w:rFonts w:ascii="Times New Roman" w:hAnsi="Times New Roman"/>
                <w:i/>
                <w:iCs/>
                <w:sz w:val="16"/>
                <w:szCs w:val="16"/>
              </w:rPr>
              <w:t>MF SR</w:t>
            </w:r>
          </w:p>
        </w:tc>
      </w:tr>
      <w:tr>
        <w:tblPrEx>
          <w:tblW w:w="8895" w:type="dxa"/>
          <w:tblInd w:w="106" w:type="dxa"/>
          <w:tblLayout w:type="fixed"/>
          <w:tblCellMar>
            <w:left w:w="70" w:type="dxa"/>
            <w:right w:w="70" w:type="dxa"/>
          </w:tblCellMar>
          <w:tblLook w:val="04A0"/>
        </w:tblPrEx>
        <w:trPr>
          <w:gridAfter w:val="1"/>
          <w:wAfter w:w="261" w:type="dxa"/>
          <w:trHeight w:val="227"/>
        </w:trPr>
        <w:tc>
          <w:tcPr>
            <w:tcW w:w="8634" w:type="dxa"/>
            <w:gridSpan w:val="13"/>
            <w:tcBorders>
              <w:top w:val="none" w:sz="0" w:space="0" w:color="auto"/>
              <w:left w:val="nil"/>
              <w:bottom w:val="none" w:sz="0" w:space="0" w:color="auto"/>
              <w:right w:val="nil"/>
            </w:tcBorders>
            <w:noWrap/>
            <w:textDirection w:val="lrTb"/>
            <w:vAlign w:val="center"/>
            <w:hideMark/>
          </w:tcPr>
          <w:p w:rsidR="009E362C" w:rsidRPr="009E2972" w:rsidP="00A64696">
            <w:pPr>
              <w:bidi w:val="0"/>
              <w:rPr>
                <w:rFonts w:ascii="Times New Roman" w:hAnsi="Times New Roman"/>
                <w:i/>
                <w:iCs/>
                <w:sz w:val="16"/>
                <w:szCs w:val="16"/>
              </w:rPr>
            </w:pPr>
            <w:r>
              <w:rPr>
                <w:rFonts w:ascii="Times New Roman" w:hAnsi="Times New Roman"/>
                <w:i/>
                <w:iCs/>
                <w:sz w:val="16"/>
                <w:szCs w:val="16"/>
              </w:rPr>
              <w:t>** bez emisnej dane, upravené o negatívny vplyv reformy na odvody (čistý vplyv na saldo VS)</w:t>
            </w:r>
            <w:r w:rsidRPr="009E2972">
              <w:rPr>
                <w:rFonts w:ascii="Times New Roman" w:hAnsi="Times New Roman"/>
                <w:i/>
                <w:iCs/>
                <w:sz w:val="16"/>
                <w:szCs w:val="16"/>
              </w:rPr>
              <w:t xml:space="preserve"> </w:t>
            </w:r>
          </w:p>
        </w:tc>
      </w:tr>
      <w:tr>
        <w:tblPrEx>
          <w:tblW w:w="8895" w:type="dxa"/>
          <w:tblInd w:w="106" w:type="dxa"/>
          <w:tblLayout w:type="fixed"/>
          <w:tblCellMar>
            <w:left w:w="70" w:type="dxa"/>
            <w:right w:w="70" w:type="dxa"/>
          </w:tblCellMar>
          <w:tblLook w:val="04A0"/>
        </w:tblPrEx>
        <w:trPr>
          <w:gridAfter w:val="1"/>
          <w:wAfter w:w="261" w:type="dxa"/>
          <w:trHeight w:val="227"/>
        </w:trPr>
        <w:tc>
          <w:tcPr>
            <w:tcW w:w="8634" w:type="dxa"/>
            <w:gridSpan w:val="13"/>
            <w:tcBorders>
              <w:top w:val="none" w:sz="0" w:space="0" w:color="auto"/>
              <w:left w:val="nil"/>
              <w:bottom w:val="nil"/>
              <w:right w:val="nil"/>
            </w:tcBorders>
            <w:noWrap/>
            <w:textDirection w:val="lrTb"/>
            <w:vAlign w:val="center"/>
            <w:hideMark/>
          </w:tcPr>
          <w:p w:rsidR="009E362C" w:rsidRPr="009E2972" w:rsidP="00A64696">
            <w:pPr>
              <w:bidi w:val="0"/>
              <w:jc w:val="both"/>
              <w:rPr>
                <w:rFonts w:ascii="Times New Roman" w:hAnsi="Times New Roman"/>
                <w:i/>
                <w:iCs/>
                <w:sz w:val="16"/>
                <w:szCs w:val="16"/>
              </w:rPr>
            </w:pPr>
            <w:r w:rsidRPr="009E2972">
              <w:rPr>
                <w:rFonts w:ascii="Times New Roman" w:hAnsi="Times New Roman"/>
                <w:i/>
                <w:iCs/>
                <w:sz w:val="16"/>
                <w:szCs w:val="16"/>
              </w:rPr>
              <w:t>** ak by sa rast podielových daní ÚS v jednotlivých rokoch vyvíjal rovnako ako daňové príjmy ŠR, ÚS by získala na daniach za celé obdobie menej o 9</w:t>
            </w:r>
            <w:r>
              <w:rPr>
                <w:rFonts w:ascii="Times New Roman" w:hAnsi="Times New Roman"/>
                <w:i/>
                <w:iCs/>
                <w:sz w:val="16"/>
                <w:szCs w:val="16"/>
              </w:rPr>
              <w:t>93</w:t>
            </w:r>
            <w:r w:rsidRPr="009E2972">
              <w:rPr>
                <w:rFonts w:ascii="Times New Roman" w:hAnsi="Times New Roman"/>
                <w:i/>
                <w:iCs/>
                <w:sz w:val="16"/>
                <w:szCs w:val="16"/>
              </w:rPr>
              <w:t xml:space="preserve"> mil. </w:t>
            </w:r>
            <w:r>
              <w:rPr>
                <w:rFonts w:ascii="Times New Roman" w:hAnsi="Times New Roman"/>
                <w:i/>
                <w:iCs/>
                <w:sz w:val="16"/>
                <w:szCs w:val="16"/>
              </w:rPr>
              <w:t>e</w:t>
            </w:r>
            <w:r w:rsidRPr="009E2972">
              <w:rPr>
                <w:rFonts w:ascii="Times New Roman" w:hAnsi="Times New Roman"/>
                <w:i/>
                <w:iCs/>
                <w:sz w:val="16"/>
                <w:szCs w:val="16"/>
              </w:rPr>
              <w:t xml:space="preserve">ur v porovnaní so skutočnosťou. </w:t>
            </w:r>
          </w:p>
        </w:tc>
      </w:tr>
    </w:tbl>
    <w:p w:rsidR="009E362C" w:rsidRPr="009E2972" w:rsidP="009E362C">
      <w:pPr>
        <w:pStyle w:val="BodyText"/>
        <w:bidi w:val="0"/>
        <w:rPr>
          <w:rFonts w:ascii="Times New Roman" w:hAnsi="Times New Roman"/>
          <w:sz w:val="22"/>
          <w:szCs w:val="22"/>
        </w:rPr>
      </w:pPr>
    </w:p>
    <w:p w:rsidR="009E362C" w:rsidRPr="001A0FB6" w:rsidP="009E362C">
      <w:pPr>
        <w:bidi w:val="0"/>
        <w:ind w:firstLine="709"/>
        <w:jc w:val="both"/>
        <w:rPr>
          <w:rFonts w:ascii="Times New Roman" w:hAnsi="Times New Roman"/>
        </w:rPr>
      </w:pPr>
      <w:r w:rsidRPr="001A0FB6">
        <w:rPr>
          <w:rFonts w:ascii="Times New Roman" w:hAnsi="Times New Roman"/>
        </w:rPr>
        <w:t xml:space="preserve">Potreba fiškálnej konsolidácie </w:t>
      </w:r>
      <w:r w:rsidRPr="001A0FB6">
        <w:rPr>
          <w:rFonts w:ascii="Times New Roman" w:hAnsi="Times New Roman"/>
          <w:sz w:val="22"/>
        </w:rPr>
        <w:t>s</w:t>
      </w:r>
      <w:r w:rsidRPr="001A0FB6">
        <w:rPr>
          <w:rFonts w:ascii="Times New Roman" w:hAnsi="Times New Roman"/>
        </w:rPr>
        <w:t xml:space="preserve">a tiež premietla do projektovaných výdavkov rozpočtov obcí a VÚC, aj keď v menšej miere než v štátnom rozpočte. V návrhu štátneho rozpočtu na rok 2012 sa výdavky znižovali oproti skutočnosti roka 2010. V rozpočtoch obcí a VÚC sa počíta so zachovaním týchto výdavkov na úrovni roka 2010 a v ďalších rokoch 2013 a 2014 je premietnutý dvojpercentný medziročný nárast s výnimkou nárastu osobných výdavkov v oblasti školstva, kde výdavky rastú už v roku 2012. </w:t>
      </w:r>
    </w:p>
    <w:p w:rsidR="009E362C" w:rsidRPr="001A0FB6" w:rsidP="001A0A67">
      <w:pPr>
        <w:pStyle w:val="BodyText"/>
        <w:bidi w:val="0"/>
        <w:spacing w:after="0"/>
        <w:rPr>
          <w:rFonts w:ascii="Times New Roman" w:hAnsi="Times New Roman"/>
        </w:rPr>
      </w:pPr>
    </w:p>
    <w:p w:rsidR="009E362C" w:rsidRPr="001A0FB6" w:rsidP="001A0A67">
      <w:pPr>
        <w:bidi w:val="0"/>
        <w:ind w:firstLine="708"/>
        <w:jc w:val="both"/>
        <w:rPr>
          <w:rFonts w:ascii="Times New Roman" w:hAnsi="Times New Roman"/>
        </w:rPr>
      </w:pPr>
      <w:r w:rsidRPr="001A0FB6">
        <w:rPr>
          <w:rFonts w:ascii="Times New Roman" w:hAnsi="Times New Roman"/>
        </w:rPr>
        <w:t>Výdavková časť rozpočtu rešpektuje kompetencie miest, obcí a vyšších územných celkov podľa súčasného platného právneho stavu. Otvorená je problematika zabezpečovania nových úloh vyplývajúcich  pre obce a VÚC zo zákona o sociálnych službách.</w:t>
      </w:r>
    </w:p>
    <w:p w:rsidR="009E362C" w:rsidRPr="001A0FB6" w:rsidP="001A0A67">
      <w:pPr>
        <w:pStyle w:val="BodyText"/>
        <w:bidi w:val="0"/>
        <w:spacing w:after="0"/>
        <w:ind w:firstLine="708"/>
        <w:rPr>
          <w:rFonts w:ascii="Times New Roman" w:hAnsi="Times New Roman"/>
        </w:rPr>
      </w:pPr>
    </w:p>
    <w:p w:rsidR="009E362C" w:rsidRPr="001A0FB6" w:rsidP="001A0A67">
      <w:pPr>
        <w:pStyle w:val="BodyText"/>
        <w:bidi w:val="0"/>
        <w:spacing w:after="0"/>
        <w:ind w:firstLine="709"/>
        <w:rPr>
          <w:rFonts w:ascii="Times New Roman" w:hAnsi="Times New Roman"/>
        </w:rPr>
      </w:pPr>
      <w:r w:rsidRPr="001A0FB6">
        <w:rPr>
          <w:rFonts w:ascii="Times New Roman" w:hAnsi="Times New Roman"/>
        </w:rPr>
        <w:t xml:space="preserve">Finančné vzťahy štátu k rozpočtom obcí a VÚC sa budú realizovať predovšetkým prostredníctvom podielu prevodu mixu daní a prostredníctvom dotácií z príslušných rozpočtových kapitol. Formou dotácií zo štátneho rozpočtu sa budú financovať kompetencie preneseného výkonu štátnej správy a niektoré ďalšie úlohy spojené najmä s realizáciou projektov v rámci štrukturálnych fondov EÚ, napr. v súvislosti s podporou regionálneho rozvoja obcí a VÚC, ochrany ovzdušia, vzdelávaním a pod. Niektoré špecifické potreby obcí, ako je zachovanie a obnova kultúrnych pamiatok v niektorých mestách, individuálne potreby obcí a niektoré zariadenia sociálnych služieb, ktoré neboli súčasťou fiškálnej decentralizácie, budú financované formou dotácií zo štátneho rozpočtu rozpočtovaných v kapitole Všeobecná pokladničná správa. </w:t>
      </w:r>
    </w:p>
    <w:p w:rsidR="009E362C" w:rsidRPr="00EB33CC" w:rsidP="001A0A67">
      <w:pPr>
        <w:pStyle w:val="BodyText"/>
        <w:bidi w:val="0"/>
        <w:spacing w:after="0"/>
        <w:ind w:firstLine="708"/>
        <w:rPr>
          <w:rFonts w:ascii="Times New Roman" w:hAnsi="Times New Roman"/>
        </w:rPr>
      </w:pPr>
    </w:p>
    <w:p w:rsidR="009E362C" w:rsidRPr="00EB33CC" w:rsidP="001A0A67">
      <w:pPr>
        <w:pStyle w:val="BodyText"/>
        <w:bidi w:val="0"/>
        <w:spacing w:after="0"/>
        <w:ind w:firstLine="709"/>
        <w:rPr>
          <w:rFonts w:ascii="Times New Roman" w:hAnsi="Times New Roman"/>
        </w:rPr>
      </w:pPr>
      <w:r w:rsidRPr="00EB33CC">
        <w:rPr>
          <w:rFonts w:ascii="Times New Roman" w:hAnsi="Times New Roman"/>
        </w:rPr>
        <w:t>Územná samospráva po presune kompetencií a finančných zdrojov je významnou súčasťou rozpočtu verejnej správy, pričom jej hospodárenie má nezanedbateľný dopad na celkový fiškálny rámec. Návrh rozpočtu verejnej správy počíta v roku 2012 v metodike ESA</w:t>
      </w:r>
      <w:r>
        <w:rPr>
          <w:rFonts w:ascii="Times New Roman" w:hAnsi="Times New Roman"/>
        </w:rPr>
        <w:t> </w:t>
      </w:r>
      <w:r w:rsidRPr="00EB33CC">
        <w:rPr>
          <w:rFonts w:ascii="Times New Roman" w:hAnsi="Times New Roman"/>
        </w:rPr>
        <w:t xml:space="preserve">95 </w:t>
      </w:r>
      <w:r>
        <w:rPr>
          <w:rFonts w:ascii="Times New Roman" w:hAnsi="Times New Roman"/>
        </w:rPr>
        <w:t xml:space="preserve"> </w:t>
      </w:r>
      <w:r w:rsidRPr="00EB33CC">
        <w:rPr>
          <w:rFonts w:ascii="Times New Roman" w:hAnsi="Times New Roman"/>
        </w:rPr>
        <w:t>so </w:t>
      </w:r>
      <w:r>
        <w:rPr>
          <w:rFonts w:ascii="Times New Roman" w:hAnsi="Times New Roman"/>
        </w:rPr>
        <w:t xml:space="preserve"> s</w:t>
      </w:r>
      <w:r w:rsidRPr="00EB33CC">
        <w:rPr>
          <w:rFonts w:ascii="Times New Roman" w:hAnsi="Times New Roman"/>
        </w:rPr>
        <w:t xml:space="preserve">chodkovým </w:t>
      </w:r>
      <w:r>
        <w:rPr>
          <w:rFonts w:ascii="Times New Roman" w:hAnsi="Times New Roman"/>
        </w:rPr>
        <w:t xml:space="preserve"> </w:t>
      </w:r>
      <w:r w:rsidRPr="00EB33CC">
        <w:rPr>
          <w:rFonts w:ascii="Times New Roman" w:hAnsi="Times New Roman"/>
        </w:rPr>
        <w:t xml:space="preserve">rozpočtom </w:t>
      </w:r>
      <w:r>
        <w:rPr>
          <w:rFonts w:ascii="Times New Roman" w:hAnsi="Times New Roman"/>
        </w:rPr>
        <w:t xml:space="preserve"> </w:t>
      </w:r>
      <w:r w:rsidRPr="00EB33CC">
        <w:rPr>
          <w:rFonts w:ascii="Times New Roman" w:hAnsi="Times New Roman"/>
        </w:rPr>
        <w:t xml:space="preserve">obcí </w:t>
      </w:r>
      <w:r>
        <w:rPr>
          <w:rFonts w:ascii="Times New Roman" w:hAnsi="Times New Roman"/>
        </w:rPr>
        <w:t xml:space="preserve"> </w:t>
      </w:r>
      <w:r w:rsidRPr="00EB33CC">
        <w:rPr>
          <w:rFonts w:ascii="Times New Roman" w:hAnsi="Times New Roman"/>
        </w:rPr>
        <w:t xml:space="preserve">vo </w:t>
      </w:r>
      <w:r>
        <w:rPr>
          <w:rFonts w:ascii="Times New Roman" w:hAnsi="Times New Roman"/>
        </w:rPr>
        <w:t xml:space="preserve"> </w:t>
      </w:r>
      <w:r w:rsidRPr="00EB33CC">
        <w:rPr>
          <w:rFonts w:ascii="Times New Roman" w:hAnsi="Times New Roman"/>
        </w:rPr>
        <w:t xml:space="preserve">výške </w:t>
      </w:r>
      <w:r>
        <w:rPr>
          <w:rFonts w:ascii="Times New Roman" w:hAnsi="Times New Roman"/>
        </w:rPr>
        <w:t xml:space="preserve"> 38 666</w:t>
      </w:r>
      <w:r w:rsidRPr="00EB33CC">
        <w:rPr>
          <w:rFonts w:ascii="Times New Roman" w:hAnsi="Times New Roman"/>
        </w:rPr>
        <w:t xml:space="preserve"> </w:t>
      </w:r>
      <w:r>
        <w:rPr>
          <w:rFonts w:ascii="Times New Roman" w:hAnsi="Times New Roman"/>
        </w:rPr>
        <w:t xml:space="preserve"> </w:t>
      </w:r>
      <w:r w:rsidRPr="00EB33CC">
        <w:rPr>
          <w:rFonts w:ascii="Times New Roman" w:hAnsi="Times New Roman"/>
        </w:rPr>
        <w:t xml:space="preserve">tis. </w:t>
      </w:r>
      <w:r>
        <w:rPr>
          <w:rFonts w:ascii="Times New Roman" w:hAnsi="Times New Roman"/>
        </w:rPr>
        <w:t xml:space="preserve"> </w:t>
      </w:r>
      <w:r w:rsidRPr="00EB33CC">
        <w:rPr>
          <w:rFonts w:ascii="Times New Roman" w:hAnsi="Times New Roman"/>
        </w:rPr>
        <w:t xml:space="preserve">eur </w:t>
      </w:r>
      <w:r>
        <w:rPr>
          <w:rFonts w:ascii="Times New Roman" w:hAnsi="Times New Roman"/>
        </w:rPr>
        <w:t xml:space="preserve"> </w:t>
      </w:r>
      <w:r w:rsidRPr="00EB33CC">
        <w:rPr>
          <w:rFonts w:ascii="Times New Roman" w:hAnsi="Times New Roman"/>
        </w:rPr>
        <w:t xml:space="preserve">a </w:t>
      </w:r>
      <w:r>
        <w:rPr>
          <w:rFonts w:ascii="Times New Roman" w:hAnsi="Times New Roman"/>
        </w:rPr>
        <w:t xml:space="preserve"> </w:t>
      </w:r>
      <w:r w:rsidRPr="00EB33CC">
        <w:rPr>
          <w:rFonts w:ascii="Times New Roman" w:hAnsi="Times New Roman"/>
        </w:rPr>
        <w:t xml:space="preserve">VÚC </w:t>
      </w:r>
      <w:r>
        <w:rPr>
          <w:rFonts w:ascii="Times New Roman" w:hAnsi="Times New Roman"/>
        </w:rPr>
        <w:t xml:space="preserve">  </w:t>
      </w:r>
      <w:r w:rsidRPr="00EB33CC">
        <w:rPr>
          <w:rFonts w:ascii="Times New Roman" w:hAnsi="Times New Roman"/>
        </w:rPr>
        <w:t xml:space="preserve">vo </w:t>
      </w:r>
      <w:r>
        <w:rPr>
          <w:rFonts w:ascii="Times New Roman" w:hAnsi="Times New Roman"/>
        </w:rPr>
        <w:t xml:space="preserve"> </w:t>
      </w:r>
      <w:r w:rsidRPr="00EB33CC">
        <w:rPr>
          <w:rFonts w:ascii="Times New Roman" w:hAnsi="Times New Roman"/>
        </w:rPr>
        <w:t xml:space="preserve">výške </w:t>
      </w:r>
      <w:r>
        <w:rPr>
          <w:rFonts w:ascii="Times New Roman" w:hAnsi="Times New Roman"/>
        </w:rPr>
        <w:t xml:space="preserve"> 50 308 </w:t>
      </w:r>
      <w:r w:rsidRPr="00EB33CC">
        <w:rPr>
          <w:rFonts w:ascii="Times New Roman" w:hAnsi="Times New Roman"/>
        </w:rPr>
        <w:t>tis.</w:t>
      </w:r>
      <w:r>
        <w:rPr>
          <w:rFonts w:ascii="Times New Roman" w:hAnsi="Times New Roman"/>
        </w:rPr>
        <w:t> </w:t>
      </w:r>
      <w:r w:rsidRPr="00EB33CC">
        <w:rPr>
          <w:rFonts w:ascii="Times New Roman" w:hAnsi="Times New Roman"/>
        </w:rPr>
        <w:t xml:space="preserve">eur. </w:t>
      </w:r>
    </w:p>
    <w:p w:rsidR="009E362C" w:rsidP="009E362C">
      <w:pPr>
        <w:bidi w:val="0"/>
        <w:jc w:val="both"/>
        <w:rPr>
          <w:rFonts w:ascii="Times New Roman" w:hAnsi="Times New Roman"/>
        </w:rPr>
      </w:pPr>
    </w:p>
    <w:p w:rsidR="001A0A67" w:rsidP="009E362C">
      <w:pPr>
        <w:bidi w:val="0"/>
        <w:jc w:val="both"/>
        <w:rPr>
          <w:rFonts w:ascii="Times New Roman" w:hAnsi="Times New Roman"/>
        </w:rPr>
      </w:pPr>
    </w:p>
    <w:p w:rsidR="009E362C" w:rsidRPr="00EB33CC" w:rsidP="009E362C">
      <w:pPr>
        <w:pStyle w:val="Heading2"/>
        <w:bidi w:val="0"/>
        <w:spacing w:before="0" w:after="0"/>
        <w:jc w:val="both"/>
        <w:rPr>
          <w:rFonts w:ascii="Times New Roman" w:hAnsi="Times New Roman"/>
          <w:i w:val="0"/>
          <w:sz w:val="24"/>
          <w:szCs w:val="24"/>
        </w:rPr>
      </w:pPr>
      <w:r w:rsidRPr="00EB33CC">
        <w:rPr>
          <w:rFonts w:ascii="Times New Roman" w:hAnsi="Times New Roman"/>
          <w:i w:val="0"/>
          <w:sz w:val="24"/>
          <w:szCs w:val="24"/>
        </w:rPr>
        <w:t>1.1. Obce</w:t>
      </w:r>
    </w:p>
    <w:p w:rsidR="009E362C" w:rsidRPr="00EB33CC" w:rsidP="0090114D">
      <w:pPr>
        <w:bidi w:val="0"/>
        <w:jc w:val="both"/>
        <w:rPr>
          <w:rFonts w:ascii="Times New Roman" w:hAnsi="Times New Roman"/>
        </w:rPr>
      </w:pPr>
    </w:p>
    <w:p w:rsidR="009E362C" w:rsidRPr="00EB33CC" w:rsidP="009E362C">
      <w:pPr>
        <w:bidi w:val="0"/>
        <w:ind w:firstLine="708"/>
        <w:jc w:val="both"/>
        <w:rPr>
          <w:rFonts w:ascii="Times New Roman" w:hAnsi="Times New Roman"/>
        </w:rPr>
      </w:pPr>
      <w:r w:rsidRPr="00EB33CC">
        <w:rPr>
          <w:rFonts w:ascii="Times New Roman" w:hAnsi="Times New Roman"/>
        </w:rPr>
        <w:t xml:space="preserve">Predpokladá sa, že obce v roku 2012 dosiahnu celkové príjmy vo výške </w:t>
      </w:r>
      <w:r w:rsidR="001A0A67">
        <w:rPr>
          <w:rFonts w:ascii="Times New Roman" w:hAnsi="Times New Roman"/>
        </w:rPr>
        <w:br/>
      </w:r>
      <w:r w:rsidRPr="00EB33CC">
        <w:rPr>
          <w:rFonts w:ascii="Times New Roman" w:hAnsi="Times New Roman"/>
        </w:rPr>
        <w:t>3</w:t>
      </w:r>
      <w:r>
        <w:rPr>
          <w:rFonts w:ascii="Times New Roman" w:hAnsi="Times New Roman"/>
        </w:rPr>
        <w:t> 760 524 </w:t>
      </w:r>
      <w:r w:rsidRPr="00EB33CC">
        <w:rPr>
          <w:rFonts w:ascii="Times New Roman" w:hAnsi="Times New Roman"/>
        </w:rPr>
        <w:t>tis.</w:t>
      </w:r>
      <w:r>
        <w:rPr>
          <w:rFonts w:ascii="Times New Roman" w:hAnsi="Times New Roman"/>
        </w:rPr>
        <w:t> </w:t>
      </w:r>
      <w:r w:rsidRPr="00EB33CC">
        <w:rPr>
          <w:rFonts w:ascii="Times New Roman" w:hAnsi="Times New Roman"/>
        </w:rPr>
        <w:t>eur a celkové výdavky v sume 3</w:t>
      </w:r>
      <w:r>
        <w:rPr>
          <w:rFonts w:ascii="Times New Roman" w:hAnsi="Times New Roman"/>
        </w:rPr>
        <w:t> 567 190</w:t>
      </w:r>
      <w:r w:rsidRPr="00EB33CC">
        <w:rPr>
          <w:rFonts w:ascii="Times New Roman" w:hAnsi="Times New Roman"/>
        </w:rPr>
        <w:t xml:space="preserve"> tis. eur. Po odpočítaní príjmových a výdavkových finančných operácií sa predpokladajú príjmy v sume 3</w:t>
      </w:r>
      <w:r>
        <w:rPr>
          <w:rFonts w:ascii="Times New Roman" w:hAnsi="Times New Roman"/>
        </w:rPr>
        <w:t> 375 524</w:t>
      </w:r>
      <w:r w:rsidRPr="00EB33CC">
        <w:rPr>
          <w:rFonts w:ascii="Times New Roman" w:hAnsi="Times New Roman"/>
        </w:rPr>
        <w:t xml:space="preserve"> tis. eur a výdavky </w:t>
      </w:r>
      <w:r>
        <w:rPr>
          <w:rFonts w:ascii="Times New Roman" w:hAnsi="Times New Roman"/>
        </w:rPr>
        <w:t>3 404 190</w:t>
      </w:r>
      <w:r w:rsidRPr="00EB33CC">
        <w:rPr>
          <w:rFonts w:ascii="Times New Roman" w:hAnsi="Times New Roman"/>
        </w:rPr>
        <w:t xml:space="preserve"> tis. eur. Po zohľadnení predpokladaných zmien stavu záväzkov a pohľadávok (-10 000 tis. eur) je schodok vo výške </w:t>
      </w:r>
      <w:r>
        <w:rPr>
          <w:rFonts w:ascii="Times New Roman" w:hAnsi="Times New Roman"/>
        </w:rPr>
        <w:t>38 666</w:t>
      </w:r>
      <w:r w:rsidRPr="00EB33CC">
        <w:rPr>
          <w:rFonts w:ascii="Times New Roman" w:hAnsi="Times New Roman"/>
        </w:rPr>
        <w:t xml:space="preserve"> tis. eur. </w:t>
      </w:r>
    </w:p>
    <w:p w:rsidR="009E362C" w:rsidRPr="00EB33CC" w:rsidP="009E362C">
      <w:pPr>
        <w:bidi w:val="0"/>
        <w:ind w:firstLine="708"/>
        <w:jc w:val="both"/>
        <w:rPr>
          <w:rFonts w:ascii="Times New Roman" w:hAnsi="Times New Roman"/>
        </w:rPr>
      </w:pPr>
    </w:p>
    <w:p w:rsidR="009E362C" w:rsidRPr="00EB33CC" w:rsidP="009E362C">
      <w:pPr>
        <w:bidi w:val="0"/>
        <w:ind w:firstLine="708"/>
        <w:jc w:val="both"/>
        <w:rPr>
          <w:rFonts w:ascii="Times New Roman" w:hAnsi="Times New Roman"/>
        </w:rPr>
      </w:pPr>
      <w:r w:rsidRPr="00EB33CC">
        <w:rPr>
          <w:rFonts w:ascii="Times New Roman" w:hAnsi="Times New Roman"/>
        </w:rPr>
        <w:t>Daňové príjmy sa očakávajú v roku 2012 v sume 1</w:t>
      </w:r>
      <w:r>
        <w:rPr>
          <w:rFonts w:ascii="Times New Roman" w:hAnsi="Times New Roman"/>
        </w:rPr>
        <w:t> 696 149</w:t>
      </w:r>
      <w:r w:rsidRPr="00EB33CC">
        <w:rPr>
          <w:rFonts w:ascii="Times New Roman" w:hAnsi="Times New Roman"/>
        </w:rPr>
        <w:t xml:space="preserve"> tis. eur, ktoré obce získajú z výnosu mixu daní (dane z príjmov fyzických osôb, z príjmov právnických osôb, z príjmov vyberanej zrážkou, z pridanej hodnoty, z minerálnych olejov, z liehu, z piva, z vína, z tabaku a tabakových výrobkov, z elektrickej energie, zo zemného plynu, z uhlia), z výnosu dane z nehnuteľností, z výnosu daní za špecifické služby (ostatné miestne dane a poplatok za komunálne odpady), z výnosu dane z úhrad za dobývací priestor a zo sankcií uložených v daňovom konaní.</w:t>
      </w:r>
      <w:r>
        <w:rPr>
          <w:rFonts w:ascii="Times New Roman" w:hAnsi="Times New Roman"/>
        </w:rPr>
        <w:t xml:space="preserve"> </w:t>
      </w:r>
      <w:r w:rsidRPr="00EB33CC">
        <w:rPr>
          <w:rFonts w:ascii="Times New Roman" w:hAnsi="Times New Roman"/>
        </w:rPr>
        <w:t>Z výnosov týchto daní bude zabezpečované financovanie samosprávnych pôsobností obcí.</w:t>
      </w:r>
    </w:p>
    <w:p w:rsidR="009E362C" w:rsidRPr="00EB33CC" w:rsidP="009E362C">
      <w:pPr>
        <w:bidi w:val="0"/>
        <w:ind w:firstLine="708"/>
        <w:jc w:val="both"/>
        <w:rPr>
          <w:rFonts w:ascii="Times New Roman" w:hAnsi="Times New Roman"/>
        </w:rPr>
      </w:pPr>
      <w:r w:rsidRPr="00EB33CC">
        <w:rPr>
          <w:rFonts w:ascii="Times New Roman" w:hAnsi="Times New Roman"/>
        </w:rPr>
        <w:t xml:space="preserve"> </w:t>
      </w:r>
    </w:p>
    <w:p w:rsidR="009E362C" w:rsidRPr="00EB33CC" w:rsidP="009E362C">
      <w:pPr>
        <w:bidi w:val="0"/>
        <w:ind w:firstLine="708"/>
        <w:jc w:val="both"/>
        <w:rPr>
          <w:rFonts w:ascii="Times New Roman" w:hAnsi="Times New Roman"/>
        </w:rPr>
      </w:pPr>
      <w:r w:rsidRPr="00EB33CC">
        <w:rPr>
          <w:rFonts w:ascii="Times New Roman" w:hAnsi="Times New Roman"/>
        </w:rPr>
        <w:t>Predpoklad vývoja jednotlivých druhov daňových príjmov v rokoch 2012 až 2014 do rozpočtov obcí v porovnaní s očakávanou skutočnosťou na rok 2011 a skutočnosťou za roky 2009 a 2010 je nasledovný:</w:t>
      </w:r>
    </w:p>
    <w:p w:rsidR="009E362C" w:rsidRPr="00EB33CC" w:rsidP="009E362C">
      <w:pPr>
        <w:bidi w:val="0"/>
        <w:jc w:val="both"/>
        <w:rPr>
          <w:rFonts w:ascii="Times New Roman" w:hAnsi="Times New Roman"/>
        </w:rPr>
      </w:pPr>
    </w:p>
    <w:tbl>
      <w:tblPr>
        <w:tblStyle w:val="TableNormal"/>
        <w:tblW w:w="9316" w:type="dxa"/>
        <w:jc w:val="center"/>
        <w:tblInd w:w="296" w:type="dxa"/>
        <w:tblBorders>
          <w:top w:val="single" w:sz="4" w:space="0" w:color="auto"/>
          <w:left w:val="single" w:sz="4" w:space="0" w:color="auto"/>
          <w:bottom w:val="single" w:sz="4" w:space="0" w:color="auto"/>
          <w:right w:val="single" w:sz="4" w:space="0" w:color="auto"/>
        </w:tblBorders>
      </w:tblPr>
      <w:tblGrid>
        <w:gridCol w:w="2453"/>
        <w:gridCol w:w="977"/>
        <w:gridCol w:w="1045"/>
        <w:gridCol w:w="936"/>
        <w:gridCol w:w="989"/>
        <w:gridCol w:w="979"/>
        <w:gridCol w:w="978"/>
        <w:gridCol w:w="959"/>
      </w:tblGrid>
      <w:tr>
        <w:tblPrEx>
          <w:tblW w:w="9316" w:type="dxa"/>
          <w:jc w:val="center"/>
          <w:tblInd w:w="296" w:type="dxa"/>
          <w:tblBorders>
            <w:top w:val="single" w:sz="4" w:space="0" w:color="auto"/>
            <w:left w:val="single" w:sz="4" w:space="0" w:color="auto"/>
            <w:bottom w:val="single" w:sz="4" w:space="0" w:color="auto"/>
            <w:right w:val="single" w:sz="4" w:space="0" w:color="auto"/>
          </w:tblBorders>
        </w:tblPrEx>
        <w:trPr>
          <w:trHeight w:val="324"/>
          <w:tblHeader/>
          <w:jc w:val="center"/>
        </w:trPr>
        <w:tc>
          <w:tcPr>
            <w:tcW w:w="2495"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both"/>
              <w:rPr>
                <w:rFonts w:ascii="Times New Roman" w:hAnsi="Times New Roman"/>
                <w:b/>
                <w:color w:val="FFFFFF"/>
                <w:sz w:val="16"/>
                <w:szCs w:val="16"/>
              </w:rPr>
            </w:pPr>
            <w:r w:rsidRPr="009E2972">
              <w:rPr>
                <w:rFonts w:ascii="Times New Roman" w:hAnsi="Times New Roman"/>
                <w:b/>
                <w:sz w:val="16"/>
                <w:szCs w:val="16"/>
              </w:rPr>
              <w:t>v tis. eur</w:t>
            </w:r>
          </w:p>
        </w:tc>
        <w:tc>
          <w:tcPr>
            <w:tcW w:w="97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center"/>
              <w:rPr>
                <w:rFonts w:ascii="Times New Roman" w:hAnsi="Times New Roman"/>
                <w:b/>
                <w:sz w:val="16"/>
                <w:szCs w:val="16"/>
              </w:rPr>
            </w:pPr>
            <w:r w:rsidRPr="009E2972">
              <w:rPr>
                <w:rFonts w:ascii="Times New Roman" w:hAnsi="Times New Roman"/>
                <w:b/>
                <w:sz w:val="16"/>
                <w:szCs w:val="16"/>
              </w:rPr>
              <w:t>2009 S</w:t>
            </w:r>
          </w:p>
        </w:tc>
        <w:tc>
          <w:tcPr>
            <w:tcW w:w="1053"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center"/>
              <w:rPr>
                <w:rFonts w:ascii="Times New Roman" w:hAnsi="Times New Roman"/>
                <w:b/>
                <w:sz w:val="16"/>
                <w:szCs w:val="16"/>
              </w:rPr>
            </w:pPr>
            <w:r w:rsidRPr="009E2972">
              <w:rPr>
                <w:rFonts w:ascii="Times New Roman" w:hAnsi="Times New Roman"/>
                <w:b/>
                <w:sz w:val="16"/>
                <w:szCs w:val="16"/>
              </w:rPr>
              <w:t>2010 S</w:t>
            </w:r>
          </w:p>
        </w:tc>
        <w:tc>
          <w:tcPr>
            <w:tcW w:w="83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center"/>
              <w:rPr>
                <w:rFonts w:ascii="Times New Roman" w:hAnsi="Times New Roman"/>
                <w:b/>
                <w:sz w:val="16"/>
                <w:szCs w:val="16"/>
              </w:rPr>
            </w:pPr>
            <w:r>
              <w:rPr>
                <w:rFonts w:ascii="Times New Roman" w:hAnsi="Times New Roman"/>
                <w:b/>
                <w:sz w:val="16"/>
                <w:szCs w:val="16"/>
              </w:rPr>
              <w:t>2011 R</w:t>
            </w:r>
          </w:p>
        </w:tc>
        <w:tc>
          <w:tcPr>
            <w:tcW w:w="1003"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center"/>
              <w:rPr>
                <w:rFonts w:ascii="Times New Roman" w:hAnsi="Times New Roman"/>
                <w:b/>
                <w:sz w:val="16"/>
                <w:szCs w:val="16"/>
              </w:rPr>
            </w:pPr>
            <w:r w:rsidRPr="009E2972">
              <w:rPr>
                <w:rFonts w:ascii="Times New Roman" w:hAnsi="Times New Roman"/>
                <w:b/>
                <w:sz w:val="16"/>
                <w:szCs w:val="16"/>
              </w:rPr>
              <w:t>2011 OS</w:t>
            </w:r>
          </w:p>
        </w:tc>
        <w:tc>
          <w:tcPr>
            <w:tcW w:w="993"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center"/>
              <w:rPr>
                <w:rFonts w:ascii="Times New Roman" w:hAnsi="Times New Roman"/>
                <w:b/>
                <w:sz w:val="16"/>
                <w:szCs w:val="16"/>
              </w:rPr>
            </w:pPr>
            <w:r w:rsidRPr="009E2972">
              <w:rPr>
                <w:rFonts w:ascii="Times New Roman" w:hAnsi="Times New Roman"/>
                <w:b/>
                <w:sz w:val="16"/>
                <w:szCs w:val="16"/>
              </w:rPr>
              <w:t>2012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center"/>
              <w:rPr>
                <w:rFonts w:ascii="Times New Roman" w:hAnsi="Times New Roman"/>
                <w:b/>
                <w:sz w:val="16"/>
                <w:szCs w:val="16"/>
              </w:rPr>
            </w:pPr>
            <w:r w:rsidRPr="009E2972">
              <w:rPr>
                <w:rFonts w:ascii="Times New Roman" w:hAnsi="Times New Roman"/>
                <w:b/>
                <w:sz w:val="16"/>
                <w:szCs w:val="16"/>
              </w:rPr>
              <w:t>2013 N</w:t>
            </w:r>
          </w:p>
        </w:tc>
        <w:tc>
          <w:tcPr>
            <w:tcW w:w="97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E362C" w:rsidRPr="009E2972" w:rsidP="00A64696">
            <w:pPr>
              <w:bidi w:val="0"/>
              <w:jc w:val="center"/>
              <w:rPr>
                <w:rFonts w:ascii="Times New Roman" w:hAnsi="Times New Roman"/>
                <w:b/>
                <w:sz w:val="16"/>
                <w:szCs w:val="16"/>
              </w:rPr>
            </w:pPr>
            <w:r w:rsidRPr="009E2972">
              <w:rPr>
                <w:rFonts w:ascii="Times New Roman" w:hAnsi="Times New Roman"/>
                <w:b/>
                <w:sz w:val="16"/>
                <w:szCs w:val="16"/>
              </w:rPr>
              <w:t>2014 N</w:t>
            </w:r>
          </w:p>
        </w:tc>
      </w:tr>
      <w:tr>
        <w:tblPrEx>
          <w:tblW w:w="9316" w:type="dxa"/>
          <w:jc w:val="center"/>
          <w:tblInd w:w="296" w:type="dxa"/>
        </w:tblPrEx>
        <w:trPr>
          <w:trHeight w:val="255"/>
          <w:jc w:val="center"/>
        </w:trPr>
        <w:tc>
          <w:tcPr>
            <w:tcW w:w="249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ind w:right="175"/>
              <w:rPr>
                <w:rFonts w:ascii="Times New Roman" w:hAnsi="Times New Roman"/>
                <w:b/>
                <w:sz w:val="16"/>
                <w:szCs w:val="16"/>
              </w:rPr>
            </w:pPr>
            <w:r w:rsidRPr="009E2972">
              <w:rPr>
                <w:rFonts w:ascii="Times New Roman" w:hAnsi="Times New Roman"/>
                <w:b/>
                <w:sz w:val="16"/>
                <w:szCs w:val="16"/>
              </w:rPr>
              <w:t>Daňové príjmy spolu</w:t>
            </w:r>
          </w:p>
        </w:tc>
        <w:tc>
          <w:tcPr>
            <w:tcW w:w="97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jc w:val="right"/>
              <w:rPr>
                <w:rFonts w:ascii="Times New Roman" w:hAnsi="Times New Roman"/>
                <w:b/>
                <w:sz w:val="16"/>
                <w:szCs w:val="16"/>
              </w:rPr>
            </w:pPr>
            <w:r w:rsidRPr="009E2972">
              <w:rPr>
                <w:rFonts w:ascii="Times New Roman" w:hAnsi="Times New Roman"/>
                <w:b/>
                <w:sz w:val="16"/>
                <w:szCs w:val="16"/>
              </w:rPr>
              <w:t>1 620 306</w:t>
            </w:r>
          </w:p>
        </w:tc>
        <w:tc>
          <w:tcPr>
            <w:tcW w:w="1053"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jc w:val="right"/>
              <w:rPr>
                <w:rFonts w:ascii="Times New Roman" w:hAnsi="Times New Roman"/>
                <w:b/>
                <w:sz w:val="16"/>
                <w:szCs w:val="16"/>
              </w:rPr>
            </w:pPr>
            <w:r w:rsidRPr="009E2972">
              <w:rPr>
                <w:rFonts w:ascii="Times New Roman" w:hAnsi="Times New Roman"/>
                <w:b/>
                <w:sz w:val="16"/>
                <w:szCs w:val="16"/>
              </w:rPr>
              <w:t>1 421 927</w:t>
            </w:r>
          </w:p>
        </w:tc>
        <w:tc>
          <w:tcPr>
            <w:tcW w:w="83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jc w:val="right"/>
              <w:rPr>
                <w:rFonts w:ascii="Times New Roman" w:hAnsi="Times New Roman"/>
                <w:b/>
                <w:sz w:val="16"/>
                <w:szCs w:val="16"/>
              </w:rPr>
            </w:pPr>
            <w:r>
              <w:rPr>
                <w:rFonts w:ascii="Times New Roman" w:hAnsi="Times New Roman"/>
                <w:b/>
                <w:sz w:val="16"/>
                <w:szCs w:val="16"/>
              </w:rPr>
              <w:t>1 689 915</w:t>
            </w:r>
          </w:p>
        </w:tc>
        <w:tc>
          <w:tcPr>
            <w:tcW w:w="1003"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jc w:val="right"/>
              <w:rPr>
                <w:rFonts w:ascii="Times New Roman" w:hAnsi="Times New Roman"/>
                <w:b/>
                <w:sz w:val="16"/>
                <w:szCs w:val="16"/>
              </w:rPr>
            </w:pPr>
            <w:r w:rsidRPr="009E2972">
              <w:rPr>
                <w:rFonts w:ascii="Times New Roman" w:hAnsi="Times New Roman"/>
                <w:b/>
                <w:sz w:val="16"/>
                <w:szCs w:val="16"/>
              </w:rPr>
              <w:t>1</w:t>
            </w:r>
            <w:r>
              <w:rPr>
                <w:rFonts w:ascii="Times New Roman" w:hAnsi="Times New Roman"/>
                <w:b/>
                <w:sz w:val="16"/>
                <w:szCs w:val="16"/>
              </w:rPr>
              <w:t> 638 038</w:t>
            </w:r>
          </w:p>
        </w:tc>
        <w:tc>
          <w:tcPr>
            <w:tcW w:w="993"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jc w:val="right"/>
              <w:rPr>
                <w:rFonts w:ascii="Times New Roman" w:hAnsi="Times New Roman"/>
                <w:b/>
                <w:sz w:val="16"/>
                <w:szCs w:val="16"/>
              </w:rPr>
            </w:pPr>
            <w:r w:rsidRPr="009E2972">
              <w:rPr>
                <w:rFonts w:ascii="Times New Roman" w:hAnsi="Times New Roman"/>
                <w:b/>
                <w:sz w:val="16"/>
                <w:szCs w:val="16"/>
              </w:rPr>
              <w:t>1</w:t>
            </w:r>
            <w:r>
              <w:rPr>
                <w:rFonts w:ascii="Times New Roman" w:hAnsi="Times New Roman"/>
                <w:b/>
                <w:sz w:val="16"/>
                <w:szCs w:val="16"/>
              </w:rPr>
              <w:t> 696 149</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jc w:val="right"/>
              <w:rPr>
                <w:rFonts w:ascii="Times New Roman" w:hAnsi="Times New Roman"/>
                <w:b/>
                <w:sz w:val="16"/>
                <w:szCs w:val="16"/>
              </w:rPr>
            </w:pPr>
            <w:r w:rsidRPr="009E2972">
              <w:rPr>
                <w:rFonts w:ascii="Times New Roman" w:hAnsi="Times New Roman"/>
                <w:b/>
                <w:sz w:val="16"/>
                <w:szCs w:val="16"/>
              </w:rPr>
              <w:t>1</w:t>
            </w:r>
            <w:r>
              <w:rPr>
                <w:rFonts w:ascii="Times New Roman" w:hAnsi="Times New Roman"/>
                <w:b/>
                <w:sz w:val="16"/>
                <w:szCs w:val="16"/>
              </w:rPr>
              <w:t> 842 106</w:t>
            </w:r>
          </w:p>
        </w:tc>
        <w:tc>
          <w:tcPr>
            <w:tcW w:w="97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9E2972" w:rsidP="00A64696">
            <w:pPr>
              <w:bidi w:val="0"/>
              <w:jc w:val="right"/>
              <w:rPr>
                <w:rFonts w:ascii="Times New Roman" w:hAnsi="Times New Roman"/>
                <w:b/>
                <w:sz w:val="16"/>
                <w:szCs w:val="16"/>
              </w:rPr>
            </w:pPr>
            <w:r w:rsidRPr="009E2972">
              <w:rPr>
                <w:rFonts w:ascii="Times New Roman" w:hAnsi="Times New Roman"/>
                <w:b/>
                <w:sz w:val="16"/>
                <w:szCs w:val="16"/>
              </w:rPr>
              <w:t>1</w:t>
            </w:r>
            <w:r>
              <w:rPr>
                <w:rFonts w:ascii="Times New Roman" w:hAnsi="Times New Roman"/>
                <w:b/>
                <w:sz w:val="16"/>
                <w:szCs w:val="16"/>
              </w:rPr>
              <w:t> 946 137</w:t>
            </w:r>
          </w:p>
        </w:tc>
      </w:tr>
      <w:tr>
        <w:tblPrEx>
          <w:tblW w:w="9316" w:type="dxa"/>
          <w:jc w:val="center"/>
          <w:tblInd w:w="296" w:type="dxa"/>
        </w:tblPrEx>
        <w:trPr>
          <w:trHeight w:val="255"/>
          <w:jc w:val="center"/>
        </w:trPr>
        <w:tc>
          <w:tcPr>
            <w:tcW w:w="2495"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rPr>
                <w:rFonts w:ascii="Times New Roman" w:hAnsi="Times New Roman"/>
                <w:sz w:val="16"/>
                <w:szCs w:val="16"/>
              </w:rPr>
            </w:pPr>
            <w:r w:rsidRPr="009E2972">
              <w:rPr>
                <w:rFonts w:ascii="Times New Roman" w:hAnsi="Times New Roman"/>
                <w:sz w:val="16"/>
                <w:szCs w:val="16"/>
              </w:rPr>
              <w:t>z toho: prevod mix daní vrátane sankcií</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1 206 837*</w:t>
            </w:r>
          </w:p>
        </w:tc>
        <w:tc>
          <w:tcPr>
            <w:tcW w:w="105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995 230*</w:t>
            </w:r>
          </w:p>
        </w:tc>
        <w:tc>
          <w:tcPr>
            <w:tcW w:w="83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Pr>
                <w:rFonts w:ascii="Times New Roman" w:hAnsi="Times New Roman"/>
                <w:sz w:val="16"/>
                <w:szCs w:val="16"/>
              </w:rPr>
              <w:t>1 228 255*</w:t>
            </w:r>
          </w:p>
        </w:tc>
        <w:tc>
          <w:tcPr>
            <w:tcW w:w="100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w:t>
            </w:r>
            <w:r>
              <w:rPr>
                <w:rFonts w:ascii="Times New Roman" w:hAnsi="Times New Roman"/>
                <w:sz w:val="16"/>
                <w:szCs w:val="16"/>
              </w:rPr>
              <w:t> 182 373</w:t>
            </w:r>
            <w:r w:rsidRPr="009E2972">
              <w:rPr>
                <w:rFonts w:ascii="Times New Roman" w:hAnsi="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w:t>
            </w:r>
            <w:r>
              <w:rPr>
                <w:rFonts w:ascii="Times New Roman" w:hAnsi="Times New Roman"/>
                <w:sz w:val="16"/>
                <w:szCs w:val="16"/>
              </w:rPr>
              <w:t> 217 722</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w:t>
            </w:r>
            <w:r>
              <w:rPr>
                <w:rFonts w:ascii="Times New Roman" w:hAnsi="Times New Roman"/>
                <w:sz w:val="16"/>
                <w:szCs w:val="16"/>
              </w:rPr>
              <w:t> 339 779</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w:t>
            </w:r>
            <w:r>
              <w:rPr>
                <w:rFonts w:ascii="Times New Roman" w:hAnsi="Times New Roman"/>
                <w:sz w:val="16"/>
                <w:szCs w:val="16"/>
              </w:rPr>
              <w:t> 418 715</w:t>
            </w:r>
          </w:p>
        </w:tc>
      </w:tr>
      <w:tr>
        <w:tblPrEx>
          <w:tblW w:w="9316" w:type="dxa"/>
          <w:jc w:val="center"/>
          <w:tblInd w:w="296" w:type="dxa"/>
        </w:tblPrEx>
        <w:trPr>
          <w:trHeight w:val="255"/>
          <w:jc w:val="center"/>
        </w:trPr>
        <w:tc>
          <w:tcPr>
            <w:tcW w:w="2495"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rPr>
                <w:rFonts w:ascii="Times New Roman" w:hAnsi="Times New Roman"/>
                <w:sz w:val="16"/>
                <w:szCs w:val="16"/>
              </w:rPr>
            </w:pPr>
            <w:r w:rsidRPr="009E2972">
              <w:rPr>
                <w:rFonts w:ascii="Times New Roman" w:hAnsi="Times New Roman"/>
                <w:sz w:val="16"/>
                <w:szCs w:val="16"/>
              </w:rPr>
              <w:t xml:space="preserve">            daň z nehnuteľností</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254 814</w:t>
            </w:r>
          </w:p>
        </w:tc>
        <w:tc>
          <w:tcPr>
            <w:tcW w:w="105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266 284</w:t>
            </w:r>
          </w:p>
        </w:tc>
        <w:tc>
          <w:tcPr>
            <w:tcW w:w="83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Pr>
                <w:rFonts w:ascii="Times New Roman" w:hAnsi="Times New Roman"/>
                <w:sz w:val="16"/>
                <w:szCs w:val="16"/>
              </w:rPr>
              <w:t>280 933</w:t>
            </w:r>
          </w:p>
        </w:tc>
        <w:tc>
          <w:tcPr>
            <w:tcW w:w="100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280 933</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294 979</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309 728</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325 214</w:t>
            </w:r>
          </w:p>
        </w:tc>
      </w:tr>
      <w:tr>
        <w:tblPrEx>
          <w:tblW w:w="9316" w:type="dxa"/>
          <w:jc w:val="center"/>
          <w:tblInd w:w="296" w:type="dxa"/>
        </w:tblPrEx>
        <w:trPr>
          <w:trHeight w:val="255"/>
          <w:jc w:val="center"/>
        </w:trPr>
        <w:tc>
          <w:tcPr>
            <w:tcW w:w="2495"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rPr>
                <w:rFonts w:ascii="Times New Roman" w:hAnsi="Times New Roman"/>
                <w:sz w:val="16"/>
                <w:szCs w:val="16"/>
              </w:rPr>
            </w:pPr>
            <w:r w:rsidRPr="009E2972">
              <w:rPr>
                <w:rFonts w:ascii="Times New Roman" w:hAnsi="Times New Roman"/>
                <w:sz w:val="16"/>
                <w:szCs w:val="16"/>
              </w:rPr>
              <w:t xml:space="preserve">            daň za špecifické služby</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158 202</w:t>
            </w:r>
          </w:p>
        </w:tc>
        <w:tc>
          <w:tcPr>
            <w:tcW w:w="105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159 924</w:t>
            </w:r>
          </w:p>
        </w:tc>
        <w:tc>
          <w:tcPr>
            <w:tcW w:w="83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Pr>
                <w:rFonts w:ascii="Times New Roman" w:hAnsi="Times New Roman"/>
                <w:sz w:val="16"/>
                <w:szCs w:val="16"/>
              </w:rPr>
              <w:t>174 307</w:t>
            </w:r>
          </w:p>
        </w:tc>
        <w:tc>
          <w:tcPr>
            <w:tcW w:w="100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174 307</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183 023</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192 174</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201 783</w:t>
            </w:r>
          </w:p>
        </w:tc>
      </w:tr>
      <w:tr>
        <w:tblPrEx>
          <w:tblW w:w="9316" w:type="dxa"/>
          <w:jc w:val="center"/>
          <w:tblInd w:w="296" w:type="dxa"/>
        </w:tblPrEx>
        <w:trPr>
          <w:trHeight w:val="255"/>
          <w:jc w:val="center"/>
        </w:trPr>
        <w:tc>
          <w:tcPr>
            <w:tcW w:w="2495"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rPr>
                <w:rFonts w:ascii="Times New Roman" w:hAnsi="Times New Roman"/>
                <w:sz w:val="16"/>
                <w:szCs w:val="16"/>
              </w:rPr>
            </w:pPr>
            <w:r w:rsidRPr="009E2972">
              <w:rPr>
                <w:rFonts w:ascii="Times New Roman" w:hAnsi="Times New Roman"/>
                <w:sz w:val="16"/>
                <w:szCs w:val="16"/>
              </w:rPr>
              <w:t xml:space="preserve">            daň za dobývací priestor</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453</w:t>
            </w:r>
          </w:p>
        </w:tc>
        <w:tc>
          <w:tcPr>
            <w:tcW w:w="105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489</w:t>
            </w:r>
          </w:p>
        </w:tc>
        <w:tc>
          <w:tcPr>
            <w:tcW w:w="83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Pr>
                <w:rFonts w:ascii="Times New Roman" w:hAnsi="Times New Roman"/>
                <w:sz w:val="16"/>
                <w:szCs w:val="16"/>
              </w:rPr>
              <w:t>420</w:t>
            </w:r>
          </w:p>
        </w:tc>
        <w:tc>
          <w:tcPr>
            <w:tcW w:w="100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425</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425</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425</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sz w:val="16"/>
                <w:szCs w:val="16"/>
              </w:rPr>
            </w:pPr>
            <w:r w:rsidRPr="009E2972">
              <w:rPr>
                <w:rFonts w:ascii="Times New Roman" w:hAnsi="Times New Roman"/>
                <w:sz w:val="16"/>
                <w:szCs w:val="16"/>
              </w:rPr>
              <w:t>425</w:t>
            </w:r>
          </w:p>
        </w:tc>
      </w:tr>
    </w:tbl>
    <w:p w:rsidR="009E362C" w:rsidRPr="00236F6B" w:rsidP="009E362C">
      <w:pPr>
        <w:bidi w:val="0"/>
        <w:jc w:val="both"/>
        <w:rPr>
          <w:rFonts w:ascii="Times New Roman" w:hAnsi="Times New Roman"/>
          <w:sz w:val="16"/>
          <w:szCs w:val="18"/>
        </w:rPr>
      </w:pPr>
      <w:r w:rsidRPr="00236F6B">
        <w:rPr>
          <w:rFonts w:ascii="Times New Roman" w:hAnsi="Times New Roman"/>
          <w:sz w:val="16"/>
          <w:szCs w:val="18"/>
        </w:rPr>
        <w:t>Poznámka: * v rokoch 2009, 2010 a 2011 len daň z príjmov fyzických osôb</w:t>
      </w:r>
    </w:p>
    <w:p w:rsidR="009E362C" w:rsidRPr="009E2972" w:rsidP="009E362C">
      <w:pPr>
        <w:bidi w:val="0"/>
        <w:jc w:val="both"/>
        <w:rPr>
          <w:rFonts w:ascii="Times New Roman" w:hAnsi="Times New Roman"/>
          <w:sz w:val="18"/>
          <w:szCs w:val="18"/>
        </w:rPr>
      </w:pPr>
    </w:p>
    <w:p w:rsidR="009E362C" w:rsidRPr="00EB33CC" w:rsidP="009E362C">
      <w:pPr>
        <w:bidi w:val="0"/>
        <w:ind w:firstLine="708"/>
        <w:jc w:val="both"/>
        <w:rPr>
          <w:rFonts w:ascii="Times New Roman" w:hAnsi="Times New Roman"/>
          <w:szCs w:val="22"/>
        </w:rPr>
      </w:pPr>
      <w:r w:rsidRPr="00EB33CC">
        <w:rPr>
          <w:rFonts w:ascii="Times New Roman" w:hAnsi="Times New Roman"/>
          <w:szCs w:val="22"/>
        </w:rPr>
        <w:t>V rámci nedaňových príjmov sa uvažuje, že obce dosiahnu v roku 2012 sumu 455</w:t>
      </w:r>
      <w:r>
        <w:rPr>
          <w:rFonts w:ascii="Times New Roman" w:hAnsi="Times New Roman"/>
          <w:szCs w:val="22"/>
        </w:rPr>
        <w:t> </w:t>
      </w:r>
      <w:r w:rsidRPr="00EB33CC">
        <w:rPr>
          <w:rFonts w:ascii="Times New Roman" w:hAnsi="Times New Roman"/>
          <w:szCs w:val="22"/>
        </w:rPr>
        <w:t>22</w:t>
      </w:r>
      <w:r>
        <w:rPr>
          <w:rFonts w:ascii="Times New Roman" w:hAnsi="Times New Roman"/>
          <w:szCs w:val="22"/>
        </w:rPr>
        <w:t>7 </w:t>
      </w:r>
      <w:r w:rsidRPr="00EB33CC">
        <w:rPr>
          <w:rFonts w:ascii="Times New Roman" w:hAnsi="Times New Roman"/>
          <w:szCs w:val="22"/>
        </w:rPr>
        <w:t>tis. eur. Ide najmä o príjmy z podnikania a z vlastníctva majetku v sume 145</w:t>
      </w:r>
      <w:r>
        <w:rPr>
          <w:rFonts w:ascii="Times New Roman" w:hAnsi="Times New Roman"/>
          <w:szCs w:val="22"/>
        </w:rPr>
        <w:t> </w:t>
      </w:r>
      <w:r w:rsidRPr="00EB33CC">
        <w:rPr>
          <w:rFonts w:ascii="Times New Roman" w:hAnsi="Times New Roman"/>
          <w:szCs w:val="22"/>
        </w:rPr>
        <w:t>2</w:t>
      </w:r>
      <w:r>
        <w:rPr>
          <w:rFonts w:ascii="Times New Roman" w:hAnsi="Times New Roman"/>
          <w:szCs w:val="22"/>
        </w:rPr>
        <w:t>27 </w:t>
      </w:r>
      <w:r w:rsidRPr="00EB33CC">
        <w:rPr>
          <w:rFonts w:ascii="Times New Roman" w:hAnsi="Times New Roman"/>
          <w:szCs w:val="22"/>
        </w:rPr>
        <w:t>tis.</w:t>
      </w:r>
      <w:r>
        <w:rPr>
          <w:rFonts w:ascii="Times New Roman" w:hAnsi="Times New Roman"/>
          <w:szCs w:val="22"/>
        </w:rPr>
        <w:t> </w:t>
      </w:r>
      <w:r w:rsidRPr="00EB33CC">
        <w:rPr>
          <w:rFonts w:ascii="Times New Roman" w:hAnsi="Times New Roman"/>
          <w:szCs w:val="22"/>
        </w:rPr>
        <w:t xml:space="preserve">eur, a to z nájomného z prenajatých pozemkov, budov, strojov a zariadení, čiastku 142 000 tis. eur z administratívnych a iných poplatkov a platieb (správne poplatky, za ubytovacie a stravovacie služby, zo vstupného, za relácie v miestnom rozhlase a pod.) a z iných nedaňových príjmov a úrokov z vkladov v sume 48 000 tis. eur.  Predpokladá sa, že kapitálové príjmy dosiahnu výšku 120 000 tis. eur, a to najmä z predaja budov, bytov a z predaja pozemkov. </w:t>
      </w:r>
    </w:p>
    <w:p w:rsidR="009E362C" w:rsidRPr="00EB33CC" w:rsidP="009E362C">
      <w:pPr>
        <w:bidi w:val="0"/>
        <w:ind w:firstLine="708"/>
        <w:jc w:val="both"/>
        <w:rPr>
          <w:rFonts w:ascii="Times New Roman" w:hAnsi="Times New Roman"/>
          <w:szCs w:val="22"/>
        </w:rPr>
      </w:pPr>
    </w:p>
    <w:p w:rsidR="009E362C" w:rsidRPr="00EB33CC" w:rsidP="009E362C">
      <w:pPr>
        <w:bidi w:val="0"/>
        <w:ind w:firstLine="708"/>
        <w:jc w:val="both"/>
        <w:rPr>
          <w:rFonts w:ascii="Times New Roman" w:hAnsi="Times New Roman"/>
          <w:szCs w:val="22"/>
        </w:rPr>
      </w:pPr>
      <w:r w:rsidRPr="00EB33CC">
        <w:rPr>
          <w:rFonts w:ascii="Times New Roman" w:hAnsi="Times New Roman"/>
          <w:szCs w:val="22"/>
        </w:rPr>
        <w:t xml:space="preserve">Granty a transfery zo štátneho rozpočtu, zo štátnych fondov, z rozpočtov iných obcí na činnosť spoločných úradov obcí a z rozpočtov VÚC na riešenie spoločných úloh sa očakávajú v objeme </w:t>
      </w:r>
      <w:r>
        <w:rPr>
          <w:rFonts w:ascii="Times New Roman" w:hAnsi="Times New Roman"/>
          <w:szCs w:val="22"/>
        </w:rPr>
        <w:t>1 224 148</w:t>
      </w:r>
      <w:r w:rsidRPr="00EB33CC">
        <w:rPr>
          <w:rFonts w:ascii="Times New Roman" w:hAnsi="Times New Roman"/>
          <w:szCs w:val="22"/>
        </w:rPr>
        <w:t xml:space="preserve"> tis. eur, z toho bežné transfery </w:t>
      </w:r>
      <w:r>
        <w:rPr>
          <w:rFonts w:ascii="Times New Roman" w:hAnsi="Times New Roman"/>
          <w:szCs w:val="22"/>
        </w:rPr>
        <w:t>1 110 017</w:t>
      </w:r>
      <w:r w:rsidRPr="00EB33CC">
        <w:rPr>
          <w:rFonts w:ascii="Times New Roman" w:hAnsi="Times New Roman"/>
          <w:szCs w:val="22"/>
        </w:rPr>
        <w:t xml:space="preserve"> tis. eur a kapitálové transfery 114 131 tis. eur. </w:t>
      </w:r>
    </w:p>
    <w:p w:rsidR="009E362C" w:rsidRPr="00EB33CC" w:rsidP="009E362C">
      <w:pPr>
        <w:bidi w:val="0"/>
        <w:ind w:firstLine="708"/>
        <w:jc w:val="both"/>
        <w:rPr>
          <w:rFonts w:ascii="Times New Roman" w:hAnsi="Times New Roman"/>
          <w:szCs w:val="22"/>
        </w:rPr>
      </w:pPr>
    </w:p>
    <w:p w:rsidR="009E362C" w:rsidRPr="00EB33CC" w:rsidP="009E362C">
      <w:pPr>
        <w:bidi w:val="0"/>
        <w:ind w:firstLine="708"/>
        <w:jc w:val="both"/>
        <w:rPr>
          <w:rFonts w:ascii="Times New Roman" w:hAnsi="Times New Roman"/>
          <w:szCs w:val="22"/>
        </w:rPr>
      </w:pPr>
      <w:r w:rsidRPr="00EB33CC">
        <w:rPr>
          <w:rFonts w:ascii="Times New Roman" w:hAnsi="Times New Roman"/>
          <w:szCs w:val="22"/>
        </w:rPr>
        <w:t>Granty a transfery zo štátneho rozpočtu do rozpočtov obcí sa v roku 2012 očakávajú v celkovej sume 1</w:t>
      </w:r>
      <w:r>
        <w:rPr>
          <w:rFonts w:ascii="Times New Roman" w:hAnsi="Times New Roman"/>
          <w:szCs w:val="22"/>
        </w:rPr>
        <w:t> 185 548</w:t>
      </w:r>
      <w:r w:rsidRPr="00EB33CC">
        <w:rPr>
          <w:rFonts w:ascii="Times New Roman" w:hAnsi="Times New Roman"/>
          <w:szCs w:val="22"/>
        </w:rPr>
        <w:t xml:space="preserve"> tis. eur z týchto kapitol:</w:t>
      </w:r>
    </w:p>
    <w:p w:rsidR="009E362C" w:rsidRPr="00EB33CC" w:rsidP="009E362C">
      <w:pPr>
        <w:bidi w:val="0"/>
        <w:ind w:left="720" w:hanging="180"/>
        <w:jc w:val="both"/>
        <w:rPr>
          <w:rFonts w:ascii="Times New Roman" w:hAnsi="Times New Roman"/>
          <w:sz w:val="12"/>
          <w:szCs w:val="10"/>
        </w:rPr>
      </w:pPr>
    </w:p>
    <w:p w:rsidR="009E362C" w:rsidRPr="00EB33CC" w:rsidP="009E362C">
      <w:pPr>
        <w:bidi w:val="0"/>
        <w:ind w:left="709" w:hanging="142"/>
        <w:jc w:val="both"/>
        <w:rPr>
          <w:rFonts w:ascii="Times New Roman" w:hAnsi="Times New Roman"/>
          <w:szCs w:val="22"/>
        </w:rPr>
      </w:pPr>
      <w:r w:rsidRPr="00EB33CC">
        <w:rPr>
          <w:rFonts w:ascii="Times New Roman" w:hAnsi="Times New Roman"/>
          <w:szCs w:val="22"/>
        </w:rPr>
        <w:t xml:space="preserve">- </w:t>
      </w:r>
      <w:r w:rsidRPr="00EB33CC">
        <w:rPr>
          <w:rFonts w:ascii="Times New Roman" w:hAnsi="Times New Roman"/>
          <w:szCs w:val="22"/>
          <w:u w:val="single"/>
        </w:rPr>
        <w:t>Ministerstva školstva, vedy, výskumu a športu SR</w:t>
      </w:r>
      <w:r w:rsidRPr="00EB33CC">
        <w:rPr>
          <w:rFonts w:ascii="Times New Roman" w:hAnsi="Times New Roman"/>
          <w:szCs w:val="22"/>
        </w:rPr>
        <w:t xml:space="preserve"> – v celkovej sume </w:t>
      </w:r>
      <w:r>
        <w:rPr>
          <w:rFonts w:ascii="Times New Roman" w:hAnsi="Times New Roman"/>
          <w:szCs w:val="22"/>
        </w:rPr>
        <w:t>631 178</w:t>
      </w:r>
      <w:r w:rsidRPr="00EB33CC">
        <w:rPr>
          <w:rFonts w:ascii="Times New Roman" w:hAnsi="Times New Roman"/>
          <w:szCs w:val="22"/>
        </w:rPr>
        <w:t xml:space="preserve"> tis. eur. Na zabezpečenie preneseného výkonu štátnej správy na financovanie činností základných škôl a na činnosť spoločných úradovní obcí pre úsek školstva bude smerovať suma </w:t>
      </w:r>
      <w:r>
        <w:rPr>
          <w:rFonts w:ascii="Times New Roman" w:hAnsi="Times New Roman"/>
          <w:szCs w:val="22"/>
        </w:rPr>
        <w:t>627 778</w:t>
      </w:r>
      <w:r w:rsidRPr="00EB33CC">
        <w:rPr>
          <w:rFonts w:ascii="Times New Roman" w:hAnsi="Times New Roman"/>
          <w:szCs w:val="22"/>
        </w:rPr>
        <w:t xml:space="preserve"> tis. eur a ostatné finančné prostriedky v sume 3 400 tis. eur budú smerované na realizáciu aktivít kapitálového charakteru – riešenie havarijných stavieb škôl a školských zariadení a na financovanie projektov zo štrukturálnych fondov vrátane spolufinancovania z Operačného programu Vzdelávanie. </w:t>
      </w:r>
    </w:p>
    <w:p w:rsidR="009E362C" w:rsidRPr="00EB33CC" w:rsidP="009E362C">
      <w:pPr>
        <w:bidi w:val="0"/>
        <w:jc w:val="both"/>
        <w:rPr>
          <w:rFonts w:ascii="Times New Roman" w:hAnsi="Times New Roman"/>
          <w:sz w:val="12"/>
          <w:szCs w:val="10"/>
        </w:rPr>
      </w:pPr>
    </w:p>
    <w:p w:rsidR="009E362C" w:rsidRPr="00EB33CC" w:rsidP="009E362C">
      <w:pPr>
        <w:bidi w:val="0"/>
        <w:jc w:val="both"/>
        <w:rPr>
          <w:rFonts w:ascii="Times New Roman" w:hAnsi="Times New Roman"/>
          <w:sz w:val="12"/>
          <w:szCs w:val="10"/>
        </w:rPr>
      </w:pPr>
    </w:p>
    <w:p w:rsidR="009E362C" w:rsidRPr="00EB33CC" w:rsidP="00A3532C">
      <w:pPr>
        <w:numPr>
          <w:numId w:val="2"/>
        </w:numPr>
        <w:tabs>
          <w:tab w:val="num" w:pos="720"/>
        </w:tabs>
        <w:bidi w:val="0"/>
        <w:ind w:left="720" w:hanging="180"/>
        <w:jc w:val="both"/>
        <w:rPr>
          <w:rFonts w:ascii="Times New Roman" w:hAnsi="Times New Roman"/>
          <w:szCs w:val="22"/>
        </w:rPr>
      </w:pPr>
      <w:r w:rsidRPr="00EB33CC">
        <w:rPr>
          <w:rFonts w:ascii="Times New Roman" w:hAnsi="Times New Roman"/>
          <w:szCs w:val="22"/>
          <w:u w:val="single"/>
        </w:rPr>
        <w:t>Ministerstva vnútra SR</w:t>
      </w:r>
      <w:r w:rsidRPr="00EB33CC">
        <w:rPr>
          <w:rFonts w:ascii="Times New Roman" w:hAnsi="Times New Roman"/>
          <w:szCs w:val="22"/>
        </w:rPr>
        <w:t xml:space="preserve"> – v sume 8 154 tis. eur. Na prenesený výkon štátnej správy sú určené finančné prostriedky v celkovej sume 7 639 tis. eur, z toho na činnosť matričných úradov v sume 5 841 tis. eur a na hlásenie a evidenciu občanov a register občanov podľa zákona č. 153/1998 Z. z. 1 798 tis. eur. Z ostatných finančných prostriedkov poskytnutých obciam (515 tis. eur) </w:t>
      </w:r>
      <w:r w:rsidRPr="00EB33CC">
        <w:rPr>
          <w:rFonts w:ascii="Times New Roman" w:hAnsi="Times New Roman"/>
          <w:color w:val="000000"/>
          <w:szCs w:val="22"/>
        </w:rPr>
        <w:t>budú financované doplňujúce voľby do orgánov samosprávy obcí a ochrana a udržiavanie vojnových hrobov.</w:t>
      </w:r>
    </w:p>
    <w:p w:rsidR="009E362C" w:rsidRPr="00EB33CC" w:rsidP="009E362C">
      <w:pPr>
        <w:bidi w:val="0"/>
        <w:jc w:val="both"/>
        <w:rPr>
          <w:rFonts w:ascii="Times New Roman" w:hAnsi="Times New Roman"/>
          <w:sz w:val="12"/>
          <w:szCs w:val="10"/>
        </w:rPr>
      </w:pPr>
    </w:p>
    <w:p w:rsidR="009E362C" w:rsidRPr="00EB33CC" w:rsidP="009E362C">
      <w:pPr>
        <w:bidi w:val="0"/>
        <w:jc w:val="both"/>
        <w:rPr>
          <w:rFonts w:ascii="Times New Roman" w:hAnsi="Times New Roman"/>
          <w:sz w:val="12"/>
          <w:szCs w:val="10"/>
        </w:rPr>
      </w:pPr>
    </w:p>
    <w:p w:rsidR="009E362C" w:rsidRPr="00EB33CC" w:rsidP="00A3532C">
      <w:pPr>
        <w:numPr>
          <w:numId w:val="3"/>
        </w:numPr>
        <w:tabs>
          <w:tab w:val="num" w:pos="720"/>
          <w:tab w:val="clear" w:pos="900"/>
        </w:tabs>
        <w:bidi w:val="0"/>
        <w:ind w:left="720" w:hanging="180"/>
        <w:jc w:val="both"/>
        <w:rPr>
          <w:rFonts w:ascii="Times New Roman" w:hAnsi="Times New Roman"/>
          <w:szCs w:val="22"/>
          <w:u w:val="single"/>
        </w:rPr>
      </w:pPr>
      <w:r w:rsidRPr="00EB33CC">
        <w:rPr>
          <w:rFonts w:ascii="Times New Roman" w:hAnsi="Times New Roman"/>
          <w:szCs w:val="22"/>
          <w:u w:val="single"/>
        </w:rPr>
        <w:t>Ministerstva dopravy, výstavby a regionálneho rozvoja SR –</w:t>
      </w:r>
      <w:r w:rsidRPr="00EB33CC">
        <w:rPr>
          <w:rFonts w:ascii="Times New Roman" w:hAnsi="Times New Roman"/>
          <w:szCs w:val="22"/>
        </w:rPr>
        <w:t xml:space="preserve"> suma 13 67</w:t>
      </w:r>
      <w:r>
        <w:rPr>
          <w:rFonts w:ascii="Times New Roman" w:hAnsi="Times New Roman"/>
          <w:szCs w:val="22"/>
        </w:rPr>
        <w:t>2</w:t>
      </w:r>
      <w:r w:rsidRPr="00EB33CC">
        <w:rPr>
          <w:rFonts w:ascii="Times New Roman" w:hAnsi="Times New Roman"/>
          <w:szCs w:val="22"/>
        </w:rPr>
        <w:t xml:space="preserve"> tis. eur. Na financovanie preneseného výkonu štátnej správy je určená suma 6 492 tis. eur, z toho v oblasti pozemných komunikácií – špeciálnych stavebných úradov v sume 285</w:t>
      </w:r>
      <w:r>
        <w:rPr>
          <w:rFonts w:ascii="Times New Roman" w:hAnsi="Times New Roman"/>
          <w:szCs w:val="22"/>
        </w:rPr>
        <w:t> </w:t>
      </w:r>
      <w:r w:rsidRPr="00EB33CC">
        <w:rPr>
          <w:rFonts w:ascii="Times New Roman" w:hAnsi="Times New Roman"/>
          <w:szCs w:val="22"/>
        </w:rPr>
        <w:t>tis.</w:t>
      </w:r>
      <w:r>
        <w:rPr>
          <w:rFonts w:ascii="Times New Roman" w:hAnsi="Times New Roman"/>
          <w:szCs w:val="22"/>
        </w:rPr>
        <w:t> </w:t>
      </w:r>
      <w:r w:rsidRPr="00EB33CC">
        <w:rPr>
          <w:rFonts w:ascii="Times New Roman" w:hAnsi="Times New Roman"/>
          <w:szCs w:val="22"/>
        </w:rPr>
        <w:t>eur a na úseku stavebného poriadku a bývania v sume 6 207 tis. eur. Ostatné prostriedky v sume 7 181 tis. eur sú určené najmä na náhradné nájomné byty za reštituované byty a na ďalšie kompetencie na úseku stavebného poriadku a bývania.</w:t>
      </w:r>
    </w:p>
    <w:p w:rsidR="009E362C" w:rsidRPr="00EB33CC" w:rsidP="009E362C">
      <w:pPr>
        <w:bidi w:val="0"/>
        <w:ind w:left="720"/>
        <w:jc w:val="both"/>
        <w:rPr>
          <w:rFonts w:ascii="Times New Roman" w:hAnsi="Times New Roman"/>
          <w:szCs w:val="22"/>
          <w:u w:val="single"/>
        </w:rPr>
      </w:pPr>
    </w:p>
    <w:p w:rsidR="009E362C" w:rsidRPr="00EB33CC" w:rsidP="00A3532C">
      <w:pPr>
        <w:numPr>
          <w:numId w:val="3"/>
        </w:numPr>
        <w:tabs>
          <w:tab w:val="num" w:pos="720"/>
          <w:tab w:val="clear" w:pos="900"/>
        </w:tabs>
        <w:bidi w:val="0"/>
        <w:ind w:left="720" w:hanging="180"/>
        <w:jc w:val="both"/>
        <w:rPr>
          <w:rFonts w:ascii="Times New Roman" w:hAnsi="Times New Roman"/>
          <w:szCs w:val="22"/>
          <w:u w:val="single"/>
        </w:rPr>
      </w:pPr>
      <w:r w:rsidRPr="00EB33CC">
        <w:rPr>
          <w:rFonts w:ascii="Times New Roman" w:hAnsi="Times New Roman"/>
          <w:szCs w:val="22"/>
          <w:u w:val="single"/>
        </w:rPr>
        <w:t>Ministerstva životného prostredia SR</w:t>
      </w:r>
      <w:r w:rsidRPr="00EB33CC">
        <w:rPr>
          <w:rFonts w:ascii="Times New Roman" w:hAnsi="Times New Roman"/>
          <w:szCs w:val="22"/>
        </w:rPr>
        <w:t xml:space="preserve"> – celková suma 61 297 tis. eur. Dotácie sú smerované na prenesený výkon štátnej správy na úseku ochrany prírody, ovzdušia, vôd a protipovodňovej ochrany v sume 588 tis. eur. Ostatné granty a transfery v sume 60 709 tis. eur sú určené na budovanie protipovodňového predpovedného a varovného systému, ochranu a regeneráciu prírodného prostredia a krajiny, ochranu ovzdušia, na minimalizáciu nepriaznivých vplyvov zmeny klímy, integrovanú ochranu a racionálne využívanie vôd a technickú pomoc</w:t>
      </w:r>
      <w:r w:rsidRPr="00236F6B">
        <w:rPr>
          <w:rFonts w:ascii="Times New Roman" w:hAnsi="Times New Roman"/>
          <w:szCs w:val="22"/>
        </w:rPr>
        <w:t>.</w:t>
      </w:r>
    </w:p>
    <w:p w:rsidR="009E362C" w:rsidRPr="00EB33CC" w:rsidP="009E362C">
      <w:pPr>
        <w:bidi w:val="0"/>
        <w:ind w:left="540"/>
        <w:jc w:val="both"/>
        <w:rPr>
          <w:rFonts w:ascii="Times New Roman" w:hAnsi="Times New Roman"/>
          <w:szCs w:val="22"/>
          <w:u w:val="single"/>
        </w:rPr>
      </w:pPr>
      <w:r w:rsidRPr="00EB33CC">
        <w:rPr>
          <w:rFonts w:ascii="Times New Roman" w:hAnsi="Times New Roman"/>
          <w:szCs w:val="22"/>
          <w:u w:val="single"/>
        </w:rPr>
        <w:t xml:space="preserve"> </w:t>
      </w:r>
    </w:p>
    <w:p w:rsidR="009E362C" w:rsidRPr="00EB33CC" w:rsidP="00A3532C">
      <w:pPr>
        <w:numPr>
          <w:numId w:val="3"/>
        </w:numPr>
        <w:tabs>
          <w:tab w:val="num" w:pos="709"/>
          <w:tab w:val="clear" w:pos="900"/>
        </w:tabs>
        <w:bidi w:val="0"/>
        <w:ind w:left="709" w:hanging="169"/>
        <w:jc w:val="both"/>
        <w:rPr>
          <w:rFonts w:ascii="Times New Roman" w:hAnsi="Times New Roman"/>
          <w:sz w:val="12"/>
          <w:szCs w:val="10"/>
        </w:rPr>
      </w:pPr>
      <w:r w:rsidRPr="00EB33CC">
        <w:rPr>
          <w:rFonts w:ascii="Times New Roman" w:hAnsi="Times New Roman"/>
          <w:szCs w:val="22"/>
          <w:u w:val="single"/>
        </w:rPr>
        <w:t>Ministerstva</w:t>
      </w:r>
      <w:r>
        <w:rPr>
          <w:rFonts w:ascii="Times New Roman" w:hAnsi="Times New Roman"/>
          <w:szCs w:val="22"/>
          <w:u w:val="single"/>
        </w:rPr>
        <w:t xml:space="preserve"> </w:t>
      </w:r>
      <w:r w:rsidRPr="00EB33CC">
        <w:rPr>
          <w:rFonts w:ascii="Times New Roman" w:hAnsi="Times New Roman"/>
          <w:szCs w:val="22"/>
          <w:u w:val="single"/>
        </w:rPr>
        <w:t>hospodárstva SR</w:t>
      </w:r>
      <w:r w:rsidRPr="00EB33CC">
        <w:rPr>
          <w:rFonts w:ascii="Times New Roman" w:hAnsi="Times New Roman"/>
          <w:szCs w:val="22"/>
        </w:rPr>
        <w:t xml:space="preserve"> – do rozpočtov obcí budú smerovať finančné prostriedky v sume 31 122 tis. eur. Ide o finančné prostriedky na kapitálové výdavky na podporu služieb pre podnikateľov Operačného programu konkurencieschopnosť a hospodársky rast a na verejné osvetlenie pre mestá a obce a poskytovanie poradenstva v oblasti energetiky</w:t>
      </w:r>
      <w:r>
        <w:rPr>
          <w:rFonts w:ascii="Times New Roman" w:hAnsi="Times New Roman"/>
          <w:szCs w:val="22"/>
        </w:rPr>
        <w:t xml:space="preserve"> a podporu regionálneho rozvoja</w:t>
      </w:r>
      <w:r w:rsidRPr="00EB33CC">
        <w:rPr>
          <w:rFonts w:ascii="Times New Roman" w:hAnsi="Times New Roman"/>
          <w:szCs w:val="22"/>
        </w:rPr>
        <w:t>.</w:t>
      </w:r>
    </w:p>
    <w:p w:rsidR="009E362C" w:rsidRPr="00EB33CC" w:rsidP="009E362C">
      <w:pPr>
        <w:pStyle w:val="ListParagraph"/>
        <w:bidi w:val="0"/>
        <w:rPr>
          <w:sz w:val="12"/>
          <w:szCs w:val="10"/>
        </w:rPr>
      </w:pPr>
    </w:p>
    <w:p w:rsidR="009E362C" w:rsidRPr="00EB33CC" w:rsidP="009E362C">
      <w:pPr>
        <w:bidi w:val="0"/>
        <w:jc w:val="both"/>
        <w:rPr>
          <w:rFonts w:ascii="Times New Roman" w:hAnsi="Times New Roman"/>
          <w:sz w:val="12"/>
          <w:szCs w:val="10"/>
        </w:rPr>
      </w:pPr>
      <w:r w:rsidRPr="00EB33CC">
        <w:rPr>
          <w:rFonts w:ascii="Times New Roman" w:hAnsi="Times New Roman"/>
          <w:sz w:val="12"/>
          <w:szCs w:val="10"/>
        </w:rPr>
        <w:t xml:space="preserve"> </w:t>
      </w:r>
    </w:p>
    <w:p w:rsidR="009E362C" w:rsidRPr="00EB33CC" w:rsidP="00A3532C">
      <w:pPr>
        <w:numPr>
          <w:numId w:val="3"/>
        </w:numPr>
        <w:tabs>
          <w:tab w:val="num" w:pos="720"/>
          <w:tab w:val="clear" w:pos="900"/>
        </w:tabs>
        <w:bidi w:val="0"/>
        <w:ind w:left="720" w:hanging="180"/>
        <w:jc w:val="both"/>
        <w:rPr>
          <w:rFonts w:ascii="Times New Roman" w:hAnsi="Times New Roman"/>
          <w:szCs w:val="22"/>
        </w:rPr>
      </w:pPr>
      <w:r w:rsidRPr="00EB33CC">
        <w:rPr>
          <w:rFonts w:ascii="Times New Roman" w:hAnsi="Times New Roman"/>
          <w:szCs w:val="22"/>
          <w:u w:val="single"/>
        </w:rPr>
        <w:t xml:space="preserve">Ministerstva práce, sociálnych vecí a rodiny SR </w:t>
      </w:r>
      <w:r>
        <w:rPr>
          <w:rFonts w:ascii="Times New Roman" w:hAnsi="Times New Roman"/>
          <w:szCs w:val="22"/>
        </w:rPr>
        <w:t>–</w:t>
      </w:r>
      <w:r w:rsidRPr="00EB33CC">
        <w:rPr>
          <w:rFonts w:ascii="Times New Roman" w:hAnsi="Times New Roman"/>
          <w:szCs w:val="22"/>
        </w:rPr>
        <w:t xml:space="preserve"> v</w:t>
      </w:r>
      <w:r>
        <w:rPr>
          <w:rFonts w:ascii="Times New Roman" w:hAnsi="Times New Roman"/>
          <w:szCs w:val="22"/>
        </w:rPr>
        <w:t xml:space="preserve"> </w:t>
      </w:r>
      <w:r w:rsidRPr="00EB33CC">
        <w:rPr>
          <w:rFonts w:ascii="Times New Roman" w:hAnsi="Times New Roman"/>
          <w:szCs w:val="22"/>
        </w:rPr>
        <w:t>sume 14 411 tis. eur, ktoré budú poskytované obciam na výkon osobitného príjemcu, výdavky na stravu a  na školské potreby pre deti v hmotnej núdzi.</w:t>
      </w:r>
    </w:p>
    <w:p w:rsidR="009E362C" w:rsidRPr="00EB33CC" w:rsidP="009E362C">
      <w:pPr>
        <w:bidi w:val="0"/>
        <w:jc w:val="both"/>
        <w:rPr>
          <w:rFonts w:ascii="Times New Roman" w:hAnsi="Times New Roman"/>
          <w:sz w:val="12"/>
          <w:szCs w:val="10"/>
        </w:rPr>
      </w:pPr>
    </w:p>
    <w:p w:rsidR="009E362C" w:rsidRPr="00EB33CC" w:rsidP="009E362C">
      <w:pPr>
        <w:bidi w:val="0"/>
        <w:jc w:val="both"/>
        <w:rPr>
          <w:rFonts w:ascii="Times New Roman" w:hAnsi="Times New Roman"/>
          <w:sz w:val="12"/>
          <w:szCs w:val="10"/>
        </w:rPr>
      </w:pPr>
    </w:p>
    <w:p w:rsidR="009E362C" w:rsidRPr="00EB33CC" w:rsidP="00A3532C">
      <w:pPr>
        <w:numPr>
          <w:numId w:val="3"/>
        </w:numPr>
        <w:tabs>
          <w:tab w:val="num" w:pos="720"/>
          <w:tab w:val="clear" w:pos="900"/>
        </w:tabs>
        <w:bidi w:val="0"/>
        <w:ind w:left="720" w:hanging="181"/>
        <w:jc w:val="both"/>
        <w:rPr>
          <w:rFonts w:ascii="Times New Roman" w:hAnsi="Times New Roman"/>
          <w:szCs w:val="22"/>
        </w:rPr>
      </w:pPr>
      <w:r w:rsidRPr="00236F6B">
        <w:rPr>
          <w:rFonts w:ascii="Times New Roman" w:hAnsi="Times New Roman"/>
          <w:szCs w:val="22"/>
          <w:u w:val="single"/>
        </w:rPr>
        <w:t>Ministerstva kultúry SR</w:t>
      </w:r>
      <w:r>
        <w:rPr>
          <w:rFonts w:ascii="Times New Roman" w:hAnsi="Times New Roman"/>
          <w:szCs w:val="22"/>
        </w:rPr>
        <w:t xml:space="preserve"> </w:t>
      </w:r>
      <w:r w:rsidRPr="00EB33CC">
        <w:rPr>
          <w:rFonts w:ascii="Times New Roman" w:hAnsi="Times New Roman"/>
          <w:szCs w:val="22"/>
        </w:rPr>
        <w:t>– v</w:t>
      </w:r>
      <w:r>
        <w:rPr>
          <w:rFonts w:ascii="Times New Roman" w:hAnsi="Times New Roman"/>
          <w:szCs w:val="22"/>
        </w:rPr>
        <w:t xml:space="preserve"> celkovej </w:t>
      </w:r>
      <w:r w:rsidRPr="00EB33CC">
        <w:rPr>
          <w:rFonts w:ascii="Times New Roman" w:hAnsi="Times New Roman"/>
          <w:szCs w:val="22"/>
        </w:rPr>
        <w:t>sume 1 024 tis. eur na financovanie projektov podporovaných zo schémy grantového systému na programy – obnovme si svoj dom, podpora návštevnosti kultúrnych podujatí, nehmotné kultúrne dedičstvo, aktivity v oblasti pamäťových inštitúcií a iné kultúrne aktivity v rámci grantového systému.</w:t>
      </w:r>
    </w:p>
    <w:p w:rsidR="009E362C" w:rsidRPr="00EB33CC" w:rsidP="009E362C">
      <w:pPr>
        <w:bidi w:val="0"/>
        <w:jc w:val="both"/>
        <w:rPr>
          <w:rFonts w:ascii="Times New Roman" w:hAnsi="Times New Roman"/>
          <w:szCs w:val="22"/>
        </w:rPr>
      </w:pPr>
      <w:r w:rsidRPr="00EB33CC">
        <w:rPr>
          <w:rFonts w:ascii="Times New Roman" w:hAnsi="Times New Roman"/>
          <w:szCs w:val="22"/>
        </w:rPr>
        <w:t xml:space="preserve"> </w:t>
      </w:r>
    </w:p>
    <w:p w:rsidR="009E362C" w:rsidRPr="00EB33CC" w:rsidP="00A3532C">
      <w:pPr>
        <w:numPr>
          <w:numId w:val="3"/>
        </w:numPr>
        <w:tabs>
          <w:tab w:val="num" w:pos="720"/>
          <w:tab w:val="clear" w:pos="900"/>
        </w:tabs>
        <w:bidi w:val="0"/>
        <w:ind w:left="720" w:hanging="180"/>
        <w:jc w:val="both"/>
        <w:rPr>
          <w:rFonts w:ascii="Times New Roman" w:hAnsi="Times New Roman"/>
          <w:szCs w:val="22"/>
        </w:rPr>
      </w:pPr>
      <w:r w:rsidRPr="00EB33CC">
        <w:rPr>
          <w:rFonts w:ascii="Times New Roman" w:hAnsi="Times New Roman"/>
          <w:szCs w:val="22"/>
          <w:u w:val="single"/>
        </w:rPr>
        <w:t>Ministerstva pôdohospodárstva a rozvoja vidieka SR</w:t>
      </w:r>
      <w:r w:rsidRPr="00EB33CC">
        <w:rPr>
          <w:rFonts w:ascii="Times New Roman" w:hAnsi="Times New Roman"/>
          <w:szCs w:val="22"/>
        </w:rPr>
        <w:t xml:space="preserve"> –</w:t>
      </w:r>
      <w:r>
        <w:rPr>
          <w:rFonts w:ascii="Times New Roman" w:hAnsi="Times New Roman"/>
          <w:szCs w:val="22"/>
        </w:rPr>
        <w:t xml:space="preserve"> </w:t>
      </w:r>
      <w:r w:rsidRPr="00EB33CC">
        <w:rPr>
          <w:rFonts w:ascii="Times New Roman" w:hAnsi="Times New Roman"/>
          <w:szCs w:val="22"/>
        </w:rPr>
        <w:t>v sume 391 634 tis. eur, z toho 375 862 tis.</w:t>
      </w:r>
      <w:r>
        <w:rPr>
          <w:rFonts w:ascii="Times New Roman" w:hAnsi="Times New Roman"/>
          <w:szCs w:val="22"/>
        </w:rPr>
        <w:t xml:space="preserve"> eur predstavujú prostriedky EÚ </w:t>
      </w:r>
      <w:r w:rsidRPr="00EB33CC">
        <w:rPr>
          <w:rFonts w:ascii="Times New Roman" w:hAnsi="Times New Roman"/>
          <w:szCs w:val="22"/>
        </w:rPr>
        <w:t xml:space="preserve">a spolufinancovanie spoločných projektov SR a EÚ v oblasti podpory regionálneho rozvoja miest a obcí a 8 417 tis. eur prostriedky na financovanie programov európskej územnej spolupráce. </w:t>
      </w:r>
    </w:p>
    <w:p w:rsidR="009E362C" w:rsidRPr="00EB33CC" w:rsidP="009E362C">
      <w:pPr>
        <w:bidi w:val="0"/>
        <w:jc w:val="both"/>
        <w:rPr>
          <w:rFonts w:ascii="Times New Roman" w:hAnsi="Times New Roman"/>
          <w:szCs w:val="22"/>
        </w:rPr>
      </w:pPr>
    </w:p>
    <w:p w:rsidR="009E362C" w:rsidRPr="00EB33CC" w:rsidP="00A3532C">
      <w:pPr>
        <w:numPr>
          <w:numId w:val="3"/>
        </w:numPr>
        <w:tabs>
          <w:tab w:val="num" w:pos="720"/>
          <w:tab w:val="clear" w:pos="900"/>
        </w:tabs>
        <w:bidi w:val="0"/>
        <w:ind w:left="720" w:hanging="180"/>
        <w:jc w:val="both"/>
        <w:rPr>
          <w:rFonts w:ascii="Times New Roman" w:hAnsi="Times New Roman"/>
          <w:szCs w:val="22"/>
        </w:rPr>
      </w:pPr>
      <w:r w:rsidRPr="00EB33CC">
        <w:rPr>
          <w:rFonts w:ascii="Times New Roman" w:hAnsi="Times New Roman"/>
          <w:szCs w:val="22"/>
          <w:u w:val="single"/>
        </w:rPr>
        <w:t>Úradu vlády SR</w:t>
      </w:r>
      <w:r w:rsidRPr="00EB33CC">
        <w:rPr>
          <w:rFonts w:ascii="Times New Roman" w:hAnsi="Times New Roman"/>
          <w:szCs w:val="22"/>
        </w:rPr>
        <w:t xml:space="preserve"> – do rozpočtov obcí budú smerovať finančné prostriedky v sume 834</w:t>
      </w:r>
      <w:r>
        <w:rPr>
          <w:rFonts w:ascii="Times New Roman" w:hAnsi="Times New Roman"/>
          <w:szCs w:val="22"/>
        </w:rPr>
        <w:t> </w:t>
      </w:r>
      <w:r w:rsidRPr="00EB33CC">
        <w:rPr>
          <w:rFonts w:ascii="Times New Roman" w:hAnsi="Times New Roman"/>
          <w:szCs w:val="22"/>
        </w:rPr>
        <w:t>tis. eur na financovanie potrieb rómskej komunity.</w:t>
      </w:r>
    </w:p>
    <w:p w:rsidR="009E362C" w:rsidRPr="00EB33CC" w:rsidP="009E362C">
      <w:pPr>
        <w:pStyle w:val="ListParagraph"/>
        <w:bidi w:val="0"/>
        <w:rPr>
          <w:sz w:val="24"/>
        </w:rPr>
      </w:pPr>
    </w:p>
    <w:p w:rsidR="009E362C" w:rsidRPr="00EB33CC" w:rsidP="00A3532C">
      <w:pPr>
        <w:numPr>
          <w:numId w:val="3"/>
        </w:numPr>
        <w:tabs>
          <w:tab w:val="num" w:pos="720"/>
          <w:tab w:val="clear" w:pos="900"/>
        </w:tabs>
        <w:bidi w:val="0"/>
        <w:ind w:left="720" w:hanging="180"/>
        <w:jc w:val="both"/>
        <w:rPr>
          <w:rFonts w:ascii="Times New Roman" w:hAnsi="Times New Roman"/>
          <w:szCs w:val="22"/>
        </w:rPr>
      </w:pPr>
      <w:r w:rsidRPr="00EB33CC">
        <w:rPr>
          <w:rFonts w:ascii="Times New Roman" w:hAnsi="Times New Roman"/>
          <w:szCs w:val="22"/>
          <w:u w:val="single"/>
        </w:rPr>
        <w:t>Všeobecná pokladničná správa</w:t>
      </w:r>
      <w:r w:rsidRPr="00EB33CC">
        <w:rPr>
          <w:rFonts w:ascii="Times New Roman" w:hAnsi="Times New Roman"/>
          <w:szCs w:val="22"/>
        </w:rPr>
        <w:t xml:space="preserve"> – finančné prostriedky v sume 32 222 tis. eur sú určené na financovanie zariadení sociálnych služieb, na individuálne potreby obcí a na záchranu a obnovu kultúrnych pamiatok niektorých miest.</w:t>
      </w:r>
    </w:p>
    <w:p w:rsidR="009E362C" w:rsidRPr="00EB33CC" w:rsidP="009E362C">
      <w:pPr>
        <w:pStyle w:val="ListParagraph"/>
        <w:bidi w:val="0"/>
        <w:rPr>
          <w:sz w:val="24"/>
          <w:szCs w:val="10"/>
        </w:rPr>
      </w:pPr>
    </w:p>
    <w:p w:rsidR="009E362C" w:rsidRPr="00EB33CC" w:rsidP="009E362C">
      <w:pPr>
        <w:bidi w:val="0"/>
        <w:ind w:firstLine="708"/>
        <w:jc w:val="both"/>
        <w:rPr>
          <w:rFonts w:ascii="Times New Roman" w:hAnsi="Times New Roman"/>
          <w:szCs w:val="22"/>
        </w:rPr>
      </w:pPr>
      <w:r w:rsidRPr="00EB33CC">
        <w:rPr>
          <w:rFonts w:ascii="Times New Roman" w:hAnsi="Times New Roman"/>
          <w:szCs w:val="22"/>
        </w:rPr>
        <w:t xml:space="preserve">Do rozpočtov obcí sa predpokladajú poskytnúť finančné prostriedky zo štátnych fondov v roku 2012 v celkovej sume 5 330 tis. eur, z toho </w:t>
      </w:r>
      <w:r w:rsidRPr="00EB33CC">
        <w:rPr>
          <w:rFonts w:ascii="Times New Roman" w:hAnsi="Times New Roman"/>
          <w:szCs w:val="22"/>
          <w:u w:val="single"/>
        </w:rPr>
        <w:t>zo Štátneho fondu rozvoja bývania</w:t>
      </w:r>
      <w:r w:rsidRPr="00EB33CC">
        <w:rPr>
          <w:rFonts w:ascii="Times New Roman" w:hAnsi="Times New Roman"/>
          <w:szCs w:val="22"/>
        </w:rPr>
        <w:t xml:space="preserve"> v celkovej výške 330 tis. eur a </w:t>
      </w:r>
      <w:r w:rsidRPr="00EB33CC">
        <w:rPr>
          <w:rFonts w:ascii="Times New Roman" w:hAnsi="Times New Roman"/>
          <w:szCs w:val="22"/>
          <w:u w:val="single"/>
        </w:rPr>
        <w:t>z  Environmentálneho fondu</w:t>
      </w:r>
      <w:r w:rsidRPr="00EB33CC">
        <w:rPr>
          <w:rFonts w:ascii="Times New Roman" w:hAnsi="Times New Roman"/>
          <w:szCs w:val="22"/>
        </w:rPr>
        <w:t xml:space="preserve"> v sume 5 000 tis. eur.</w:t>
      </w:r>
    </w:p>
    <w:p w:rsidR="009E362C" w:rsidRPr="00EB33CC" w:rsidP="009E362C">
      <w:pPr>
        <w:bidi w:val="0"/>
        <w:ind w:firstLine="720"/>
        <w:jc w:val="both"/>
        <w:rPr>
          <w:rFonts w:ascii="Times New Roman" w:hAnsi="Times New Roman"/>
          <w:szCs w:val="22"/>
        </w:rPr>
      </w:pPr>
    </w:p>
    <w:p w:rsidR="009E362C" w:rsidRPr="00EB33CC" w:rsidP="009E362C">
      <w:pPr>
        <w:bidi w:val="0"/>
        <w:ind w:firstLine="720"/>
        <w:jc w:val="both"/>
        <w:rPr>
          <w:rFonts w:ascii="Times New Roman" w:hAnsi="Times New Roman"/>
          <w:szCs w:val="22"/>
        </w:rPr>
      </w:pPr>
      <w:r w:rsidRPr="00EB33CC">
        <w:rPr>
          <w:rFonts w:ascii="Times New Roman" w:hAnsi="Times New Roman"/>
          <w:szCs w:val="22"/>
        </w:rPr>
        <w:t>Príjmové finančné operácie sa predpokladajú v roku 2012 v celkovej sume 385</w:t>
      </w:r>
      <w:r>
        <w:rPr>
          <w:rFonts w:ascii="Times New Roman" w:hAnsi="Times New Roman"/>
          <w:szCs w:val="22"/>
        </w:rPr>
        <w:t> </w:t>
      </w:r>
      <w:r w:rsidRPr="00EB33CC">
        <w:rPr>
          <w:rFonts w:ascii="Times New Roman" w:hAnsi="Times New Roman"/>
          <w:szCs w:val="22"/>
        </w:rPr>
        <w:t>000</w:t>
      </w:r>
      <w:r>
        <w:rPr>
          <w:rFonts w:ascii="Times New Roman" w:hAnsi="Times New Roman"/>
          <w:szCs w:val="22"/>
        </w:rPr>
        <w:t> </w:t>
      </w:r>
      <w:r w:rsidRPr="00EB33CC">
        <w:rPr>
          <w:rFonts w:ascii="Times New Roman" w:hAnsi="Times New Roman"/>
          <w:szCs w:val="22"/>
        </w:rPr>
        <w:t xml:space="preserve">tis. eur. Predpokladá sa, že obce z prostriedkov peňažných fondov prevedú do príjmov rozpočtu sumu 113 000 tis. eur, zo zostatku prostriedkov z predchádzajúcich rokov </w:t>
      </w:r>
      <w:r w:rsidR="00CE4ECF">
        <w:rPr>
          <w:rFonts w:ascii="Times New Roman" w:hAnsi="Times New Roman"/>
          <w:szCs w:val="22"/>
        </w:rPr>
        <w:t>sumu</w:t>
      </w:r>
      <w:r w:rsidRPr="00EB33CC">
        <w:rPr>
          <w:rFonts w:ascii="Times New Roman" w:hAnsi="Times New Roman"/>
          <w:szCs w:val="22"/>
        </w:rPr>
        <w:t xml:space="preserve"> 46 000 tis. eur, z predaja majetkových účastí a zo splátok poskytnutých pôžičiek získajú sumu 1</w:t>
      </w:r>
      <w:r>
        <w:rPr>
          <w:rFonts w:ascii="Times New Roman" w:hAnsi="Times New Roman"/>
          <w:szCs w:val="22"/>
        </w:rPr>
        <w:t>0</w:t>
      </w:r>
      <w:r w:rsidRPr="00EB33CC">
        <w:rPr>
          <w:rFonts w:ascii="Times New Roman" w:hAnsi="Times New Roman"/>
          <w:szCs w:val="22"/>
        </w:rPr>
        <w:t xml:space="preserve"> 000 tis. eur a prijmú úvery na plnenie svojich investičných zámerov v sume </w:t>
      </w:r>
      <w:r w:rsidR="00CE4ECF">
        <w:rPr>
          <w:rFonts w:ascii="Times New Roman" w:hAnsi="Times New Roman"/>
          <w:szCs w:val="22"/>
        </w:rPr>
        <w:br/>
      </w:r>
      <w:r w:rsidRPr="00EB33CC">
        <w:rPr>
          <w:rFonts w:ascii="Times New Roman" w:hAnsi="Times New Roman"/>
          <w:szCs w:val="22"/>
        </w:rPr>
        <w:t xml:space="preserve">216 000 tis. eur. </w:t>
      </w:r>
    </w:p>
    <w:p w:rsidR="009E362C" w:rsidRPr="00EB33CC" w:rsidP="009E362C">
      <w:pPr>
        <w:bidi w:val="0"/>
        <w:jc w:val="both"/>
        <w:rPr>
          <w:rFonts w:ascii="Times New Roman" w:hAnsi="Times New Roman"/>
          <w:szCs w:val="22"/>
        </w:rPr>
      </w:pPr>
    </w:p>
    <w:p w:rsidR="009E362C" w:rsidRPr="00EB33CC" w:rsidP="00EE09A6">
      <w:pPr>
        <w:pStyle w:val="BodyText"/>
        <w:bidi w:val="0"/>
        <w:spacing w:after="0"/>
        <w:ind w:firstLine="709"/>
        <w:rPr>
          <w:rFonts w:ascii="Times New Roman" w:hAnsi="Times New Roman"/>
          <w:szCs w:val="22"/>
        </w:rPr>
      </w:pPr>
      <w:r w:rsidRPr="00EB33CC">
        <w:rPr>
          <w:rFonts w:ascii="Times New Roman" w:hAnsi="Times New Roman"/>
          <w:szCs w:val="22"/>
        </w:rPr>
        <w:t>Vývoj príjmovej a výdavkovej časti rozpočtu obcí na roky  2012 až  2014 v porovnaní s očakávanou skutočnosťou za rok 2011 a skutočnosťou za roky 2009 a 2010 je nasledovný:</w:t>
      </w:r>
    </w:p>
    <w:p w:rsidR="009E362C" w:rsidRPr="00EB33CC" w:rsidP="009E362C">
      <w:pPr>
        <w:pStyle w:val="BodyText"/>
        <w:bidi w:val="0"/>
        <w:ind w:firstLine="708"/>
        <w:rPr>
          <w:rFonts w:ascii="Times New Roman" w:hAnsi="Times New Roman"/>
          <w:szCs w:val="22"/>
        </w:rPr>
      </w:pPr>
    </w:p>
    <w:tbl>
      <w:tblPr>
        <w:tblStyle w:val="TableNormal"/>
        <w:tblW w:w="9087"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67"/>
        <w:gridCol w:w="860"/>
        <w:gridCol w:w="860"/>
        <w:gridCol w:w="860"/>
        <w:gridCol w:w="860"/>
        <w:gridCol w:w="860"/>
        <w:gridCol w:w="860"/>
        <w:gridCol w:w="860"/>
      </w:tblGrid>
      <w:tr>
        <w:tblPrEx>
          <w:tblW w:w="9087"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rPr>
                <w:rFonts w:ascii="Times New Roman" w:hAnsi="Times New Roman"/>
                <w:b/>
                <w:bCs/>
                <w:sz w:val="16"/>
                <w:szCs w:val="16"/>
              </w:rPr>
            </w:pPr>
            <w:r>
              <w:rPr>
                <w:rFonts w:ascii="Times New Roman" w:hAnsi="Times New Roman"/>
                <w:b/>
                <w:bCs/>
                <w:sz w:val="16"/>
                <w:szCs w:val="16"/>
              </w:rPr>
              <w:t>v tis. eur</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2009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2010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2011 R</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2011 OS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2012 N</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2013 N</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2014 N</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212C11" w:rsidP="00A64696">
            <w:pPr>
              <w:bidi w:val="0"/>
              <w:rPr>
                <w:rFonts w:ascii="Times New Roman" w:hAnsi="Times New Roman"/>
                <w:b/>
                <w:bCs/>
                <w:iCs/>
                <w:color w:val="000000"/>
                <w:sz w:val="16"/>
                <w:szCs w:val="16"/>
              </w:rPr>
            </w:pPr>
            <w:r w:rsidRPr="00212C11">
              <w:rPr>
                <w:rFonts w:ascii="Times New Roman" w:hAnsi="Times New Roman"/>
                <w:b/>
                <w:bCs/>
                <w:iCs/>
                <w:color w:val="000000"/>
                <w:sz w:val="16"/>
                <w:szCs w:val="16"/>
              </w:rPr>
              <w:t>Príjmy obcí  spolu</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3 758 334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4 015 663</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3 866 567</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3 768 963</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3 760 524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w:t>
            </w:r>
            <w:r>
              <w:rPr>
                <w:rFonts w:ascii="Times New Roman" w:hAnsi="Times New Roman"/>
                <w:b/>
                <w:bCs/>
                <w:iCs/>
                <w:color w:val="000000"/>
                <w:sz w:val="16"/>
                <w:szCs w:val="16"/>
              </w:rPr>
              <w:t> 909 469</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4</w:t>
            </w:r>
            <w:r>
              <w:rPr>
                <w:rFonts w:ascii="Times New Roman" w:hAnsi="Times New Roman"/>
                <w:b/>
                <w:bCs/>
                <w:iCs/>
                <w:color w:val="000000"/>
                <w:sz w:val="16"/>
                <w:szCs w:val="16"/>
              </w:rPr>
              <w:t> 091 083</w:t>
            </w:r>
          </w:p>
        </w:tc>
      </w:tr>
      <w:tr>
        <w:tblPrEx>
          <w:tblW w:w="9087" w:type="dxa"/>
          <w:jc w:val="center"/>
          <w:tblInd w:w="178" w:type="dxa"/>
          <w:tblCellMar>
            <w:left w:w="70" w:type="dxa"/>
            <w:right w:w="70" w:type="dxa"/>
          </w:tblCellMar>
          <w:tblLook w:val="04A0"/>
        </w:tblPrEx>
        <w:trPr>
          <w:trHeight w:val="227"/>
          <w:jc w:val="center"/>
        </w:trPr>
        <w:tc>
          <w:tcPr>
            <w:tcW w:w="9087" w:type="dxa"/>
            <w:gridSpan w:val="8"/>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z  toho:</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daňové príjmy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1 620 306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1 421 927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1 683 915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w:t>
            </w:r>
            <w:r>
              <w:rPr>
                <w:rFonts w:ascii="Times New Roman" w:hAnsi="Times New Roman"/>
                <w:color w:val="000000"/>
                <w:sz w:val="16"/>
                <w:szCs w:val="16"/>
              </w:rPr>
              <w:t> 638 038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1 696 149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w:t>
            </w:r>
            <w:r>
              <w:rPr>
                <w:rFonts w:ascii="Times New Roman" w:hAnsi="Times New Roman"/>
                <w:color w:val="000000"/>
                <w:sz w:val="16"/>
                <w:szCs w:val="16"/>
              </w:rPr>
              <w:t> 842 106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w:t>
            </w:r>
            <w:r>
              <w:rPr>
                <w:rFonts w:ascii="Times New Roman" w:hAnsi="Times New Roman"/>
                <w:color w:val="000000"/>
                <w:sz w:val="16"/>
                <w:szCs w:val="16"/>
              </w:rPr>
              <w:t> 946 137</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nedaňové príjmy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414 260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439 305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495 325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495 326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455 22</w:t>
            </w:r>
            <w:r>
              <w:rPr>
                <w:rFonts w:ascii="Times New Roman" w:hAnsi="Times New Roman"/>
                <w:color w:val="000000"/>
                <w:sz w:val="16"/>
                <w:szCs w:val="16"/>
              </w:rPr>
              <w:t>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471 276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494 776</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xml:space="preserve">▪  </w:t>
            </w:r>
            <w:r w:rsidRPr="00965FBB">
              <w:rPr>
                <w:rFonts w:ascii="Times New Roman" w:hAnsi="Times New Roman"/>
                <w:color w:val="000000"/>
                <w:sz w:val="16"/>
                <w:szCs w:val="16"/>
              </w:rPr>
              <w:t xml:space="preserve"> granty a  transfery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1 148 098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1 425 801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1 332 152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1 280 424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1 224 148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w:t>
            </w:r>
            <w:r>
              <w:rPr>
                <w:rFonts w:ascii="Times New Roman" w:hAnsi="Times New Roman"/>
                <w:color w:val="000000"/>
                <w:sz w:val="16"/>
                <w:szCs w:val="16"/>
              </w:rPr>
              <w:t> 137 087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w:t>
            </w:r>
            <w:r>
              <w:rPr>
                <w:rFonts w:ascii="Times New Roman" w:hAnsi="Times New Roman"/>
                <w:color w:val="000000"/>
                <w:sz w:val="16"/>
                <w:szCs w:val="16"/>
              </w:rPr>
              <w:t> 072 170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zo splátok úverov, pôžičiek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868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1 703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9 358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9 358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z predaja majetkových účastí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544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9 054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600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600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zostatok prostr. z predch.  rokov a prevod prostriedkov z peňažných fondov a ost.(FO)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317 062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281 613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146 053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146 053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159 000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233 000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252 000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xml:space="preserve">▪  </w:t>
            </w:r>
            <w:r w:rsidRPr="00965FBB">
              <w:rPr>
                <w:rFonts w:ascii="Times New Roman" w:hAnsi="Times New Roman"/>
                <w:color w:val="000000"/>
                <w:sz w:val="16"/>
                <w:szCs w:val="16"/>
              </w:rPr>
              <w:t xml:space="preserve"> prijaté úvery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257 196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436 260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199 164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199 164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216 000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216 000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316 000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212C11" w:rsidP="00A64696">
            <w:pPr>
              <w:bidi w:val="0"/>
              <w:rPr>
                <w:rFonts w:ascii="Times New Roman" w:hAnsi="Times New Roman"/>
                <w:b/>
                <w:bCs/>
                <w:iCs/>
                <w:color w:val="000000"/>
                <w:sz w:val="16"/>
                <w:szCs w:val="16"/>
              </w:rPr>
            </w:pPr>
            <w:r w:rsidRPr="00212C11">
              <w:rPr>
                <w:rFonts w:ascii="Times New Roman" w:hAnsi="Times New Roman"/>
                <w:b/>
                <w:bCs/>
                <w:iCs/>
                <w:color w:val="000000"/>
                <w:sz w:val="16"/>
                <w:szCs w:val="16"/>
              </w:rPr>
              <w:t>Výdavky obcí  spolu</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3 542 630</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3 892 655</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3 743 262</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3 673 485</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3 567 190</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3 709 265</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3 869 307</w:t>
            </w:r>
          </w:p>
        </w:tc>
      </w:tr>
      <w:tr>
        <w:tblPrEx>
          <w:tblW w:w="9087" w:type="dxa"/>
          <w:jc w:val="center"/>
          <w:tblInd w:w="178" w:type="dxa"/>
          <w:tblCellMar>
            <w:left w:w="70" w:type="dxa"/>
            <w:right w:w="70" w:type="dxa"/>
          </w:tblCellMar>
          <w:tblLook w:val="04A0"/>
        </w:tblPrEx>
        <w:trPr>
          <w:trHeight w:val="227"/>
          <w:jc w:val="center"/>
        </w:trPr>
        <w:tc>
          <w:tcPr>
            <w:tcW w:w="9087" w:type="dxa"/>
            <w:gridSpan w:val="8"/>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z  toho:</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mzdy a odvody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1 209 227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1 247 587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1 218 940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1 218 940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w:t>
            </w:r>
            <w:r>
              <w:rPr>
                <w:rFonts w:ascii="Times New Roman" w:hAnsi="Times New Roman"/>
                <w:color w:val="000000"/>
                <w:sz w:val="16"/>
                <w:szCs w:val="16"/>
              </w:rPr>
              <w:t> 258 452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1 297 372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1 343 737</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xml:space="preserve">▪  </w:t>
            </w:r>
            <w:r w:rsidRPr="00965FBB">
              <w:rPr>
                <w:rFonts w:ascii="Times New Roman" w:hAnsi="Times New Roman"/>
                <w:color w:val="000000"/>
                <w:sz w:val="16"/>
                <w:szCs w:val="16"/>
              </w:rPr>
              <w:t xml:space="preserve"> tovary a služby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948 484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946 539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1 032 165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954 116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946 539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965 470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984 779</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bežné transfery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360 296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361 199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365 125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365 125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361 199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368 423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375 791</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splácanie úrokov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25 804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22 653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27 173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27 173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29 000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kapitálové výdavky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860 169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1 105 384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943 847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952 120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890 000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970 000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úvery a účasť na majetku (FO)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20 188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18 611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33 194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33 194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23 000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16 000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splácanie istiny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118 462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190 682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122 818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122 817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140 000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145 000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150 000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212C11" w:rsidP="00A64696">
            <w:pPr>
              <w:bidi w:val="0"/>
              <w:rPr>
                <w:rFonts w:ascii="Times New Roman" w:hAnsi="Times New Roman"/>
                <w:b/>
                <w:bCs/>
                <w:iCs/>
                <w:color w:val="000000"/>
                <w:sz w:val="16"/>
                <w:szCs w:val="16"/>
              </w:rPr>
            </w:pPr>
            <w:r w:rsidRPr="00212C11">
              <w:rPr>
                <w:rFonts w:ascii="Times New Roman" w:hAnsi="Times New Roman"/>
                <w:b/>
                <w:bCs/>
                <w:iCs/>
                <w:color w:val="000000"/>
                <w:sz w:val="16"/>
                <w:szCs w:val="16"/>
              </w:rPr>
              <w:t>Celkový prebytok obcí</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215 704 </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123 008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123 305</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95 478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193 334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200 204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221 776</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vylúčenie finančných operácií</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-437 020 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-519 337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-199 164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-199 164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-222 000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-299 000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-412 000</w:t>
            </w:r>
          </w:p>
        </w:tc>
      </w:tr>
      <w:tr>
        <w:tblPrEx>
          <w:tblW w:w="9087" w:type="dxa"/>
          <w:jc w:val="center"/>
          <w:tblInd w:w="178" w:type="dxa"/>
          <w:tblCellMar>
            <w:left w:w="70" w:type="dxa"/>
            <w:right w:w="70" w:type="dxa"/>
          </w:tblCellMar>
          <w:tblLook w:val="04A0"/>
        </w:tblPrEx>
        <w:trPr>
          <w:trHeight w:val="227"/>
          <w:jc w:val="center"/>
        </w:trPr>
        <w:tc>
          <w:tcPr>
            <w:tcW w:w="9087" w:type="dxa"/>
            <w:gridSpan w:val="8"/>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z toho:</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vylúčenie príjmových FO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-575 670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-728 630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-355 175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-355 175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-385 000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-459 000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-578 000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vylúčenie výdavkových FO</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138 650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209 293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156 011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156 011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163 000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160 000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166 000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b/>
                <w:i/>
                <w:sz w:val="16"/>
                <w:szCs w:val="16"/>
              </w:rPr>
            </w:pPr>
            <w:r w:rsidRPr="00965FBB">
              <w:rPr>
                <w:rFonts w:ascii="Times New Roman" w:hAnsi="Times New Roman"/>
                <w:b/>
                <w:bCs/>
                <w:i/>
                <w:iCs/>
                <w:color w:val="000000"/>
                <w:sz w:val="16"/>
                <w:szCs w:val="16"/>
              </w:rPr>
              <w:t>zahrnutie časového rozlíšenia</w:t>
            </w:r>
            <w:r w:rsidRPr="00965FBB">
              <w:rPr>
                <w:rFonts w:ascii="Times New Roman" w:hAnsi="Times New Roman"/>
                <w:b/>
                <w:i/>
                <w:sz w:val="16"/>
                <w:szCs w:val="16"/>
              </w:rPr>
              <w:t xml:space="preserve">  a ostatné úpravy</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i/>
                <w:color w:val="000000"/>
                <w:sz w:val="16"/>
                <w:szCs w:val="16"/>
              </w:rPr>
            </w:pPr>
            <w:r w:rsidRPr="00965FBB">
              <w:rPr>
                <w:rFonts w:ascii="Times New Roman" w:hAnsi="Times New Roman"/>
                <w:b/>
                <w:i/>
                <w:color w:val="000000"/>
                <w:sz w:val="16"/>
                <w:szCs w:val="16"/>
              </w:rPr>
              <w:t>-61 524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i/>
                <w:color w:val="000000"/>
                <w:sz w:val="16"/>
                <w:szCs w:val="16"/>
              </w:rPr>
            </w:pPr>
            <w:r w:rsidRPr="00965FBB">
              <w:rPr>
                <w:rFonts w:ascii="Times New Roman" w:hAnsi="Times New Roman"/>
                <w:b/>
                <w:i/>
                <w:color w:val="000000"/>
                <w:sz w:val="16"/>
                <w:szCs w:val="16"/>
              </w:rPr>
              <w:t>-145 625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i/>
                <w:color w:val="000000"/>
                <w:sz w:val="16"/>
                <w:szCs w:val="16"/>
              </w:rPr>
            </w:pPr>
            <w:r w:rsidRPr="00965FBB">
              <w:rPr>
                <w:rFonts w:ascii="Times New Roman" w:hAnsi="Times New Roman"/>
                <w:b/>
                <w:i/>
                <w:color w:val="000000"/>
                <w:sz w:val="16"/>
                <w:szCs w:val="16"/>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i/>
                <w:color w:val="000000"/>
                <w:sz w:val="16"/>
                <w:szCs w:val="16"/>
              </w:rPr>
            </w:pPr>
            <w:r>
              <w:rPr>
                <w:rFonts w:ascii="Times New Roman" w:hAnsi="Times New Roman"/>
                <w:b/>
                <w:i/>
                <w:color w:val="000000"/>
                <w:sz w:val="16"/>
                <w:szCs w:val="16"/>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i/>
                <w:color w:val="000000"/>
                <w:sz w:val="16"/>
                <w:szCs w:val="16"/>
              </w:rPr>
            </w:pPr>
            <w:r w:rsidRPr="00965FBB">
              <w:rPr>
                <w:rFonts w:ascii="Times New Roman" w:hAnsi="Times New Roman"/>
                <w:b/>
                <w:i/>
                <w:color w:val="000000"/>
                <w:sz w:val="16"/>
                <w:szCs w:val="16"/>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i/>
                <w:color w:val="000000"/>
                <w:sz w:val="16"/>
                <w:szCs w:val="16"/>
              </w:rPr>
            </w:pPr>
            <w:r w:rsidRPr="00965FBB">
              <w:rPr>
                <w:rFonts w:ascii="Times New Roman" w:hAnsi="Times New Roman"/>
                <w:b/>
                <w:i/>
                <w:color w:val="000000"/>
                <w:sz w:val="16"/>
                <w:szCs w:val="16"/>
              </w:rPr>
              <w:t>-10 000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i/>
                <w:color w:val="000000"/>
                <w:sz w:val="16"/>
                <w:szCs w:val="16"/>
              </w:rPr>
            </w:pPr>
            <w:r w:rsidRPr="00965FBB">
              <w:rPr>
                <w:rFonts w:ascii="Times New Roman" w:hAnsi="Times New Roman"/>
                <w:b/>
                <w:i/>
                <w:color w:val="000000"/>
                <w:sz w:val="16"/>
                <w:szCs w:val="16"/>
              </w:rPr>
              <w:t>-30 000</w:t>
            </w:r>
          </w:p>
        </w:tc>
      </w:tr>
      <w:tr>
        <w:tblPrEx>
          <w:tblW w:w="9087" w:type="dxa"/>
          <w:jc w:val="center"/>
          <w:tblInd w:w="178" w:type="dxa"/>
          <w:tblCellMar>
            <w:left w:w="70" w:type="dxa"/>
            <w:right w:w="70" w:type="dxa"/>
          </w:tblCellMar>
          <w:tblLook w:val="04A0"/>
        </w:tblPrEx>
        <w:trPr>
          <w:trHeight w:val="227"/>
          <w:jc w:val="center"/>
        </w:trPr>
        <w:tc>
          <w:tcPr>
            <w:tcW w:w="30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212C11" w:rsidP="00A64696">
            <w:pPr>
              <w:bidi w:val="0"/>
              <w:rPr>
                <w:rFonts w:ascii="Times New Roman" w:hAnsi="Times New Roman"/>
                <w:b/>
                <w:bCs/>
                <w:iCs/>
                <w:color w:val="000000"/>
                <w:sz w:val="16"/>
                <w:szCs w:val="16"/>
              </w:rPr>
            </w:pPr>
            <w:r w:rsidRPr="00212C11">
              <w:rPr>
                <w:rFonts w:ascii="Times New Roman" w:hAnsi="Times New Roman"/>
                <w:b/>
                <w:bCs/>
                <w:iCs/>
                <w:color w:val="000000"/>
                <w:sz w:val="16"/>
                <w:szCs w:val="16"/>
              </w:rPr>
              <w:t>Schodok obcí  (ESA  95)</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-282 840 </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-541 954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-75 859</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w:t>
            </w:r>
            <w:r>
              <w:rPr>
                <w:rFonts w:ascii="Times New Roman" w:hAnsi="Times New Roman"/>
                <w:b/>
                <w:bCs/>
                <w:iCs/>
                <w:color w:val="000000"/>
                <w:sz w:val="16"/>
                <w:szCs w:val="16"/>
              </w:rPr>
              <w:t>103 686</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w:t>
            </w:r>
            <w:r>
              <w:rPr>
                <w:rFonts w:ascii="Times New Roman" w:hAnsi="Times New Roman"/>
                <w:b/>
                <w:bCs/>
                <w:iCs/>
                <w:color w:val="000000"/>
                <w:sz w:val="16"/>
                <w:szCs w:val="16"/>
              </w:rPr>
              <w:t>38 666</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w:t>
            </w:r>
            <w:r>
              <w:rPr>
                <w:rFonts w:ascii="Times New Roman" w:hAnsi="Times New Roman"/>
                <w:b/>
                <w:bCs/>
                <w:iCs/>
                <w:color w:val="000000"/>
                <w:sz w:val="16"/>
                <w:szCs w:val="16"/>
              </w:rPr>
              <w:t>108 796</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212C11" w:rsidP="00A64696">
            <w:pPr>
              <w:bidi w:val="0"/>
              <w:jc w:val="right"/>
              <w:rPr>
                <w:rFonts w:ascii="Times New Roman" w:hAnsi="Times New Roman"/>
                <w:b/>
                <w:bCs/>
                <w:iCs/>
                <w:color w:val="000000"/>
                <w:sz w:val="16"/>
                <w:szCs w:val="16"/>
              </w:rPr>
            </w:pPr>
            <w:r w:rsidRPr="00212C11">
              <w:rPr>
                <w:rFonts w:ascii="Times New Roman" w:hAnsi="Times New Roman"/>
                <w:b/>
                <w:bCs/>
                <w:iCs/>
                <w:color w:val="000000"/>
                <w:sz w:val="16"/>
                <w:szCs w:val="16"/>
              </w:rPr>
              <w:t>-</w:t>
            </w:r>
            <w:r>
              <w:rPr>
                <w:rFonts w:ascii="Times New Roman" w:hAnsi="Times New Roman"/>
                <w:b/>
                <w:bCs/>
                <w:iCs/>
                <w:color w:val="000000"/>
                <w:sz w:val="16"/>
                <w:szCs w:val="16"/>
              </w:rPr>
              <w:t>220 224</w:t>
            </w:r>
          </w:p>
        </w:tc>
      </w:tr>
    </w:tbl>
    <w:p w:rsidR="009E362C" w:rsidP="009E362C">
      <w:pPr>
        <w:pStyle w:val="BodyText"/>
        <w:bidi w:val="0"/>
        <w:rPr>
          <w:rFonts w:ascii="Times New Roman" w:hAnsi="Times New Roman"/>
          <w:sz w:val="22"/>
          <w:szCs w:val="22"/>
        </w:rPr>
      </w:pPr>
    </w:p>
    <w:p w:rsidR="009E362C" w:rsidRPr="00EB33CC" w:rsidP="009E362C">
      <w:pPr>
        <w:bidi w:val="0"/>
        <w:ind w:firstLine="708"/>
        <w:jc w:val="both"/>
        <w:rPr>
          <w:rFonts w:ascii="Times New Roman" w:hAnsi="Times New Roman"/>
        </w:rPr>
      </w:pPr>
      <w:r w:rsidRPr="00EB33CC">
        <w:rPr>
          <w:rFonts w:ascii="Times New Roman" w:hAnsi="Times New Roman"/>
        </w:rPr>
        <w:t>Celkové príjmy obcí v roku 2012 sú oproti skutočnosti roku 2010 nižšie o 6,</w:t>
      </w:r>
      <w:r>
        <w:rPr>
          <w:rFonts w:ascii="Times New Roman" w:hAnsi="Times New Roman"/>
        </w:rPr>
        <w:t>4</w:t>
      </w:r>
      <w:r w:rsidRPr="00EB33CC">
        <w:rPr>
          <w:rFonts w:ascii="Times New Roman" w:hAnsi="Times New Roman"/>
        </w:rPr>
        <w:t xml:space="preserve"> %, a to z dôvodu poklesu príjmových finančných operácií o 47,2 % a grantov a transferov o 14,</w:t>
      </w:r>
      <w:r>
        <w:rPr>
          <w:rFonts w:ascii="Times New Roman" w:hAnsi="Times New Roman"/>
        </w:rPr>
        <w:t>1</w:t>
      </w:r>
      <w:r w:rsidRPr="00EB33CC">
        <w:rPr>
          <w:rFonts w:ascii="Times New Roman" w:hAnsi="Times New Roman"/>
        </w:rPr>
        <w:t xml:space="preserve"> %, ale na druhej strane došlo k nárastu daňových príjmov o 19,</w:t>
      </w:r>
      <w:r>
        <w:rPr>
          <w:rFonts w:ascii="Times New Roman" w:hAnsi="Times New Roman"/>
        </w:rPr>
        <w:t>3</w:t>
      </w:r>
      <w:r w:rsidRPr="00EB33CC">
        <w:rPr>
          <w:rFonts w:ascii="Times New Roman" w:hAnsi="Times New Roman"/>
        </w:rPr>
        <w:t xml:space="preserve"> % a nedaňových príjmov o 3,6</w:t>
      </w:r>
      <w:r>
        <w:rPr>
          <w:rFonts w:ascii="Times New Roman" w:hAnsi="Times New Roman"/>
        </w:rPr>
        <w:t> </w:t>
      </w:r>
      <w:r w:rsidRPr="00EB33CC">
        <w:rPr>
          <w:rFonts w:ascii="Times New Roman" w:hAnsi="Times New Roman"/>
        </w:rPr>
        <w:t xml:space="preserve">%. </w:t>
      </w:r>
    </w:p>
    <w:p w:rsidR="009E362C" w:rsidRPr="00EB33CC" w:rsidP="009E362C">
      <w:pPr>
        <w:bidi w:val="0"/>
        <w:ind w:firstLine="708"/>
        <w:jc w:val="both"/>
        <w:rPr>
          <w:rFonts w:ascii="Times New Roman" w:hAnsi="Times New Roman"/>
        </w:rPr>
      </w:pPr>
    </w:p>
    <w:p w:rsidR="009E362C" w:rsidRPr="00EB33CC" w:rsidP="009E362C">
      <w:pPr>
        <w:bidi w:val="0"/>
        <w:ind w:firstLine="708"/>
        <w:jc w:val="both"/>
        <w:rPr>
          <w:rFonts w:ascii="Times New Roman" w:hAnsi="Times New Roman"/>
        </w:rPr>
      </w:pPr>
      <w:r w:rsidRPr="00EB33CC">
        <w:rPr>
          <w:rFonts w:ascii="Times New Roman" w:hAnsi="Times New Roman"/>
        </w:rPr>
        <w:t>V roku 2013 sa oproti roku 2012 v rozpočtoch obcí v príjmoch očakáva nárast o</w:t>
      </w:r>
      <w:r>
        <w:rPr>
          <w:rFonts w:ascii="Times New Roman" w:hAnsi="Times New Roman"/>
        </w:rPr>
        <w:t> 4,0</w:t>
      </w:r>
      <w:r w:rsidRPr="00EB33CC">
        <w:rPr>
          <w:rFonts w:ascii="Times New Roman" w:hAnsi="Times New Roman"/>
        </w:rPr>
        <w:t xml:space="preserve"> % a v roku 2014 oproti roku 2013 v príjmovej časti rozpočtu sa očakáva nárast o 4,</w:t>
      </w:r>
      <w:r>
        <w:rPr>
          <w:rFonts w:ascii="Times New Roman" w:hAnsi="Times New Roman"/>
        </w:rPr>
        <w:t>6</w:t>
      </w:r>
      <w:r w:rsidRPr="00EB33CC">
        <w:rPr>
          <w:rFonts w:ascii="Times New Roman" w:hAnsi="Times New Roman"/>
        </w:rPr>
        <w:t xml:space="preserve"> %. V</w:t>
      </w:r>
      <w:r>
        <w:rPr>
          <w:rFonts w:ascii="Times New Roman" w:hAnsi="Times New Roman"/>
        </w:rPr>
        <w:t> </w:t>
      </w:r>
      <w:r w:rsidRPr="00EB33CC">
        <w:rPr>
          <w:rFonts w:ascii="Times New Roman" w:hAnsi="Times New Roman"/>
        </w:rPr>
        <w:t>daňových príjmoch v roku 2013 oproti roku 2012 sa očakáva nárast o 8,</w:t>
      </w:r>
      <w:r>
        <w:rPr>
          <w:rFonts w:ascii="Times New Roman" w:hAnsi="Times New Roman"/>
        </w:rPr>
        <w:t>6</w:t>
      </w:r>
      <w:r w:rsidRPr="00EB33CC">
        <w:rPr>
          <w:rFonts w:ascii="Times New Roman" w:hAnsi="Times New Roman"/>
        </w:rPr>
        <w:t xml:space="preserve"> % a v roku 2014 oproti roku 2013 o 5,</w:t>
      </w:r>
      <w:r>
        <w:rPr>
          <w:rFonts w:ascii="Times New Roman" w:hAnsi="Times New Roman"/>
        </w:rPr>
        <w:t>6</w:t>
      </w:r>
      <w:r w:rsidRPr="00EB33CC">
        <w:rPr>
          <w:rFonts w:ascii="Times New Roman" w:hAnsi="Times New Roman"/>
        </w:rPr>
        <w:t xml:space="preserve"> %. Bližšie informácie o prognóze jednotlivých druhov daňových príjmov sú uvedené v časti </w:t>
      </w:r>
      <w:r>
        <w:rPr>
          <w:rFonts w:ascii="Times New Roman" w:hAnsi="Times New Roman"/>
        </w:rPr>
        <w:t>4.</w:t>
      </w:r>
      <w:r w:rsidRPr="00EB33CC">
        <w:rPr>
          <w:rFonts w:ascii="Times New Roman" w:hAnsi="Times New Roman"/>
        </w:rPr>
        <w:t xml:space="preserve"> materiálu.</w:t>
      </w:r>
    </w:p>
    <w:p w:rsidR="009E362C" w:rsidRPr="00EB33CC" w:rsidP="0090114D">
      <w:pPr>
        <w:bidi w:val="0"/>
        <w:ind w:firstLine="709"/>
        <w:jc w:val="both"/>
        <w:rPr>
          <w:rFonts w:ascii="Times New Roman" w:hAnsi="Times New Roman"/>
        </w:rPr>
      </w:pPr>
    </w:p>
    <w:p w:rsidR="0090114D" w:rsidP="0090114D">
      <w:pPr>
        <w:bidi w:val="0"/>
        <w:ind w:firstLine="709"/>
        <w:jc w:val="both"/>
        <w:rPr>
          <w:rFonts w:ascii="Times New Roman" w:hAnsi="Times New Roman"/>
        </w:rPr>
      </w:pPr>
      <w:r w:rsidRPr="00EB33CC" w:rsidR="009E362C">
        <w:rPr>
          <w:rFonts w:ascii="Times New Roman" w:hAnsi="Times New Roman"/>
        </w:rPr>
        <w:t>V projektovaných výdavkoch rozpočtov obcí sa premieta potreba fiškálnej konsolidácie. Počíta sa so zachovaním osobných výdavkov, tovarov a služieb a bežných grantov a transferov na úrovni skutočnosti roka 2010; v ďalších rokoch je premietnutý dvojpercentný medziročný nárast s výnimkou nárastu osobných výdavkov v oblasti školstva. V kapitálových výdavkoch je zohľadnené postupné ukončovanie projektov obnovy a čerpania finančných prostriedkov Európskej únie.</w:t>
      </w:r>
    </w:p>
    <w:p w:rsidR="0090114D" w:rsidP="0090114D">
      <w:pPr>
        <w:bidi w:val="0"/>
        <w:ind w:firstLine="709"/>
        <w:jc w:val="both"/>
        <w:rPr>
          <w:rFonts w:ascii="Times New Roman" w:hAnsi="Times New Roman"/>
        </w:rPr>
      </w:pPr>
    </w:p>
    <w:p w:rsidR="009E362C" w:rsidRPr="0090114D" w:rsidP="0090114D">
      <w:pPr>
        <w:bidi w:val="0"/>
        <w:jc w:val="both"/>
        <w:rPr>
          <w:rFonts w:ascii="Times New Roman" w:hAnsi="Times New Roman"/>
        </w:rPr>
      </w:pPr>
      <w:r w:rsidRPr="00EB33CC">
        <w:rPr>
          <w:rFonts w:ascii="Times New Roman" w:hAnsi="Times New Roman"/>
          <w:b/>
        </w:rPr>
        <w:t>1.2. Vyššie územné celky</w:t>
      </w:r>
    </w:p>
    <w:p w:rsidR="009E362C" w:rsidRPr="00EB33CC" w:rsidP="00A64696">
      <w:pPr>
        <w:bidi w:val="0"/>
        <w:jc w:val="both"/>
        <w:rPr>
          <w:rFonts w:ascii="Times New Roman" w:hAnsi="Times New Roman"/>
        </w:rPr>
      </w:pPr>
    </w:p>
    <w:p w:rsidR="009E362C" w:rsidRPr="00EB33CC" w:rsidP="00A64696">
      <w:pPr>
        <w:bidi w:val="0"/>
        <w:ind w:firstLine="709"/>
        <w:jc w:val="both"/>
        <w:rPr>
          <w:rFonts w:ascii="Times New Roman" w:hAnsi="Times New Roman"/>
        </w:rPr>
      </w:pPr>
      <w:r w:rsidRPr="00EB33CC">
        <w:rPr>
          <w:rFonts w:ascii="Times New Roman" w:hAnsi="Times New Roman"/>
        </w:rPr>
        <w:t xml:space="preserve">Predpokladá sa, </w:t>
      </w:r>
      <w:r>
        <w:rPr>
          <w:rFonts w:ascii="Times New Roman" w:hAnsi="Times New Roman"/>
        </w:rPr>
        <w:t xml:space="preserve"> </w:t>
      </w:r>
      <w:r w:rsidRPr="00EB33CC">
        <w:rPr>
          <w:rFonts w:ascii="Times New Roman" w:hAnsi="Times New Roman"/>
        </w:rPr>
        <w:t xml:space="preserve">že </w:t>
      </w:r>
      <w:r>
        <w:rPr>
          <w:rFonts w:ascii="Times New Roman" w:hAnsi="Times New Roman"/>
        </w:rPr>
        <w:t xml:space="preserve"> </w:t>
      </w:r>
      <w:r w:rsidRPr="00EB33CC">
        <w:rPr>
          <w:rFonts w:ascii="Times New Roman" w:hAnsi="Times New Roman"/>
        </w:rPr>
        <w:t xml:space="preserve">VÚC </w:t>
      </w:r>
      <w:r>
        <w:rPr>
          <w:rFonts w:ascii="Times New Roman" w:hAnsi="Times New Roman"/>
        </w:rPr>
        <w:t xml:space="preserve"> </w:t>
      </w:r>
      <w:r w:rsidRPr="00EB33CC">
        <w:rPr>
          <w:rFonts w:ascii="Times New Roman" w:hAnsi="Times New Roman"/>
        </w:rPr>
        <w:t>v </w:t>
      </w:r>
      <w:r>
        <w:rPr>
          <w:rFonts w:ascii="Times New Roman" w:hAnsi="Times New Roman"/>
        </w:rPr>
        <w:t xml:space="preserve"> </w:t>
      </w:r>
      <w:r w:rsidRPr="00EB33CC">
        <w:rPr>
          <w:rFonts w:ascii="Times New Roman" w:hAnsi="Times New Roman"/>
        </w:rPr>
        <w:t xml:space="preserve">roku </w:t>
      </w:r>
      <w:r>
        <w:rPr>
          <w:rFonts w:ascii="Times New Roman" w:hAnsi="Times New Roman"/>
        </w:rPr>
        <w:t xml:space="preserve"> </w:t>
      </w:r>
      <w:r w:rsidRPr="00EB33CC">
        <w:rPr>
          <w:rFonts w:ascii="Times New Roman" w:hAnsi="Times New Roman"/>
        </w:rPr>
        <w:t xml:space="preserve">2012 </w:t>
      </w:r>
      <w:r>
        <w:rPr>
          <w:rFonts w:ascii="Times New Roman" w:hAnsi="Times New Roman"/>
        </w:rPr>
        <w:t xml:space="preserve"> </w:t>
      </w:r>
      <w:r w:rsidRPr="00EB33CC">
        <w:rPr>
          <w:rFonts w:ascii="Times New Roman" w:hAnsi="Times New Roman"/>
        </w:rPr>
        <w:t>dosiahnu</w:t>
      </w:r>
      <w:r>
        <w:rPr>
          <w:rFonts w:ascii="Times New Roman" w:hAnsi="Times New Roman"/>
        </w:rPr>
        <w:t xml:space="preserve"> </w:t>
      </w:r>
      <w:r w:rsidRPr="00EB33CC">
        <w:rPr>
          <w:rFonts w:ascii="Times New Roman" w:hAnsi="Times New Roman"/>
        </w:rPr>
        <w:t xml:space="preserve"> celkové</w:t>
      </w:r>
      <w:r>
        <w:rPr>
          <w:rFonts w:ascii="Times New Roman" w:hAnsi="Times New Roman"/>
        </w:rPr>
        <w:t xml:space="preserve"> </w:t>
      </w:r>
      <w:r w:rsidRPr="00EB33CC">
        <w:rPr>
          <w:rFonts w:ascii="Times New Roman" w:hAnsi="Times New Roman"/>
        </w:rPr>
        <w:t xml:space="preserve"> príjmy </w:t>
      </w:r>
      <w:r>
        <w:rPr>
          <w:rFonts w:ascii="Times New Roman" w:hAnsi="Times New Roman"/>
        </w:rPr>
        <w:t xml:space="preserve">  </w:t>
      </w:r>
      <w:r w:rsidRPr="00EB33CC">
        <w:rPr>
          <w:rFonts w:ascii="Times New Roman" w:hAnsi="Times New Roman"/>
        </w:rPr>
        <w:t xml:space="preserve">vo </w:t>
      </w:r>
      <w:r>
        <w:rPr>
          <w:rFonts w:ascii="Times New Roman" w:hAnsi="Times New Roman"/>
        </w:rPr>
        <w:t xml:space="preserve">  </w:t>
      </w:r>
      <w:r w:rsidRPr="00EB33CC">
        <w:rPr>
          <w:rFonts w:ascii="Times New Roman" w:hAnsi="Times New Roman"/>
        </w:rPr>
        <w:t xml:space="preserve">výške </w:t>
      </w:r>
      <w:r>
        <w:rPr>
          <w:rFonts w:ascii="Times New Roman" w:hAnsi="Times New Roman"/>
        </w:rPr>
        <w:t xml:space="preserve">  </w:t>
      </w:r>
      <w:r w:rsidRPr="00EB33CC">
        <w:rPr>
          <w:rFonts w:ascii="Times New Roman" w:hAnsi="Times New Roman"/>
        </w:rPr>
        <w:t>1</w:t>
      </w:r>
      <w:r>
        <w:rPr>
          <w:rFonts w:ascii="Times New Roman" w:hAnsi="Times New Roman"/>
        </w:rPr>
        <w:t> 118 568 </w:t>
      </w:r>
      <w:r w:rsidRPr="00EB33CC">
        <w:rPr>
          <w:rFonts w:ascii="Times New Roman" w:hAnsi="Times New Roman"/>
        </w:rPr>
        <w:t>tis.</w:t>
      </w:r>
      <w:r>
        <w:rPr>
          <w:rFonts w:ascii="Times New Roman" w:hAnsi="Times New Roman"/>
        </w:rPr>
        <w:t> </w:t>
      </w:r>
      <w:r w:rsidRPr="00EB33CC">
        <w:rPr>
          <w:rFonts w:ascii="Times New Roman" w:hAnsi="Times New Roman"/>
        </w:rPr>
        <w:t>eur a celkové výdavky v sume 1</w:t>
      </w:r>
      <w:r>
        <w:rPr>
          <w:rFonts w:ascii="Times New Roman" w:hAnsi="Times New Roman"/>
        </w:rPr>
        <w:t> 089 620</w:t>
      </w:r>
      <w:r w:rsidRPr="00EB33CC">
        <w:rPr>
          <w:rFonts w:ascii="Times New Roman" w:hAnsi="Times New Roman"/>
        </w:rPr>
        <w:t xml:space="preserve"> tis. eur. Po odpočítaní príjmových a výdavkových finančných operácií sa predpokladajú príjmy v sume 1</w:t>
      </w:r>
      <w:r>
        <w:rPr>
          <w:rFonts w:ascii="Times New Roman" w:hAnsi="Times New Roman"/>
        </w:rPr>
        <w:t> 027 568</w:t>
      </w:r>
      <w:r w:rsidRPr="00EB33CC">
        <w:rPr>
          <w:rFonts w:ascii="Times New Roman" w:hAnsi="Times New Roman"/>
        </w:rPr>
        <w:t xml:space="preserve"> tis. eur a výdavky 1</w:t>
      </w:r>
      <w:r>
        <w:rPr>
          <w:rFonts w:ascii="Times New Roman" w:hAnsi="Times New Roman"/>
        </w:rPr>
        <w:t> 072 620</w:t>
      </w:r>
      <w:r w:rsidRPr="00EB33CC">
        <w:rPr>
          <w:rFonts w:ascii="Times New Roman" w:hAnsi="Times New Roman"/>
        </w:rPr>
        <w:t xml:space="preserve"> tis. eur. Po zohľadnení časového rozlíšenia z titulu daňových príjmov</w:t>
      </w:r>
      <w:r>
        <w:rPr>
          <w:rFonts w:ascii="Times New Roman" w:hAnsi="Times New Roman"/>
        </w:rPr>
        <w:t xml:space="preserve">   </w:t>
      </w:r>
      <w:r w:rsidRPr="00EB33CC">
        <w:rPr>
          <w:rFonts w:ascii="Times New Roman" w:hAnsi="Times New Roman"/>
        </w:rPr>
        <w:t xml:space="preserve">(-756 tis. eur) a predpokladaných zmien stavu záväzkov a pohľadávok (-3 500 tis. eur) je schodok vo výške </w:t>
      </w:r>
      <w:r>
        <w:rPr>
          <w:rFonts w:ascii="Times New Roman" w:hAnsi="Times New Roman"/>
        </w:rPr>
        <w:t>50 308</w:t>
      </w:r>
      <w:r w:rsidRPr="00EB33CC">
        <w:rPr>
          <w:rFonts w:ascii="Times New Roman" w:hAnsi="Times New Roman"/>
        </w:rPr>
        <w:t xml:space="preserve"> tis. eur. </w:t>
      </w:r>
    </w:p>
    <w:p w:rsidR="009E362C" w:rsidRPr="00EB33CC" w:rsidP="00A64696">
      <w:pPr>
        <w:bidi w:val="0"/>
        <w:ind w:firstLine="709"/>
        <w:jc w:val="both"/>
        <w:rPr>
          <w:rFonts w:ascii="Times New Roman" w:hAnsi="Times New Roman"/>
        </w:rPr>
      </w:pPr>
    </w:p>
    <w:p w:rsidR="009E362C" w:rsidP="00A64696">
      <w:pPr>
        <w:pStyle w:val="BodyText"/>
        <w:bidi w:val="0"/>
        <w:spacing w:after="0"/>
        <w:ind w:firstLine="709"/>
        <w:rPr>
          <w:rFonts w:ascii="Times New Roman" w:hAnsi="Times New Roman"/>
        </w:rPr>
      </w:pPr>
      <w:r w:rsidRPr="00EB33CC">
        <w:rPr>
          <w:rFonts w:ascii="Times New Roman" w:hAnsi="Times New Roman"/>
        </w:rPr>
        <w:t xml:space="preserve">Daňové príjmy sa očakávajú v roku 2012 v celkovej sume </w:t>
      </w:r>
      <w:r>
        <w:rPr>
          <w:rFonts w:ascii="Times New Roman" w:hAnsi="Times New Roman"/>
        </w:rPr>
        <w:t>536 891</w:t>
      </w:r>
      <w:r w:rsidRPr="00EB33CC">
        <w:rPr>
          <w:rFonts w:ascii="Times New Roman" w:hAnsi="Times New Roman"/>
        </w:rPr>
        <w:t xml:space="preserve"> tis. eur, ktoré VÚC získajú z výnosu mixu daní (dane z príjmov fyzických osôb, z príjmov právnických osôb, z príjmov vyberanej zrážkou, z pridanej hodnoty, z minerálnych olejov, z liehu, z piva, z vína, z tabaku a tabakových výrobkov, z elektrickej energie, zo zemného plynu, z uhlia), z výnosu dane z motorových vozidiel v sume 128 990 tis. eur a zo sankcií uložených v daňovom konaní v sume 1 56</w:t>
      </w:r>
      <w:r>
        <w:rPr>
          <w:rFonts w:ascii="Times New Roman" w:hAnsi="Times New Roman"/>
        </w:rPr>
        <w:t>0</w:t>
      </w:r>
      <w:r w:rsidRPr="00EB33CC">
        <w:rPr>
          <w:rFonts w:ascii="Times New Roman" w:hAnsi="Times New Roman"/>
        </w:rPr>
        <w:t xml:space="preserve"> tis. eur. </w:t>
      </w:r>
    </w:p>
    <w:p w:rsidR="00A64696" w:rsidRPr="00EB33CC" w:rsidP="00A64696">
      <w:pPr>
        <w:pStyle w:val="BodyText"/>
        <w:bidi w:val="0"/>
        <w:spacing w:after="0"/>
        <w:ind w:firstLine="708"/>
        <w:rPr>
          <w:rFonts w:ascii="Times New Roman" w:hAnsi="Times New Roman"/>
        </w:rPr>
      </w:pPr>
    </w:p>
    <w:p w:rsidR="009E362C" w:rsidRPr="00EB33CC" w:rsidP="00A64696">
      <w:pPr>
        <w:pStyle w:val="BodyText"/>
        <w:bidi w:val="0"/>
        <w:spacing w:after="0"/>
        <w:ind w:firstLine="708"/>
        <w:rPr>
          <w:rFonts w:ascii="Times New Roman" w:hAnsi="Times New Roman"/>
        </w:rPr>
      </w:pPr>
      <w:r w:rsidRPr="00EB33CC">
        <w:rPr>
          <w:rFonts w:ascii="Times New Roman" w:hAnsi="Times New Roman"/>
        </w:rPr>
        <w:t xml:space="preserve">Predpoklad vývoja daňových príjmov VÚC v porovnaní s očakávanou skutočnosťou na rok 2011 a skutočnosťou za roky 2009 a 2010 v rokoch 2012 až 2014 je nasledovný: </w:t>
      </w:r>
    </w:p>
    <w:p w:rsidR="009E362C" w:rsidRPr="00EB33CC" w:rsidP="009E362C">
      <w:pPr>
        <w:pStyle w:val="BodyText"/>
        <w:bidi w:val="0"/>
        <w:ind w:firstLine="708"/>
        <w:rPr>
          <w:rFonts w:ascii="Times New Roman" w:hAnsi="Times New Roman"/>
        </w:rPr>
      </w:pPr>
    </w:p>
    <w:tbl>
      <w:tblPr>
        <w:tblStyle w:val="TableNormal"/>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00"/>
        <w:gridCol w:w="1103"/>
        <w:gridCol w:w="893"/>
        <w:gridCol w:w="950"/>
        <w:gridCol w:w="933"/>
        <w:gridCol w:w="910"/>
        <w:gridCol w:w="966"/>
        <w:gridCol w:w="935"/>
      </w:tblGrid>
      <w:tr>
        <w:tblPrEx>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jc w:val="center"/>
        </w:trPr>
        <w:tc>
          <w:tcPr>
            <w:tcW w:w="250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rPr>
                <w:rFonts w:ascii="Times New Roman" w:hAnsi="Times New Roman"/>
                <w:b/>
                <w:bCs/>
                <w:i/>
                <w:iCs/>
                <w:color w:val="000000"/>
                <w:sz w:val="16"/>
                <w:szCs w:val="16"/>
              </w:rPr>
            </w:pPr>
            <w:r w:rsidRPr="009E2972">
              <w:rPr>
                <w:rFonts w:ascii="Times New Roman" w:hAnsi="Times New Roman"/>
                <w:b/>
                <w:bCs/>
                <w:i/>
                <w:iCs/>
                <w:color w:val="000000"/>
                <w:sz w:val="16"/>
                <w:szCs w:val="16"/>
              </w:rPr>
              <w:t> </w:t>
            </w:r>
            <w:r w:rsidRPr="009E2972">
              <w:rPr>
                <w:rFonts w:ascii="Times New Roman" w:hAnsi="Times New Roman"/>
                <w:b/>
                <w:bCs/>
                <w:color w:val="000000"/>
                <w:sz w:val="16"/>
                <w:szCs w:val="16"/>
              </w:rPr>
              <w:t>v tis. eur</w:t>
            </w:r>
          </w:p>
        </w:tc>
        <w:tc>
          <w:tcPr>
            <w:tcW w:w="110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jc w:val="center"/>
              <w:rPr>
                <w:rFonts w:ascii="Times New Roman" w:hAnsi="Times New Roman"/>
                <w:b/>
                <w:color w:val="000000"/>
                <w:sz w:val="16"/>
                <w:szCs w:val="16"/>
              </w:rPr>
            </w:pPr>
            <w:r w:rsidRPr="009E2972">
              <w:rPr>
                <w:rFonts w:ascii="Times New Roman" w:hAnsi="Times New Roman"/>
                <w:b/>
                <w:color w:val="000000"/>
                <w:sz w:val="16"/>
                <w:szCs w:val="16"/>
              </w:rPr>
              <w:t>2009 S</w:t>
            </w:r>
          </w:p>
        </w:tc>
        <w:tc>
          <w:tcPr>
            <w:tcW w:w="89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jc w:val="center"/>
              <w:rPr>
                <w:rFonts w:ascii="Times New Roman" w:hAnsi="Times New Roman"/>
                <w:b/>
                <w:color w:val="000000"/>
                <w:sz w:val="16"/>
                <w:szCs w:val="16"/>
              </w:rPr>
            </w:pPr>
            <w:r w:rsidRPr="009E2972">
              <w:rPr>
                <w:rFonts w:ascii="Times New Roman" w:hAnsi="Times New Roman"/>
                <w:b/>
                <w:color w:val="000000"/>
                <w:sz w:val="16"/>
                <w:szCs w:val="16"/>
              </w:rPr>
              <w:t>2010 S</w:t>
            </w:r>
          </w:p>
        </w:tc>
        <w:tc>
          <w:tcPr>
            <w:tcW w:w="95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jc w:val="center"/>
              <w:rPr>
                <w:rFonts w:ascii="Times New Roman" w:hAnsi="Times New Roman"/>
                <w:b/>
                <w:bCs/>
                <w:color w:val="000000"/>
                <w:sz w:val="16"/>
                <w:szCs w:val="16"/>
              </w:rPr>
            </w:pPr>
            <w:r>
              <w:rPr>
                <w:rFonts w:ascii="Times New Roman" w:hAnsi="Times New Roman"/>
                <w:b/>
                <w:bCs/>
                <w:color w:val="000000"/>
                <w:sz w:val="16"/>
                <w:szCs w:val="16"/>
              </w:rPr>
              <w:t>2011 R</w:t>
            </w:r>
          </w:p>
        </w:tc>
        <w:tc>
          <w:tcPr>
            <w:tcW w:w="933"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jc w:val="center"/>
              <w:rPr>
                <w:rFonts w:ascii="Times New Roman" w:hAnsi="Times New Roman"/>
                <w:b/>
                <w:bCs/>
                <w:color w:val="000000"/>
                <w:sz w:val="16"/>
                <w:szCs w:val="16"/>
              </w:rPr>
            </w:pPr>
            <w:r w:rsidRPr="009E2972">
              <w:rPr>
                <w:rFonts w:ascii="Times New Roman" w:hAnsi="Times New Roman"/>
                <w:b/>
                <w:bCs/>
                <w:color w:val="000000"/>
                <w:sz w:val="16"/>
                <w:szCs w:val="16"/>
              </w:rPr>
              <w:t>2011 OS</w:t>
            </w:r>
          </w:p>
        </w:tc>
        <w:tc>
          <w:tcPr>
            <w:tcW w:w="91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jc w:val="center"/>
              <w:rPr>
                <w:rFonts w:ascii="Times New Roman" w:hAnsi="Times New Roman"/>
                <w:b/>
                <w:bCs/>
                <w:color w:val="000000"/>
                <w:sz w:val="16"/>
                <w:szCs w:val="16"/>
              </w:rPr>
            </w:pPr>
            <w:r w:rsidRPr="009E2972">
              <w:rPr>
                <w:rFonts w:ascii="Times New Roman" w:hAnsi="Times New Roman"/>
                <w:b/>
                <w:bCs/>
                <w:color w:val="000000"/>
                <w:sz w:val="16"/>
                <w:szCs w:val="16"/>
              </w:rPr>
              <w:t>2012 N</w:t>
            </w:r>
          </w:p>
        </w:tc>
        <w:tc>
          <w:tcPr>
            <w:tcW w:w="966"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jc w:val="center"/>
              <w:rPr>
                <w:rFonts w:ascii="Times New Roman" w:hAnsi="Times New Roman"/>
                <w:b/>
                <w:bCs/>
                <w:color w:val="000000"/>
                <w:sz w:val="16"/>
                <w:szCs w:val="16"/>
              </w:rPr>
            </w:pPr>
            <w:r w:rsidRPr="009E2972">
              <w:rPr>
                <w:rFonts w:ascii="Times New Roman" w:hAnsi="Times New Roman"/>
                <w:b/>
                <w:bCs/>
                <w:color w:val="000000"/>
                <w:sz w:val="16"/>
                <w:szCs w:val="16"/>
              </w:rPr>
              <w:t>2013 N</w:t>
            </w:r>
          </w:p>
        </w:tc>
        <w:tc>
          <w:tcPr>
            <w:tcW w:w="93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E2972" w:rsidP="00A64696">
            <w:pPr>
              <w:bidi w:val="0"/>
              <w:jc w:val="center"/>
              <w:rPr>
                <w:rFonts w:ascii="Times New Roman" w:hAnsi="Times New Roman"/>
                <w:b/>
                <w:bCs/>
                <w:color w:val="000000"/>
                <w:sz w:val="16"/>
                <w:szCs w:val="16"/>
              </w:rPr>
            </w:pPr>
            <w:r w:rsidRPr="009E2972">
              <w:rPr>
                <w:rFonts w:ascii="Times New Roman" w:hAnsi="Times New Roman"/>
                <w:b/>
                <w:bCs/>
                <w:color w:val="000000"/>
                <w:sz w:val="16"/>
                <w:szCs w:val="16"/>
              </w:rPr>
              <w:t>2014 N</w:t>
            </w:r>
          </w:p>
        </w:tc>
      </w:tr>
      <w:tr>
        <w:tblPrEx>
          <w:tblW w:w="9190" w:type="dxa"/>
          <w:jc w:val="center"/>
          <w:tblCellMar>
            <w:left w:w="70" w:type="dxa"/>
            <w:right w:w="70" w:type="dxa"/>
          </w:tblCellMar>
          <w:tblLook w:val="04A0"/>
        </w:tblPrEx>
        <w:trPr>
          <w:trHeight w:val="227"/>
          <w:jc w:val="center"/>
        </w:trPr>
        <w:tc>
          <w:tcPr>
            <w:tcW w:w="250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rPr>
                <w:rFonts w:ascii="Times New Roman" w:hAnsi="Times New Roman"/>
                <w:b/>
                <w:bCs/>
                <w:color w:val="000000"/>
                <w:sz w:val="16"/>
                <w:szCs w:val="16"/>
              </w:rPr>
            </w:pPr>
            <w:r w:rsidRPr="009E2972">
              <w:rPr>
                <w:rFonts w:ascii="Times New Roman" w:hAnsi="Times New Roman"/>
                <w:b/>
                <w:bCs/>
                <w:color w:val="000000"/>
                <w:sz w:val="16"/>
                <w:szCs w:val="16"/>
              </w:rPr>
              <w:t>Daňové príjmy spolu</w:t>
            </w:r>
          </w:p>
        </w:tc>
        <w:tc>
          <w:tcPr>
            <w:tcW w:w="1103"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jc w:val="right"/>
              <w:rPr>
                <w:rFonts w:ascii="Times New Roman" w:hAnsi="Times New Roman"/>
                <w:b/>
                <w:bCs/>
                <w:color w:val="000000"/>
                <w:sz w:val="16"/>
                <w:szCs w:val="16"/>
              </w:rPr>
            </w:pPr>
            <w:r w:rsidRPr="009E2972">
              <w:rPr>
                <w:rFonts w:ascii="Times New Roman" w:hAnsi="Times New Roman"/>
                <w:b/>
                <w:bCs/>
                <w:color w:val="000000"/>
                <w:sz w:val="16"/>
                <w:szCs w:val="16"/>
              </w:rPr>
              <w:t>529 298 </w:t>
            </w:r>
          </w:p>
        </w:tc>
        <w:tc>
          <w:tcPr>
            <w:tcW w:w="893"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jc w:val="right"/>
              <w:rPr>
                <w:rFonts w:ascii="Times New Roman" w:hAnsi="Times New Roman"/>
                <w:b/>
                <w:bCs/>
                <w:color w:val="000000"/>
                <w:sz w:val="16"/>
                <w:szCs w:val="16"/>
              </w:rPr>
            </w:pPr>
            <w:r w:rsidRPr="009E2972">
              <w:rPr>
                <w:rFonts w:ascii="Times New Roman" w:hAnsi="Times New Roman"/>
                <w:b/>
                <w:bCs/>
                <w:color w:val="000000"/>
                <w:sz w:val="16"/>
                <w:szCs w:val="16"/>
              </w:rPr>
              <w:t>451 432</w:t>
            </w:r>
          </w:p>
        </w:tc>
        <w:tc>
          <w:tcPr>
            <w:tcW w:w="95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jc w:val="right"/>
              <w:rPr>
                <w:rFonts w:ascii="Times New Roman" w:hAnsi="Times New Roman"/>
                <w:b/>
                <w:bCs/>
                <w:color w:val="000000"/>
                <w:sz w:val="16"/>
                <w:szCs w:val="16"/>
              </w:rPr>
            </w:pPr>
            <w:r>
              <w:rPr>
                <w:rFonts w:ascii="Times New Roman" w:hAnsi="Times New Roman"/>
                <w:b/>
                <w:bCs/>
                <w:color w:val="000000"/>
                <w:sz w:val="16"/>
                <w:szCs w:val="16"/>
              </w:rPr>
              <w:t>531 729</w:t>
            </w:r>
          </w:p>
        </w:tc>
        <w:tc>
          <w:tcPr>
            <w:tcW w:w="933"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jc w:val="right"/>
              <w:rPr>
                <w:rFonts w:ascii="Times New Roman" w:hAnsi="Times New Roman"/>
                <w:b/>
                <w:bCs/>
                <w:color w:val="000000"/>
                <w:sz w:val="16"/>
                <w:szCs w:val="16"/>
              </w:rPr>
            </w:pPr>
            <w:r>
              <w:rPr>
                <w:rFonts w:ascii="Times New Roman" w:hAnsi="Times New Roman"/>
                <w:b/>
                <w:bCs/>
                <w:color w:val="000000"/>
                <w:sz w:val="16"/>
                <w:szCs w:val="16"/>
              </w:rPr>
              <w:t>521 318</w:t>
            </w:r>
          </w:p>
        </w:tc>
        <w:tc>
          <w:tcPr>
            <w:tcW w:w="91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jc w:val="right"/>
              <w:rPr>
                <w:rFonts w:ascii="Times New Roman" w:hAnsi="Times New Roman"/>
                <w:b/>
                <w:bCs/>
                <w:color w:val="000000"/>
                <w:sz w:val="16"/>
                <w:szCs w:val="16"/>
              </w:rPr>
            </w:pPr>
            <w:r>
              <w:rPr>
                <w:rFonts w:ascii="Times New Roman" w:hAnsi="Times New Roman"/>
                <w:b/>
                <w:bCs/>
                <w:color w:val="000000"/>
                <w:sz w:val="16"/>
                <w:szCs w:val="16"/>
              </w:rPr>
              <w:t>536 891</w:t>
            </w:r>
          </w:p>
        </w:tc>
        <w:tc>
          <w:tcPr>
            <w:tcW w:w="9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jc w:val="right"/>
              <w:rPr>
                <w:rFonts w:ascii="Times New Roman" w:hAnsi="Times New Roman"/>
                <w:b/>
                <w:bCs/>
                <w:color w:val="000000"/>
                <w:sz w:val="16"/>
                <w:szCs w:val="16"/>
              </w:rPr>
            </w:pPr>
            <w:r>
              <w:rPr>
                <w:rFonts w:ascii="Times New Roman" w:hAnsi="Times New Roman"/>
                <w:b/>
                <w:bCs/>
                <w:color w:val="000000"/>
                <w:sz w:val="16"/>
                <w:szCs w:val="16"/>
              </w:rPr>
              <w:t>581 562</w:t>
            </w:r>
          </w:p>
        </w:tc>
        <w:tc>
          <w:tcPr>
            <w:tcW w:w="93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E362C" w:rsidRPr="009E2972" w:rsidP="00A64696">
            <w:pPr>
              <w:bidi w:val="0"/>
              <w:jc w:val="right"/>
              <w:rPr>
                <w:rFonts w:ascii="Times New Roman" w:hAnsi="Times New Roman"/>
                <w:b/>
                <w:bCs/>
                <w:color w:val="000000"/>
                <w:sz w:val="16"/>
                <w:szCs w:val="16"/>
              </w:rPr>
            </w:pPr>
            <w:r>
              <w:rPr>
                <w:rFonts w:ascii="Times New Roman" w:hAnsi="Times New Roman"/>
                <w:b/>
                <w:bCs/>
                <w:color w:val="000000"/>
                <w:sz w:val="16"/>
                <w:szCs w:val="16"/>
              </w:rPr>
              <w:t>611 935</w:t>
            </w:r>
          </w:p>
        </w:tc>
      </w:tr>
      <w:tr>
        <w:tblPrEx>
          <w:tblW w:w="9190" w:type="dxa"/>
          <w:jc w:val="center"/>
          <w:tblCellMar>
            <w:left w:w="70" w:type="dxa"/>
            <w:right w:w="70" w:type="dxa"/>
          </w:tblCellMar>
          <w:tblLook w:val="04A0"/>
        </w:tblPrEx>
        <w:trPr>
          <w:trHeight w:val="227"/>
          <w:jc w:val="center"/>
        </w:trPr>
        <w:tc>
          <w:tcPr>
            <w:tcW w:w="250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rPr>
                <w:rFonts w:ascii="Times New Roman" w:hAnsi="Times New Roman"/>
                <w:color w:val="000000"/>
                <w:sz w:val="16"/>
                <w:szCs w:val="16"/>
              </w:rPr>
            </w:pPr>
            <w:r w:rsidRPr="009E2972">
              <w:rPr>
                <w:rFonts w:ascii="Times New Roman" w:hAnsi="Times New Roman"/>
                <w:color w:val="000000"/>
                <w:sz w:val="16"/>
                <w:szCs w:val="16"/>
              </w:rPr>
              <w:t xml:space="preserve">z toho: </w:t>
            </w:r>
            <w:r w:rsidRPr="009E2972">
              <w:rPr>
                <w:rFonts w:ascii="Times New Roman" w:hAnsi="Times New Roman"/>
                <w:sz w:val="16"/>
                <w:szCs w:val="16"/>
              </w:rPr>
              <w:t>prevod mix daní</w:t>
            </w:r>
          </w:p>
        </w:tc>
        <w:tc>
          <w:tcPr>
            <w:tcW w:w="110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sidRPr="009E2972">
              <w:rPr>
                <w:rFonts w:ascii="Times New Roman" w:hAnsi="Times New Roman"/>
                <w:color w:val="000000"/>
                <w:sz w:val="16"/>
                <w:szCs w:val="16"/>
              </w:rPr>
              <w:t>403 483 *</w:t>
            </w:r>
          </w:p>
        </w:tc>
        <w:tc>
          <w:tcPr>
            <w:tcW w:w="89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sidRPr="009E2972">
              <w:rPr>
                <w:rFonts w:ascii="Times New Roman" w:hAnsi="Times New Roman"/>
                <w:color w:val="000000"/>
                <w:sz w:val="16"/>
                <w:szCs w:val="16"/>
              </w:rPr>
              <w:t>332 825*</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410 583*</w:t>
            </w:r>
          </w:p>
        </w:tc>
        <w:tc>
          <w:tcPr>
            <w:tcW w:w="93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395 246</w:t>
            </w:r>
            <w:r w:rsidRPr="009E2972">
              <w:rPr>
                <w:rFonts w:ascii="Times New Roman" w:hAnsi="Times New Roman"/>
                <w:color w:val="000000"/>
                <w:sz w:val="16"/>
                <w:szCs w:val="16"/>
              </w:rPr>
              <w:t>*</w:t>
            </w:r>
          </w:p>
        </w:tc>
        <w:tc>
          <w:tcPr>
            <w:tcW w:w="91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407 062</w:t>
            </w:r>
          </w:p>
        </w:tc>
        <w:tc>
          <w:tcPr>
            <w:tcW w:w="966"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447 863</w:t>
            </w:r>
          </w:p>
        </w:tc>
        <w:tc>
          <w:tcPr>
            <w:tcW w:w="935"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474 250</w:t>
            </w:r>
          </w:p>
        </w:tc>
      </w:tr>
      <w:tr>
        <w:tblPrEx>
          <w:tblW w:w="9190" w:type="dxa"/>
          <w:jc w:val="center"/>
          <w:tblCellMar>
            <w:left w:w="70" w:type="dxa"/>
            <w:right w:w="70" w:type="dxa"/>
          </w:tblCellMar>
          <w:tblLook w:val="04A0"/>
        </w:tblPrEx>
        <w:trPr>
          <w:trHeight w:val="227"/>
          <w:jc w:val="center"/>
        </w:trPr>
        <w:tc>
          <w:tcPr>
            <w:tcW w:w="250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rPr>
                <w:rFonts w:ascii="Times New Roman" w:hAnsi="Times New Roman"/>
                <w:color w:val="000000"/>
                <w:sz w:val="16"/>
                <w:szCs w:val="16"/>
              </w:rPr>
            </w:pPr>
            <w:r w:rsidRPr="009E2972">
              <w:rPr>
                <w:rFonts w:ascii="Times New Roman" w:hAnsi="Times New Roman"/>
                <w:color w:val="000000"/>
                <w:sz w:val="16"/>
                <w:szCs w:val="16"/>
              </w:rPr>
              <w:t xml:space="preserve">            daň z motorových vozidiel</w:t>
            </w:r>
          </w:p>
        </w:tc>
        <w:tc>
          <w:tcPr>
            <w:tcW w:w="110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sidRPr="009E2972">
              <w:rPr>
                <w:rFonts w:ascii="Times New Roman" w:hAnsi="Times New Roman"/>
                <w:color w:val="000000"/>
                <w:sz w:val="16"/>
                <w:szCs w:val="16"/>
              </w:rPr>
              <w:t>125 815 </w:t>
            </w:r>
          </w:p>
        </w:tc>
        <w:tc>
          <w:tcPr>
            <w:tcW w:w="89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sidRPr="009E2972">
              <w:rPr>
                <w:rFonts w:ascii="Times New Roman" w:hAnsi="Times New Roman"/>
                <w:color w:val="000000"/>
                <w:sz w:val="16"/>
                <w:szCs w:val="16"/>
              </w:rPr>
              <w:t>118 607</w:t>
            </w:r>
          </w:p>
        </w:tc>
        <w:tc>
          <w:tcPr>
            <w:tcW w:w="95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121 146</w:t>
            </w:r>
          </w:p>
        </w:tc>
        <w:tc>
          <w:tcPr>
            <w:tcW w:w="933"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126 072</w:t>
            </w:r>
          </w:p>
        </w:tc>
        <w:tc>
          <w:tcPr>
            <w:tcW w:w="910"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129 829</w:t>
            </w:r>
          </w:p>
        </w:tc>
        <w:tc>
          <w:tcPr>
            <w:tcW w:w="966"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133 699</w:t>
            </w:r>
          </w:p>
        </w:tc>
        <w:tc>
          <w:tcPr>
            <w:tcW w:w="935" w:type="dxa"/>
            <w:tcBorders>
              <w:top w:val="single" w:sz="4" w:space="0" w:color="auto"/>
              <w:left w:val="single" w:sz="4" w:space="0" w:color="auto"/>
              <w:bottom w:val="single" w:sz="4" w:space="0" w:color="auto"/>
              <w:right w:val="single" w:sz="4" w:space="0" w:color="auto"/>
            </w:tcBorders>
            <w:textDirection w:val="lrTb"/>
            <w:vAlign w:val="center"/>
          </w:tcPr>
          <w:p w:rsidR="009E362C" w:rsidRPr="009E2972" w:rsidP="00A64696">
            <w:pPr>
              <w:bidi w:val="0"/>
              <w:jc w:val="right"/>
              <w:rPr>
                <w:rFonts w:ascii="Times New Roman" w:hAnsi="Times New Roman"/>
                <w:color w:val="000000"/>
                <w:sz w:val="16"/>
                <w:szCs w:val="16"/>
              </w:rPr>
            </w:pPr>
            <w:r>
              <w:rPr>
                <w:rFonts w:ascii="Times New Roman" w:hAnsi="Times New Roman"/>
                <w:color w:val="000000"/>
                <w:sz w:val="16"/>
                <w:szCs w:val="16"/>
              </w:rPr>
              <w:t>137 685</w:t>
            </w:r>
          </w:p>
        </w:tc>
      </w:tr>
    </w:tbl>
    <w:p w:rsidR="009E362C" w:rsidRPr="00236F6B" w:rsidP="009E362C">
      <w:pPr>
        <w:bidi w:val="0"/>
        <w:jc w:val="both"/>
        <w:rPr>
          <w:rFonts w:ascii="Times New Roman" w:hAnsi="Times New Roman"/>
          <w:sz w:val="16"/>
          <w:szCs w:val="18"/>
        </w:rPr>
      </w:pPr>
      <w:r w:rsidRPr="00236F6B">
        <w:rPr>
          <w:rFonts w:ascii="Times New Roman" w:hAnsi="Times New Roman"/>
          <w:sz w:val="16"/>
          <w:szCs w:val="18"/>
        </w:rPr>
        <w:t>Poznámka: * v rokoch 2009, 2010 a 2011 len daň z príjmov fyzických osôb</w:t>
      </w:r>
    </w:p>
    <w:p w:rsidR="009E362C" w:rsidRPr="009E2972" w:rsidP="009E362C">
      <w:pPr>
        <w:pStyle w:val="BodyText"/>
        <w:bidi w:val="0"/>
        <w:rPr>
          <w:rFonts w:ascii="Times New Roman" w:hAnsi="Times New Roman"/>
          <w:b/>
          <w:sz w:val="22"/>
          <w:szCs w:val="22"/>
        </w:rPr>
      </w:pPr>
      <w:r w:rsidRPr="009E2972">
        <w:rPr>
          <w:rFonts w:ascii="Times New Roman" w:hAnsi="Times New Roman"/>
          <w:b/>
          <w:sz w:val="22"/>
          <w:szCs w:val="22"/>
        </w:rPr>
        <w:t xml:space="preserve">   </w:t>
      </w:r>
    </w:p>
    <w:p w:rsidR="009E362C" w:rsidRPr="00EB33CC" w:rsidP="009E362C">
      <w:pPr>
        <w:pStyle w:val="BodyText"/>
        <w:bidi w:val="0"/>
        <w:ind w:firstLine="708"/>
        <w:rPr>
          <w:rFonts w:ascii="Times New Roman" w:hAnsi="Times New Roman"/>
          <w:szCs w:val="22"/>
        </w:rPr>
      </w:pPr>
      <w:r w:rsidRPr="00EB33CC">
        <w:rPr>
          <w:rFonts w:ascii="Times New Roman" w:hAnsi="Times New Roman"/>
          <w:szCs w:val="22"/>
        </w:rPr>
        <w:t>Nedaňové príjmy sa získajú z  činnosti organizácií v zriaďovateľskej pôsobnosti VÚC na úseku sociálneho zabezpečenia, na úseku školstva, dopravy, z kapitálových príjmov a z úrokov z prostriedkov vlastného hospodárenia. Uvažuje sa v roku 2012 s ich celkovou výškou 78 00</w:t>
      </w:r>
      <w:r>
        <w:rPr>
          <w:rFonts w:ascii="Times New Roman" w:hAnsi="Times New Roman"/>
          <w:szCs w:val="22"/>
        </w:rPr>
        <w:t>0</w:t>
      </w:r>
      <w:r w:rsidRPr="00EB33CC">
        <w:rPr>
          <w:rFonts w:ascii="Times New Roman" w:hAnsi="Times New Roman"/>
          <w:szCs w:val="22"/>
        </w:rPr>
        <w:t xml:space="preserve"> tis. eur, ktorá by sa mala dosiahnuť z administratívnych a iných poplatkov a platieb v sume 56 000 tis. eur, a to najmä na úseku sociálneho zabezpečenia, z úhrad platených občanmi umiestnenými v zariadeniach sociálnych služieb, za poskytované služby, ako sú stravovanie, bývanie a zaopatrenie, na úseku školstva z príjmov získaných z poplatkov zo zápisného a školného v základných umeleckých školách, za ubytovanie v domovoch mládeže, z nájomného a pod. Z hospodárenia s majetkom samosprávnych krajov, z úrokov z vlastných prostriedkov, z vkladov, z hospodárenia s vlastnými prostriedkami sa predpokladajú príjmy v sume 10 00</w:t>
      </w:r>
      <w:r>
        <w:rPr>
          <w:rFonts w:ascii="Times New Roman" w:hAnsi="Times New Roman"/>
          <w:szCs w:val="22"/>
        </w:rPr>
        <w:t>0</w:t>
      </w:r>
      <w:r w:rsidRPr="00EB33CC">
        <w:rPr>
          <w:rFonts w:ascii="Times New Roman" w:hAnsi="Times New Roman"/>
          <w:szCs w:val="22"/>
        </w:rPr>
        <w:t xml:space="preserve"> tis. eur a iné nedaňové príjmy v sume 6 000 tis. eur. Z kapitálových príjmov (z predaja majetku) sa predpokladá získať 6 000 tis. eur.</w:t>
      </w:r>
    </w:p>
    <w:p w:rsidR="009E362C" w:rsidRPr="00EB33CC" w:rsidP="009E362C">
      <w:pPr>
        <w:pStyle w:val="BodyText"/>
        <w:bidi w:val="0"/>
        <w:ind w:firstLine="540"/>
        <w:rPr>
          <w:rFonts w:ascii="Times New Roman" w:hAnsi="Times New Roman"/>
          <w:szCs w:val="22"/>
        </w:rPr>
      </w:pPr>
      <w:r w:rsidRPr="00EB33CC">
        <w:rPr>
          <w:rFonts w:ascii="Times New Roman" w:hAnsi="Times New Roman"/>
          <w:szCs w:val="22"/>
        </w:rPr>
        <w:t xml:space="preserve">   </w:t>
      </w:r>
    </w:p>
    <w:p w:rsidR="009E362C" w:rsidRPr="00EB33CC" w:rsidP="009E362C">
      <w:pPr>
        <w:bidi w:val="0"/>
        <w:ind w:firstLine="708"/>
        <w:jc w:val="both"/>
        <w:rPr>
          <w:rFonts w:ascii="Times New Roman" w:hAnsi="Times New Roman"/>
          <w:szCs w:val="22"/>
        </w:rPr>
      </w:pPr>
      <w:r w:rsidRPr="00EB33CC">
        <w:rPr>
          <w:rFonts w:ascii="Times New Roman" w:hAnsi="Times New Roman"/>
          <w:szCs w:val="22"/>
        </w:rPr>
        <w:t xml:space="preserve">Granty a transfery zo štátneho rozpočtu sa rozpočtujú v roku 2012 v celkovej sume </w:t>
      </w:r>
      <w:r>
        <w:rPr>
          <w:rFonts w:ascii="Times New Roman" w:hAnsi="Times New Roman"/>
          <w:szCs w:val="22"/>
        </w:rPr>
        <w:t>412 677</w:t>
      </w:r>
      <w:r w:rsidRPr="00EB33CC">
        <w:rPr>
          <w:rFonts w:ascii="Times New Roman" w:hAnsi="Times New Roman"/>
          <w:szCs w:val="22"/>
        </w:rPr>
        <w:t xml:space="preserve"> tis. eur, čo predstavuje bežné granty a transfery. Granty a transfery zo štátneho rozpočtu do rozpočtov VÚC sa očakávajú z kapitoly </w:t>
      </w:r>
      <w:r w:rsidRPr="00EB33CC">
        <w:rPr>
          <w:rFonts w:ascii="Times New Roman" w:hAnsi="Times New Roman"/>
          <w:szCs w:val="22"/>
          <w:u w:val="single"/>
        </w:rPr>
        <w:t>Ministerstva školstva, vedy, výskumu a športu SR</w:t>
      </w:r>
      <w:r w:rsidRPr="00EB33CC">
        <w:rPr>
          <w:rFonts w:ascii="Times New Roman" w:hAnsi="Times New Roman"/>
          <w:szCs w:val="22"/>
        </w:rPr>
        <w:t xml:space="preserve">, z toho na financovanie preneseného výkonu štátnej správy na úseku stredných škôl, ku ktorým zriaďovateľskú funkciu plnia VÚC v sume </w:t>
      </w:r>
      <w:r>
        <w:rPr>
          <w:rFonts w:ascii="Times New Roman" w:hAnsi="Times New Roman"/>
          <w:szCs w:val="22"/>
        </w:rPr>
        <w:t>405 874</w:t>
      </w:r>
      <w:r w:rsidRPr="00EB33CC">
        <w:rPr>
          <w:rFonts w:ascii="Times New Roman" w:hAnsi="Times New Roman"/>
          <w:szCs w:val="22"/>
        </w:rPr>
        <w:t xml:space="preserve"> tis. eur a na podporu športovo talentovanej mládeže z Operačného programu Vzdelávanie v sume 6 80</w:t>
      </w:r>
      <w:r>
        <w:rPr>
          <w:rFonts w:ascii="Times New Roman" w:hAnsi="Times New Roman"/>
          <w:szCs w:val="22"/>
        </w:rPr>
        <w:t>3</w:t>
      </w:r>
      <w:r w:rsidRPr="00EB33CC">
        <w:rPr>
          <w:rFonts w:ascii="Times New Roman" w:hAnsi="Times New Roman"/>
          <w:szCs w:val="22"/>
        </w:rPr>
        <w:t xml:space="preserve"> tis. eur.</w:t>
      </w:r>
    </w:p>
    <w:p w:rsidR="009E362C" w:rsidRPr="00EB33CC" w:rsidP="009E362C">
      <w:pPr>
        <w:bidi w:val="0"/>
        <w:jc w:val="both"/>
        <w:rPr>
          <w:rFonts w:ascii="Times New Roman" w:hAnsi="Times New Roman"/>
          <w:szCs w:val="22"/>
        </w:rPr>
      </w:pPr>
    </w:p>
    <w:p w:rsidR="009E362C" w:rsidP="00A64696">
      <w:pPr>
        <w:pStyle w:val="BodyText"/>
        <w:bidi w:val="0"/>
        <w:spacing w:after="0"/>
        <w:ind w:firstLine="709"/>
        <w:rPr>
          <w:rFonts w:ascii="Times New Roman" w:hAnsi="Times New Roman"/>
          <w:szCs w:val="22"/>
        </w:rPr>
      </w:pPr>
      <w:r w:rsidRPr="00EB33CC">
        <w:rPr>
          <w:rFonts w:ascii="Times New Roman" w:hAnsi="Times New Roman"/>
          <w:szCs w:val="22"/>
        </w:rPr>
        <w:t xml:space="preserve">Príjmové finančné operácie sa predpokladajú v sume 91 000 tis. eur, a to z prevodov prostriedkov z peňažných fondov v sume 41 000 tis. eur, zo zostatku prostriedkov z predchádzajúcich rokov v sume 15 000 tis. eur a z prijatých úverov v sume 35 000 tis. eur. </w:t>
      </w:r>
    </w:p>
    <w:p w:rsidR="00950489" w:rsidRPr="00236F6B" w:rsidP="00A64696">
      <w:pPr>
        <w:pStyle w:val="BodyText"/>
        <w:bidi w:val="0"/>
        <w:spacing w:after="0"/>
        <w:ind w:firstLine="709"/>
        <w:rPr>
          <w:rFonts w:ascii="Times New Roman" w:hAnsi="Times New Roman"/>
          <w:szCs w:val="22"/>
        </w:rPr>
      </w:pPr>
    </w:p>
    <w:p w:rsidR="009E362C" w:rsidRPr="009E2972" w:rsidP="00A64696">
      <w:pPr>
        <w:pStyle w:val="BodyText"/>
        <w:bidi w:val="0"/>
        <w:spacing w:after="0"/>
        <w:ind w:firstLine="709"/>
        <w:rPr>
          <w:rFonts w:ascii="Times New Roman" w:hAnsi="Times New Roman"/>
          <w:sz w:val="22"/>
          <w:szCs w:val="22"/>
        </w:rPr>
      </w:pPr>
      <w:r w:rsidRPr="00EB33CC">
        <w:rPr>
          <w:rFonts w:ascii="Times New Roman" w:hAnsi="Times New Roman"/>
          <w:szCs w:val="22"/>
        </w:rPr>
        <w:t>Vývoj príjmovej a výdavkovej časti rozpočtu VÚC na roky 2012 až 2014 v porovnaní s očakávanou skutočnosťou na rok 2011 a so skutočnosťou v rokoch 2009 a 2010 je nasledovný:</w:t>
      </w:r>
    </w:p>
    <w:p w:rsidR="009E362C" w:rsidP="009E362C">
      <w:pPr>
        <w:pStyle w:val="BodyText"/>
        <w:bidi w:val="0"/>
        <w:rPr>
          <w:rFonts w:ascii="Arial Narrow" w:hAnsi="Arial Narrow"/>
          <w:sz w:val="22"/>
          <w:szCs w:val="22"/>
        </w:rPr>
      </w:pPr>
    </w:p>
    <w:tbl>
      <w:tblPr>
        <w:tblStyle w:val="TableNormal"/>
        <w:tblW w:w="914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18"/>
        <w:gridCol w:w="940"/>
        <w:gridCol w:w="860"/>
        <w:gridCol w:w="860"/>
        <w:gridCol w:w="860"/>
        <w:gridCol w:w="860"/>
        <w:gridCol w:w="860"/>
        <w:gridCol w:w="885"/>
      </w:tblGrid>
      <w:tr>
        <w:tblPrEx>
          <w:tblW w:w="914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rPr>
                <w:rFonts w:ascii="Times New Roman" w:hAnsi="Times New Roman"/>
                <w:b/>
                <w:bCs/>
                <w:sz w:val="16"/>
                <w:szCs w:val="16"/>
              </w:rPr>
            </w:pPr>
            <w:r>
              <w:rPr>
                <w:rFonts w:ascii="Times New Roman" w:hAnsi="Times New Roman"/>
                <w:b/>
                <w:bCs/>
                <w:sz w:val="16"/>
                <w:szCs w:val="16"/>
              </w:rPr>
              <w:t>v tis. eur</w:t>
            </w:r>
          </w:p>
        </w:tc>
        <w:tc>
          <w:tcPr>
            <w:tcW w:w="94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2009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2010 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2011 R</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2011 OS</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2012 N</w:t>
            </w:r>
          </w:p>
        </w:tc>
        <w:tc>
          <w:tcPr>
            <w:tcW w:w="8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2013 N</w:t>
            </w:r>
          </w:p>
        </w:tc>
        <w:tc>
          <w:tcPr>
            <w:tcW w:w="88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E362C" w:rsidRPr="00965FBB" w:rsidP="00A64696">
            <w:pPr>
              <w:bidi w:val="0"/>
              <w:jc w:val="center"/>
              <w:rPr>
                <w:rFonts w:ascii="Times New Roman" w:hAnsi="Times New Roman"/>
                <w:b/>
                <w:bCs/>
                <w:sz w:val="16"/>
                <w:szCs w:val="16"/>
              </w:rPr>
            </w:pPr>
            <w:r w:rsidRPr="00965FBB">
              <w:rPr>
                <w:rFonts w:ascii="Times New Roman" w:hAnsi="Times New Roman"/>
                <w:b/>
                <w:bCs/>
                <w:sz w:val="16"/>
                <w:szCs w:val="16"/>
              </w:rPr>
              <w:t>2014 N</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6C0CE6" w:rsidP="00A64696">
            <w:pPr>
              <w:bidi w:val="0"/>
              <w:rPr>
                <w:rFonts w:ascii="Times New Roman" w:hAnsi="Times New Roman"/>
                <w:b/>
                <w:bCs/>
                <w:iCs/>
                <w:color w:val="000000"/>
                <w:sz w:val="16"/>
                <w:szCs w:val="16"/>
              </w:rPr>
            </w:pPr>
            <w:r w:rsidRPr="006C0CE6">
              <w:rPr>
                <w:rFonts w:ascii="Times New Roman" w:hAnsi="Times New Roman"/>
                <w:b/>
                <w:bCs/>
                <w:iCs/>
                <w:color w:val="000000"/>
                <w:sz w:val="16"/>
                <w:szCs w:val="16"/>
              </w:rPr>
              <w:t>Príjmy VÚC  spolu</w:t>
            </w:r>
          </w:p>
        </w:tc>
        <w:tc>
          <w:tcPr>
            <w:tcW w:w="94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  1 178 786</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1 123 051</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1 113 718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w:t>
            </w:r>
            <w:r>
              <w:rPr>
                <w:rFonts w:ascii="Times New Roman" w:hAnsi="Times New Roman"/>
                <w:b/>
                <w:bCs/>
                <w:iCs/>
                <w:color w:val="000000"/>
                <w:sz w:val="16"/>
                <w:szCs w:val="16"/>
              </w:rPr>
              <w:t> 132 853</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1 118 568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w:t>
            </w:r>
            <w:r>
              <w:rPr>
                <w:rFonts w:ascii="Times New Roman" w:hAnsi="Times New Roman"/>
                <w:b/>
                <w:bCs/>
                <w:iCs/>
                <w:color w:val="000000"/>
                <w:sz w:val="16"/>
                <w:szCs w:val="16"/>
              </w:rPr>
              <w:t> 186 601</w:t>
            </w:r>
          </w:p>
        </w:tc>
        <w:tc>
          <w:tcPr>
            <w:tcW w:w="88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w:t>
            </w:r>
            <w:r>
              <w:rPr>
                <w:rFonts w:ascii="Times New Roman" w:hAnsi="Times New Roman"/>
                <w:b/>
                <w:bCs/>
                <w:iCs/>
                <w:color w:val="000000"/>
                <w:sz w:val="16"/>
                <w:szCs w:val="16"/>
              </w:rPr>
              <w:t> 189 040</w:t>
            </w:r>
          </w:p>
        </w:tc>
      </w:tr>
      <w:tr>
        <w:tblPrEx>
          <w:tblW w:w="9143" w:type="dxa"/>
          <w:jc w:val="center"/>
          <w:tblInd w:w="18" w:type="dxa"/>
          <w:tblCellMar>
            <w:left w:w="70" w:type="dxa"/>
            <w:right w:w="70" w:type="dxa"/>
          </w:tblCellMar>
          <w:tblLook w:val="04A0"/>
        </w:tblPrEx>
        <w:trPr>
          <w:trHeight w:val="227"/>
          <w:jc w:val="center"/>
        </w:trPr>
        <w:tc>
          <w:tcPr>
            <w:tcW w:w="9143" w:type="dxa"/>
            <w:gridSpan w:val="8"/>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z toho: </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daňové príjmy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529 298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451 432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531 729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521 318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536 891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581 562</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611 935</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nedaňové príjmy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71 537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71 207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77 505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77 505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78 00</w:t>
            </w:r>
            <w:r>
              <w:rPr>
                <w:rFonts w:ascii="Times New Roman" w:hAnsi="Times New Roman"/>
                <w:color w:val="000000"/>
                <w:sz w:val="16"/>
                <w:szCs w:val="16"/>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89 000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83 000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granty a transfery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433 627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506 909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429 284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451 297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412 677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417 039</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431 105</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zo splátok tuzemských úverov, pôžičiek </w:t>
            </w:r>
          </w:p>
          <w:p w:rsidR="009E362C" w:rsidRPr="00965FBB" w:rsidP="00A64696">
            <w:pPr>
              <w:bidi w:val="0"/>
              <w:rPr>
                <w:rFonts w:ascii="Times New Roman" w:hAnsi="Times New Roman"/>
                <w:color w:val="000000"/>
                <w:sz w:val="16"/>
                <w:szCs w:val="16"/>
              </w:rPr>
            </w:pPr>
            <w:r>
              <w:rPr>
                <w:rFonts w:ascii="Times New Roman" w:hAnsi="Times New Roman"/>
                <w:color w:val="000000"/>
                <w:sz w:val="16"/>
                <w:szCs w:val="16"/>
              </w:rPr>
              <w:t xml:space="preserve">    </w:t>
            </w:r>
            <w:r w:rsidRPr="00965FBB">
              <w:rPr>
                <w:rFonts w:ascii="Times New Roman" w:hAnsi="Times New Roman"/>
                <w:color w:val="000000"/>
                <w:sz w:val="16"/>
                <w:szCs w:val="16"/>
              </w:rPr>
              <w:t>a z predaja majetk</w:t>
            </w:r>
            <w:r>
              <w:rPr>
                <w:rFonts w:ascii="Times New Roman" w:hAnsi="Times New Roman"/>
                <w:color w:val="000000"/>
                <w:sz w:val="16"/>
                <w:szCs w:val="16"/>
              </w:rPr>
              <w:t>. ú</w:t>
            </w:r>
            <w:r w:rsidRPr="00965FBB">
              <w:rPr>
                <w:rFonts w:ascii="Times New Roman" w:hAnsi="Times New Roman"/>
                <w:color w:val="000000"/>
                <w:sz w:val="16"/>
                <w:szCs w:val="16"/>
              </w:rPr>
              <w:t>častí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62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zostatok prostr. z predch.  rokov a prevod </w:t>
            </w:r>
          </w:p>
          <w:p w:rsidR="009E362C" w:rsidRPr="00965FBB" w:rsidP="00A64696">
            <w:pPr>
              <w:bidi w:val="0"/>
              <w:rPr>
                <w:rFonts w:ascii="Times New Roman" w:hAnsi="Times New Roman"/>
                <w:color w:val="000000"/>
                <w:sz w:val="16"/>
                <w:szCs w:val="16"/>
              </w:rPr>
            </w:pPr>
            <w:r>
              <w:rPr>
                <w:rFonts w:ascii="Times New Roman" w:hAnsi="Times New Roman"/>
                <w:color w:val="000000"/>
                <w:sz w:val="16"/>
                <w:szCs w:val="16"/>
              </w:rPr>
              <w:t xml:space="preserve">    </w:t>
            </w:r>
            <w:r w:rsidRPr="00965FBB">
              <w:rPr>
                <w:rFonts w:ascii="Times New Roman" w:hAnsi="Times New Roman"/>
                <w:color w:val="000000"/>
                <w:sz w:val="16"/>
                <w:szCs w:val="16"/>
              </w:rPr>
              <w:t>prostriedkov z peňažných fondov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78 881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50 725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34 910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41 336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56 000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54 000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28 000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prijaté úvery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65 410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42 716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40 290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41 397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35 000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45 000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35 000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6C0CE6" w:rsidP="00A64696">
            <w:pPr>
              <w:bidi w:val="0"/>
              <w:rPr>
                <w:rFonts w:ascii="Times New Roman" w:hAnsi="Times New Roman"/>
                <w:b/>
                <w:bCs/>
                <w:iCs/>
                <w:color w:val="000000"/>
                <w:sz w:val="16"/>
                <w:szCs w:val="16"/>
              </w:rPr>
            </w:pPr>
            <w:r w:rsidRPr="006C0CE6">
              <w:rPr>
                <w:rFonts w:ascii="Times New Roman" w:hAnsi="Times New Roman"/>
                <w:b/>
                <w:bCs/>
                <w:iCs/>
                <w:color w:val="000000"/>
                <w:sz w:val="16"/>
                <w:szCs w:val="16"/>
              </w:rPr>
              <w:t>Výdavky VÚC  spolu</w:t>
            </w:r>
          </w:p>
        </w:tc>
        <w:tc>
          <w:tcPr>
            <w:tcW w:w="94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 1 134 503</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1 069 294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1 113 718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w:t>
            </w:r>
            <w:r>
              <w:rPr>
                <w:rFonts w:ascii="Times New Roman" w:hAnsi="Times New Roman"/>
                <w:b/>
                <w:bCs/>
                <w:iCs/>
                <w:color w:val="000000"/>
                <w:sz w:val="16"/>
                <w:szCs w:val="16"/>
              </w:rPr>
              <w:t> 132 320</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1 089 620</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1 125 768</w:t>
            </w:r>
          </w:p>
        </w:tc>
        <w:tc>
          <w:tcPr>
            <w:tcW w:w="88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1 158 953</w:t>
            </w:r>
          </w:p>
        </w:tc>
      </w:tr>
      <w:tr>
        <w:tblPrEx>
          <w:tblW w:w="9143" w:type="dxa"/>
          <w:jc w:val="center"/>
          <w:tblInd w:w="18" w:type="dxa"/>
          <w:tblCellMar>
            <w:left w:w="70" w:type="dxa"/>
            <w:right w:w="70" w:type="dxa"/>
          </w:tblCellMar>
          <w:tblLook w:val="04A0"/>
        </w:tblPrEx>
        <w:trPr>
          <w:trHeight w:val="227"/>
          <w:jc w:val="center"/>
        </w:trPr>
        <w:tc>
          <w:tcPr>
            <w:tcW w:w="9143" w:type="dxa"/>
            <w:gridSpan w:val="8"/>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z toho: </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mzdy a odvody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346 818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344 897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351 045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351 046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352 303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368 605</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389 707</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tovary a služby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223 306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204 662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246 815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246 815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204 662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208 755</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212 930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bežné transfery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388 843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387 655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347 897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347 897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387 655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395 408</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403 316</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splácanie úrokov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7 364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4 969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8 278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8 278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kapitálové výdavky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158 886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108 882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145 741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Pr>
                <w:rFonts w:ascii="Times New Roman" w:hAnsi="Times New Roman"/>
                <w:color w:val="000000"/>
                <w:sz w:val="16"/>
                <w:szCs w:val="16"/>
              </w:rPr>
              <w:t>164 343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120 000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125 000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125 000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xml:space="preserve">  úvery a účasť na majetku (FO)  </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1 521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4 329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664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664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xml:space="preserve">▪  </w:t>
            </w:r>
            <w:r w:rsidRPr="00965FBB">
              <w:rPr>
                <w:rFonts w:ascii="Times New Roman" w:hAnsi="Times New Roman"/>
                <w:color w:val="000000"/>
                <w:sz w:val="16"/>
                <w:szCs w:val="16"/>
              </w:rPr>
              <w:t xml:space="preserve"> splácanie istiny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7 765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13 900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13 278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13 277</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 xml:space="preserve">16 000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19 000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19 000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6C0CE6" w:rsidP="00A64696">
            <w:pPr>
              <w:bidi w:val="0"/>
              <w:rPr>
                <w:rFonts w:ascii="Times New Roman" w:hAnsi="Times New Roman"/>
                <w:b/>
                <w:bCs/>
                <w:iCs/>
                <w:color w:val="000000"/>
                <w:sz w:val="16"/>
                <w:szCs w:val="16"/>
              </w:rPr>
            </w:pPr>
            <w:r w:rsidRPr="006C0CE6">
              <w:rPr>
                <w:rFonts w:ascii="Times New Roman" w:hAnsi="Times New Roman"/>
                <w:b/>
                <w:bCs/>
                <w:iCs/>
                <w:color w:val="000000"/>
                <w:sz w:val="16"/>
                <w:szCs w:val="16"/>
              </w:rPr>
              <w:t>Celkový prebytok VÚC</w:t>
            </w:r>
          </w:p>
        </w:tc>
        <w:tc>
          <w:tcPr>
            <w:tcW w:w="94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 44 283</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53 757</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0</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533</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28 948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60 833</w:t>
            </w:r>
          </w:p>
        </w:tc>
        <w:tc>
          <w:tcPr>
            <w:tcW w:w="88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Pr>
                <w:rFonts w:ascii="Times New Roman" w:hAnsi="Times New Roman"/>
                <w:b/>
                <w:bCs/>
                <w:iCs/>
                <w:color w:val="000000"/>
                <w:sz w:val="16"/>
                <w:szCs w:val="16"/>
              </w:rPr>
              <w:t>30 087</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vylúčenie finančných operácií</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-135 038 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- 75 274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-61 258</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-68 792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-74 000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-79 000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-43 000</w:t>
            </w:r>
          </w:p>
        </w:tc>
      </w:tr>
      <w:tr>
        <w:tblPrEx>
          <w:tblW w:w="9143" w:type="dxa"/>
          <w:jc w:val="center"/>
          <w:tblInd w:w="18" w:type="dxa"/>
          <w:tblCellMar>
            <w:left w:w="70" w:type="dxa"/>
            <w:right w:w="70" w:type="dxa"/>
          </w:tblCellMar>
          <w:tblLook w:val="04A0"/>
        </w:tblPrEx>
        <w:trPr>
          <w:trHeight w:val="227"/>
          <w:jc w:val="center"/>
        </w:trPr>
        <w:tc>
          <w:tcPr>
            <w:tcW w:w="9143" w:type="dxa"/>
            <w:gridSpan w:val="8"/>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z toho: </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vylúčenie príjmových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-144 324</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-93 503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-75 200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-82 733</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-91 000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-99 000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-63 000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color w:val="000000"/>
                <w:sz w:val="16"/>
                <w:szCs w:val="16"/>
              </w:rPr>
            </w:pPr>
            <w:r w:rsidRPr="00965FBB">
              <w:rPr>
                <w:rFonts w:ascii="Times New Roman" w:hAnsi="Times New Roman"/>
                <w:sz w:val="16"/>
                <w:szCs w:val="16"/>
              </w:rPr>
              <w:t>▪ </w:t>
            </w:r>
            <w:r w:rsidRPr="00965FBB">
              <w:rPr>
                <w:rFonts w:ascii="Times New Roman" w:hAnsi="Times New Roman"/>
                <w:color w:val="000000"/>
                <w:sz w:val="16"/>
                <w:szCs w:val="16"/>
              </w:rPr>
              <w:t>  vylúčenie výdavkových FO</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9 286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18 229</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13 942</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13 941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17 000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20 000</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color w:val="000000"/>
                <w:sz w:val="16"/>
                <w:szCs w:val="16"/>
              </w:rPr>
            </w:pPr>
            <w:r w:rsidRPr="00965FBB">
              <w:rPr>
                <w:rFonts w:ascii="Times New Roman" w:hAnsi="Times New Roman"/>
                <w:color w:val="000000"/>
                <w:sz w:val="16"/>
                <w:szCs w:val="16"/>
              </w:rPr>
              <w:t>20 000</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textDirection w:val="lrTb"/>
            <w:vAlign w:val="center"/>
          </w:tcPr>
          <w:p w:rsidR="009E362C" w:rsidRPr="00965FBB" w:rsidP="00A64696">
            <w:pPr>
              <w:bidi w:val="0"/>
              <w:rPr>
                <w:rFonts w:ascii="Times New Roman" w:hAnsi="Times New Roman"/>
                <w:b/>
                <w:bCs/>
                <w:i/>
                <w:iCs/>
                <w:color w:val="000000"/>
                <w:sz w:val="16"/>
                <w:szCs w:val="16"/>
              </w:rPr>
            </w:pPr>
            <w:r w:rsidRPr="00965FBB">
              <w:rPr>
                <w:rFonts w:ascii="Times New Roman" w:hAnsi="Times New Roman"/>
                <w:b/>
                <w:bCs/>
                <w:i/>
                <w:iCs/>
                <w:color w:val="000000"/>
                <w:sz w:val="16"/>
                <w:szCs w:val="16"/>
              </w:rPr>
              <w:t>zahrnutie časového rozlíšenia</w:t>
            </w:r>
            <w:r w:rsidRPr="00965FBB">
              <w:rPr>
                <w:rFonts w:ascii="Times New Roman" w:hAnsi="Times New Roman"/>
                <w:b/>
                <w:i/>
                <w:sz w:val="16"/>
                <w:szCs w:val="16"/>
              </w:rPr>
              <w:t xml:space="preserve">  a ostatné úpravy</w:t>
            </w:r>
          </w:p>
        </w:tc>
        <w:tc>
          <w:tcPr>
            <w:tcW w:w="94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-34 269 </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-3 641</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1 230</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1 705</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-5 256</w:t>
            </w:r>
          </w:p>
        </w:tc>
        <w:tc>
          <w:tcPr>
            <w:tcW w:w="860"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-25 309</w:t>
            </w:r>
          </w:p>
        </w:tc>
        <w:tc>
          <w:tcPr>
            <w:tcW w:w="885" w:type="dxa"/>
            <w:tcBorders>
              <w:top w:val="single" w:sz="4" w:space="0" w:color="auto"/>
              <w:left w:val="single" w:sz="4" w:space="0" w:color="auto"/>
              <w:bottom w:val="single" w:sz="4" w:space="0" w:color="auto"/>
              <w:right w:val="single" w:sz="4" w:space="0" w:color="auto"/>
            </w:tcBorders>
            <w:textDirection w:val="lrTb"/>
            <w:vAlign w:val="bottom"/>
          </w:tcPr>
          <w:p w:rsidR="009E362C" w:rsidRPr="00965FBB" w:rsidP="00A64696">
            <w:pPr>
              <w:bidi w:val="0"/>
              <w:ind w:firstLine="320" w:firstLineChars="200"/>
              <w:jc w:val="right"/>
              <w:rPr>
                <w:rFonts w:ascii="Times New Roman" w:hAnsi="Times New Roman"/>
                <w:b/>
                <w:bCs/>
                <w:i/>
                <w:iCs/>
                <w:color w:val="000000"/>
                <w:sz w:val="16"/>
                <w:szCs w:val="16"/>
              </w:rPr>
            </w:pPr>
            <w:r w:rsidRPr="00965FBB">
              <w:rPr>
                <w:rFonts w:ascii="Times New Roman" w:hAnsi="Times New Roman"/>
                <w:b/>
                <w:bCs/>
                <w:i/>
                <w:iCs/>
                <w:color w:val="000000"/>
                <w:sz w:val="16"/>
                <w:szCs w:val="16"/>
              </w:rPr>
              <w:t>-5 363</w:t>
            </w:r>
          </w:p>
        </w:tc>
      </w:tr>
      <w:tr>
        <w:tblPrEx>
          <w:tblW w:w="9143" w:type="dxa"/>
          <w:jc w:val="center"/>
          <w:tblInd w:w="18" w:type="dxa"/>
          <w:tblCellMar>
            <w:left w:w="70" w:type="dxa"/>
            <w:right w:w="70" w:type="dxa"/>
          </w:tblCellMar>
          <w:tblLook w:val="04A0"/>
        </w:tblPrEx>
        <w:trPr>
          <w:trHeight w:val="227"/>
          <w:jc w:val="center"/>
        </w:trPr>
        <w:tc>
          <w:tcPr>
            <w:tcW w:w="30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E362C" w:rsidRPr="006C0CE6" w:rsidP="00A64696">
            <w:pPr>
              <w:bidi w:val="0"/>
              <w:rPr>
                <w:rFonts w:ascii="Times New Roman" w:hAnsi="Times New Roman"/>
                <w:b/>
                <w:bCs/>
                <w:iCs/>
                <w:color w:val="000000"/>
                <w:sz w:val="16"/>
                <w:szCs w:val="16"/>
              </w:rPr>
            </w:pPr>
            <w:r w:rsidRPr="006C0CE6">
              <w:rPr>
                <w:rFonts w:ascii="Times New Roman" w:hAnsi="Times New Roman"/>
                <w:b/>
                <w:bCs/>
                <w:iCs/>
                <w:color w:val="000000"/>
                <w:sz w:val="16"/>
                <w:szCs w:val="16"/>
              </w:rPr>
              <w:t>Schodok  VÚC  (ESA 95)</w:t>
            </w:r>
          </w:p>
        </w:tc>
        <w:tc>
          <w:tcPr>
            <w:tcW w:w="94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-125 024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- 25 158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-60 028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 xml:space="preserve"> -</w:t>
            </w:r>
            <w:r>
              <w:rPr>
                <w:rFonts w:ascii="Times New Roman" w:hAnsi="Times New Roman"/>
                <w:b/>
                <w:bCs/>
                <w:iCs/>
                <w:color w:val="000000"/>
                <w:sz w:val="16"/>
                <w:szCs w:val="16"/>
              </w:rPr>
              <w:t>69 964</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w:t>
            </w:r>
            <w:r>
              <w:rPr>
                <w:rFonts w:ascii="Times New Roman" w:hAnsi="Times New Roman"/>
                <w:b/>
                <w:bCs/>
                <w:iCs/>
                <w:color w:val="000000"/>
                <w:sz w:val="16"/>
                <w:szCs w:val="16"/>
              </w:rPr>
              <w:t>50 308</w:t>
            </w:r>
          </w:p>
        </w:tc>
        <w:tc>
          <w:tcPr>
            <w:tcW w:w="86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w:t>
            </w:r>
            <w:r>
              <w:rPr>
                <w:rFonts w:ascii="Times New Roman" w:hAnsi="Times New Roman"/>
                <w:b/>
                <w:bCs/>
                <w:iCs/>
                <w:color w:val="000000"/>
                <w:sz w:val="16"/>
                <w:szCs w:val="16"/>
              </w:rPr>
              <w:t>43 476</w:t>
            </w:r>
          </w:p>
        </w:tc>
        <w:tc>
          <w:tcPr>
            <w:tcW w:w="88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9E362C" w:rsidRPr="006C0CE6" w:rsidP="00A64696">
            <w:pPr>
              <w:bidi w:val="0"/>
              <w:jc w:val="right"/>
              <w:rPr>
                <w:rFonts w:ascii="Times New Roman" w:hAnsi="Times New Roman"/>
                <w:b/>
                <w:bCs/>
                <w:iCs/>
                <w:color w:val="000000"/>
                <w:sz w:val="16"/>
                <w:szCs w:val="16"/>
              </w:rPr>
            </w:pPr>
            <w:r w:rsidRPr="006C0CE6">
              <w:rPr>
                <w:rFonts w:ascii="Times New Roman" w:hAnsi="Times New Roman"/>
                <w:b/>
                <w:bCs/>
                <w:iCs/>
                <w:color w:val="000000"/>
                <w:sz w:val="16"/>
                <w:szCs w:val="16"/>
              </w:rPr>
              <w:t>-</w:t>
            </w:r>
            <w:r>
              <w:rPr>
                <w:rFonts w:ascii="Times New Roman" w:hAnsi="Times New Roman"/>
                <w:b/>
                <w:bCs/>
                <w:iCs/>
                <w:color w:val="000000"/>
                <w:sz w:val="16"/>
                <w:szCs w:val="16"/>
              </w:rPr>
              <w:t>18 276</w:t>
            </w:r>
          </w:p>
        </w:tc>
      </w:tr>
    </w:tbl>
    <w:p w:rsidR="009E362C" w:rsidP="009E362C">
      <w:pPr>
        <w:pStyle w:val="BodyText"/>
        <w:bidi w:val="0"/>
        <w:rPr>
          <w:rFonts w:ascii="Times New Roman" w:hAnsi="Times New Roman"/>
          <w:sz w:val="22"/>
          <w:szCs w:val="22"/>
        </w:rPr>
      </w:pPr>
    </w:p>
    <w:p w:rsidR="009E362C" w:rsidRPr="00EB33CC" w:rsidP="009E362C">
      <w:pPr>
        <w:bidi w:val="0"/>
        <w:ind w:firstLine="708"/>
        <w:jc w:val="both"/>
        <w:rPr>
          <w:rFonts w:ascii="Times New Roman" w:hAnsi="Times New Roman"/>
        </w:rPr>
      </w:pPr>
      <w:r w:rsidRPr="00EB33CC">
        <w:rPr>
          <w:rFonts w:ascii="Times New Roman" w:hAnsi="Times New Roman"/>
        </w:rPr>
        <w:t>Celkové príjmy VÚC v roku 2012 sa oproti skutočnosti na rok 2010 znížili o 0,</w:t>
      </w:r>
      <w:r>
        <w:rPr>
          <w:rFonts w:ascii="Times New Roman" w:hAnsi="Times New Roman"/>
        </w:rPr>
        <w:t>4</w:t>
      </w:r>
      <w:r w:rsidRPr="00EB33CC">
        <w:rPr>
          <w:rFonts w:ascii="Times New Roman" w:hAnsi="Times New Roman"/>
        </w:rPr>
        <w:t xml:space="preserve"> %, z toho granty a transfery o</w:t>
      </w:r>
      <w:r>
        <w:rPr>
          <w:rFonts w:ascii="Times New Roman" w:hAnsi="Times New Roman"/>
        </w:rPr>
        <w:t> 18,6</w:t>
      </w:r>
      <w:r w:rsidRPr="00EB33CC">
        <w:rPr>
          <w:rFonts w:ascii="Times New Roman" w:hAnsi="Times New Roman"/>
        </w:rPr>
        <w:t xml:space="preserve"> % a príjmové finančné operácie o 2,7 %, ale v daňových príjmoch došlo k nárastu o</w:t>
      </w:r>
      <w:r>
        <w:rPr>
          <w:rFonts w:ascii="Times New Roman" w:hAnsi="Times New Roman"/>
        </w:rPr>
        <w:t> 18,9</w:t>
      </w:r>
      <w:r w:rsidRPr="00EB33CC">
        <w:rPr>
          <w:rFonts w:ascii="Times New Roman" w:hAnsi="Times New Roman"/>
        </w:rPr>
        <w:t xml:space="preserve"> % a v nedaňových príjmoch o 9,5 %. </w:t>
      </w:r>
    </w:p>
    <w:p w:rsidR="009E362C" w:rsidRPr="00EB33CC" w:rsidP="009E362C">
      <w:pPr>
        <w:bidi w:val="0"/>
        <w:ind w:firstLine="708"/>
        <w:jc w:val="both"/>
        <w:rPr>
          <w:rFonts w:ascii="Times New Roman" w:hAnsi="Times New Roman"/>
        </w:rPr>
      </w:pPr>
    </w:p>
    <w:p w:rsidR="009E362C" w:rsidRPr="00EB33CC" w:rsidP="009E362C">
      <w:pPr>
        <w:bidi w:val="0"/>
        <w:ind w:firstLine="708"/>
        <w:jc w:val="both"/>
        <w:rPr>
          <w:rFonts w:ascii="Times New Roman" w:hAnsi="Times New Roman"/>
        </w:rPr>
      </w:pPr>
      <w:r w:rsidRPr="00EB33CC">
        <w:rPr>
          <w:rFonts w:ascii="Times New Roman" w:hAnsi="Times New Roman"/>
        </w:rPr>
        <w:t>V roku 2013 sa oproti roku 2012 v rozpočtoch VÚC v príjmoch očakáva nárast o 6,</w:t>
      </w:r>
      <w:r>
        <w:rPr>
          <w:rFonts w:ascii="Times New Roman" w:hAnsi="Times New Roman"/>
        </w:rPr>
        <w:t>1 </w:t>
      </w:r>
      <w:r w:rsidRPr="00EB33CC">
        <w:rPr>
          <w:rFonts w:ascii="Times New Roman" w:hAnsi="Times New Roman"/>
        </w:rPr>
        <w:t>% a v roku 2014 oproti roku 2013 o 0,</w:t>
      </w:r>
      <w:r>
        <w:rPr>
          <w:rFonts w:ascii="Times New Roman" w:hAnsi="Times New Roman"/>
        </w:rPr>
        <w:t>2</w:t>
      </w:r>
      <w:r w:rsidRPr="00EB33CC">
        <w:rPr>
          <w:rFonts w:ascii="Times New Roman" w:hAnsi="Times New Roman"/>
        </w:rPr>
        <w:t xml:space="preserve"> %. Daňové príjmy sa očakávajú v roku 2013 oproti roku 2012 vyššie o 8,</w:t>
      </w:r>
      <w:r>
        <w:rPr>
          <w:rFonts w:ascii="Times New Roman" w:hAnsi="Times New Roman"/>
        </w:rPr>
        <w:t>3</w:t>
      </w:r>
      <w:r w:rsidRPr="00EB33CC">
        <w:rPr>
          <w:rFonts w:ascii="Times New Roman" w:hAnsi="Times New Roman"/>
        </w:rPr>
        <w:t xml:space="preserve"> % a v roku 2014 oproti roku 2013 o 5,</w:t>
      </w:r>
      <w:r>
        <w:rPr>
          <w:rFonts w:ascii="Times New Roman" w:hAnsi="Times New Roman"/>
        </w:rPr>
        <w:t>2</w:t>
      </w:r>
      <w:r w:rsidRPr="00EB33CC">
        <w:rPr>
          <w:rFonts w:ascii="Times New Roman" w:hAnsi="Times New Roman"/>
        </w:rPr>
        <w:t xml:space="preserve"> %. Bližšie informácie o prognóze jednotlivých druhov daňových príjmov sú uvedené v časti </w:t>
      </w:r>
      <w:r>
        <w:rPr>
          <w:rFonts w:ascii="Times New Roman" w:hAnsi="Times New Roman"/>
        </w:rPr>
        <w:t>4.</w:t>
      </w:r>
      <w:r w:rsidRPr="00EB33CC">
        <w:rPr>
          <w:rFonts w:ascii="Times New Roman" w:hAnsi="Times New Roman"/>
        </w:rPr>
        <w:t xml:space="preserve"> materiálu.</w:t>
      </w:r>
    </w:p>
    <w:p w:rsidR="009E362C" w:rsidRPr="00EB33CC" w:rsidP="009E362C">
      <w:pPr>
        <w:bidi w:val="0"/>
        <w:ind w:firstLine="708"/>
        <w:jc w:val="both"/>
        <w:rPr>
          <w:rFonts w:ascii="Times New Roman" w:hAnsi="Times New Roman"/>
        </w:rPr>
      </w:pPr>
    </w:p>
    <w:p w:rsidR="009E362C" w:rsidRPr="00EB33CC" w:rsidP="00A64696">
      <w:pPr>
        <w:bidi w:val="0"/>
        <w:ind w:firstLine="709"/>
        <w:jc w:val="both"/>
        <w:rPr>
          <w:rFonts w:ascii="Times New Roman" w:hAnsi="Times New Roman"/>
          <w:b/>
          <w:bCs/>
        </w:rPr>
      </w:pPr>
      <w:r w:rsidRPr="00EB33CC">
        <w:rPr>
          <w:rFonts w:ascii="Times New Roman" w:hAnsi="Times New Roman"/>
        </w:rPr>
        <w:t>V projektovaných výdavkoch rozpočtov VÚC sa premieta potreba fiškálnej konsolidácie. Počíta sa so zachovaním osobných výdavkov, tovarov a služieb a bežných grantov a transferov na úrovni skutočnosti roka 2010</w:t>
      </w:r>
      <w:r>
        <w:rPr>
          <w:rFonts w:ascii="Times New Roman" w:hAnsi="Times New Roman"/>
        </w:rPr>
        <w:t>,</w:t>
      </w:r>
      <w:r w:rsidRPr="00EB33CC">
        <w:rPr>
          <w:rFonts w:ascii="Times New Roman" w:hAnsi="Times New Roman"/>
        </w:rPr>
        <w:t xml:space="preserve"> v ďalších rokoch je premietnutý dvojpercentný medziročný nárast s výnimkou nárastu osobných výdavkov v oblasti školstva. </w:t>
      </w:r>
    </w:p>
    <w:p w:rsidR="00E109C4" w:rsidRPr="00CE4ECF" w:rsidP="0090114D">
      <w:pPr>
        <w:bidi w:val="0"/>
        <w:jc w:val="both"/>
        <w:rPr>
          <w:rFonts w:ascii="Times New Roman" w:hAnsi="Times New Roman"/>
          <w:b/>
          <w:bCs/>
        </w:rPr>
      </w:pPr>
    </w:p>
    <w:p w:rsidR="00CD58B8" w:rsidRPr="00EE09A6" w:rsidP="00A64696">
      <w:pPr>
        <w:bidi w:val="0"/>
        <w:jc w:val="both"/>
        <w:rPr>
          <w:rFonts w:ascii="Times New Roman" w:hAnsi="Times New Roman"/>
          <w:b/>
          <w:bCs/>
        </w:rPr>
      </w:pPr>
      <w:r w:rsidRPr="00EE09A6">
        <w:rPr>
          <w:rFonts w:ascii="Times New Roman" w:hAnsi="Times New Roman"/>
          <w:b/>
          <w:bCs/>
        </w:rPr>
        <w:t>2. Sociálna poisťovňa</w:t>
      </w:r>
    </w:p>
    <w:p w:rsidR="00CD58B8" w:rsidRPr="00CE4ECF" w:rsidP="00A64696">
      <w:pPr>
        <w:bidi w:val="0"/>
        <w:jc w:val="both"/>
        <w:rPr>
          <w:rFonts w:ascii="Times New Roman" w:hAnsi="Times New Roman"/>
          <w:szCs w:val="22"/>
        </w:rPr>
      </w:pPr>
    </w:p>
    <w:p w:rsidR="00C96933" w:rsidP="00C96933">
      <w:pPr>
        <w:bidi w:val="0"/>
        <w:spacing w:after="120"/>
        <w:ind w:firstLine="709"/>
        <w:jc w:val="both"/>
        <w:rPr>
          <w:rFonts w:ascii="Times New Roman" w:hAnsi="Times New Roman"/>
        </w:rPr>
      </w:pPr>
      <w:r>
        <w:rPr>
          <w:rFonts w:ascii="Times New Roman" w:hAnsi="Times New Roman"/>
        </w:rPr>
        <w:t xml:space="preserve">Návrh rozpočtu Sociálnej poisťovne v roku 2012 vychádza z očakávanej skutočnosti Sociálnej poisťovne v roku 2011 a z makroekonomickej prognózy Ministerstva financií SR. Zároveň zohľadňuje pripravované legislatívne zmeny, ktoré majú nadobudnúť účinnosť od </w:t>
        <w:br/>
        <w:t>1. januára 2012.</w:t>
      </w:r>
    </w:p>
    <w:p w:rsidR="00C96933" w:rsidP="00C96933">
      <w:pPr>
        <w:pStyle w:val="BodyTextIndent2"/>
        <w:tabs>
          <w:tab w:val="left" w:pos="0"/>
        </w:tabs>
        <w:bidi w:val="0"/>
        <w:spacing w:after="0" w:line="240" w:lineRule="auto"/>
        <w:ind w:left="0"/>
        <w:jc w:val="both"/>
        <w:rPr>
          <w:rFonts w:ascii="Times New Roman" w:hAnsi="Times New Roman"/>
        </w:rPr>
      </w:pPr>
      <w:r>
        <w:rPr>
          <w:rFonts w:ascii="Times New Roman" w:hAnsi="Times New Roman"/>
        </w:rPr>
        <w:tab/>
        <w:t>V rámci pripravovanej novely zákona o sociálnom poistení sa ruší rezervný fond solidarity a základný fond garančného poistenia, vytvára sa fond sociálneho poistenia a samostatný fond úrazového poistenia, výdavky týchto fondov tvoria výdavky poistenia.</w:t>
      </w:r>
    </w:p>
    <w:p w:rsidR="00C96933" w:rsidP="00C96933">
      <w:pPr>
        <w:pStyle w:val="BodyTextIndent2"/>
        <w:tabs>
          <w:tab w:val="left" w:pos="0"/>
        </w:tabs>
        <w:bidi w:val="0"/>
        <w:spacing w:after="0" w:line="240" w:lineRule="auto"/>
        <w:ind w:left="0"/>
        <w:jc w:val="both"/>
        <w:rPr>
          <w:rFonts w:ascii="Arial Narrow" w:hAnsi="Arial Narrow" w:cs="Arial"/>
          <w:sz w:val="22"/>
          <w:szCs w:val="22"/>
        </w:rPr>
      </w:pPr>
    </w:p>
    <w:p w:rsidR="00C96933" w:rsidP="00C96933">
      <w:pPr>
        <w:pStyle w:val="BodyTextIndent2"/>
        <w:tabs>
          <w:tab w:val="left" w:pos="0"/>
        </w:tabs>
        <w:bidi w:val="0"/>
        <w:spacing w:after="0" w:line="240" w:lineRule="auto"/>
        <w:ind w:left="0"/>
        <w:jc w:val="both"/>
        <w:rPr>
          <w:rFonts w:ascii="Times New Roman" w:hAnsi="Times New Roman"/>
        </w:rPr>
      </w:pPr>
      <w:r>
        <w:rPr>
          <w:rFonts w:ascii="Times New Roman" w:hAnsi="Times New Roman"/>
        </w:rPr>
        <w:tab/>
        <w:t>Medzi ďalšie hlavné pripravované legislatívne zmeny patrí zavedenie nových parametrov daňovo-odvodového systému, poskytovanie garančnej dávky ako štátnej sociálnej dávky a úhrada neodvedených príspevkov zamestnávateľom na starobné dôchodkové sporenie zo štátneho rozpočtu, zníženie sadzby poistného na sociálne poistenie platenej štátom a zmena valorizačného mechanizmu od roku 2013 podľa dôchodcovskej inflácie.</w:t>
      </w: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p>
    <w:p w:rsidR="00C96933" w:rsidP="00C96933">
      <w:pPr>
        <w:pStyle w:val="BodyTextIndent2"/>
        <w:tabs>
          <w:tab w:val="left" w:pos="0"/>
        </w:tabs>
        <w:bidi w:val="0"/>
        <w:spacing w:after="0" w:line="240" w:lineRule="auto"/>
        <w:ind w:left="0"/>
        <w:jc w:val="both"/>
        <w:rPr>
          <w:rFonts w:ascii="Times New Roman" w:hAnsi="Times New Roman"/>
        </w:rPr>
      </w:pPr>
      <w:r>
        <w:rPr>
          <w:rFonts w:ascii="Times New Roman" w:hAnsi="Times New Roman"/>
        </w:rPr>
        <w:tab/>
        <w:t>Vývoj príjmovej a výdavkovej časti rozpočtu Sociálnej poisťovne na roky 2012 až 2014 je v porovnaní s predchádzajúcimi rokmi nasledovný:</w:t>
      </w:r>
    </w:p>
    <w:p w:rsidR="00C96933" w:rsidP="00C96933">
      <w:pPr>
        <w:pStyle w:val="BodyTextIndent2"/>
        <w:tabs>
          <w:tab w:val="left" w:pos="0"/>
        </w:tabs>
        <w:bidi w:val="0"/>
        <w:spacing w:after="0" w:line="240" w:lineRule="auto"/>
        <w:ind w:left="0"/>
        <w:jc w:val="both"/>
        <w:rPr>
          <w:rFonts w:ascii="Arial Narrow" w:hAnsi="Arial Narrow" w:cs="Arial"/>
          <w:sz w:val="22"/>
          <w:szCs w:val="22"/>
        </w:rPr>
      </w:pPr>
    </w:p>
    <w:tbl>
      <w:tblPr>
        <w:tblStyle w:val="TableNormal"/>
        <w:tblW w:w="9072" w:type="dxa"/>
        <w:jc w:val="center"/>
        <w:tblCellMar>
          <w:left w:w="70" w:type="dxa"/>
          <w:right w:w="70" w:type="dxa"/>
        </w:tblCellMar>
        <w:tblLook w:val="04A0"/>
      </w:tblPr>
      <w:tblGrid>
        <w:gridCol w:w="3603"/>
        <w:gridCol w:w="782"/>
        <w:gridCol w:w="782"/>
        <w:gridCol w:w="781"/>
        <w:gridCol w:w="781"/>
        <w:gridCol w:w="781"/>
        <w:gridCol w:w="781"/>
        <w:gridCol w:w="781"/>
      </w:tblGrid>
      <w:tr>
        <w:tblPrEx>
          <w:tblW w:w="9072" w:type="dxa"/>
          <w:jc w:val="center"/>
          <w:tblCellMar>
            <w:left w:w="70" w:type="dxa"/>
            <w:right w:w="70" w:type="dxa"/>
          </w:tblCellMar>
          <w:tblLook w:val="04A0"/>
        </w:tblPrEx>
        <w:trPr>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v tis. eur</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2009 S</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2010 S</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2011 R</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2011 OS</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2012 N</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2013 N</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2014 N</w:t>
            </w:r>
          </w:p>
        </w:tc>
      </w:tr>
      <w:tr>
        <w:tblPrEx>
          <w:tblW w:w="9072" w:type="dxa"/>
          <w:jc w:val="center"/>
          <w:tblCellMar>
            <w:left w:w="70" w:type="dxa"/>
            <w:right w:w="70" w:type="dxa"/>
          </w:tblCellMar>
          <w:tblLook w:val="04A0"/>
        </w:tblPrEx>
        <w:trPr>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Príjmy Sociálnej poisťovne spolu</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6 178 091</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6 382 845</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6 727 055</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6 693 993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iCs/>
                <w:sz w:val="16"/>
                <w:szCs w:val="16"/>
              </w:rPr>
            </w:pPr>
            <w:r w:rsidRPr="00A539FC">
              <w:rPr>
                <w:rFonts w:ascii="Times New Roman" w:hAnsi="Times New Roman"/>
                <w:b/>
                <w:bCs/>
                <w:iCs/>
                <w:sz w:val="16"/>
                <w:szCs w:val="16"/>
              </w:rPr>
              <w:t>7 007 389</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iCs/>
                <w:sz w:val="16"/>
                <w:szCs w:val="16"/>
              </w:rPr>
            </w:pPr>
            <w:r w:rsidRPr="00A539FC">
              <w:rPr>
                <w:rFonts w:ascii="Times New Roman" w:hAnsi="Times New Roman"/>
                <w:b/>
                <w:bCs/>
                <w:iCs/>
                <w:sz w:val="16"/>
                <w:szCs w:val="16"/>
              </w:rPr>
              <w:t>7 401 865</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iCs/>
                <w:sz w:val="16"/>
                <w:szCs w:val="16"/>
              </w:rPr>
            </w:pPr>
            <w:r w:rsidRPr="00A539FC">
              <w:rPr>
                <w:rFonts w:ascii="Times New Roman" w:hAnsi="Times New Roman"/>
                <w:b/>
                <w:bCs/>
                <w:iCs/>
                <w:sz w:val="16"/>
                <w:szCs w:val="16"/>
              </w:rPr>
              <w:t>7 759 491</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z toho: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daňové príjmy (príjmy z poistného)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4 488 037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4 402 457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4 699 316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4 709 047</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D04FFB">
            <w:pPr>
              <w:bidi w:val="0"/>
              <w:jc w:val="right"/>
              <w:rPr>
                <w:rFonts w:ascii="Times New Roman" w:hAnsi="Times New Roman"/>
                <w:sz w:val="16"/>
                <w:szCs w:val="16"/>
              </w:rPr>
            </w:pPr>
            <w:r w:rsidRPr="00A539FC">
              <w:rPr>
                <w:rFonts w:ascii="Times New Roman" w:hAnsi="Times New Roman"/>
                <w:sz w:val="16"/>
                <w:szCs w:val="16"/>
              </w:rPr>
              <w:t>3 600 60</w:t>
            </w:r>
            <w:r w:rsidR="00D04FFB">
              <w:rPr>
                <w:rFonts w:ascii="Times New Roman" w:hAnsi="Times New Roman"/>
                <w:sz w:val="16"/>
                <w:szCs w:val="16"/>
              </w:rPr>
              <w:t>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D04FFB">
            <w:pPr>
              <w:bidi w:val="0"/>
              <w:jc w:val="right"/>
              <w:rPr>
                <w:rFonts w:ascii="Times New Roman" w:hAnsi="Times New Roman"/>
                <w:sz w:val="16"/>
                <w:szCs w:val="16"/>
              </w:rPr>
            </w:pPr>
            <w:r w:rsidRPr="00A539FC">
              <w:rPr>
                <w:rFonts w:ascii="Times New Roman" w:hAnsi="Times New Roman"/>
                <w:sz w:val="16"/>
                <w:szCs w:val="16"/>
              </w:rPr>
              <w:t>3 708 19</w:t>
            </w:r>
            <w:r w:rsidR="00D04FFB">
              <w:rPr>
                <w:rFonts w:ascii="Times New Roman" w:hAnsi="Times New Roman"/>
                <w:sz w:val="16"/>
                <w:szCs w:val="16"/>
              </w:rPr>
              <w:t>4</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3 890 802</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z toho:  ekonomicky aktívne osoby</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3 992 028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4 007 322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4 359 402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4 261 602</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3 307 299</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3 410 029</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3 587 269</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dlžné poistné</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212 529</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226 596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165 760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271 620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149 373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149 373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149 373</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prevod za výstup z II. piliera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108 778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štát</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169 722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164 997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167 984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171 502</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139 355</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143 991</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149 358</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nedaňové príjmy (úroky a iné príjmy)</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12 870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12 893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14 821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14 821</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D04FFB">
            <w:pPr>
              <w:bidi w:val="0"/>
              <w:jc w:val="right"/>
              <w:rPr>
                <w:rFonts w:ascii="Times New Roman" w:hAnsi="Times New Roman"/>
                <w:sz w:val="16"/>
                <w:szCs w:val="16"/>
              </w:rPr>
            </w:pPr>
            <w:r w:rsidRPr="00A539FC">
              <w:rPr>
                <w:rFonts w:ascii="Times New Roman" w:hAnsi="Times New Roman"/>
                <w:sz w:val="16"/>
                <w:szCs w:val="16"/>
              </w:rPr>
              <w:t>15 22</w:t>
            </w:r>
            <w:r w:rsidR="00D04FFB">
              <w:rPr>
                <w:rFonts w:ascii="Times New Roman" w:hAnsi="Times New Roman"/>
                <w:sz w:val="16"/>
                <w:szCs w:val="16"/>
              </w:rPr>
              <w:t>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D04FFB">
            <w:pPr>
              <w:bidi w:val="0"/>
              <w:jc w:val="right"/>
              <w:rPr>
                <w:rFonts w:ascii="Times New Roman" w:hAnsi="Times New Roman"/>
                <w:sz w:val="16"/>
                <w:szCs w:val="16"/>
              </w:rPr>
            </w:pPr>
            <w:r w:rsidRPr="00A539FC">
              <w:rPr>
                <w:rFonts w:ascii="Times New Roman" w:hAnsi="Times New Roman"/>
                <w:sz w:val="16"/>
                <w:szCs w:val="16"/>
              </w:rPr>
              <w:t>15 57</w:t>
            </w:r>
            <w:r w:rsidR="00D04FFB">
              <w:rPr>
                <w:rFonts w:ascii="Times New Roman" w:hAnsi="Times New Roman"/>
                <w:sz w:val="16"/>
                <w:szCs w:val="16"/>
              </w:rPr>
              <w:t>5</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15 801</w:t>
            </w:r>
          </w:p>
        </w:tc>
      </w:tr>
      <w:tr>
        <w:tblPrEx>
          <w:tblW w:w="9072" w:type="dxa"/>
          <w:jc w:val="center"/>
          <w:tblCellMar>
            <w:left w:w="70" w:type="dxa"/>
            <w:right w:w="70" w:type="dxa"/>
          </w:tblCellMar>
          <w:tblLook w:val="04A0"/>
        </w:tblPrEx>
        <w:trPr>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     granty a transfery – ŠFA (ŠR)</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875 640</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1 517 217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1 608 733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1 508 733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iCs/>
                <w:sz w:val="16"/>
                <w:szCs w:val="16"/>
              </w:rPr>
            </w:pPr>
            <w:r w:rsidRPr="00A539FC">
              <w:rPr>
                <w:rFonts w:ascii="Times New Roman" w:hAnsi="Times New Roman"/>
                <w:b/>
                <w:bCs/>
                <w:iCs/>
                <w:sz w:val="16"/>
                <w:szCs w:val="16"/>
              </w:rPr>
              <w:t>2 865 000</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iCs/>
                <w:sz w:val="16"/>
                <w:szCs w:val="16"/>
              </w:rPr>
            </w:pPr>
            <w:r w:rsidRPr="00A539FC">
              <w:rPr>
                <w:rFonts w:ascii="Times New Roman" w:hAnsi="Times New Roman"/>
                <w:b/>
                <w:bCs/>
                <w:iCs/>
                <w:sz w:val="16"/>
                <w:szCs w:val="16"/>
              </w:rPr>
              <w:t>3 127 000</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iCs/>
                <w:sz w:val="16"/>
                <w:szCs w:val="16"/>
              </w:rPr>
            </w:pPr>
            <w:r w:rsidRPr="00A539FC">
              <w:rPr>
                <w:rFonts w:ascii="Times New Roman" w:hAnsi="Times New Roman"/>
                <w:b/>
                <w:bCs/>
                <w:iCs/>
                <w:sz w:val="16"/>
                <w:szCs w:val="16"/>
              </w:rPr>
              <w:t>3 248 000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z toho:  zabezpečenie  platobnej schopnosti SP</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875 300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1 517 217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1 608 733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1 508 733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2 865 000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3 127 000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3 248 000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center"/>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transfer z ESF</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340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     zostatok prostriedkov z predch. rokov (FO)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776 418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419 857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384 693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435 667</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526 560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551 096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604 888</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     prijaté úvery, pôžičky a návratné fin. výpomoci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     úver z garančného poistenia (FO)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19 492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25 725</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Výdavky Sociálnej poisťovne spolu</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5 758 234</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5 947 177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6 267 302</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6 167 433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6 456 293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6 796 977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7 100 532</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z toho: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výdavky poistenia</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5 564 400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5 774 861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6 087 750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6 012 344</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6 340 582</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6 680 290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7 019 609</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výdavky správneho fondu</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146 882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128 263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129 471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115 573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115 711</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116 687</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80 923</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z toho: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mzdy</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53 154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56 924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58 651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51 317</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50 561</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50 812</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36 626</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poistné</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19 853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20 926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21 997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19 773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18 700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18 793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13 546</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tovary a služby</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63 288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44 991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41 184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38 746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42 033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37 433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28 559</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bežné transfery</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632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826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2 839</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2 646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1 513</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6 615</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88</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obstarávanie kapitálových aktív</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9 954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4 595</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4 800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3 091</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2 904</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3 034</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2 104</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úver poskytnutý z garančného fondu  (FO)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46 952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44 053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50 082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39 516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i/>
                <w:iCs/>
                <w:sz w:val="16"/>
                <w:szCs w:val="16"/>
              </w:rPr>
            </w:pPr>
            <w:r w:rsidRPr="00A539FC">
              <w:rPr>
                <w:rFonts w:ascii="Times New Roman" w:hAnsi="Times New Roman"/>
                <w:i/>
                <w:i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i/>
                <w:iCs/>
                <w:sz w:val="16"/>
                <w:szCs w:val="16"/>
              </w:rPr>
            </w:pPr>
            <w:r w:rsidRPr="00A539FC">
              <w:rPr>
                <w:rFonts w:ascii="Times New Roman" w:hAnsi="Times New Roman"/>
                <w:i/>
                <w:i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i/>
                <w:iCs/>
                <w:sz w:val="16"/>
                <w:szCs w:val="16"/>
              </w:rPr>
            </w:pPr>
            <w:r w:rsidRPr="00A539FC">
              <w:rPr>
                <w:rFonts w:ascii="Times New Roman" w:hAnsi="Times New Roman"/>
                <w:i/>
                <w:iCs/>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Celková bilancia Sociálnej poisťovne</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419 857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435 667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459 753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526 560</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551 096</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604 888</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658 959</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vylúčenie finančných operácií</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-754 592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-406 224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-354 104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-421 876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-526 560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-551 096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-604 888</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z toho: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sz w:val="16"/>
                <w:szCs w:val="16"/>
              </w:rPr>
            </w:pPr>
            <w:r w:rsidRPr="00A539FC">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    vylúčenie príjmových FO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-801 544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-450 278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-404 186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-461 392</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-526 560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-551 096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-604 888</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   ▪    vylúčenie výdavkových FO</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46 952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44 053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50 082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39 516</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xml:space="preserve">časové rozlíšenie príjmov z poistného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-11 277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695</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16 360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25 761</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-112 799</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-6 549</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-12 682</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kap.transfery (nevymož.pohľadávky GP)</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-30 590</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-13 791</w:t>
            </w:r>
          </w:p>
        </w:tc>
        <w:tc>
          <w:tcPr>
            <w:tcW w:w="0" w:type="auto"/>
            <w:tcBorders>
              <w:top w:val="nil"/>
              <w:left w:val="nil"/>
              <w:bottom w:val="single" w:sz="4" w:space="0" w:color="auto"/>
              <w:right w:val="single" w:sz="4" w:space="0" w:color="auto"/>
            </w:tcBorders>
            <w:noWrap/>
            <w:textDirection w:val="lrTb"/>
            <w:vAlign w:val="center"/>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center"/>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c>
          <w:tcPr>
            <w:tcW w:w="0" w:type="auto"/>
            <w:tcBorders>
              <w:top w:val="nil"/>
              <w:left w:val="nil"/>
              <w:bottom w:val="single" w:sz="4" w:space="0" w:color="auto"/>
              <w:right w:val="single" w:sz="4" w:space="0" w:color="auto"/>
            </w:tcBorders>
            <w:noWrap/>
            <w:textDirection w:val="lrTb"/>
            <w:vAlign w:val="center"/>
            <w:hideMark/>
          </w:tcPr>
          <w:p w:rsidR="00C96933" w:rsidRPr="00A539FC" w:rsidP="00C67ECA">
            <w:pPr>
              <w:bidi w:val="0"/>
              <w:jc w:val="right"/>
              <w:rPr>
                <w:rFonts w:ascii="Times New Roman" w:hAnsi="Times New Roman"/>
                <w:sz w:val="16"/>
                <w:szCs w:val="16"/>
              </w:rPr>
            </w:pPr>
            <w:r w:rsidRPr="00A539FC">
              <w:rPr>
                <w:rFonts w:ascii="Times New Roman" w:hAnsi="Times New Roman"/>
                <w:sz w:val="16"/>
                <w:szCs w:val="16"/>
              </w:rPr>
              <w:t>0</w:t>
            </w:r>
          </w:p>
        </w:tc>
      </w:tr>
      <w:tr>
        <w:tblPrEx>
          <w:tblW w:w="9072" w:type="dxa"/>
          <w:jc w:val="center"/>
          <w:tblCellMar>
            <w:left w:w="70" w:type="dxa"/>
            <w:right w:w="70" w:type="dxa"/>
          </w:tblCellMar>
          <w:tblLook w:val="04A0"/>
        </w:tblPrEx>
        <w:trPr>
          <w:trHeight w:hRule="exact" w:val="227"/>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ostatné úpravy</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18 936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jc w:val="right"/>
              <w:rPr>
                <w:rFonts w:ascii="Times New Roman" w:hAnsi="Times New Roman"/>
                <w:bCs/>
                <w:sz w:val="16"/>
                <w:szCs w:val="16"/>
              </w:rPr>
            </w:pPr>
            <w:r>
              <w:rPr>
                <w:rFonts w:ascii="Times New Roman" w:hAnsi="Times New Roman"/>
                <w:bCs/>
                <w:sz w:val="16"/>
                <w:szCs w:val="16"/>
              </w:rPr>
              <w:t>38 728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spacing w:line="227" w:lineRule="atLeast"/>
              <w:rPr>
                <w:rFonts w:ascii="Times New Roman" w:hAnsi="Times New Roman"/>
                <w:bCs/>
                <w:sz w:val="16"/>
                <w:szCs w:val="16"/>
              </w:rPr>
            </w:pPr>
            <w:r>
              <w:rPr>
                <w:rFonts w:ascii="Times New Roman" w:hAnsi="Times New Roman"/>
                <w:bCs/>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color w:val="000000"/>
                <w:sz w:val="16"/>
                <w:szCs w:val="16"/>
              </w:rPr>
            </w:pPr>
            <w:r w:rsidRPr="00A539FC">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color w:val="000000"/>
                <w:sz w:val="16"/>
                <w:szCs w:val="16"/>
              </w:rPr>
            </w:pPr>
            <w:r w:rsidRPr="00A539FC">
              <w:rPr>
                <w:rFonts w:ascii="Times New Roman" w:hAnsi="Times New Roman"/>
                <w:color w:val="000000"/>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RPr="00A539FC" w:rsidP="00C67ECA">
            <w:pPr>
              <w:bidi w:val="0"/>
              <w:rPr>
                <w:rFonts w:ascii="Times New Roman" w:hAnsi="Times New Roman"/>
                <w:color w:val="000000"/>
                <w:sz w:val="16"/>
                <w:szCs w:val="16"/>
              </w:rPr>
            </w:pPr>
            <w:r w:rsidRPr="00A539FC">
              <w:rPr>
                <w:rFonts w:ascii="Times New Roman" w:hAnsi="Times New Roman"/>
                <w:color w:val="000000"/>
                <w:sz w:val="16"/>
                <w:szCs w:val="16"/>
              </w:rPr>
              <w:t> </w:t>
            </w:r>
          </w:p>
        </w:tc>
      </w:tr>
      <w:tr>
        <w:tblPrEx>
          <w:tblW w:w="9072" w:type="dxa"/>
          <w:jc w:val="center"/>
          <w:tblCellMar>
            <w:left w:w="70" w:type="dxa"/>
            <w:right w:w="70" w:type="dxa"/>
          </w:tblCellMar>
          <w:tblLook w:val="04A0"/>
        </w:tblPrEx>
        <w:trPr>
          <w:trHeight w:hRule="exact" w:val="227"/>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Prebytok (+) /schodok (-) SP (ESA 95)</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-316 282</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67 297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91 419</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spacing w:line="227" w:lineRule="atLeast"/>
              <w:jc w:val="right"/>
              <w:rPr>
                <w:rFonts w:ascii="Times New Roman" w:hAnsi="Times New Roman"/>
                <w:b/>
                <w:bCs/>
                <w:sz w:val="16"/>
                <w:szCs w:val="16"/>
              </w:rPr>
            </w:pPr>
            <w:r>
              <w:rPr>
                <w:rFonts w:ascii="Times New Roman" w:hAnsi="Times New Roman"/>
                <w:b/>
                <w:bCs/>
                <w:sz w:val="16"/>
                <w:szCs w:val="16"/>
              </w:rPr>
              <w:t>116 654</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-88 263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47 243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RPr="00A539FC" w:rsidP="00C67ECA">
            <w:pPr>
              <w:bidi w:val="0"/>
              <w:jc w:val="right"/>
              <w:rPr>
                <w:rFonts w:ascii="Times New Roman" w:hAnsi="Times New Roman"/>
                <w:b/>
                <w:bCs/>
                <w:sz w:val="16"/>
                <w:szCs w:val="16"/>
              </w:rPr>
            </w:pPr>
            <w:r w:rsidRPr="00A539FC">
              <w:rPr>
                <w:rFonts w:ascii="Times New Roman" w:hAnsi="Times New Roman"/>
                <w:b/>
                <w:bCs/>
                <w:sz w:val="16"/>
                <w:szCs w:val="16"/>
              </w:rPr>
              <w:t>41 389</w:t>
            </w:r>
          </w:p>
        </w:tc>
      </w:tr>
    </w:tbl>
    <w:p w:rsidR="00C96933" w:rsidP="00C96933">
      <w:pPr>
        <w:bidi w:val="0"/>
        <w:ind w:firstLine="708"/>
        <w:jc w:val="both"/>
        <w:rPr>
          <w:rFonts w:ascii="Times New Roman" w:hAnsi="Times New Roman"/>
        </w:rPr>
      </w:pPr>
    </w:p>
    <w:p w:rsidR="00C96933" w:rsidP="00C96933">
      <w:pPr>
        <w:bidi w:val="0"/>
        <w:ind w:firstLine="708"/>
        <w:jc w:val="both"/>
        <w:rPr>
          <w:rFonts w:ascii="Times New Roman" w:hAnsi="Times New Roman"/>
        </w:rPr>
      </w:pPr>
      <w:r>
        <w:rPr>
          <w:rFonts w:ascii="Times New Roman" w:hAnsi="Times New Roman"/>
        </w:rPr>
        <w:t xml:space="preserve">Celkové príjmy na rok 2012 sa navrhujú v sume 7,01 mld. eur, čo oproti očakávanej skutočnosti na rok 2011 predstavuje </w:t>
      </w:r>
      <w:r w:rsidR="002C67EC">
        <w:rPr>
          <w:rFonts w:ascii="Times New Roman" w:hAnsi="Times New Roman"/>
        </w:rPr>
        <w:t xml:space="preserve">nárast o </w:t>
      </w:r>
      <w:r>
        <w:rPr>
          <w:rFonts w:ascii="Times New Roman" w:hAnsi="Times New Roman"/>
        </w:rPr>
        <w:t>4,68 %. Návrh premieta očakávaný prevod finančných prostriedkov z roku 2011 vo výške 527 mil. eur. Objemovo najväčšiu položku predstavujú daňové príjmy, ktorých podiel na celkových príjmoch v sledovanom období predstavuje cca 51,4 %. Tieto príjmy zahŕňajú aj príjmy z poistného od ekonomicky aktívnych osôb, u ktorých sa oproti očakávanej skutočnosti pre rok 2011 vplyvom realizácie 1. fázy daňovo-odvodovej reformy predpokladá pokles o 22,4 %.</w:t>
      </w:r>
    </w:p>
    <w:p w:rsidR="00C96933" w:rsidP="00C96933">
      <w:pPr>
        <w:bidi w:val="0"/>
        <w:ind w:firstLine="708"/>
        <w:jc w:val="both"/>
        <w:rPr>
          <w:rFonts w:ascii="Times New Roman" w:hAnsi="Times New Roman"/>
        </w:rPr>
      </w:pPr>
    </w:p>
    <w:p w:rsidR="00C96933" w:rsidP="00C96933">
      <w:pPr>
        <w:bidi w:val="0"/>
        <w:ind w:firstLine="708"/>
        <w:jc w:val="both"/>
        <w:rPr>
          <w:rFonts w:ascii="Times New Roman" w:hAnsi="Times New Roman"/>
        </w:rPr>
      </w:pPr>
      <w:r>
        <w:rPr>
          <w:rFonts w:ascii="Times New Roman" w:hAnsi="Times New Roman"/>
        </w:rPr>
        <w:t>Na rok 2012 sa výška poistného plateného štátom predpokladá v sume 139 mil. eur, čo oproti očakávanej skutočnosti na rok 2011 predstavuje pokles o 18,8 %. Rozpočtovaná suma zohľadňuje zavedenie sadzby 19 % z upravených hrubých miezd namiesto sadzby 26 % z aktuálne stanovených vymeriavacích základov, pri zachovaní okruhu poistencov.</w:t>
      </w:r>
    </w:p>
    <w:p w:rsidR="00C96933" w:rsidP="00C96933">
      <w:pPr>
        <w:bidi w:val="0"/>
        <w:ind w:firstLine="708"/>
        <w:jc w:val="both"/>
        <w:rPr>
          <w:rFonts w:ascii="Arial Narrow" w:hAnsi="Arial Narrow" w:cs="Arial"/>
          <w:sz w:val="22"/>
          <w:szCs w:val="22"/>
        </w:rPr>
      </w:pPr>
    </w:p>
    <w:p w:rsidR="00C96933" w:rsidP="00C96933">
      <w:pPr>
        <w:bidi w:val="0"/>
        <w:ind w:firstLine="708"/>
        <w:jc w:val="both"/>
        <w:rPr>
          <w:rFonts w:ascii="Times New Roman" w:hAnsi="Times New Roman"/>
        </w:rPr>
      </w:pPr>
      <w:r>
        <w:rPr>
          <w:rFonts w:ascii="Times New Roman" w:hAnsi="Times New Roman"/>
        </w:rPr>
        <w:t xml:space="preserve">Na zabezpečenie platobnej schopnosti Sociálnej poisťovne sa predpokladá poskytnutie prostriedkov zo štátneho rozpočtu v sume 2,86 mld. eur v roku 2012, v roku 2013 v sume 3,13 mld. eur a v roku 2014 v sume 3,25 mld. eur. Rast oproti očakávanej skutočnosti na rok 2011 je spôsobený výpadkom príjmov z poistného od ekonomicky aktívnych osôb, pričom výška transferu zabezpečuje optimálny disponibilný zostatok prostriedkov s cieľom zabezpečiť plynulé vyplácanie všetkých obligatórnych výdavkov, ktoré administruje Sociálna poisťovňa. </w:t>
      </w:r>
    </w:p>
    <w:p w:rsidR="00C96933" w:rsidP="00C96933">
      <w:pPr>
        <w:bidi w:val="0"/>
        <w:jc w:val="both"/>
        <w:rPr>
          <w:rFonts w:ascii="Arial Narrow" w:hAnsi="Arial Narrow" w:cs="Arial"/>
          <w:sz w:val="22"/>
          <w:szCs w:val="22"/>
        </w:rPr>
      </w:pPr>
    </w:p>
    <w:tbl>
      <w:tblPr>
        <w:tblStyle w:val="TableNormal"/>
        <w:tblW w:w="9072" w:type="dxa"/>
        <w:jc w:val="center"/>
        <w:tblCellMar>
          <w:left w:w="70" w:type="dxa"/>
          <w:right w:w="70" w:type="dxa"/>
        </w:tblCellMar>
        <w:tblLook w:val="04A0"/>
      </w:tblPr>
      <w:tblGrid>
        <w:gridCol w:w="3071"/>
        <w:gridCol w:w="858"/>
        <w:gridCol w:w="858"/>
        <w:gridCol w:w="857"/>
        <w:gridCol w:w="857"/>
        <w:gridCol w:w="857"/>
        <w:gridCol w:w="857"/>
        <w:gridCol w:w="857"/>
      </w:tblGrid>
      <w:tr>
        <w:tblPrEx>
          <w:tblW w:w="9072" w:type="dxa"/>
          <w:jc w:val="center"/>
          <w:tblCellMar>
            <w:left w:w="70" w:type="dxa"/>
            <w:right w:w="70" w:type="dxa"/>
          </w:tblCellMar>
          <w:tblLook w:val="04A0"/>
        </w:tblPrEx>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rPr>
                <w:rFonts w:ascii="Times New Roman" w:hAnsi="Times New Roman"/>
                <w:b/>
                <w:bCs/>
                <w:sz w:val="16"/>
                <w:szCs w:val="16"/>
              </w:rPr>
            </w:pPr>
            <w:r>
              <w:rPr>
                <w:rFonts w:ascii="Times New Roman" w:hAnsi="Times New Roman"/>
                <w:b/>
                <w:bCs/>
                <w:sz w:val="16"/>
                <w:szCs w:val="16"/>
              </w:rPr>
              <w:t>v tis. eur</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2009 S</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2010 S</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2011 R</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2011 OS</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2012 N</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2013 N</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C96933" w:rsidP="00C67ECA">
            <w:pPr>
              <w:bidi w:val="0"/>
              <w:spacing w:line="227" w:lineRule="atLeast"/>
              <w:jc w:val="center"/>
              <w:rPr>
                <w:rFonts w:ascii="Times New Roman" w:hAnsi="Times New Roman"/>
                <w:b/>
                <w:bCs/>
                <w:sz w:val="16"/>
                <w:szCs w:val="16"/>
              </w:rPr>
            </w:pPr>
            <w:r>
              <w:rPr>
                <w:rFonts w:ascii="Times New Roman" w:hAnsi="Times New Roman"/>
                <w:b/>
                <w:bCs/>
                <w:sz w:val="16"/>
                <w:szCs w:val="16"/>
              </w:rPr>
              <w:t>2014 N</w:t>
            </w:r>
          </w:p>
        </w:tc>
      </w:tr>
      <w:tr>
        <w:tblPrEx>
          <w:tblW w:w="9072" w:type="dxa"/>
          <w:jc w:val="center"/>
          <w:tblCellMar>
            <w:left w:w="70" w:type="dxa"/>
            <w:right w:w="70" w:type="dxa"/>
          </w:tblCellMar>
          <w:tblLook w:val="04A0"/>
        </w:tblPrEx>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rPr>
                <w:rFonts w:ascii="Times New Roman" w:hAnsi="Times New Roman"/>
                <w:b/>
                <w:bCs/>
                <w:sz w:val="16"/>
                <w:szCs w:val="16"/>
              </w:rPr>
            </w:pPr>
            <w:r>
              <w:rPr>
                <w:rFonts w:ascii="Times New Roman" w:hAnsi="Times New Roman"/>
                <w:b/>
                <w:bCs/>
                <w:sz w:val="16"/>
                <w:szCs w:val="16"/>
              </w:rPr>
              <w:t>Výdavky spolu</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6933" w:rsidP="00C67ECA">
            <w:pPr>
              <w:bidi w:val="0"/>
              <w:jc w:val="right"/>
              <w:rPr>
                <w:rFonts w:ascii="Times New Roman" w:hAnsi="Times New Roman"/>
                <w:b/>
                <w:bCs/>
                <w:sz w:val="16"/>
                <w:szCs w:val="16"/>
              </w:rPr>
            </w:pPr>
            <w:r>
              <w:rPr>
                <w:rFonts w:ascii="Times New Roman" w:hAnsi="Times New Roman"/>
                <w:b/>
                <w:bCs/>
                <w:sz w:val="16"/>
                <w:szCs w:val="16"/>
              </w:rPr>
              <w:t>5 758 234</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6933" w:rsidP="00C67ECA">
            <w:pPr>
              <w:bidi w:val="0"/>
              <w:jc w:val="right"/>
              <w:rPr>
                <w:rFonts w:ascii="Times New Roman" w:hAnsi="Times New Roman"/>
                <w:b/>
                <w:bCs/>
                <w:sz w:val="16"/>
                <w:szCs w:val="16"/>
              </w:rPr>
            </w:pPr>
            <w:r>
              <w:rPr>
                <w:rFonts w:ascii="Times New Roman" w:hAnsi="Times New Roman"/>
                <w:b/>
                <w:bCs/>
                <w:sz w:val="16"/>
                <w:szCs w:val="16"/>
              </w:rPr>
              <w:t>5 947 177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6 267 302</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6 167 433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6 456 293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6 796 977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6933" w:rsidP="00C67ECA">
            <w:pPr>
              <w:bidi w:val="0"/>
              <w:jc w:val="right"/>
              <w:rPr>
                <w:rFonts w:ascii="Times New Roman" w:hAnsi="Times New Roman"/>
                <w:b/>
                <w:bCs/>
                <w:sz w:val="16"/>
                <w:szCs w:val="16"/>
              </w:rPr>
            </w:pPr>
            <w:r>
              <w:rPr>
                <w:rFonts w:ascii="Times New Roman" w:hAnsi="Times New Roman"/>
                <w:b/>
                <w:bCs/>
                <w:sz w:val="16"/>
                <w:szCs w:val="16"/>
              </w:rPr>
              <w:t>7 100 532</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v tom:</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jc w:val="center"/>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jc w:val="center"/>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jc w:val="center"/>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jc w:val="center"/>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jc w:val="center"/>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jc w:val="center"/>
              <w:rPr>
                <w:rFonts w:ascii="Times New Roman" w:hAnsi="Times New Roman"/>
                <w:b/>
                <w:bCs/>
                <w:sz w:val="16"/>
                <w:szCs w:val="16"/>
              </w:rPr>
            </w:pPr>
            <w:r>
              <w:rPr>
                <w:rFonts w:ascii="Times New Roman" w:hAnsi="Times New Roman"/>
                <w:b/>
                <w:bCs/>
                <w:sz w:val="16"/>
                <w:szCs w:val="16"/>
              </w:rPr>
              <w:t> </w:t>
            </w:r>
          </w:p>
        </w:tc>
        <w:tc>
          <w:tcPr>
            <w:tcW w:w="0" w:type="auto"/>
            <w:tcBorders>
              <w:top w:val="nil"/>
              <w:left w:val="nil"/>
              <w:bottom w:val="single" w:sz="4" w:space="0" w:color="auto"/>
              <w:right w:val="single" w:sz="4" w:space="0" w:color="auto"/>
            </w:tcBorders>
            <w:noWrap/>
            <w:textDirection w:val="lrTb"/>
            <w:vAlign w:val="center"/>
            <w:hideMark/>
          </w:tcPr>
          <w:p w:rsidR="00C96933" w:rsidP="00C67ECA">
            <w:pPr>
              <w:bidi w:val="0"/>
              <w:jc w:val="center"/>
              <w:rPr>
                <w:rFonts w:ascii="Times New Roman" w:hAnsi="Times New Roman"/>
                <w:b/>
                <w:bCs/>
                <w:sz w:val="16"/>
                <w:szCs w:val="16"/>
              </w:rPr>
            </w:pPr>
            <w:r>
              <w:rPr>
                <w:rFonts w:ascii="Times New Roman" w:hAnsi="Times New Roman"/>
                <w:b/>
                <w:bCs/>
                <w:sz w:val="16"/>
                <w:szCs w:val="16"/>
              </w:rPr>
              <w:t> </w:t>
            </w:r>
          </w:p>
        </w:tc>
      </w:tr>
      <w:tr>
        <w:tblPrEx>
          <w:tblW w:w="9072" w:type="dxa"/>
          <w:jc w:val="center"/>
          <w:tblCellMar>
            <w:left w:w="70" w:type="dxa"/>
            <w:right w:w="70" w:type="dxa"/>
          </w:tblCellMar>
          <w:tblLook w:val="04A0"/>
        </w:tblPrEx>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Výdavky poistenia spolu</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5 564 400</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5 774 861</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6 087 749</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6 012 344</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6 340 582</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6 680 290</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7 019 609</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v tom:</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rPr>
                <w:rFonts w:ascii="Times New Roman" w:hAnsi="Times New Roman"/>
                <w:b/>
                <w:bCs/>
                <w:sz w:val="16"/>
                <w:szCs w:val="16"/>
              </w:rPr>
            </w:pPr>
            <w:r>
              <w:rPr>
                <w:rFonts w:ascii="Times New Roman" w:hAnsi="Times New Roman"/>
                <w:b/>
                <w:bCs/>
                <w:sz w:val="16"/>
                <w:szCs w:val="16"/>
              </w:rPr>
              <w:t>fond sociálneho poistenia, v tom:</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5 524 272</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5 733 737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6 044 848</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5 968 313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6 292 827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6 627 952</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6 961 882</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výdavky nemocenského poistenia, v tom:</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316 671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338 462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359 581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391 528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398 641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419 806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444 316</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i/>
                <w:sz w:val="16"/>
                <w:szCs w:val="16"/>
              </w:rPr>
            </w:pPr>
            <w:r>
              <w:rPr>
                <w:rFonts w:ascii="Times New Roman" w:hAnsi="Times New Roman"/>
                <w:i/>
                <w:sz w:val="16"/>
                <w:szCs w:val="16"/>
              </w:rPr>
              <w:t>materské</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sz w:val="16"/>
                <w:szCs w:val="16"/>
              </w:rPr>
            </w:pPr>
            <w:r>
              <w:rPr>
                <w:rFonts w:ascii="Times New Roman" w:hAnsi="Times New Roman"/>
                <w:i/>
                <w:sz w:val="16"/>
                <w:szCs w:val="16"/>
              </w:rPr>
              <w:t>67 933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sz w:val="16"/>
                <w:szCs w:val="16"/>
              </w:rPr>
            </w:pPr>
            <w:r>
              <w:rPr>
                <w:rFonts w:ascii="Times New Roman" w:hAnsi="Times New Roman"/>
                <w:i/>
                <w:sz w:val="16"/>
                <w:szCs w:val="16"/>
              </w:rPr>
              <w:t>76 650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sz w:val="16"/>
                <w:szCs w:val="16"/>
              </w:rPr>
            </w:pPr>
            <w:r>
              <w:rPr>
                <w:rFonts w:ascii="Times New Roman" w:hAnsi="Times New Roman"/>
                <w:i/>
                <w:sz w:val="16"/>
                <w:szCs w:val="16"/>
              </w:rPr>
              <w:t>110 202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101 154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117 170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122 508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130 317</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i/>
                <w:sz w:val="16"/>
                <w:szCs w:val="16"/>
              </w:rPr>
            </w:pPr>
            <w:r>
              <w:rPr>
                <w:rFonts w:ascii="Times New Roman" w:hAnsi="Times New Roman"/>
                <w:i/>
                <w:sz w:val="16"/>
                <w:szCs w:val="16"/>
              </w:rPr>
              <w:t>ostatné dávky nemocenského poistenia</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sz w:val="16"/>
                <w:szCs w:val="16"/>
              </w:rPr>
            </w:pPr>
            <w:r>
              <w:rPr>
                <w:rFonts w:ascii="Times New Roman" w:hAnsi="Times New Roman"/>
                <w:i/>
                <w:sz w:val="16"/>
                <w:szCs w:val="16"/>
              </w:rPr>
              <w:t>248 738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sz w:val="16"/>
                <w:szCs w:val="16"/>
              </w:rPr>
            </w:pPr>
            <w:r>
              <w:rPr>
                <w:rFonts w:ascii="Times New Roman" w:hAnsi="Times New Roman"/>
                <w:i/>
                <w:sz w:val="16"/>
                <w:szCs w:val="16"/>
              </w:rPr>
              <w:t>261 812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sz w:val="16"/>
                <w:szCs w:val="16"/>
              </w:rPr>
            </w:pPr>
            <w:r>
              <w:rPr>
                <w:rFonts w:ascii="Times New Roman" w:hAnsi="Times New Roman"/>
                <w:i/>
                <w:sz w:val="16"/>
                <w:szCs w:val="16"/>
              </w:rPr>
              <w:t>249 379</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290 374</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281 471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297 298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313 999</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výdavky dôchodkového poistenia</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5 035 171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5 244 936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5 524 241</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5 416 888</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5 730 043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6 044 929</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6 355 220</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výdavky poistenia v nezamestnanosti</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172 430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150 339</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161 026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159 897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164 143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163 217</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sz w:val="16"/>
                <w:szCs w:val="16"/>
              </w:rPr>
            </w:pPr>
            <w:r>
              <w:rPr>
                <w:rFonts w:ascii="Times New Roman" w:hAnsi="Times New Roman"/>
                <w:sz w:val="16"/>
                <w:szCs w:val="16"/>
              </w:rPr>
              <w:t>162 346</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rPr>
                <w:rFonts w:ascii="Times New Roman" w:hAnsi="Times New Roman"/>
                <w:b/>
                <w:bCs/>
                <w:sz w:val="16"/>
                <w:szCs w:val="16"/>
              </w:rPr>
            </w:pPr>
            <w:r>
              <w:rPr>
                <w:rFonts w:ascii="Times New Roman" w:hAnsi="Times New Roman"/>
                <w:b/>
                <w:bCs/>
                <w:sz w:val="16"/>
                <w:szCs w:val="16"/>
              </w:rPr>
              <w:t>fond úrazového poistenia</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40 128</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41 124</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42 901</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44 031</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47 755</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52 338</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57 727</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96933" w:rsidP="00C67ECA">
            <w:pPr>
              <w:bidi w:val="0"/>
              <w:rPr>
                <w:rFonts w:ascii="Times New Roman" w:hAnsi="Times New Roman"/>
                <w:b/>
                <w:bCs/>
                <w:sz w:val="16"/>
                <w:szCs w:val="16"/>
              </w:rPr>
            </w:pPr>
            <w:r>
              <w:rPr>
                <w:rFonts w:ascii="Times New Roman" w:hAnsi="Times New Roman"/>
                <w:b/>
                <w:bCs/>
                <w:sz w:val="16"/>
                <w:szCs w:val="16"/>
              </w:rPr>
              <w:t>Správny fond</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146 882</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128 263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129 471</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115 573</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115 711</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116 687</w:t>
            </w:r>
          </w:p>
        </w:tc>
        <w:tc>
          <w:tcPr>
            <w:tcW w:w="0" w:type="auto"/>
            <w:tcBorders>
              <w:top w:val="single" w:sz="4" w:space="0" w:color="auto"/>
              <w:left w:val="nil"/>
              <w:bottom w:val="single" w:sz="4" w:space="0" w:color="auto"/>
              <w:right w:val="single" w:sz="4" w:space="0" w:color="auto"/>
            </w:tcBorders>
            <w:shd w:val="clear" w:color="auto" w:fill="BFBFBF"/>
            <w:noWrap/>
            <w:textDirection w:val="lrTb"/>
            <w:vAlign w:val="bottom"/>
            <w:hideMark/>
          </w:tcPr>
          <w:p w:rsidR="00C96933" w:rsidP="00C67ECA">
            <w:pPr>
              <w:bidi w:val="0"/>
              <w:jc w:val="right"/>
              <w:rPr>
                <w:rFonts w:ascii="Times New Roman" w:hAnsi="Times New Roman"/>
                <w:b/>
                <w:bCs/>
                <w:sz w:val="16"/>
                <w:szCs w:val="16"/>
              </w:rPr>
            </w:pPr>
            <w:r>
              <w:rPr>
                <w:rFonts w:ascii="Times New Roman" w:hAnsi="Times New Roman"/>
                <w:b/>
                <w:bCs/>
                <w:sz w:val="16"/>
                <w:szCs w:val="16"/>
              </w:rPr>
              <w:t>80 923</w:t>
            </w:r>
          </w:p>
        </w:tc>
      </w:tr>
      <w:tr>
        <w:tblPrEx>
          <w:tblW w:w="9072" w:type="dxa"/>
          <w:jc w:val="center"/>
          <w:tblCellMar>
            <w:left w:w="70" w:type="dxa"/>
            <w:right w:w="70" w:type="dxa"/>
          </w:tblCellMar>
          <w:tblLook w:val="04A0"/>
        </w:tblPrEx>
        <w:trPr>
          <w:trHeight w:hRule="exact" w:val="255"/>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single" w:sz="4" w:space="0" w:color="auto"/>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single" w:sz="4" w:space="0" w:color="auto"/>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single" w:sz="4" w:space="0" w:color="auto"/>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single" w:sz="4" w:space="0" w:color="auto"/>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single" w:sz="4" w:space="0" w:color="auto"/>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single" w:sz="4" w:space="0" w:color="auto"/>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c>
          <w:tcPr>
            <w:tcW w:w="0" w:type="auto"/>
            <w:tcBorders>
              <w:top w:val="single" w:sz="4" w:space="0" w:color="auto"/>
              <w:left w:val="nil"/>
              <w:bottom w:val="single" w:sz="4" w:space="0" w:color="auto"/>
              <w:right w:val="single" w:sz="4" w:space="0" w:color="auto"/>
            </w:tcBorders>
            <w:noWrap/>
            <w:textDirection w:val="lrTb"/>
            <w:vAlign w:val="bottom"/>
            <w:hideMark/>
          </w:tcPr>
          <w:p w:rsidR="00C96933" w:rsidP="00C67ECA">
            <w:pPr>
              <w:bidi w:val="0"/>
              <w:rPr>
                <w:rFonts w:ascii="Times New Roman" w:hAnsi="Times New Roman"/>
                <w:sz w:val="16"/>
                <w:szCs w:val="16"/>
              </w:rPr>
            </w:pPr>
            <w:r>
              <w:rPr>
                <w:rFonts w:ascii="Times New Roman" w:hAnsi="Times New Roman"/>
                <w:sz w:val="16"/>
                <w:szCs w:val="16"/>
              </w:rPr>
              <w:t> </w:t>
            </w:r>
          </w:p>
        </w:tc>
      </w:tr>
      <w:tr>
        <w:tblPrEx>
          <w:tblW w:w="9072" w:type="dxa"/>
          <w:jc w:val="center"/>
          <w:tblCellMar>
            <w:left w:w="70" w:type="dxa"/>
            <w:right w:w="70" w:type="dxa"/>
          </w:tblCellMar>
          <w:tblLook w:val="04A0"/>
        </w:tblPrEx>
        <w:trPr>
          <w:trHeight w:hRule="exact" w:val="255"/>
          <w:jc w:val="center"/>
        </w:trPr>
        <w:tc>
          <w:tcPr>
            <w:tcW w:w="0" w:type="auto"/>
            <w:tcBorders>
              <w:top w:val="nil"/>
              <w:left w:val="single" w:sz="4" w:space="0" w:color="auto"/>
              <w:bottom w:val="single" w:sz="4" w:space="0" w:color="auto"/>
              <w:right w:val="single" w:sz="4" w:space="0" w:color="auto"/>
            </w:tcBorders>
            <w:noWrap/>
            <w:textDirection w:val="lrTb"/>
            <w:vAlign w:val="bottom"/>
            <w:hideMark/>
          </w:tcPr>
          <w:p w:rsidR="00C96933" w:rsidP="00C67ECA">
            <w:pPr>
              <w:bidi w:val="0"/>
              <w:rPr>
                <w:rFonts w:ascii="Times New Roman" w:hAnsi="Times New Roman"/>
                <w:i/>
                <w:iCs/>
                <w:sz w:val="16"/>
                <w:szCs w:val="16"/>
              </w:rPr>
            </w:pPr>
            <w:r>
              <w:rPr>
                <w:rFonts w:ascii="Times New Roman" w:hAnsi="Times New Roman"/>
                <w:i/>
                <w:iCs/>
                <w:sz w:val="16"/>
                <w:szCs w:val="16"/>
              </w:rPr>
              <w:t>výdavky garančného poistenia</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iCs/>
                <w:sz w:val="16"/>
                <w:szCs w:val="16"/>
              </w:rPr>
            </w:pPr>
            <w:r>
              <w:rPr>
                <w:rFonts w:ascii="Times New Roman" w:hAnsi="Times New Roman"/>
                <w:i/>
                <w:iCs/>
                <w:sz w:val="16"/>
                <w:szCs w:val="16"/>
              </w:rPr>
              <w:t>46 952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iCs/>
                <w:sz w:val="16"/>
                <w:szCs w:val="16"/>
              </w:rPr>
            </w:pPr>
            <w:r>
              <w:rPr>
                <w:rFonts w:ascii="Times New Roman" w:hAnsi="Times New Roman"/>
                <w:i/>
                <w:iCs/>
                <w:sz w:val="16"/>
                <w:szCs w:val="16"/>
              </w:rPr>
              <w:t>44 053</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iCs/>
                <w:sz w:val="16"/>
                <w:szCs w:val="16"/>
              </w:rPr>
            </w:pPr>
            <w:r>
              <w:rPr>
                <w:rFonts w:ascii="Times New Roman" w:hAnsi="Times New Roman"/>
                <w:i/>
                <w:iCs/>
                <w:sz w:val="16"/>
                <w:szCs w:val="16"/>
              </w:rPr>
              <w:t>50 082</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iCs/>
                <w:sz w:val="16"/>
                <w:szCs w:val="16"/>
              </w:rPr>
            </w:pPr>
            <w:r>
              <w:rPr>
                <w:rFonts w:ascii="Times New Roman" w:hAnsi="Times New Roman"/>
                <w:i/>
                <w:iCs/>
                <w:sz w:val="16"/>
                <w:szCs w:val="16"/>
              </w:rPr>
              <w:t>39 516</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iCs/>
                <w:sz w:val="16"/>
                <w:szCs w:val="16"/>
              </w:rPr>
            </w:pPr>
            <w:r>
              <w:rPr>
                <w:rFonts w:ascii="Times New Roman" w:hAnsi="Times New Roman"/>
                <w:i/>
                <w:i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iCs/>
                <w:sz w:val="16"/>
                <w:szCs w:val="16"/>
              </w:rPr>
            </w:pPr>
            <w:r>
              <w:rPr>
                <w:rFonts w:ascii="Times New Roman" w:hAnsi="Times New Roman"/>
                <w:i/>
                <w:iCs/>
                <w:sz w:val="16"/>
                <w:szCs w:val="16"/>
              </w:rPr>
              <w:t>0</w:t>
            </w:r>
          </w:p>
        </w:tc>
        <w:tc>
          <w:tcPr>
            <w:tcW w:w="0" w:type="auto"/>
            <w:tcBorders>
              <w:top w:val="nil"/>
              <w:left w:val="nil"/>
              <w:bottom w:val="single" w:sz="4" w:space="0" w:color="auto"/>
              <w:right w:val="single" w:sz="4" w:space="0" w:color="auto"/>
            </w:tcBorders>
            <w:noWrap/>
            <w:textDirection w:val="lrTb"/>
            <w:vAlign w:val="bottom"/>
            <w:hideMark/>
          </w:tcPr>
          <w:p w:rsidR="00C96933" w:rsidP="00C67ECA">
            <w:pPr>
              <w:bidi w:val="0"/>
              <w:jc w:val="right"/>
              <w:rPr>
                <w:rFonts w:ascii="Times New Roman" w:hAnsi="Times New Roman"/>
                <w:i/>
                <w:iCs/>
                <w:sz w:val="16"/>
                <w:szCs w:val="16"/>
              </w:rPr>
            </w:pPr>
            <w:r>
              <w:rPr>
                <w:rFonts w:ascii="Times New Roman" w:hAnsi="Times New Roman"/>
                <w:i/>
                <w:iCs/>
                <w:sz w:val="16"/>
                <w:szCs w:val="16"/>
              </w:rPr>
              <w:t>0</w:t>
            </w:r>
          </w:p>
        </w:tc>
      </w:tr>
    </w:tbl>
    <w:p w:rsidR="00C96933" w:rsidP="00C96933">
      <w:pPr>
        <w:bidi w:val="0"/>
        <w:ind w:firstLine="708"/>
        <w:jc w:val="both"/>
        <w:rPr>
          <w:rFonts w:ascii="Times New Roman" w:hAnsi="Times New Roman"/>
        </w:rPr>
      </w:pPr>
    </w:p>
    <w:p w:rsidR="00C96933" w:rsidP="00C96933">
      <w:pPr>
        <w:bidi w:val="0"/>
        <w:ind w:firstLine="708"/>
        <w:jc w:val="both"/>
        <w:rPr>
          <w:rFonts w:ascii="Times New Roman" w:hAnsi="Times New Roman"/>
        </w:rPr>
      </w:pPr>
      <w:r>
        <w:rPr>
          <w:rFonts w:ascii="Times New Roman" w:hAnsi="Times New Roman"/>
        </w:rPr>
        <w:t xml:space="preserve">Celkové výdavky na rok 2012 sa navrhujú v sume 6,46 mld. eur, čo oproti očakávanej skutočnosti na rok 2011 predstavuje nárast o 4,68 %. </w:t>
      </w:r>
    </w:p>
    <w:p w:rsidR="00C96933" w:rsidP="00C96933">
      <w:pPr>
        <w:bidi w:val="0"/>
        <w:ind w:firstLine="708"/>
        <w:jc w:val="both"/>
        <w:rPr>
          <w:rFonts w:ascii="Times New Roman" w:hAnsi="Times New Roman"/>
        </w:rPr>
      </w:pPr>
    </w:p>
    <w:p w:rsidR="00C96933" w:rsidP="00C96933">
      <w:pPr>
        <w:bidi w:val="0"/>
        <w:ind w:firstLine="708"/>
        <w:jc w:val="both"/>
        <w:rPr>
          <w:rFonts w:ascii="Times New Roman" w:hAnsi="Times New Roman"/>
        </w:rPr>
      </w:pPr>
      <w:r>
        <w:rPr>
          <w:rFonts w:ascii="Times New Roman" w:hAnsi="Times New Roman"/>
        </w:rPr>
        <w:t xml:space="preserve">Návrh výdavkov na nemocenské dávky, ktoré sa rozpočtujú v rámci výdavkov sociálneho poistenia, vychádza z predpokladu, že percento pracovnej neschopnosti pre chorobu a úraz bude na úrovni očakávanej skutočnosti v roku 2011, t. j. 3,5 %. Výdavky na materské zohľadňujú platnú legislatívu v tejto oblasti, keď výška materského predstavuje </w:t>
        <w:br/>
        <w:t xml:space="preserve">60 % denného vymeriavacieho základu a podporné obdobie 34 týždňov.  </w:t>
      </w:r>
    </w:p>
    <w:p w:rsidR="00C96933" w:rsidP="00C96933">
      <w:pPr>
        <w:bidi w:val="0"/>
        <w:ind w:firstLine="708"/>
        <w:jc w:val="both"/>
        <w:rPr>
          <w:rFonts w:ascii="Times New Roman" w:hAnsi="Times New Roman"/>
        </w:rPr>
      </w:pPr>
    </w:p>
    <w:p w:rsidR="00C96933" w:rsidP="00C96933">
      <w:pPr>
        <w:bidi w:val="0"/>
        <w:ind w:firstLine="708"/>
        <w:jc w:val="both"/>
        <w:rPr>
          <w:rFonts w:ascii="Times New Roman" w:hAnsi="Times New Roman"/>
        </w:rPr>
      </w:pPr>
      <w:r>
        <w:rPr>
          <w:rFonts w:ascii="Times New Roman" w:hAnsi="Times New Roman"/>
        </w:rPr>
        <w:t>Ďalej je v roku 2012 premietnutá valorizácia dôchodkov o 3,30 % podľa súčasne platnej legislatívy, tzv. švajčiarskeho mechanizmu, ktorý zohľadňuje mieru inflácie a rast priemernej mesačnej mzdy v národnom hospodárstve. Od roku 2013 sa navrhujú dôchodky zvyšovať o pevnú sumu určenú v závislosti od priemerného medziročného rastu spotrebiteľských cien za domácnosti dôchodcov a priemernej mesačnej sumy jednotlivých druhov dôchodkov. Pevná suma sa navrhuje diferencovať v závislosti od druhu dôchodkovej dávky.</w:t>
      </w:r>
    </w:p>
    <w:p w:rsidR="00C96933" w:rsidP="00C96933">
      <w:pPr>
        <w:bidi w:val="0"/>
        <w:jc w:val="both"/>
        <w:rPr>
          <w:rFonts w:ascii="Times New Roman" w:hAnsi="Times New Roman"/>
        </w:rPr>
      </w:pPr>
    </w:p>
    <w:p w:rsidR="00C96933" w:rsidP="00C96933">
      <w:pPr>
        <w:bidi w:val="0"/>
        <w:ind w:firstLine="708"/>
        <w:jc w:val="both"/>
        <w:rPr>
          <w:rFonts w:ascii="Arial Narrow" w:hAnsi="Arial Narrow" w:cs="Arial"/>
          <w:sz w:val="22"/>
          <w:szCs w:val="22"/>
        </w:rPr>
      </w:pPr>
      <w:r>
        <w:rPr>
          <w:rFonts w:ascii="Times New Roman" w:hAnsi="Times New Roman"/>
        </w:rPr>
        <w:t>Podľa pripravovanej legislatívnej zmeny sa bude správny fond tvoriť najmä z poistného a z odplaty za postúpenú pohľadávku na poistnom pri zachovaní aktuálne platnej sadzby, teda najviac vo výške 2,4 %. Ďalej sa bude môcť tvoriť vo výške 0,5 % z príspevkov na starobné dôchodkové sporenie a z príspevkov na starobné dôchodkové sporenie neodvedených zamestnávateľom do fondu príspevkov na starobné dôchodkové sporenie vymožených Sociálnou poisťovňou a z ďalších zákonom stanovených položiek</w:t>
      </w:r>
      <w:r>
        <w:rPr>
          <w:rFonts w:ascii="Arial Narrow" w:hAnsi="Arial Narrow" w:cs="Arial"/>
          <w:sz w:val="22"/>
          <w:szCs w:val="22"/>
        </w:rPr>
        <w:t>.</w:t>
      </w:r>
    </w:p>
    <w:p w:rsidR="00C96933" w:rsidP="00C96933">
      <w:pPr>
        <w:bidi w:val="0"/>
        <w:ind w:firstLine="708"/>
        <w:jc w:val="both"/>
        <w:rPr>
          <w:rFonts w:ascii="Times New Roman" w:hAnsi="Times New Roman"/>
        </w:rPr>
      </w:pPr>
    </w:p>
    <w:p w:rsidR="00C96933" w:rsidP="00C96933">
      <w:pPr>
        <w:bidi w:val="0"/>
        <w:ind w:firstLine="708"/>
        <w:jc w:val="both"/>
        <w:rPr>
          <w:rFonts w:ascii="Times New Roman" w:hAnsi="Times New Roman"/>
        </w:rPr>
      </w:pPr>
      <w:r>
        <w:rPr>
          <w:rFonts w:ascii="Times New Roman" w:hAnsi="Times New Roman"/>
        </w:rPr>
        <w:t xml:space="preserve">Pri návrhu výšky výdavkov  správneho fondu na rok 2012 sa vychádzalo z vládou schválených Strategických zámerov činnosti Sociálnej poisťovne na obdobie rokov </w:t>
        <w:br/>
        <w:t>2011 – 2016, ktorá predpokladá úsporu výdavkov z dôvodu racionalizácie činností a optimalizácie počtu zamestnancov v nadväznosti na prechod výberu  a vymáhania poistného na budúce finančné úrady od roku 2013. Z tohto dôvodu dochádza k postupnému znižovaniu osobných výdavkov a  výdavkov na tovary  a služby. Návrh bežných transferov v roku 2013 zohľadňuje zvýšenie výdavkov na odstupnom spojené so znižovaním počtu zamestnancov.</w:t>
      </w:r>
    </w:p>
    <w:p w:rsidR="00C96933" w:rsidP="00C96933">
      <w:pPr>
        <w:bidi w:val="0"/>
        <w:jc w:val="both"/>
        <w:rPr>
          <w:rFonts w:ascii="Arial Narrow" w:hAnsi="Arial Narrow" w:cs="Arial Narrow"/>
          <w:bCs/>
          <w:sz w:val="22"/>
          <w:szCs w:val="22"/>
        </w:rPr>
      </w:pPr>
    </w:p>
    <w:p w:rsidR="00C96933" w:rsidP="00C96933">
      <w:pPr>
        <w:bidi w:val="0"/>
        <w:ind w:firstLine="708"/>
        <w:jc w:val="both"/>
        <w:rPr>
          <w:rFonts w:ascii="Times New Roman" w:hAnsi="Times New Roman"/>
        </w:rPr>
      </w:pPr>
      <w:r>
        <w:rPr>
          <w:rFonts w:ascii="Times New Roman" w:hAnsi="Times New Roman"/>
        </w:rPr>
        <w:t>Výdavky správneho fondu na rok 2012 sa navrhujú v sume 116 mil. eur, čo oproti očakávanej skutočnosti na rok 2011 predstavuje nárast o 0,12 %, pričom sa predpokladá použitie finančných prostriedkov v sume 4,00 mil. eur na zabezpečenie zmien informačného systému z dôvodu pripravovaných legislatívnych zmien v oblasti sociálneho poistenia.</w:t>
      </w:r>
    </w:p>
    <w:p w:rsidR="00C96933" w:rsidP="00C96933">
      <w:pPr>
        <w:bidi w:val="0"/>
        <w:jc w:val="both"/>
        <w:rPr>
          <w:rFonts w:ascii="Times New Roman" w:hAnsi="Times New Roman"/>
        </w:rPr>
      </w:pPr>
      <w:r>
        <w:rPr>
          <w:rFonts w:ascii="Arial Narrow" w:hAnsi="Arial Narrow" w:cs="Arial"/>
          <w:sz w:val="22"/>
          <w:szCs w:val="22"/>
        </w:rPr>
        <w:t xml:space="preserve"> </w:t>
      </w:r>
    </w:p>
    <w:p w:rsidR="00C96933" w:rsidP="00C96933">
      <w:pPr>
        <w:bidi w:val="0"/>
        <w:ind w:firstLine="708"/>
        <w:jc w:val="both"/>
        <w:rPr>
          <w:rFonts w:ascii="Arial Narrow" w:hAnsi="Arial Narrow" w:cs="Arial"/>
          <w:sz w:val="22"/>
          <w:szCs w:val="22"/>
        </w:rPr>
      </w:pPr>
      <w:r>
        <w:rPr>
          <w:rFonts w:ascii="Times New Roman" w:hAnsi="Times New Roman"/>
        </w:rPr>
        <w:t>Celkový hotovostný prebytok Sociálnej poisťovne sa v roku 2012 predpokladá vo výške 551 mil. eur, v roku 2013 sa predpokladá celkový prebytok na  úrovni 605 mil. eur a v roku 2014 vo výške 659 mil. eur. V metodike ESA 95 je predpokladaný schodok hospodárenia Sociálnej poisťovne v roku 2012 vo výške 88,3 mil. eur, v roku 2013 prebytok vo výške 47,2 mil. eur a v roku 2014 prebytok vo výške 41,4 mil. eur</w:t>
      </w:r>
      <w:r>
        <w:rPr>
          <w:rFonts w:ascii="Arial Narrow" w:hAnsi="Arial Narrow" w:cs="Arial"/>
          <w:sz w:val="22"/>
          <w:szCs w:val="22"/>
        </w:rPr>
        <w:t>.</w:t>
      </w:r>
    </w:p>
    <w:p w:rsidR="00CE4ECF" w:rsidP="007B1DFC">
      <w:pPr>
        <w:bidi w:val="0"/>
        <w:jc w:val="both"/>
        <w:rPr>
          <w:rFonts w:ascii="Times New Roman" w:hAnsi="Times New Roman"/>
        </w:rPr>
      </w:pPr>
    </w:p>
    <w:p w:rsidR="007B1DFC" w:rsidRPr="007B1DFC" w:rsidP="007B1DFC">
      <w:pPr>
        <w:bidi w:val="0"/>
        <w:jc w:val="both"/>
        <w:rPr>
          <w:rFonts w:ascii="Times New Roman" w:hAnsi="Times New Roman"/>
        </w:rPr>
      </w:pPr>
      <w:r w:rsidRPr="007B1DFC">
        <w:rPr>
          <w:rFonts w:ascii="Times New Roman" w:hAnsi="Times New Roman"/>
          <w:b/>
          <w:bCs/>
        </w:rPr>
        <w:t>3. Verejné zdravotné poistenie</w:t>
      </w:r>
    </w:p>
    <w:p w:rsidR="007B1DFC" w:rsidRPr="007B1DFC" w:rsidP="007B1DFC">
      <w:pPr>
        <w:bidi w:val="0"/>
        <w:jc w:val="both"/>
        <w:rPr>
          <w:rFonts w:ascii="Times New Roman" w:hAnsi="Times New Roman"/>
        </w:rPr>
      </w:pPr>
    </w:p>
    <w:p w:rsidR="00F86488" w:rsidP="00F86488">
      <w:pPr>
        <w:bidi w:val="0"/>
        <w:ind w:firstLine="708"/>
        <w:jc w:val="both"/>
        <w:rPr>
          <w:rFonts w:ascii="Times New Roman" w:hAnsi="Times New Roman"/>
        </w:rPr>
      </w:pPr>
      <w:r w:rsidRPr="00EB33CC">
        <w:rPr>
          <w:rFonts w:ascii="Times New Roman" w:hAnsi="Times New Roman"/>
        </w:rPr>
        <w:t>Vývoj príjmovej a výdavkovej časti rozpočtu verejného zdravotného poistenia na roky 2012 až 2014 je v porovnaní s predchádzajúcimi rokmi nasledovný:</w:t>
      </w:r>
    </w:p>
    <w:p w:rsidR="00F86488" w:rsidRPr="00F27ABF" w:rsidP="00F86488">
      <w:pPr>
        <w:bidi w:val="0"/>
        <w:ind w:firstLine="708"/>
        <w:jc w:val="both"/>
        <w:rPr>
          <w:rFonts w:ascii="Times New Roman" w:hAnsi="Times New Roman"/>
          <w:sz w:val="22"/>
          <w:szCs w:val="22"/>
        </w:rPr>
      </w:pPr>
    </w:p>
    <w:tbl>
      <w:tblPr>
        <w:tblStyle w:val="TableNormal"/>
        <w:tblW w:w="5000" w:type="pct"/>
        <w:tblCellMar>
          <w:left w:w="70" w:type="dxa"/>
          <w:right w:w="70" w:type="dxa"/>
        </w:tblCellMar>
        <w:tblLook w:val="04A0"/>
      </w:tblPr>
      <w:tblGrid>
        <w:gridCol w:w="3337"/>
        <w:gridCol w:w="809"/>
        <w:gridCol w:w="188"/>
        <w:gridCol w:w="339"/>
        <w:gridCol w:w="341"/>
        <w:gridCol w:w="810"/>
        <w:gridCol w:w="810"/>
        <w:gridCol w:w="810"/>
        <w:gridCol w:w="810"/>
        <w:gridCol w:w="810"/>
        <w:gridCol w:w="146"/>
      </w:tblGrid>
      <w:tr>
        <w:tblPrEx>
          <w:tblW w:w="5000" w:type="pct"/>
          <w:tblCellMar>
            <w:left w:w="70" w:type="dxa"/>
            <w:right w:w="70" w:type="dxa"/>
          </w:tblCellMar>
          <w:tblLook w:val="04A0"/>
        </w:tblPrEx>
        <w:trPr>
          <w:gridAfter w:val="1"/>
          <w:wAfter w:w="77" w:type="dxa"/>
          <w:trHeight w:val="195"/>
        </w:trPr>
        <w:tc>
          <w:tcPr>
            <w:tcW w:w="1812"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86488" w:rsidRPr="00F27ABF" w:rsidP="00EA0AB6">
            <w:pPr>
              <w:bidi w:val="0"/>
              <w:rPr>
                <w:rFonts w:ascii="Times New Roman" w:hAnsi="Times New Roman"/>
                <w:b/>
                <w:bCs/>
                <w:sz w:val="16"/>
                <w:szCs w:val="16"/>
              </w:rPr>
            </w:pPr>
            <w:r>
              <w:rPr>
                <w:rFonts w:ascii="Times New Roman" w:hAnsi="Times New Roman"/>
                <w:b/>
                <w:bCs/>
                <w:sz w:val="16"/>
                <w:szCs w:val="16"/>
              </w:rPr>
              <w:t>v tis. eur</w:t>
            </w:r>
          </w:p>
        </w:tc>
        <w:tc>
          <w:tcPr>
            <w:tcW w:w="440" w:type="pct"/>
            <w:vMerge w:val="restart"/>
            <w:tcBorders>
              <w:top w:val="single" w:sz="4" w:space="0" w:color="auto"/>
              <w:left w:val="single" w:sz="4" w:space="0" w:color="auto"/>
              <w:bottom w:val="single" w:sz="4" w:space="0" w:color="000000"/>
              <w:right w:val="single" w:sz="4" w:space="0" w:color="auto"/>
            </w:tcBorders>
            <w:shd w:val="clear" w:color="auto" w:fill="A6A6A6"/>
            <w:textDirection w:val="lrTb"/>
            <w:vAlign w:val="bottom"/>
            <w:hideMark/>
          </w:tcPr>
          <w:p w:rsidR="00F86488" w:rsidRPr="00F27ABF" w:rsidP="00EA0AB6">
            <w:pPr>
              <w:bidi w:val="0"/>
              <w:jc w:val="center"/>
              <w:rPr>
                <w:rFonts w:ascii="Times New Roman" w:hAnsi="Times New Roman"/>
                <w:b/>
                <w:bCs/>
                <w:sz w:val="16"/>
                <w:szCs w:val="16"/>
              </w:rPr>
            </w:pPr>
            <w:r>
              <w:rPr>
                <w:rFonts w:ascii="Times New Roman" w:hAnsi="Times New Roman"/>
                <w:b/>
                <w:bCs/>
                <w:sz w:val="16"/>
                <w:szCs w:val="16"/>
              </w:rPr>
              <w:t>2009 S</w:t>
            </w:r>
          </w:p>
        </w:tc>
        <w:tc>
          <w:tcPr>
            <w:tcW w:w="471" w:type="pct"/>
            <w:gridSpan w:val="3"/>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86488"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2010 S</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86488"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2011 R</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86488"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2011 OS</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86488"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2012 N</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86488"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2013 N</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86488"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2014 N</w:t>
            </w:r>
          </w:p>
        </w:tc>
      </w:tr>
      <w:tr>
        <w:tblPrEx>
          <w:tblW w:w="5000" w:type="pct"/>
          <w:tblCellMar>
            <w:left w:w="70" w:type="dxa"/>
            <w:right w:w="70" w:type="dxa"/>
          </w:tblCellMar>
          <w:tblLook w:val="04A0"/>
        </w:tblPrEx>
        <w:trPr>
          <w:gridAfter w:val="1"/>
          <w:wAfter w:w="77" w:type="dxa"/>
          <w:trHeight w:val="195"/>
        </w:trPr>
        <w:tc>
          <w:tcPr>
            <w:tcW w:w="1812"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c>
          <w:tcPr>
            <w:tcW w:w="471" w:type="pct"/>
            <w:gridSpan w:val="3"/>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c>
          <w:tcPr>
            <w:tcW w:w="440"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86488" w:rsidRPr="00F27ABF" w:rsidP="00EA0AB6">
            <w:pPr>
              <w:bidi w:val="0"/>
              <w:rPr>
                <w:rFonts w:ascii="Times New Roman" w:hAnsi="Times New Roman"/>
                <w:b/>
                <w:bCs/>
                <w:sz w:val="16"/>
                <w:szCs w:val="16"/>
              </w:rPr>
            </w:pPr>
          </w:p>
        </w:tc>
      </w:tr>
      <w:tr>
        <w:tblPrEx>
          <w:tblW w:w="5000" w:type="pct"/>
          <w:tblCellMar>
            <w:left w:w="70" w:type="dxa"/>
            <w:right w:w="70" w:type="dxa"/>
          </w:tblCellMar>
          <w:tblLook w:val="04A0"/>
        </w:tblPrEx>
        <w:trPr>
          <w:gridAfter w:val="1"/>
          <w:wAfter w:w="77" w:type="dxa"/>
          <w:trHeight w:val="220"/>
        </w:trPr>
        <w:tc>
          <w:tcPr>
            <w:tcW w:w="1812"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86488" w:rsidRPr="00C221F9" w:rsidP="00EA0AB6">
            <w:pPr>
              <w:bidi w:val="0"/>
              <w:rPr>
                <w:rFonts w:ascii="Times New Roman" w:hAnsi="Times New Roman"/>
                <w:b/>
                <w:bCs/>
                <w:iCs/>
                <w:sz w:val="16"/>
                <w:szCs w:val="16"/>
              </w:rPr>
            </w:pPr>
            <w:r w:rsidRPr="00C221F9">
              <w:rPr>
                <w:rFonts w:ascii="Times New Roman" w:hAnsi="Times New Roman"/>
                <w:b/>
                <w:bCs/>
                <w:iCs/>
                <w:sz w:val="16"/>
                <w:szCs w:val="16"/>
              </w:rPr>
              <w:t>Príjmy verejného zdravotného poistenia spolu</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3 514 595</w:t>
            </w:r>
          </w:p>
        </w:tc>
        <w:tc>
          <w:tcPr>
            <w:tcW w:w="471" w:type="pct"/>
            <w:gridSpan w:val="3"/>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3 678 840</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3 698 307</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3 692 965</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3 791 797</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3 890 360</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3 940 957</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b/>
                <w:bCs/>
                <w:i/>
                <w:iCs/>
                <w:color w:val="000000"/>
                <w:sz w:val="16"/>
                <w:szCs w:val="16"/>
              </w:rPr>
            </w:pPr>
            <w:r w:rsidRPr="00F27ABF">
              <w:rPr>
                <w:rFonts w:ascii="Times New Roman" w:hAnsi="Times New Roman"/>
                <w:b/>
                <w:bCs/>
                <w:i/>
                <w:iCs/>
                <w:color w:val="000000"/>
                <w:sz w:val="16"/>
                <w:szCs w:val="16"/>
              </w:rPr>
              <w:t>z toho: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 </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 </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daňové príjmy, z toho:</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3 342 464</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3 575 014</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3 599 421</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3 590 342</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3 689 847</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3 787 910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3 838 007</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ekonomicky aktívne osoby (EAO)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2 162 275</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2 217 495</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2 368 194</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2 362 535</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2 263 247</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2 382 495</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2 541 846</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platba štátu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1 162 382</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1 282 803</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1 197 816</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1 197 816</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1 330 392</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1 383 099</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1 272 555</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ročné zúčtovanie poistného od EAO</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18 600</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13 127</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19 666</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17 102</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18 053</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19 161</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20 451</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ročné zúčtovanie poistného od štátu</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-4 130</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58 422</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10 000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9 733</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75 000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0</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sankcie súvisiace s poistným</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3 337</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3 167</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3 745</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3 156</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3 155</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3 155</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3 155</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nedaňové príjmy</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18 752</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16 609</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16 457</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19 000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18 500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18 500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18 500</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transfery v rámci VS</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297</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127</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199</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199</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199</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199</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199</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P="00EA0AB6">
            <w:pPr>
              <w:bidi w:val="0"/>
              <w:rPr>
                <w:rFonts w:ascii="Times New Roman" w:hAnsi="Times New Roman"/>
                <w:sz w:val="16"/>
                <w:szCs w:val="16"/>
              </w:rPr>
            </w:pPr>
            <w:r w:rsidRPr="00F27ABF">
              <w:rPr>
                <w:rFonts w:ascii="Times New Roman" w:hAnsi="Times New Roman"/>
                <w:sz w:val="16"/>
                <w:szCs w:val="16"/>
              </w:rPr>
              <w:t xml:space="preserve">  ▪    zostatok prostriedky z predchádzajúcich rokov </w:t>
            </w:r>
          </w:p>
          <w:p w:rsidR="00F86488" w:rsidRPr="00F27ABF" w:rsidP="00EA0AB6">
            <w:pPr>
              <w:bidi w:val="0"/>
              <w:rPr>
                <w:rFonts w:ascii="Times New Roman" w:hAnsi="Times New Roman"/>
                <w:sz w:val="16"/>
                <w:szCs w:val="16"/>
              </w:rPr>
            </w:pPr>
            <w:r>
              <w:rPr>
                <w:rFonts w:ascii="Times New Roman" w:hAnsi="Times New Roman"/>
                <w:sz w:val="16"/>
                <w:szCs w:val="16"/>
              </w:rPr>
              <w:t xml:space="preserve">      </w:t>
            </w:r>
            <w:r w:rsidRPr="00F27ABF">
              <w:rPr>
                <w:rFonts w:ascii="Times New Roman" w:hAnsi="Times New Roman"/>
                <w:sz w:val="16"/>
                <w:szCs w:val="16"/>
              </w:rPr>
              <w:t>(FO)</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153 082</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87 090</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82 230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83 424</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83 251</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83 751</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84 251</w:t>
            </w:r>
          </w:p>
        </w:tc>
      </w:tr>
      <w:tr>
        <w:tblPrEx>
          <w:tblW w:w="5000" w:type="pct"/>
          <w:tblCellMar>
            <w:left w:w="70" w:type="dxa"/>
            <w:right w:w="70" w:type="dxa"/>
          </w:tblCellMar>
          <w:tblLook w:val="04A0"/>
        </w:tblPrEx>
        <w:trPr>
          <w:gridAfter w:val="1"/>
          <w:wAfter w:w="77" w:type="dxa"/>
          <w:trHeight w:val="220"/>
        </w:trPr>
        <w:tc>
          <w:tcPr>
            <w:tcW w:w="1812"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86488" w:rsidRPr="00C221F9" w:rsidP="00EA0AB6">
            <w:pPr>
              <w:bidi w:val="0"/>
              <w:rPr>
                <w:rFonts w:ascii="Times New Roman" w:hAnsi="Times New Roman"/>
                <w:b/>
                <w:bCs/>
                <w:iCs/>
                <w:sz w:val="16"/>
                <w:szCs w:val="16"/>
              </w:rPr>
            </w:pPr>
            <w:r w:rsidRPr="00C221F9">
              <w:rPr>
                <w:rFonts w:ascii="Times New Roman" w:hAnsi="Times New Roman"/>
                <w:b/>
                <w:bCs/>
                <w:iCs/>
                <w:sz w:val="16"/>
                <w:szCs w:val="16"/>
              </w:rPr>
              <w:t>Výdavky verejného zdravotného poistenia spolu</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3 427 505</w:t>
            </w:r>
          </w:p>
        </w:tc>
        <w:tc>
          <w:tcPr>
            <w:tcW w:w="471" w:type="pct"/>
            <w:gridSpan w:val="3"/>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3 595 416</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3 614 669</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3 609 714</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3 708 046</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3 806 109</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3 856 206</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b/>
                <w:bCs/>
                <w:i/>
                <w:iCs/>
                <w:color w:val="000000"/>
                <w:sz w:val="16"/>
                <w:szCs w:val="16"/>
              </w:rPr>
            </w:pPr>
            <w:r w:rsidRPr="00F27ABF">
              <w:rPr>
                <w:rFonts w:ascii="Times New Roman" w:hAnsi="Times New Roman"/>
                <w:b/>
                <w:bCs/>
                <w:i/>
                <w:iCs/>
                <w:color w:val="000000"/>
                <w:sz w:val="16"/>
                <w:szCs w:val="16"/>
              </w:rPr>
              <w:t>z toho: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 </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 </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 </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výdavky poistenia</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3 292 754</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3 385 867</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3 460 349</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3 468 731</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3 555 457</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3 647 982</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3 694 234</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P="00EA0AB6">
            <w:pPr>
              <w:bidi w:val="0"/>
              <w:rPr>
                <w:rFonts w:ascii="Times New Roman" w:hAnsi="Times New Roman"/>
                <w:sz w:val="16"/>
                <w:szCs w:val="16"/>
              </w:rPr>
            </w:pPr>
            <w:r w:rsidRPr="00F27ABF">
              <w:rPr>
                <w:rFonts w:ascii="Times New Roman" w:hAnsi="Times New Roman"/>
                <w:sz w:val="16"/>
                <w:szCs w:val="16"/>
              </w:rPr>
              <w:t xml:space="preserve">  ▪   výdavky na prevádzkové činnosti štátnej </w:t>
            </w:r>
          </w:p>
          <w:p w:rsidR="00F86488" w:rsidRPr="00F27ABF" w:rsidP="00EA0AB6">
            <w:pPr>
              <w:bidi w:val="0"/>
              <w:rPr>
                <w:rFonts w:ascii="Times New Roman" w:hAnsi="Times New Roman"/>
                <w:sz w:val="16"/>
                <w:szCs w:val="16"/>
              </w:rPr>
            </w:pPr>
            <w:r>
              <w:rPr>
                <w:rFonts w:ascii="Times New Roman" w:hAnsi="Times New Roman"/>
                <w:sz w:val="16"/>
                <w:szCs w:val="16"/>
              </w:rPr>
              <w:t xml:space="preserve">      </w:t>
            </w:r>
            <w:r w:rsidRPr="00F27ABF">
              <w:rPr>
                <w:rFonts w:ascii="Times New Roman" w:hAnsi="Times New Roman"/>
                <w:sz w:val="16"/>
                <w:szCs w:val="16"/>
              </w:rPr>
              <w:t xml:space="preserve">zdravotnej poisťovne, z toho: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74 654</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76 786</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84 345</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74 452</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82 577</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85 500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87 100</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do výšky 3,5 % z úhrnu poistného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63 925</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75 289</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84 345</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74 452</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82 577</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85 500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87 100</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kryté inými zdrojmi </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10 729</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1 497</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0</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ind w:left="356" w:hanging="284"/>
              <w:rPr>
                <w:rFonts w:ascii="Times New Roman" w:hAnsi="Times New Roman"/>
                <w:sz w:val="16"/>
                <w:szCs w:val="16"/>
              </w:rPr>
            </w:pPr>
            <w:r w:rsidRPr="00F27ABF">
              <w:rPr>
                <w:rFonts w:ascii="Times New Roman" w:hAnsi="Times New Roman"/>
                <w:sz w:val="16"/>
                <w:szCs w:val="16"/>
              </w:rPr>
              <w:t xml:space="preserve">  ▪   úhrada za správu verejného zdravotného poistenia</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36 050</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36 883</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39 853</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38 000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40 642</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42 500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44 000</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ostatné výdavky (úhrada/vrátenie daní, iné)</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-1 138</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70 296</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1 681</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1 681</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2 108</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2 108</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2 108</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príspevok na činnosť UDZS*</w:t>
            </w:r>
          </w:p>
        </w:tc>
        <w:tc>
          <w:tcPr>
            <w:tcW w:w="440" w:type="pct"/>
            <w:tcBorders>
              <w:top w:val="nil"/>
              <w:left w:val="nil"/>
              <w:bottom w:val="single" w:sz="4" w:space="0" w:color="auto"/>
              <w:right w:val="single" w:sz="4" w:space="0" w:color="auto"/>
            </w:tcBorders>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14 195</w:t>
            </w:r>
          </w:p>
        </w:tc>
        <w:tc>
          <w:tcPr>
            <w:tcW w:w="471" w:type="pct"/>
            <w:gridSpan w:val="3"/>
            <w:tcBorders>
              <w:top w:val="nil"/>
              <w:left w:val="nil"/>
              <w:bottom w:val="single" w:sz="4" w:space="0" w:color="auto"/>
              <w:right w:val="single" w:sz="4" w:space="0" w:color="auto"/>
            </w:tcBorders>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14 391</w:t>
            </w:r>
          </w:p>
        </w:tc>
        <w:tc>
          <w:tcPr>
            <w:tcW w:w="440" w:type="pct"/>
            <w:tcBorders>
              <w:top w:val="nil"/>
              <w:left w:val="nil"/>
              <w:bottom w:val="single" w:sz="4" w:space="0" w:color="auto"/>
              <w:right w:val="single" w:sz="4" w:space="0" w:color="auto"/>
            </w:tcBorders>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15 998</w:t>
            </w:r>
          </w:p>
        </w:tc>
        <w:tc>
          <w:tcPr>
            <w:tcW w:w="440" w:type="pct"/>
            <w:tcBorders>
              <w:top w:val="nil"/>
              <w:left w:val="nil"/>
              <w:bottom w:val="single" w:sz="4" w:space="0" w:color="auto"/>
              <w:right w:val="single" w:sz="4" w:space="0" w:color="auto"/>
            </w:tcBorders>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15 103</w:t>
            </w:r>
          </w:p>
        </w:tc>
        <w:tc>
          <w:tcPr>
            <w:tcW w:w="440" w:type="pct"/>
            <w:tcBorders>
              <w:top w:val="nil"/>
              <w:left w:val="nil"/>
              <w:bottom w:val="single" w:sz="4" w:space="0" w:color="auto"/>
              <w:right w:val="single" w:sz="4" w:space="0" w:color="auto"/>
            </w:tcBorders>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15 335</w:t>
            </w:r>
          </w:p>
        </w:tc>
        <w:tc>
          <w:tcPr>
            <w:tcW w:w="440" w:type="pct"/>
            <w:tcBorders>
              <w:top w:val="nil"/>
              <w:left w:val="nil"/>
              <w:bottom w:val="single" w:sz="4" w:space="0" w:color="auto"/>
              <w:right w:val="single" w:sz="4" w:space="0" w:color="auto"/>
            </w:tcBorders>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15 761</w:t>
            </w:r>
          </w:p>
        </w:tc>
        <w:tc>
          <w:tcPr>
            <w:tcW w:w="440" w:type="pct"/>
            <w:tcBorders>
              <w:top w:val="nil"/>
              <w:left w:val="nil"/>
              <w:bottom w:val="single" w:sz="4" w:space="0" w:color="auto"/>
              <w:right w:val="single" w:sz="4" w:space="0" w:color="auto"/>
            </w:tcBorders>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16 180</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príspevok na činnosť OS ZZS**</w:t>
            </w:r>
          </w:p>
        </w:tc>
        <w:tc>
          <w:tcPr>
            <w:tcW w:w="440" w:type="pct"/>
            <w:tcBorders>
              <w:top w:val="nil"/>
              <w:left w:val="nil"/>
              <w:bottom w:val="single" w:sz="4" w:space="0" w:color="auto"/>
              <w:right w:val="single" w:sz="4" w:space="0" w:color="auto"/>
            </w:tcBorders>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10 990</w:t>
            </w:r>
          </w:p>
        </w:tc>
        <w:tc>
          <w:tcPr>
            <w:tcW w:w="471" w:type="pct"/>
            <w:gridSpan w:val="3"/>
            <w:tcBorders>
              <w:top w:val="nil"/>
              <w:left w:val="nil"/>
              <w:bottom w:val="single" w:sz="4" w:space="0" w:color="auto"/>
              <w:right w:val="single" w:sz="4" w:space="0" w:color="auto"/>
            </w:tcBorders>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11 193</w:t>
            </w:r>
          </w:p>
        </w:tc>
        <w:tc>
          <w:tcPr>
            <w:tcW w:w="440" w:type="pct"/>
            <w:tcBorders>
              <w:top w:val="nil"/>
              <w:left w:val="nil"/>
              <w:bottom w:val="single" w:sz="4" w:space="0" w:color="auto"/>
              <w:right w:val="single" w:sz="4" w:space="0" w:color="auto"/>
            </w:tcBorders>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12 443</w:t>
            </w:r>
          </w:p>
        </w:tc>
        <w:tc>
          <w:tcPr>
            <w:tcW w:w="440" w:type="pct"/>
            <w:tcBorders>
              <w:top w:val="nil"/>
              <w:left w:val="nil"/>
              <w:bottom w:val="single" w:sz="4" w:space="0" w:color="auto"/>
              <w:right w:val="single" w:sz="4" w:space="0" w:color="auto"/>
            </w:tcBorders>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11 747</w:t>
            </w:r>
          </w:p>
        </w:tc>
        <w:tc>
          <w:tcPr>
            <w:tcW w:w="440" w:type="pct"/>
            <w:tcBorders>
              <w:top w:val="nil"/>
              <w:left w:val="nil"/>
              <w:bottom w:val="single" w:sz="4" w:space="0" w:color="auto"/>
              <w:right w:val="single" w:sz="4" w:space="0" w:color="auto"/>
            </w:tcBorders>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11 927</w:t>
            </w:r>
          </w:p>
        </w:tc>
        <w:tc>
          <w:tcPr>
            <w:tcW w:w="440" w:type="pct"/>
            <w:tcBorders>
              <w:top w:val="nil"/>
              <w:left w:val="nil"/>
              <w:bottom w:val="single" w:sz="4" w:space="0" w:color="auto"/>
              <w:right w:val="single" w:sz="4" w:space="0" w:color="auto"/>
            </w:tcBorders>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12 258</w:t>
            </w:r>
          </w:p>
        </w:tc>
        <w:tc>
          <w:tcPr>
            <w:tcW w:w="440" w:type="pct"/>
            <w:tcBorders>
              <w:top w:val="nil"/>
              <w:left w:val="nil"/>
              <w:bottom w:val="single" w:sz="4" w:space="0" w:color="auto"/>
              <w:right w:val="single" w:sz="4" w:space="0" w:color="auto"/>
            </w:tcBorders>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12 584</w:t>
            </w:r>
          </w:p>
        </w:tc>
      </w:tr>
      <w:tr>
        <w:tblPrEx>
          <w:tblW w:w="5000" w:type="pct"/>
          <w:tblCellMar>
            <w:left w:w="70" w:type="dxa"/>
            <w:right w:w="70" w:type="dxa"/>
          </w:tblCellMar>
          <w:tblLook w:val="04A0"/>
        </w:tblPrEx>
        <w:trPr>
          <w:gridAfter w:val="1"/>
          <w:wAfter w:w="77" w:type="dxa"/>
          <w:trHeight w:val="220"/>
        </w:trPr>
        <w:tc>
          <w:tcPr>
            <w:tcW w:w="1812"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86488" w:rsidRPr="00C221F9" w:rsidP="00EA0AB6">
            <w:pPr>
              <w:bidi w:val="0"/>
              <w:rPr>
                <w:rFonts w:ascii="Times New Roman" w:hAnsi="Times New Roman"/>
                <w:b/>
                <w:bCs/>
                <w:iCs/>
                <w:sz w:val="16"/>
                <w:szCs w:val="16"/>
              </w:rPr>
            </w:pPr>
            <w:r w:rsidRPr="00C221F9">
              <w:rPr>
                <w:rFonts w:ascii="Times New Roman" w:hAnsi="Times New Roman"/>
                <w:b/>
                <w:bCs/>
                <w:iCs/>
                <w:sz w:val="16"/>
                <w:szCs w:val="16"/>
              </w:rPr>
              <w:t>Celkový prebytok verejného zdravotného poistenia</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87 090</w:t>
            </w:r>
          </w:p>
        </w:tc>
        <w:tc>
          <w:tcPr>
            <w:tcW w:w="471" w:type="pct"/>
            <w:gridSpan w:val="3"/>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83 424</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83 638</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83 251</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83 751</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84 251</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84 751</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b/>
                <w:bCs/>
                <w:i/>
                <w:iCs/>
                <w:sz w:val="16"/>
                <w:szCs w:val="16"/>
              </w:rPr>
            </w:pPr>
            <w:r w:rsidRPr="00F27ABF">
              <w:rPr>
                <w:rFonts w:ascii="Times New Roman" w:hAnsi="Times New Roman"/>
                <w:b/>
                <w:bCs/>
                <w:i/>
                <w:iCs/>
                <w:sz w:val="16"/>
                <w:szCs w:val="16"/>
              </w:rPr>
              <w:t>vylúčenie finančných operácií</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-153 082</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-87 090</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-82 230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b/>
                <w:bCs/>
                <w:i/>
                <w:iCs/>
                <w:sz w:val="16"/>
                <w:szCs w:val="16"/>
              </w:rPr>
            </w:pPr>
            <w:r w:rsidRPr="00205C1D">
              <w:rPr>
                <w:rFonts w:ascii="Times New Roman" w:hAnsi="Times New Roman"/>
                <w:b/>
                <w:bCs/>
                <w:i/>
                <w:iCs/>
                <w:sz w:val="16"/>
                <w:szCs w:val="16"/>
              </w:rPr>
              <w:t>-83 424</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b/>
                <w:bCs/>
                <w:i/>
                <w:iCs/>
                <w:sz w:val="16"/>
                <w:szCs w:val="16"/>
              </w:rPr>
            </w:pPr>
            <w:r w:rsidRPr="0008174C">
              <w:rPr>
                <w:rFonts w:ascii="Times New Roman" w:hAnsi="Times New Roman"/>
                <w:b/>
                <w:bCs/>
                <w:i/>
                <w:iCs/>
                <w:sz w:val="16"/>
                <w:szCs w:val="16"/>
              </w:rPr>
              <w:t>-83 251</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b/>
                <w:bCs/>
                <w:i/>
                <w:iCs/>
                <w:sz w:val="16"/>
                <w:szCs w:val="16"/>
              </w:rPr>
            </w:pPr>
            <w:r w:rsidRPr="0008174C">
              <w:rPr>
                <w:rFonts w:ascii="Times New Roman" w:hAnsi="Times New Roman"/>
                <w:b/>
                <w:bCs/>
                <w:i/>
                <w:iCs/>
                <w:sz w:val="16"/>
                <w:szCs w:val="16"/>
              </w:rPr>
              <w:t>-83 751</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b/>
                <w:bCs/>
                <w:i/>
                <w:iCs/>
                <w:sz w:val="16"/>
                <w:szCs w:val="16"/>
              </w:rPr>
            </w:pPr>
            <w:r w:rsidRPr="00205C1D">
              <w:rPr>
                <w:rFonts w:ascii="Times New Roman" w:hAnsi="Times New Roman"/>
                <w:b/>
                <w:bCs/>
                <w:i/>
                <w:iCs/>
                <w:sz w:val="16"/>
                <w:szCs w:val="16"/>
              </w:rPr>
              <w:t>-84 251</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noWrap/>
            <w:textDirection w:val="lrTb"/>
            <w:vAlign w:val="bottom"/>
            <w:hideMark/>
          </w:tcPr>
          <w:p w:rsidR="00F86488" w:rsidRPr="00F27ABF" w:rsidP="00EA0AB6">
            <w:pPr>
              <w:bidi w:val="0"/>
              <w:rPr>
                <w:rFonts w:ascii="Times New Roman" w:hAnsi="Times New Roman"/>
                <w:sz w:val="16"/>
                <w:szCs w:val="16"/>
              </w:rPr>
            </w:pPr>
            <w:r w:rsidRPr="00F27ABF">
              <w:rPr>
                <w:rFonts w:ascii="Times New Roman" w:hAnsi="Times New Roman"/>
                <w:sz w:val="16"/>
                <w:szCs w:val="16"/>
              </w:rPr>
              <w:t xml:space="preserve">  ▪   vylúčenie príjmových  FO</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-153 082</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-87 090</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sz w:val="16"/>
                <w:szCs w:val="16"/>
              </w:rPr>
            </w:pPr>
            <w:r w:rsidRPr="00F27ABF">
              <w:rPr>
                <w:rFonts w:ascii="Times New Roman" w:hAnsi="Times New Roman"/>
                <w:sz w:val="16"/>
                <w:szCs w:val="16"/>
              </w:rPr>
              <w:t>-82 230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-83 424</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-83 251</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sz w:val="16"/>
                <w:szCs w:val="16"/>
              </w:rPr>
            </w:pPr>
            <w:r w:rsidRPr="0008174C">
              <w:rPr>
                <w:rFonts w:ascii="Times New Roman" w:hAnsi="Times New Roman"/>
                <w:sz w:val="16"/>
                <w:szCs w:val="16"/>
              </w:rPr>
              <w:t>-83 751</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sz w:val="16"/>
                <w:szCs w:val="16"/>
              </w:rPr>
            </w:pPr>
            <w:r w:rsidRPr="00205C1D">
              <w:rPr>
                <w:rFonts w:ascii="Times New Roman" w:hAnsi="Times New Roman"/>
                <w:sz w:val="16"/>
                <w:szCs w:val="16"/>
              </w:rPr>
              <w:t>-84 251</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b/>
                <w:bCs/>
                <w:i/>
                <w:iCs/>
                <w:sz w:val="16"/>
                <w:szCs w:val="16"/>
              </w:rPr>
            </w:pPr>
            <w:r w:rsidRPr="00F27ABF">
              <w:rPr>
                <w:rFonts w:ascii="Times New Roman" w:hAnsi="Times New Roman"/>
                <w:b/>
                <w:bCs/>
                <w:i/>
                <w:iCs/>
                <w:sz w:val="16"/>
                <w:szCs w:val="16"/>
              </w:rPr>
              <w:t>zahrnutie časového rozlíšenia</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10 589</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12 626</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12 592</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b/>
                <w:bCs/>
                <w:i/>
                <w:iCs/>
                <w:sz w:val="16"/>
                <w:szCs w:val="16"/>
              </w:rPr>
            </w:pPr>
            <w:r w:rsidRPr="00205C1D">
              <w:rPr>
                <w:rFonts w:ascii="Times New Roman" w:hAnsi="Times New Roman"/>
                <w:b/>
                <w:bCs/>
                <w:i/>
                <w:iCs/>
                <w:sz w:val="16"/>
                <w:szCs w:val="16"/>
              </w:rPr>
              <w:t>14 454</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b/>
                <w:bCs/>
                <w:i/>
                <w:iCs/>
                <w:sz w:val="16"/>
                <w:szCs w:val="16"/>
              </w:rPr>
            </w:pPr>
            <w:r w:rsidRPr="0008174C">
              <w:rPr>
                <w:rFonts w:ascii="Times New Roman" w:hAnsi="Times New Roman"/>
                <w:b/>
                <w:bCs/>
                <w:i/>
                <w:iCs/>
                <w:sz w:val="16"/>
                <w:szCs w:val="16"/>
              </w:rPr>
              <w:t>-9 855</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b/>
                <w:bCs/>
                <w:i/>
                <w:iCs/>
                <w:sz w:val="16"/>
                <w:szCs w:val="16"/>
              </w:rPr>
            </w:pPr>
            <w:r w:rsidRPr="0008174C">
              <w:rPr>
                <w:rFonts w:ascii="Times New Roman" w:hAnsi="Times New Roman"/>
                <w:b/>
                <w:bCs/>
                <w:i/>
                <w:iCs/>
                <w:sz w:val="16"/>
                <w:szCs w:val="16"/>
              </w:rPr>
              <w:t>15 206</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b/>
                <w:bCs/>
                <w:i/>
                <w:iCs/>
                <w:sz w:val="16"/>
                <w:szCs w:val="16"/>
              </w:rPr>
            </w:pPr>
            <w:r w:rsidRPr="00205C1D">
              <w:rPr>
                <w:rFonts w:ascii="Times New Roman" w:hAnsi="Times New Roman"/>
                <w:b/>
                <w:bCs/>
                <w:i/>
                <w:iCs/>
                <w:sz w:val="16"/>
                <w:szCs w:val="16"/>
              </w:rPr>
              <w:t>13 893</w:t>
            </w:r>
          </w:p>
        </w:tc>
      </w:tr>
      <w:tr>
        <w:tblPrEx>
          <w:tblW w:w="5000" w:type="pct"/>
          <w:tblCellMar>
            <w:left w:w="70" w:type="dxa"/>
            <w:right w:w="70" w:type="dxa"/>
          </w:tblCellMar>
          <w:tblLook w:val="04A0"/>
        </w:tblPrEx>
        <w:trPr>
          <w:gridAfter w:val="1"/>
          <w:wAfter w:w="77" w:type="dxa"/>
          <w:trHeight w:val="220"/>
        </w:trPr>
        <w:tc>
          <w:tcPr>
            <w:tcW w:w="1812" w:type="pct"/>
            <w:tcBorders>
              <w:top w:val="nil"/>
              <w:left w:val="single" w:sz="4" w:space="0" w:color="auto"/>
              <w:bottom w:val="single" w:sz="4" w:space="0" w:color="auto"/>
              <w:right w:val="single" w:sz="4" w:space="0" w:color="auto"/>
            </w:tcBorders>
            <w:textDirection w:val="lrTb"/>
            <w:vAlign w:val="bottom"/>
            <w:hideMark/>
          </w:tcPr>
          <w:p w:rsidR="00F86488" w:rsidRPr="00F27ABF" w:rsidP="00EA0AB6">
            <w:pPr>
              <w:bidi w:val="0"/>
              <w:rPr>
                <w:rFonts w:ascii="Times New Roman" w:hAnsi="Times New Roman"/>
                <w:b/>
                <w:bCs/>
                <w:i/>
                <w:iCs/>
                <w:sz w:val="16"/>
                <w:szCs w:val="16"/>
              </w:rPr>
            </w:pPr>
            <w:r w:rsidRPr="00F27ABF">
              <w:rPr>
                <w:rFonts w:ascii="Times New Roman" w:hAnsi="Times New Roman"/>
                <w:b/>
                <w:bCs/>
                <w:i/>
                <w:iCs/>
                <w:sz w:val="16"/>
                <w:szCs w:val="16"/>
              </w:rPr>
              <w:t>ostatné úpravy***</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45 946</w:t>
            </w:r>
          </w:p>
        </w:tc>
        <w:tc>
          <w:tcPr>
            <w:tcW w:w="471" w:type="pct"/>
            <w:gridSpan w:val="3"/>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-100 940</w:t>
            </w:r>
          </w:p>
        </w:tc>
        <w:tc>
          <w:tcPr>
            <w:tcW w:w="440" w:type="pct"/>
            <w:tcBorders>
              <w:top w:val="nil"/>
              <w:left w:val="nil"/>
              <w:bottom w:val="single" w:sz="4" w:space="0" w:color="auto"/>
              <w:right w:val="single" w:sz="4" w:space="0" w:color="auto"/>
            </w:tcBorders>
            <w:noWrap/>
            <w:textDirection w:val="lrTb"/>
            <w:vAlign w:val="bottom"/>
            <w:hideMark/>
          </w:tcPr>
          <w:p w:rsidR="00F86488"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b/>
                <w:bCs/>
                <w:i/>
                <w:iCs/>
                <w:sz w:val="16"/>
                <w:szCs w:val="16"/>
              </w:rPr>
            </w:pPr>
            <w:r w:rsidRPr="00205C1D">
              <w:rPr>
                <w:rFonts w:ascii="Times New Roman" w:hAnsi="Times New Roman"/>
                <w:b/>
                <w:bCs/>
                <w:i/>
                <w:iCs/>
                <w:sz w:val="16"/>
                <w:szCs w:val="16"/>
              </w:rPr>
              <w:t>-4 000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b/>
                <w:bCs/>
                <w:i/>
                <w:iCs/>
                <w:sz w:val="16"/>
                <w:szCs w:val="16"/>
              </w:rPr>
            </w:pPr>
            <w:r w:rsidRPr="0008174C">
              <w:rPr>
                <w:rFonts w:ascii="Times New Roman" w:hAnsi="Times New Roman"/>
                <w:b/>
                <w:bCs/>
                <w:i/>
                <w:iCs/>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08174C" w:rsidP="00EA0AB6">
            <w:pPr>
              <w:bidi w:val="0"/>
              <w:jc w:val="right"/>
              <w:rPr>
                <w:rFonts w:ascii="Times New Roman" w:hAnsi="Times New Roman"/>
                <w:b/>
                <w:bCs/>
                <w:i/>
                <w:iCs/>
                <w:sz w:val="16"/>
                <w:szCs w:val="16"/>
              </w:rPr>
            </w:pPr>
            <w:r w:rsidRPr="0008174C">
              <w:rPr>
                <w:rFonts w:ascii="Times New Roman" w:hAnsi="Times New Roman"/>
                <w:b/>
                <w:bCs/>
                <w:i/>
                <w:iCs/>
                <w:sz w:val="16"/>
                <w:szCs w:val="16"/>
              </w:rPr>
              <w:t>0</w:t>
            </w:r>
          </w:p>
        </w:tc>
        <w:tc>
          <w:tcPr>
            <w:tcW w:w="440" w:type="pct"/>
            <w:tcBorders>
              <w:top w:val="nil"/>
              <w:left w:val="nil"/>
              <w:bottom w:val="single" w:sz="4" w:space="0" w:color="auto"/>
              <w:right w:val="single" w:sz="4" w:space="0" w:color="auto"/>
            </w:tcBorders>
            <w:noWrap/>
            <w:textDirection w:val="lrTb"/>
            <w:vAlign w:val="bottom"/>
            <w:hideMark/>
          </w:tcPr>
          <w:p w:rsidR="00F86488" w:rsidRPr="00205C1D" w:rsidP="00EA0AB6">
            <w:pPr>
              <w:bidi w:val="0"/>
              <w:jc w:val="right"/>
              <w:rPr>
                <w:rFonts w:ascii="Times New Roman" w:hAnsi="Times New Roman"/>
                <w:b/>
                <w:bCs/>
                <w:i/>
                <w:iCs/>
                <w:sz w:val="16"/>
                <w:szCs w:val="16"/>
              </w:rPr>
            </w:pPr>
            <w:r w:rsidRPr="00205C1D">
              <w:rPr>
                <w:rFonts w:ascii="Times New Roman" w:hAnsi="Times New Roman"/>
                <w:b/>
                <w:bCs/>
                <w:i/>
                <w:iCs/>
                <w:sz w:val="16"/>
                <w:szCs w:val="16"/>
              </w:rPr>
              <w:t>0</w:t>
            </w:r>
          </w:p>
        </w:tc>
      </w:tr>
      <w:tr>
        <w:tblPrEx>
          <w:tblW w:w="5000" w:type="pct"/>
          <w:tblCellMar>
            <w:left w:w="70" w:type="dxa"/>
            <w:right w:w="70" w:type="dxa"/>
          </w:tblCellMar>
          <w:tblLook w:val="04A0"/>
        </w:tblPrEx>
        <w:trPr>
          <w:gridAfter w:val="1"/>
          <w:wAfter w:w="77" w:type="dxa"/>
          <w:trHeight w:val="220"/>
        </w:trPr>
        <w:tc>
          <w:tcPr>
            <w:tcW w:w="1812"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86488" w:rsidRPr="00C221F9" w:rsidP="00EA0AB6">
            <w:pPr>
              <w:bidi w:val="0"/>
              <w:rPr>
                <w:rFonts w:ascii="Times New Roman" w:hAnsi="Times New Roman"/>
                <w:b/>
                <w:bCs/>
                <w:iCs/>
                <w:sz w:val="16"/>
                <w:szCs w:val="16"/>
              </w:rPr>
            </w:pPr>
            <w:r w:rsidRPr="00C221F9">
              <w:rPr>
                <w:rFonts w:ascii="Times New Roman" w:hAnsi="Times New Roman"/>
                <w:b/>
                <w:bCs/>
                <w:iCs/>
                <w:sz w:val="16"/>
                <w:szCs w:val="16"/>
              </w:rPr>
              <w:t>Prebytok /schodok vereného zdravotného poistenia (ESA 95)</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-9 457</w:t>
            </w:r>
          </w:p>
        </w:tc>
        <w:tc>
          <w:tcPr>
            <w:tcW w:w="471" w:type="pct"/>
            <w:gridSpan w:val="3"/>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-91 980</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C221F9" w:rsidP="00EA0AB6">
            <w:pPr>
              <w:bidi w:val="0"/>
              <w:jc w:val="right"/>
              <w:rPr>
                <w:rFonts w:ascii="Times New Roman" w:hAnsi="Times New Roman"/>
                <w:b/>
                <w:bCs/>
                <w:iCs/>
                <w:sz w:val="16"/>
                <w:szCs w:val="16"/>
              </w:rPr>
            </w:pPr>
            <w:r w:rsidRPr="00C221F9">
              <w:rPr>
                <w:rFonts w:ascii="Times New Roman" w:hAnsi="Times New Roman"/>
                <w:b/>
                <w:bCs/>
                <w:iCs/>
                <w:sz w:val="16"/>
                <w:szCs w:val="16"/>
              </w:rPr>
              <w:t>14 000</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10 281</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-9 355</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08174C" w:rsidP="00EA0AB6">
            <w:pPr>
              <w:bidi w:val="0"/>
              <w:jc w:val="right"/>
              <w:rPr>
                <w:rFonts w:ascii="Times New Roman" w:hAnsi="Times New Roman"/>
                <w:b/>
                <w:bCs/>
                <w:iCs/>
                <w:sz w:val="16"/>
                <w:szCs w:val="16"/>
              </w:rPr>
            </w:pPr>
            <w:r w:rsidRPr="0008174C">
              <w:rPr>
                <w:rFonts w:ascii="Times New Roman" w:hAnsi="Times New Roman"/>
                <w:b/>
                <w:bCs/>
                <w:iCs/>
                <w:sz w:val="16"/>
                <w:szCs w:val="16"/>
              </w:rPr>
              <w:t>15 706</w:t>
            </w:r>
          </w:p>
        </w:tc>
        <w:tc>
          <w:tcPr>
            <w:tcW w:w="44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F86488" w:rsidRPr="00534FF9" w:rsidP="00EA0AB6">
            <w:pPr>
              <w:bidi w:val="0"/>
              <w:jc w:val="right"/>
              <w:rPr>
                <w:rFonts w:ascii="Times New Roman" w:hAnsi="Times New Roman"/>
                <w:b/>
                <w:bCs/>
                <w:iCs/>
                <w:sz w:val="16"/>
                <w:szCs w:val="16"/>
              </w:rPr>
            </w:pPr>
            <w:r w:rsidRPr="00534FF9">
              <w:rPr>
                <w:rFonts w:ascii="Times New Roman" w:hAnsi="Times New Roman"/>
                <w:b/>
                <w:bCs/>
                <w:iCs/>
                <w:sz w:val="16"/>
                <w:szCs w:val="16"/>
              </w:rPr>
              <w:t>14 393</w:t>
            </w:r>
          </w:p>
        </w:tc>
      </w:tr>
      <w:tr>
        <w:tblPrEx>
          <w:tblW w:w="5000" w:type="pct"/>
          <w:tblCellMar>
            <w:left w:w="70" w:type="dxa"/>
            <w:right w:w="70" w:type="dxa"/>
          </w:tblCellMar>
          <w:tblLook w:val="04A0"/>
        </w:tblPrEx>
        <w:trPr>
          <w:trHeight w:val="218"/>
        </w:trPr>
        <w:tc>
          <w:tcPr>
            <w:tcW w:w="3163" w:type="pct"/>
            <w:gridSpan w:val="6"/>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4"/>
                <w:szCs w:val="14"/>
              </w:rPr>
            </w:pPr>
            <w:r w:rsidRPr="00F27ABF">
              <w:rPr>
                <w:rFonts w:ascii="Times New Roman" w:hAnsi="Times New Roman"/>
                <w:sz w:val="14"/>
                <w:szCs w:val="14"/>
              </w:rPr>
              <w:t>* OS ZZS - operačné strediská záchrannej zdravotnej služby</w:t>
            </w: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77"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r>
      <w:tr>
        <w:tblPrEx>
          <w:tblW w:w="5000" w:type="pct"/>
          <w:tblCellMar>
            <w:left w:w="70" w:type="dxa"/>
            <w:right w:w="70" w:type="dxa"/>
          </w:tblCellMar>
          <w:tblLook w:val="04A0"/>
        </w:tblPrEx>
        <w:trPr>
          <w:trHeight w:val="486"/>
        </w:trPr>
        <w:tc>
          <w:tcPr>
            <w:tcW w:w="4043" w:type="pct"/>
            <w:gridSpan w:val="8"/>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4"/>
                <w:szCs w:val="14"/>
              </w:rPr>
            </w:pPr>
            <w:r w:rsidRPr="00F27ABF">
              <w:rPr>
                <w:rFonts w:ascii="Times New Roman" w:hAnsi="Times New Roman"/>
                <w:sz w:val="14"/>
                <w:szCs w:val="14"/>
              </w:rPr>
              <w:t>** UDZS - Úrad pre dohľad nad zdravotnou starostlivosťou</w:t>
            </w:r>
          </w:p>
          <w:p w:rsidR="00F86488" w:rsidRPr="00F27ABF" w:rsidP="00EA0AB6">
            <w:pPr>
              <w:bidi w:val="0"/>
              <w:rPr>
                <w:rFonts w:ascii="Times New Roman" w:hAnsi="Times New Roman"/>
                <w:sz w:val="14"/>
                <w:szCs w:val="14"/>
              </w:rPr>
            </w:pPr>
            <w:r w:rsidRPr="00F27ABF">
              <w:rPr>
                <w:rFonts w:ascii="Times New Roman" w:hAnsi="Times New Roman"/>
                <w:sz w:val="14"/>
                <w:szCs w:val="14"/>
              </w:rPr>
              <w:t>***  ostatné úpravy - zmena stavu vybraných aktív a pasív, ostatné úpravy pre metodiku ESA 95</w:t>
            </w:r>
          </w:p>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77" w:type="pct"/>
            <w:tcBorders>
              <w:top w:val="none" w:sz="0" w:space="0" w:color="auto"/>
              <w:left w:val="none" w:sz="0" w:space="0" w:color="auto"/>
              <w:bottom w:val="none" w:sz="0" w:space="0" w:color="auto"/>
              <w:right w:val="none" w:sz="0" w:space="0" w:color="auto"/>
            </w:tcBorders>
            <w:textDirection w:val="lrTb"/>
            <w:vAlign w:val="center"/>
            <w:hideMark/>
          </w:tcPr>
          <w:p w:rsidR="00F86488" w:rsidRPr="00F27ABF" w:rsidP="00EA0AB6">
            <w:pPr>
              <w:bidi w:val="0"/>
              <w:rPr>
                <w:rFonts w:ascii="Times New Roman" w:hAnsi="Times New Roman"/>
                <w:sz w:val="20"/>
              </w:rPr>
            </w:pPr>
          </w:p>
        </w:tc>
      </w:tr>
      <w:tr>
        <w:tblPrEx>
          <w:tblW w:w="5000" w:type="pct"/>
          <w:tblCellMar>
            <w:left w:w="70" w:type="dxa"/>
            <w:right w:w="70" w:type="dxa"/>
          </w:tblCellMar>
          <w:tblLook w:val="04A0"/>
        </w:tblPrEx>
        <w:trPr>
          <w:trHeight w:val="78"/>
        </w:trPr>
        <w:tc>
          <w:tcPr>
            <w:tcW w:w="2354" w:type="pct"/>
            <w:gridSpan w:val="3"/>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4"/>
                <w:szCs w:val="14"/>
              </w:rPr>
            </w:pPr>
          </w:p>
        </w:tc>
        <w:tc>
          <w:tcPr>
            <w:tcW w:w="184"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4"/>
                <w:szCs w:val="14"/>
              </w:rPr>
            </w:pPr>
          </w:p>
        </w:tc>
        <w:tc>
          <w:tcPr>
            <w:tcW w:w="184"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440" w:type="pct"/>
            <w:tcBorders>
              <w:top w:val="nil"/>
              <w:left w:val="nil"/>
              <w:bottom w:val="nil"/>
              <w:right w:val="nil"/>
            </w:tcBorders>
            <w:noWrap/>
            <w:textDirection w:val="lrTb"/>
            <w:vAlign w:val="bottom"/>
            <w:hideMark/>
          </w:tcPr>
          <w:p w:rsidR="00F86488" w:rsidRPr="00F27ABF" w:rsidP="00EA0AB6">
            <w:pPr>
              <w:bidi w:val="0"/>
              <w:rPr>
                <w:rFonts w:ascii="Times New Roman" w:hAnsi="Times New Roman"/>
                <w:sz w:val="16"/>
                <w:szCs w:val="16"/>
              </w:rPr>
            </w:pPr>
          </w:p>
        </w:tc>
        <w:tc>
          <w:tcPr>
            <w:tcW w:w="77" w:type="pct"/>
            <w:tcBorders>
              <w:top w:val="none" w:sz="0" w:space="0" w:color="auto"/>
              <w:left w:val="none" w:sz="0" w:space="0" w:color="auto"/>
              <w:bottom w:val="none" w:sz="0" w:space="0" w:color="auto"/>
              <w:right w:val="none" w:sz="0" w:space="0" w:color="auto"/>
            </w:tcBorders>
            <w:textDirection w:val="lrTb"/>
            <w:vAlign w:val="center"/>
            <w:hideMark/>
          </w:tcPr>
          <w:p w:rsidR="00F86488" w:rsidRPr="00F27ABF" w:rsidP="00EA0AB6">
            <w:pPr>
              <w:bidi w:val="0"/>
              <w:rPr>
                <w:rFonts w:ascii="Times New Roman" w:hAnsi="Times New Roman"/>
                <w:sz w:val="20"/>
              </w:rPr>
            </w:pPr>
          </w:p>
        </w:tc>
      </w:tr>
    </w:tbl>
    <w:p w:rsidR="00F86488" w:rsidRPr="00EB33CC" w:rsidP="00F86488">
      <w:pPr>
        <w:bidi w:val="0"/>
        <w:ind w:firstLine="708"/>
        <w:jc w:val="both"/>
        <w:rPr>
          <w:rFonts w:ascii="Times New Roman" w:hAnsi="Times New Roman"/>
          <w:szCs w:val="22"/>
        </w:rPr>
      </w:pPr>
      <w:r w:rsidRPr="00EB33CC">
        <w:rPr>
          <w:rFonts w:ascii="Times New Roman" w:hAnsi="Times New Roman"/>
          <w:szCs w:val="22"/>
        </w:rPr>
        <w:t xml:space="preserve">Celkové príjmy v systéme verejného zdravotného poistenia sa </w:t>
      </w:r>
      <w:r>
        <w:rPr>
          <w:rFonts w:ascii="Times New Roman" w:hAnsi="Times New Roman"/>
          <w:szCs w:val="22"/>
        </w:rPr>
        <w:t>na</w:t>
      </w:r>
      <w:r w:rsidRPr="00EB33CC">
        <w:rPr>
          <w:rFonts w:ascii="Times New Roman" w:hAnsi="Times New Roman"/>
          <w:szCs w:val="22"/>
        </w:rPr>
        <w:t xml:space="preserve"> rok 2012 predpokladajú vo výške 3</w:t>
      </w:r>
      <w:r>
        <w:rPr>
          <w:rFonts w:ascii="Times New Roman" w:hAnsi="Times New Roman"/>
          <w:szCs w:val="22"/>
        </w:rPr>
        <w:t>,79 mld. eur, čo predstavuje 2,53</w:t>
      </w:r>
      <w:r w:rsidRPr="00EB33CC">
        <w:rPr>
          <w:rFonts w:ascii="Times New Roman" w:hAnsi="Times New Roman"/>
          <w:szCs w:val="22"/>
        </w:rPr>
        <w:t>% nárast oproti schvále</w:t>
      </w:r>
      <w:r>
        <w:rPr>
          <w:rFonts w:ascii="Times New Roman" w:hAnsi="Times New Roman"/>
          <w:szCs w:val="22"/>
        </w:rPr>
        <w:t>nému rozpočtu na rok 2011 a 2,68</w:t>
      </w:r>
      <w:r w:rsidRPr="00EB33CC">
        <w:rPr>
          <w:rFonts w:ascii="Times New Roman" w:hAnsi="Times New Roman"/>
          <w:szCs w:val="22"/>
        </w:rPr>
        <w:t xml:space="preserve">% nárast oproti očakávaným príjmom v roku 2011. </w:t>
      </w:r>
      <w:r>
        <w:rPr>
          <w:rFonts w:ascii="Times New Roman" w:hAnsi="Times New Roman"/>
          <w:szCs w:val="22"/>
        </w:rPr>
        <w:t>Na</w:t>
      </w:r>
      <w:r w:rsidRPr="00EB33CC">
        <w:rPr>
          <w:rFonts w:ascii="Times New Roman" w:hAnsi="Times New Roman"/>
          <w:szCs w:val="22"/>
        </w:rPr>
        <w:t> rok 2013 sa celkové príjmy predpokladajú v objeme 3,89 mld.</w:t>
      </w:r>
      <w:r>
        <w:rPr>
          <w:rFonts w:ascii="Times New Roman" w:hAnsi="Times New Roman"/>
          <w:szCs w:val="22"/>
        </w:rPr>
        <w:t xml:space="preserve"> eur s medziročným nárastom 2,60</w:t>
      </w:r>
      <w:r w:rsidRPr="00EB33CC">
        <w:rPr>
          <w:rFonts w:ascii="Times New Roman" w:hAnsi="Times New Roman"/>
          <w:szCs w:val="22"/>
        </w:rPr>
        <w:t xml:space="preserve"> % a </w:t>
      </w:r>
      <w:r>
        <w:rPr>
          <w:rFonts w:ascii="Times New Roman" w:hAnsi="Times New Roman"/>
          <w:szCs w:val="22"/>
        </w:rPr>
        <w:t>na</w:t>
      </w:r>
      <w:r w:rsidRPr="00EB33CC">
        <w:rPr>
          <w:rFonts w:ascii="Times New Roman" w:hAnsi="Times New Roman"/>
          <w:szCs w:val="22"/>
        </w:rPr>
        <w:t> rok 2014 v objeme 3,94 mld. eur s medziročným nárastom 1,30 %.</w:t>
      </w:r>
    </w:p>
    <w:p w:rsidR="00F86488" w:rsidRPr="00EB33CC" w:rsidP="00F86488">
      <w:pPr>
        <w:bidi w:val="0"/>
        <w:jc w:val="both"/>
        <w:rPr>
          <w:rFonts w:ascii="Times New Roman" w:hAnsi="Times New Roman"/>
          <w:szCs w:val="22"/>
        </w:rPr>
      </w:pPr>
    </w:p>
    <w:p w:rsidR="00F86488" w:rsidRPr="00EB33CC" w:rsidP="00F86488">
      <w:pPr>
        <w:bidi w:val="0"/>
        <w:ind w:firstLine="708"/>
        <w:jc w:val="both"/>
        <w:rPr>
          <w:rFonts w:ascii="Times New Roman" w:hAnsi="Times New Roman"/>
          <w:szCs w:val="22"/>
        </w:rPr>
      </w:pPr>
      <w:r w:rsidRPr="00EB33CC">
        <w:rPr>
          <w:rFonts w:ascii="Times New Roman" w:hAnsi="Times New Roman"/>
          <w:szCs w:val="22"/>
        </w:rPr>
        <w:t xml:space="preserve">Návrh rozpočtu príjmov z poistného od ekonomicky aktívnych osôb nadväzuje na prognózu daňových príjmov, ktorá zohľadňuje zmeny vyplývajúce z reformy daňovo-odvodového systému. Príjmy od ekonomicky aktívnych osôb, vrátane ročného zúčtovania poistného, tak zaznamenali zníženie oproti schválenému rozpočtu v roku 2011, a to </w:t>
      </w:r>
      <w:r>
        <w:rPr>
          <w:rFonts w:ascii="Times New Roman" w:hAnsi="Times New Roman"/>
          <w:szCs w:val="22"/>
        </w:rPr>
        <w:t>na rok 2012 o 4,46 % na úroveň 2,28</w:t>
      </w:r>
      <w:r w:rsidRPr="00EB33CC">
        <w:rPr>
          <w:rFonts w:ascii="Times New Roman" w:hAnsi="Times New Roman"/>
          <w:szCs w:val="22"/>
        </w:rPr>
        <w:t xml:space="preserve"> mld. eur. V roku 2013 sa výška príjmov od ekonomicky aktívnych osôb predpokladá na úrovni 2,4</w:t>
      </w:r>
      <w:r>
        <w:rPr>
          <w:rFonts w:ascii="Times New Roman" w:hAnsi="Times New Roman"/>
          <w:szCs w:val="22"/>
        </w:rPr>
        <w:t>0</w:t>
      </w:r>
      <w:r w:rsidRPr="00EB33CC">
        <w:rPr>
          <w:rFonts w:ascii="Times New Roman" w:hAnsi="Times New Roman"/>
          <w:szCs w:val="22"/>
        </w:rPr>
        <w:t xml:space="preserve"> mld</w:t>
      </w:r>
      <w:r>
        <w:rPr>
          <w:rFonts w:ascii="Times New Roman" w:hAnsi="Times New Roman"/>
          <w:szCs w:val="22"/>
        </w:rPr>
        <w:t>. eur s medziročným nárastom o 5</w:t>
      </w:r>
      <w:r w:rsidRPr="00EB33CC">
        <w:rPr>
          <w:rFonts w:ascii="Times New Roman" w:hAnsi="Times New Roman"/>
          <w:szCs w:val="22"/>
        </w:rPr>
        <w:t>,2</w:t>
      </w:r>
      <w:r>
        <w:rPr>
          <w:rFonts w:ascii="Times New Roman" w:hAnsi="Times New Roman"/>
          <w:szCs w:val="22"/>
        </w:rPr>
        <w:t>8 % a v roku 2014 na úrovni 2,5</w:t>
      </w:r>
      <w:r w:rsidRPr="00EB33CC">
        <w:rPr>
          <w:rFonts w:ascii="Times New Roman" w:hAnsi="Times New Roman"/>
          <w:szCs w:val="22"/>
        </w:rPr>
        <w:t>6 mld</w:t>
      </w:r>
      <w:r>
        <w:rPr>
          <w:rFonts w:ascii="Times New Roman" w:hAnsi="Times New Roman"/>
          <w:szCs w:val="22"/>
        </w:rPr>
        <w:t>. eur s medziročným nárastom 6,69</w:t>
      </w:r>
      <w:r w:rsidRPr="00EB33CC">
        <w:rPr>
          <w:rFonts w:ascii="Times New Roman" w:hAnsi="Times New Roman"/>
          <w:szCs w:val="22"/>
        </w:rPr>
        <w:t xml:space="preserve"> %. </w:t>
      </w:r>
    </w:p>
    <w:p w:rsidR="00F86488" w:rsidP="006D0189">
      <w:pPr>
        <w:bidi w:val="0"/>
        <w:jc w:val="both"/>
        <w:rPr>
          <w:rFonts w:ascii="Times New Roman" w:hAnsi="Times New Roman"/>
          <w:szCs w:val="22"/>
        </w:rPr>
      </w:pPr>
    </w:p>
    <w:p w:rsidR="00F86488" w:rsidRPr="00EB33CC" w:rsidP="00F86488">
      <w:pPr>
        <w:bidi w:val="0"/>
        <w:ind w:firstLine="708"/>
        <w:jc w:val="both"/>
        <w:rPr>
          <w:rFonts w:ascii="Times New Roman" w:hAnsi="Times New Roman"/>
          <w:szCs w:val="22"/>
        </w:rPr>
      </w:pPr>
      <w:r w:rsidRPr="00EB33CC">
        <w:rPr>
          <w:rFonts w:ascii="Times New Roman" w:hAnsi="Times New Roman"/>
          <w:szCs w:val="22"/>
        </w:rPr>
        <w:t xml:space="preserve">Zníženie zdrojov z poistného od ekonomicky aktívnych osôb sa navrhuje kryť prostredníctvom zvýšeného objemu poistného plateného štátom. Preddavky na poistné platené štátom, určené pre zákonom vymedzené kategórie osôb, tak </w:t>
      </w:r>
      <w:r>
        <w:rPr>
          <w:rFonts w:ascii="Times New Roman" w:hAnsi="Times New Roman"/>
          <w:szCs w:val="22"/>
        </w:rPr>
        <w:t>na rok 2012 rastú o 11,1</w:t>
      </w:r>
      <w:r w:rsidRPr="00EB33CC">
        <w:rPr>
          <w:rFonts w:ascii="Times New Roman" w:hAnsi="Times New Roman"/>
          <w:szCs w:val="22"/>
        </w:rPr>
        <w:t xml:space="preserve"> % oproti schválenému rozpočtu </w:t>
      </w:r>
      <w:r>
        <w:rPr>
          <w:rFonts w:ascii="Times New Roman" w:hAnsi="Times New Roman"/>
          <w:szCs w:val="22"/>
        </w:rPr>
        <w:t>na rok 2011 na úroveň 1,33</w:t>
      </w:r>
      <w:r w:rsidRPr="00EB33CC">
        <w:rPr>
          <w:rFonts w:ascii="Times New Roman" w:hAnsi="Times New Roman"/>
          <w:szCs w:val="22"/>
        </w:rPr>
        <w:t xml:space="preserve"> mld. eur. </w:t>
      </w:r>
      <w:r>
        <w:rPr>
          <w:rFonts w:ascii="Times New Roman" w:hAnsi="Times New Roman"/>
          <w:szCs w:val="22"/>
        </w:rPr>
        <w:t>Na</w:t>
      </w:r>
      <w:r w:rsidRPr="00EB33CC">
        <w:rPr>
          <w:rFonts w:ascii="Times New Roman" w:hAnsi="Times New Roman"/>
          <w:szCs w:val="22"/>
        </w:rPr>
        <w:t> rok 2013 sa poistné platené štátom navrhuje vo výške 1,3</w:t>
      </w:r>
      <w:r>
        <w:rPr>
          <w:rFonts w:ascii="Times New Roman" w:hAnsi="Times New Roman"/>
          <w:szCs w:val="22"/>
        </w:rPr>
        <w:t>8</w:t>
      </w:r>
      <w:r w:rsidRPr="00EB33CC">
        <w:rPr>
          <w:rFonts w:ascii="Times New Roman" w:hAnsi="Times New Roman"/>
          <w:szCs w:val="22"/>
        </w:rPr>
        <w:t xml:space="preserve"> mld. eur a </w:t>
      </w:r>
      <w:r>
        <w:rPr>
          <w:rFonts w:ascii="Times New Roman" w:hAnsi="Times New Roman"/>
          <w:szCs w:val="22"/>
        </w:rPr>
        <w:t>na rok 2014 na úrovni 1,2</w:t>
      </w:r>
      <w:r w:rsidRPr="00EB33CC">
        <w:rPr>
          <w:rFonts w:ascii="Times New Roman" w:hAnsi="Times New Roman"/>
          <w:szCs w:val="22"/>
        </w:rPr>
        <w:t>7</w:t>
      </w:r>
      <w:r>
        <w:rPr>
          <w:rFonts w:ascii="Times New Roman" w:hAnsi="Times New Roman"/>
          <w:szCs w:val="22"/>
        </w:rPr>
        <w:t> </w:t>
      </w:r>
      <w:r w:rsidRPr="00EB33CC">
        <w:rPr>
          <w:rFonts w:ascii="Times New Roman" w:hAnsi="Times New Roman"/>
          <w:szCs w:val="22"/>
        </w:rPr>
        <w:t>mld.</w:t>
      </w:r>
      <w:r>
        <w:rPr>
          <w:rFonts w:ascii="Times New Roman" w:hAnsi="Times New Roman"/>
          <w:szCs w:val="22"/>
        </w:rPr>
        <w:t> </w:t>
      </w:r>
      <w:r w:rsidRPr="00EB33CC">
        <w:rPr>
          <w:rFonts w:ascii="Times New Roman" w:hAnsi="Times New Roman"/>
          <w:szCs w:val="22"/>
        </w:rPr>
        <w:t xml:space="preserve">eur. </w:t>
      </w:r>
    </w:p>
    <w:p w:rsidR="00F86488" w:rsidRPr="00EB33CC" w:rsidP="00F86488">
      <w:pPr>
        <w:bidi w:val="0"/>
        <w:jc w:val="both"/>
        <w:rPr>
          <w:rFonts w:ascii="Times New Roman" w:hAnsi="Times New Roman"/>
          <w:szCs w:val="22"/>
        </w:rPr>
      </w:pPr>
    </w:p>
    <w:p w:rsidR="00A24C2A" w:rsidRPr="00EB33CC" w:rsidP="00A24C2A">
      <w:pPr>
        <w:bidi w:val="0"/>
        <w:ind w:firstLine="708"/>
        <w:jc w:val="both"/>
        <w:rPr>
          <w:rFonts w:ascii="Times New Roman" w:hAnsi="Times New Roman"/>
          <w:szCs w:val="22"/>
        </w:rPr>
      </w:pPr>
      <w:r w:rsidRPr="00EB33CC" w:rsidR="00F86488">
        <w:rPr>
          <w:rFonts w:ascii="Times New Roman" w:hAnsi="Times New Roman"/>
          <w:szCs w:val="22"/>
        </w:rPr>
        <w:t>V roku 2012 sa predpokladá aj úhrada ročného zúčtovania poistného plateného štáto</w:t>
      </w:r>
      <w:r w:rsidR="00F86488">
        <w:rPr>
          <w:rFonts w:ascii="Times New Roman" w:hAnsi="Times New Roman"/>
          <w:szCs w:val="22"/>
        </w:rPr>
        <w:t>m n</w:t>
      </w:r>
      <w:r w:rsidRPr="00EB33CC" w:rsidR="00F86488">
        <w:rPr>
          <w:rFonts w:ascii="Times New Roman" w:hAnsi="Times New Roman"/>
          <w:szCs w:val="22"/>
        </w:rPr>
        <w:t xml:space="preserve">a rok 2011 vo výške 75,0 mil. eur, ktoré zabezpečí </w:t>
      </w:r>
      <w:r w:rsidR="00F86488">
        <w:rPr>
          <w:rFonts w:ascii="Times New Roman" w:hAnsi="Times New Roman"/>
          <w:szCs w:val="22"/>
        </w:rPr>
        <w:t>na</w:t>
      </w:r>
      <w:r w:rsidRPr="00EB33CC" w:rsidR="00F86488">
        <w:rPr>
          <w:rFonts w:ascii="Times New Roman" w:hAnsi="Times New Roman"/>
          <w:szCs w:val="22"/>
        </w:rPr>
        <w:t xml:space="preserve"> rok </w:t>
      </w:r>
      <w:r w:rsidR="00F86488">
        <w:rPr>
          <w:rFonts w:ascii="Times New Roman" w:hAnsi="Times New Roman"/>
          <w:szCs w:val="22"/>
        </w:rPr>
        <w:t>2012 ďalší nárast zdrojov o 5,29 </w:t>
      </w:r>
      <w:r w:rsidRPr="00EB33CC" w:rsidR="00F86488">
        <w:rPr>
          <w:rFonts w:ascii="Times New Roman" w:hAnsi="Times New Roman"/>
          <w:szCs w:val="22"/>
        </w:rPr>
        <w:t xml:space="preserve">%. Zdroje v oblasti poistného od štátu tak celkovo vzrastú </w:t>
      </w:r>
      <w:r w:rsidR="00F86488">
        <w:rPr>
          <w:rFonts w:ascii="Times New Roman" w:hAnsi="Times New Roman"/>
          <w:szCs w:val="22"/>
        </w:rPr>
        <w:t>na</w:t>
      </w:r>
      <w:r w:rsidRPr="00EB33CC" w:rsidR="00F86488">
        <w:rPr>
          <w:rFonts w:ascii="Times New Roman" w:hAnsi="Times New Roman"/>
          <w:szCs w:val="22"/>
        </w:rPr>
        <w:t xml:space="preserve"> rok 2012 o 1</w:t>
      </w:r>
      <w:r w:rsidR="00F86488">
        <w:rPr>
          <w:rFonts w:ascii="Times New Roman" w:hAnsi="Times New Roman"/>
          <w:szCs w:val="22"/>
        </w:rPr>
        <w:t>6</w:t>
      </w:r>
      <w:r w:rsidRPr="00EB33CC" w:rsidR="00F86488">
        <w:rPr>
          <w:rFonts w:ascii="Times New Roman" w:hAnsi="Times New Roman"/>
          <w:szCs w:val="22"/>
        </w:rPr>
        <w:t>,</w:t>
      </w:r>
      <w:r w:rsidR="00F86488">
        <w:rPr>
          <w:rFonts w:ascii="Times New Roman" w:hAnsi="Times New Roman"/>
          <w:szCs w:val="22"/>
        </w:rPr>
        <w:t>4</w:t>
      </w:r>
      <w:r w:rsidRPr="00EB33CC" w:rsidR="00F86488">
        <w:rPr>
          <w:rFonts w:ascii="Times New Roman" w:hAnsi="Times New Roman"/>
          <w:szCs w:val="22"/>
        </w:rPr>
        <w:t xml:space="preserve"> %, t.</w:t>
      </w:r>
      <w:r w:rsidR="00F86488">
        <w:rPr>
          <w:rFonts w:ascii="Times New Roman" w:hAnsi="Times New Roman"/>
          <w:szCs w:val="22"/>
        </w:rPr>
        <w:t xml:space="preserve"> j. o 198</w:t>
      </w:r>
      <w:r w:rsidRPr="00EB33CC" w:rsidR="00F86488">
        <w:rPr>
          <w:rFonts w:ascii="Times New Roman" w:hAnsi="Times New Roman"/>
          <w:szCs w:val="22"/>
        </w:rPr>
        <w:t xml:space="preserve"> mil. eur. Výška ročného zúčtovania poistného </w:t>
      </w:r>
      <w:r w:rsidR="00F86488">
        <w:rPr>
          <w:rFonts w:ascii="Times New Roman" w:hAnsi="Times New Roman"/>
          <w:szCs w:val="22"/>
        </w:rPr>
        <w:t>n</w:t>
      </w:r>
      <w:r w:rsidRPr="00EB33CC" w:rsidR="00F86488">
        <w:rPr>
          <w:rFonts w:ascii="Times New Roman" w:hAnsi="Times New Roman"/>
          <w:szCs w:val="22"/>
        </w:rPr>
        <w:t>a rok 2011 nadväzuje na údaje o počte poistencov štátu evidované v roku 2011 v centrálnom registri poistencov.</w:t>
      </w:r>
    </w:p>
    <w:tbl>
      <w:tblPr>
        <w:tblStyle w:val="TableNormal"/>
        <w:tblW w:w="9374" w:type="dxa"/>
        <w:jc w:val="center"/>
        <w:tblCellMar>
          <w:left w:w="70" w:type="dxa"/>
          <w:right w:w="70" w:type="dxa"/>
        </w:tblCellMar>
        <w:tblLook w:val="04A0"/>
      </w:tblPr>
      <w:tblGrid>
        <w:gridCol w:w="3273"/>
        <w:gridCol w:w="941"/>
        <w:gridCol w:w="860"/>
        <w:gridCol w:w="860"/>
        <w:gridCol w:w="860"/>
        <w:gridCol w:w="860"/>
        <w:gridCol w:w="860"/>
        <w:gridCol w:w="860"/>
      </w:tblGrid>
      <w:tr>
        <w:tblPrEx>
          <w:tblW w:w="9374" w:type="dxa"/>
          <w:jc w:val="center"/>
          <w:tblCellMar>
            <w:left w:w="70" w:type="dxa"/>
            <w:right w:w="70" w:type="dxa"/>
          </w:tblCellMar>
          <w:tblLook w:val="04A0"/>
        </w:tblPrEx>
        <w:trPr>
          <w:trHeight w:val="225"/>
          <w:jc w:val="center"/>
        </w:trPr>
        <w:tc>
          <w:tcPr>
            <w:tcW w:w="3273" w:type="dxa"/>
            <w:tcBorders>
              <w:top w:val="nil"/>
              <w:left w:val="nil"/>
              <w:bottom w:val="single" w:sz="4" w:space="0" w:color="auto"/>
              <w:right w:val="nil"/>
            </w:tcBorders>
            <w:noWrap/>
            <w:textDirection w:val="lrTb"/>
            <w:vAlign w:val="bottom"/>
            <w:hideMark/>
          </w:tcPr>
          <w:p w:rsidR="00A24C2A" w:rsidRPr="00F413AE" w:rsidP="00482970">
            <w:pPr>
              <w:bidi w:val="0"/>
              <w:rPr>
                <w:rFonts w:ascii="Times New Roman" w:hAnsi="Times New Roman"/>
                <w:sz w:val="16"/>
                <w:szCs w:val="16"/>
              </w:rPr>
            </w:pPr>
          </w:p>
        </w:tc>
        <w:tc>
          <w:tcPr>
            <w:tcW w:w="941" w:type="dxa"/>
            <w:tcBorders>
              <w:top w:val="nil"/>
              <w:left w:val="nil"/>
              <w:bottom w:val="single" w:sz="4" w:space="0" w:color="auto"/>
              <w:right w:val="nil"/>
            </w:tcBorders>
            <w:noWrap/>
            <w:textDirection w:val="lrTb"/>
            <w:vAlign w:val="bottom"/>
            <w:hideMark/>
          </w:tcPr>
          <w:p w:rsidR="00A24C2A" w:rsidRPr="00F413AE" w:rsidP="00482970">
            <w:pPr>
              <w:bidi w:val="0"/>
              <w:rPr>
                <w:rFonts w:ascii="Times New Roman" w:hAnsi="Times New Roman"/>
                <w:sz w:val="16"/>
                <w:szCs w:val="16"/>
              </w:rPr>
            </w:pPr>
          </w:p>
        </w:tc>
        <w:tc>
          <w:tcPr>
            <w:tcW w:w="860" w:type="dxa"/>
            <w:tcBorders>
              <w:top w:val="nil"/>
              <w:left w:val="nil"/>
              <w:bottom w:val="single" w:sz="4" w:space="0" w:color="auto"/>
              <w:right w:val="nil"/>
            </w:tcBorders>
            <w:noWrap/>
            <w:textDirection w:val="lrTb"/>
            <w:vAlign w:val="bottom"/>
            <w:hideMark/>
          </w:tcPr>
          <w:p w:rsidR="00A24C2A" w:rsidRPr="00F413AE" w:rsidP="00482970">
            <w:pPr>
              <w:bidi w:val="0"/>
              <w:rPr>
                <w:rFonts w:ascii="Times New Roman" w:hAnsi="Times New Roman"/>
                <w:sz w:val="16"/>
                <w:szCs w:val="16"/>
              </w:rPr>
            </w:pPr>
          </w:p>
        </w:tc>
        <w:tc>
          <w:tcPr>
            <w:tcW w:w="860" w:type="dxa"/>
            <w:tcBorders>
              <w:top w:val="nil"/>
              <w:left w:val="nil"/>
              <w:bottom w:val="single" w:sz="4" w:space="0" w:color="auto"/>
              <w:right w:val="nil"/>
            </w:tcBorders>
            <w:noWrap/>
            <w:textDirection w:val="lrTb"/>
            <w:vAlign w:val="bottom"/>
            <w:hideMark/>
          </w:tcPr>
          <w:p w:rsidR="00A24C2A" w:rsidRPr="00F413AE" w:rsidP="00482970">
            <w:pPr>
              <w:bidi w:val="0"/>
              <w:rPr>
                <w:rFonts w:ascii="Times New Roman" w:hAnsi="Times New Roman"/>
                <w:sz w:val="16"/>
                <w:szCs w:val="16"/>
              </w:rPr>
            </w:pPr>
          </w:p>
        </w:tc>
        <w:tc>
          <w:tcPr>
            <w:tcW w:w="860" w:type="dxa"/>
            <w:tcBorders>
              <w:top w:val="nil"/>
              <w:left w:val="nil"/>
              <w:bottom w:val="single" w:sz="4" w:space="0" w:color="auto"/>
              <w:right w:val="nil"/>
            </w:tcBorders>
            <w:noWrap/>
            <w:textDirection w:val="lrTb"/>
            <w:vAlign w:val="bottom"/>
            <w:hideMark/>
          </w:tcPr>
          <w:p w:rsidR="00A24C2A" w:rsidRPr="00F413AE" w:rsidP="00482970">
            <w:pPr>
              <w:bidi w:val="0"/>
              <w:rPr>
                <w:rFonts w:ascii="Times New Roman" w:hAnsi="Times New Roman"/>
                <w:sz w:val="16"/>
                <w:szCs w:val="16"/>
              </w:rPr>
            </w:pPr>
          </w:p>
        </w:tc>
        <w:tc>
          <w:tcPr>
            <w:tcW w:w="860" w:type="dxa"/>
            <w:tcBorders>
              <w:top w:val="nil"/>
              <w:left w:val="nil"/>
              <w:bottom w:val="single" w:sz="4" w:space="0" w:color="auto"/>
              <w:right w:val="nil"/>
            </w:tcBorders>
            <w:noWrap/>
            <w:textDirection w:val="lrTb"/>
            <w:vAlign w:val="bottom"/>
            <w:hideMark/>
          </w:tcPr>
          <w:p w:rsidR="00A24C2A" w:rsidRPr="00F413AE" w:rsidP="00482970">
            <w:pPr>
              <w:bidi w:val="0"/>
              <w:rPr>
                <w:rFonts w:ascii="Times New Roman" w:hAnsi="Times New Roman"/>
                <w:sz w:val="16"/>
                <w:szCs w:val="16"/>
              </w:rPr>
            </w:pPr>
          </w:p>
        </w:tc>
        <w:tc>
          <w:tcPr>
            <w:tcW w:w="860" w:type="dxa"/>
            <w:tcBorders>
              <w:top w:val="nil"/>
              <w:left w:val="nil"/>
              <w:bottom w:val="single" w:sz="4" w:space="0" w:color="auto"/>
              <w:right w:val="nil"/>
            </w:tcBorders>
            <w:noWrap/>
            <w:textDirection w:val="lrTb"/>
            <w:vAlign w:val="bottom"/>
            <w:hideMark/>
          </w:tcPr>
          <w:p w:rsidR="00A24C2A" w:rsidRPr="00F413AE" w:rsidP="00482970">
            <w:pPr>
              <w:bidi w:val="0"/>
              <w:rPr>
                <w:rFonts w:ascii="Times New Roman" w:hAnsi="Times New Roman"/>
                <w:sz w:val="16"/>
                <w:szCs w:val="16"/>
              </w:rPr>
            </w:pPr>
          </w:p>
        </w:tc>
        <w:tc>
          <w:tcPr>
            <w:tcW w:w="860" w:type="dxa"/>
            <w:tcBorders>
              <w:top w:val="nil"/>
              <w:left w:val="nil"/>
              <w:bottom w:val="single" w:sz="4" w:space="0" w:color="auto"/>
              <w:right w:val="nil"/>
            </w:tcBorders>
            <w:noWrap/>
            <w:textDirection w:val="lrTb"/>
            <w:vAlign w:val="bottom"/>
            <w:hideMark/>
          </w:tcPr>
          <w:p w:rsidR="00A24C2A" w:rsidRPr="00F413AE" w:rsidP="00482970">
            <w:pPr>
              <w:bidi w:val="0"/>
              <w:jc w:val="right"/>
              <w:rPr>
                <w:rFonts w:ascii="Times New Roman" w:hAnsi="Times New Roman"/>
                <w:sz w:val="16"/>
                <w:szCs w:val="16"/>
              </w:rPr>
            </w:pPr>
          </w:p>
        </w:tc>
      </w:tr>
      <w:tr>
        <w:tblPrEx>
          <w:tblW w:w="9374" w:type="dxa"/>
          <w:jc w:val="center"/>
          <w:tblCellMar>
            <w:left w:w="70" w:type="dxa"/>
            <w:right w:w="70" w:type="dxa"/>
          </w:tblCellMar>
          <w:tblLook w:val="04A0"/>
        </w:tblPrEx>
        <w:trPr>
          <w:trHeight w:val="225"/>
          <w:jc w:val="center"/>
        </w:trPr>
        <w:tc>
          <w:tcPr>
            <w:tcW w:w="327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A24C2A" w:rsidRPr="00F413AE" w:rsidP="00482970">
            <w:pPr>
              <w:bidi w:val="0"/>
              <w:rPr>
                <w:rFonts w:ascii="Times New Roman" w:hAnsi="Times New Roman"/>
                <w:b/>
                <w:bCs/>
                <w:sz w:val="16"/>
                <w:szCs w:val="16"/>
              </w:rPr>
            </w:pPr>
            <w:r w:rsidRPr="00F413AE">
              <w:rPr>
                <w:rFonts w:ascii="Times New Roman" w:hAnsi="Times New Roman"/>
                <w:b/>
                <w:bCs/>
                <w:sz w:val="16"/>
                <w:szCs w:val="16"/>
              </w:rPr>
              <w:t> v tis. eur</w:t>
            </w:r>
          </w:p>
        </w:tc>
        <w:tc>
          <w:tcPr>
            <w:tcW w:w="941"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4C2A" w:rsidRPr="00F413AE" w:rsidP="00482970">
            <w:pPr>
              <w:bidi w:val="0"/>
              <w:jc w:val="center"/>
              <w:rPr>
                <w:rFonts w:ascii="Times New Roman" w:hAnsi="Times New Roman"/>
                <w:b/>
                <w:bCs/>
                <w:sz w:val="16"/>
                <w:szCs w:val="16"/>
              </w:rPr>
            </w:pPr>
            <w:r w:rsidRPr="00F413AE">
              <w:rPr>
                <w:rFonts w:ascii="Times New Roman" w:hAnsi="Times New Roman"/>
                <w:b/>
                <w:bCs/>
                <w:sz w:val="16"/>
                <w:szCs w:val="16"/>
              </w:rPr>
              <w:t>2009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4C2A" w:rsidRPr="00F413AE" w:rsidP="00482970">
            <w:pPr>
              <w:bidi w:val="0"/>
              <w:jc w:val="center"/>
              <w:rPr>
                <w:rFonts w:ascii="Times New Roman" w:hAnsi="Times New Roman"/>
                <w:b/>
                <w:bCs/>
                <w:sz w:val="16"/>
                <w:szCs w:val="16"/>
              </w:rPr>
            </w:pPr>
            <w:r w:rsidRPr="00F413AE">
              <w:rPr>
                <w:rFonts w:ascii="Times New Roman" w:hAnsi="Times New Roman"/>
                <w:b/>
                <w:bCs/>
                <w:sz w:val="16"/>
                <w:szCs w:val="16"/>
              </w:rPr>
              <w:t>2010 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4C2A" w:rsidRPr="00F413AE" w:rsidP="00482970">
            <w:pPr>
              <w:bidi w:val="0"/>
              <w:jc w:val="center"/>
              <w:rPr>
                <w:rFonts w:ascii="Times New Roman" w:hAnsi="Times New Roman"/>
                <w:b/>
                <w:bCs/>
                <w:sz w:val="16"/>
                <w:szCs w:val="16"/>
              </w:rPr>
            </w:pPr>
            <w:r w:rsidRPr="00F413AE">
              <w:rPr>
                <w:rFonts w:ascii="Times New Roman" w:hAnsi="Times New Roman"/>
                <w:b/>
                <w:bCs/>
                <w:sz w:val="16"/>
                <w:szCs w:val="16"/>
              </w:rPr>
              <w:t>2011 R</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4C2A" w:rsidRPr="00F413AE" w:rsidP="00482970">
            <w:pPr>
              <w:bidi w:val="0"/>
              <w:jc w:val="center"/>
              <w:rPr>
                <w:rFonts w:ascii="Times New Roman" w:hAnsi="Times New Roman"/>
                <w:b/>
                <w:bCs/>
                <w:sz w:val="16"/>
                <w:szCs w:val="16"/>
              </w:rPr>
            </w:pPr>
            <w:r w:rsidRPr="00F413AE">
              <w:rPr>
                <w:rFonts w:ascii="Times New Roman" w:hAnsi="Times New Roman"/>
                <w:b/>
                <w:bCs/>
                <w:sz w:val="16"/>
                <w:szCs w:val="16"/>
              </w:rPr>
              <w:t>2011 OS</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4C2A" w:rsidRPr="00F413AE" w:rsidP="00482970">
            <w:pPr>
              <w:bidi w:val="0"/>
              <w:jc w:val="center"/>
              <w:rPr>
                <w:rFonts w:ascii="Times New Roman" w:hAnsi="Times New Roman"/>
                <w:b/>
                <w:bCs/>
                <w:sz w:val="16"/>
                <w:szCs w:val="16"/>
              </w:rPr>
            </w:pPr>
            <w:r w:rsidRPr="00F413AE">
              <w:rPr>
                <w:rFonts w:ascii="Times New Roman" w:hAnsi="Times New Roman"/>
                <w:b/>
                <w:bCs/>
                <w:sz w:val="16"/>
                <w:szCs w:val="16"/>
              </w:rPr>
              <w:t>2012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4C2A" w:rsidRPr="00F413AE" w:rsidP="00482970">
            <w:pPr>
              <w:bidi w:val="0"/>
              <w:jc w:val="center"/>
              <w:rPr>
                <w:rFonts w:ascii="Times New Roman" w:hAnsi="Times New Roman"/>
                <w:b/>
                <w:bCs/>
                <w:sz w:val="16"/>
                <w:szCs w:val="16"/>
              </w:rPr>
            </w:pPr>
            <w:r w:rsidRPr="00F413AE">
              <w:rPr>
                <w:rFonts w:ascii="Times New Roman" w:hAnsi="Times New Roman"/>
                <w:b/>
                <w:bCs/>
                <w:sz w:val="16"/>
                <w:szCs w:val="16"/>
              </w:rPr>
              <w:t>2013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A24C2A" w:rsidRPr="00F413AE" w:rsidP="00482970">
            <w:pPr>
              <w:bidi w:val="0"/>
              <w:jc w:val="center"/>
              <w:rPr>
                <w:rFonts w:ascii="Times New Roman" w:hAnsi="Times New Roman"/>
                <w:b/>
                <w:bCs/>
                <w:sz w:val="16"/>
                <w:szCs w:val="16"/>
              </w:rPr>
            </w:pPr>
            <w:r w:rsidRPr="00F413AE">
              <w:rPr>
                <w:rFonts w:ascii="Times New Roman" w:hAnsi="Times New Roman"/>
                <w:b/>
                <w:bCs/>
                <w:sz w:val="16"/>
                <w:szCs w:val="16"/>
              </w:rPr>
              <w:t>2014 N</w:t>
            </w:r>
          </w:p>
        </w:tc>
      </w:tr>
      <w:tr>
        <w:tblPrEx>
          <w:tblW w:w="9374" w:type="dxa"/>
          <w:jc w:val="center"/>
          <w:tblCellMar>
            <w:left w:w="70" w:type="dxa"/>
            <w:right w:w="70" w:type="dxa"/>
          </w:tblCellMar>
          <w:tblLook w:val="04A0"/>
        </w:tblPrEx>
        <w:trPr>
          <w:trHeight w:val="225"/>
          <w:jc w:val="center"/>
        </w:trPr>
        <w:tc>
          <w:tcPr>
            <w:tcW w:w="32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24C2A" w:rsidRPr="00F413AE" w:rsidP="00482970">
            <w:pPr>
              <w:bidi w:val="0"/>
              <w:rPr>
                <w:rFonts w:ascii="Times New Roman" w:hAnsi="Times New Roman"/>
                <w:b/>
                <w:bCs/>
                <w:color w:val="000000"/>
                <w:sz w:val="16"/>
                <w:szCs w:val="16"/>
              </w:rPr>
            </w:pPr>
            <w:r w:rsidRPr="00F413AE">
              <w:rPr>
                <w:rFonts w:ascii="Times New Roman" w:hAnsi="Times New Roman"/>
                <w:b/>
                <w:bCs/>
                <w:color w:val="000000"/>
                <w:sz w:val="16"/>
                <w:szCs w:val="16"/>
              </w:rPr>
              <w:t>Vybrané zdroje spolu</w:t>
            </w:r>
          </w:p>
        </w:tc>
        <w:tc>
          <w:tcPr>
            <w:tcW w:w="94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4C2A" w:rsidRPr="0062760A" w:rsidP="00482970">
            <w:pPr>
              <w:bidi w:val="0"/>
              <w:jc w:val="right"/>
              <w:rPr>
                <w:rFonts w:ascii="Times New Roman" w:hAnsi="Times New Roman"/>
                <w:b/>
                <w:bCs/>
                <w:color w:val="000000"/>
                <w:sz w:val="14"/>
                <w:szCs w:val="14"/>
              </w:rPr>
            </w:pPr>
            <w:r w:rsidRPr="0062760A">
              <w:rPr>
                <w:rFonts w:ascii="Times New Roman" w:hAnsi="Times New Roman"/>
                <w:b/>
                <w:bCs/>
                <w:color w:val="000000"/>
                <w:sz w:val="14"/>
                <w:szCs w:val="14"/>
              </w:rPr>
              <w:t>3 624 353</w:t>
            </w:r>
          </w:p>
        </w:tc>
        <w:tc>
          <w:tcPr>
            <w:tcW w:w="8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4C2A" w:rsidRPr="0062760A" w:rsidP="00482970">
            <w:pPr>
              <w:bidi w:val="0"/>
              <w:jc w:val="right"/>
              <w:rPr>
                <w:rFonts w:ascii="Times New Roman" w:hAnsi="Times New Roman"/>
                <w:b/>
                <w:bCs/>
                <w:color w:val="000000"/>
                <w:sz w:val="14"/>
                <w:szCs w:val="14"/>
              </w:rPr>
            </w:pPr>
            <w:r w:rsidRPr="0062760A">
              <w:rPr>
                <w:rFonts w:ascii="Times New Roman" w:hAnsi="Times New Roman"/>
                <w:b/>
                <w:bCs/>
                <w:color w:val="000000"/>
                <w:sz w:val="14"/>
                <w:szCs w:val="14"/>
              </w:rPr>
              <w:t>3 739 869</w:t>
            </w:r>
          </w:p>
        </w:tc>
        <w:tc>
          <w:tcPr>
            <w:tcW w:w="8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4C2A" w:rsidRPr="0062760A" w:rsidP="00482970">
            <w:pPr>
              <w:bidi w:val="0"/>
              <w:jc w:val="right"/>
              <w:rPr>
                <w:rFonts w:ascii="Times New Roman" w:hAnsi="Times New Roman"/>
                <w:b/>
                <w:bCs/>
                <w:color w:val="000000"/>
                <w:sz w:val="14"/>
                <w:szCs w:val="14"/>
              </w:rPr>
            </w:pPr>
            <w:r w:rsidRPr="0062760A">
              <w:rPr>
                <w:rFonts w:ascii="Times New Roman" w:hAnsi="Times New Roman"/>
                <w:b/>
                <w:bCs/>
                <w:color w:val="000000"/>
                <w:sz w:val="14"/>
                <w:szCs w:val="14"/>
              </w:rPr>
              <w:t>3 799 803</w:t>
            </w:r>
          </w:p>
        </w:tc>
        <w:tc>
          <w:tcPr>
            <w:tcW w:w="8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4C2A" w:rsidRPr="0062760A" w:rsidP="00482970">
            <w:pPr>
              <w:bidi w:val="0"/>
              <w:jc w:val="right"/>
              <w:rPr>
                <w:rFonts w:ascii="Times New Roman" w:hAnsi="Times New Roman"/>
                <w:b/>
                <w:bCs/>
                <w:color w:val="000000"/>
                <w:sz w:val="14"/>
                <w:szCs w:val="14"/>
              </w:rPr>
            </w:pPr>
            <w:r w:rsidRPr="0062760A">
              <w:rPr>
                <w:rFonts w:ascii="Times New Roman" w:hAnsi="Times New Roman"/>
                <w:b/>
                <w:bCs/>
                <w:color w:val="000000"/>
                <w:sz w:val="14"/>
                <w:szCs w:val="14"/>
              </w:rPr>
              <w:t>3 739 115</w:t>
            </w:r>
          </w:p>
        </w:tc>
        <w:tc>
          <w:tcPr>
            <w:tcW w:w="8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4C2A" w:rsidRPr="0062760A" w:rsidP="00482970">
            <w:pPr>
              <w:bidi w:val="0"/>
              <w:jc w:val="right"/>
              <w:rPr>
                <w:rFonts w:ascii="Times New Roman" w:hAnsi="Times New Roman"/>
                <w:b/>
                <w:bCs/>
                <w:color w:val="000000"/>
                <w:sz w:val="14"/>
                <w:szCs w:val="14"/>
              </w:rPr>
            </w:pPr>
            <w:r w:rsidRPr="0062760A">
              <w:rPr>
                <w:rFonts w:ascii="Times New Roman" w:hAnsi="Times New Roman"/>
                <w:b/>
                <w:bCs/>
                <w:color w:val="000000"/>
                <w:sz w:val="14"/>
                <w:szCs w:val="14"/>
              </w:rPr>
              <w:t>3 861 756</w:t>
            </w:r>
          </w:p>
        </w:tc>
        <w:tc>
          <w:tcPr>
            <w:tcW w:w="8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4C2A" w:rsidRPr="0062760A" w:rsidP="00482970">
            <w:pPr>
              <w:bidi w:val="0"/>
              <w:jc w:val="right"/>
              <w:rPr>
                <w:rFonts w:ascii="Times New Roman" w:hAnsi="Times New Roman"/>
                <w:b/>
                <w:bCs/>
                <w:color w:val="000000"/>
                <w:sz w:val="14"/>
                <w:szCs w:val="14"/>
              </w:rPr>
            </w:pPr>
            <w:r w:rsidRPr="0062760A">
              <w:rPr>
                <w:rFonts w:ascii="Times New Roman" w:hAnsi="Times New Roman"/>
                <w:b/>
                <w:bCs/>
                <w:color w:val="000000"/>
                <w:sz w:val="14"/>
                <w:szCs w:val="14"/>
              </w:rPr>
              <w:t>3 876 004</w:t>
            </w:r>
          </w:p>
        </w:tc>
        <w:tc>
          <w:tcPr>
            <w:tcW w:w="86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A24C2A" w:rsidRPr="0062760A" w:rsidP="00482970">
            <w:pPr>
              <w:bidi w:val="0"/>
              <w:jc w:val="right"/>
              <w:rPr>
                <w:rFonts w:ascii="Times New Roman" w:hAnsi="Times New Roman"/>
                <w:b/>
                <w:bCs/>
                <w:color w:val="000000"/>
                <w:sz w:val="14"/>
                <w:szCs w:val="14"/>
              </w:rPr>
            </w:pPr>
            <w:r w:rsidRPr="0062760A">
              <w:rPr>
                <w:rFonts w:ascii="Times New Roman" w:hAnsi="Times New Roman"/>
                <w:b/>
                <w:bCs/>
                <w:color w:val="000000"/>
                <w:sz w:val="14"/>
                <w:szCs w:val="14"/>
              </w:rPr>
              <w:t>3 914 422</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F413AE" w:rsidP="00482970">
            <w:pPr>
              <w:bidi w:val="0"/>
              <w:rPr>
                <w:rFonts w:ascii="Times New Roman" w:hAnsi="Times New Roman"/>
                <w:i/>
                <w:iCs/>
                <w:color w:val="000000"/>
                <w:sz w:val="16"/>
                <w:szCs w:val="16"/>
              </w:rPr>
            </w:pPr>
            <w:r w:rsidRPr="00F413AE">
              <w:rPr>
                <w:rFonts w:ascii="Times New Roman" w:hAnsi="Times New Roman"/>
                <w:i/>
                <w:iCs/>
                <w:color w:val="000000"/>
                <w:sz w:val="16"/>
                <w:szCs w:val="16"/>
              </w:rPr>
              <w:t>medziročná zmena vybraných zdrojov v %*</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i/>
                <w:iCs/>
                <w:color w:val="000000"/>
                <w:sz w:val="14"/>
                <w:szCs w:val="14"/>
              </w:rPr>
            </w:pPr>
            <w:r w:rsidRPr="0062760A">
              <w:rPr>
                <w:rFonts w:ascii="Times New Roman" w:hAnsi="Times New Roman"/>
                <w:i/>
                <w:iCs/>
                <w:color w:val="000000"/>
                <w:sz w:val="14"/>
                <w:szCs w:val="14"/>
              </w:rPr>
              <w:t>7,9</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i/>
                <w:iCs/>
                <w:color w:val="000000"/>
                <w:sz w:val="14"/>
                <w:szCs w:val="14"/>
              </w:rPr>
            </w:pPr>
            <w:r w:rsidRPr="0062760A">
              <w:rPr>
                <w:rFonts w:ascii="Times New Roman" w:hAnsi="Times New Roman"/>
                <w:i/>
                <w:iCs/>
                <w:color w:val="000000"/>
                <w:sz w:val="14"/>
                <w:szCs w:val="14"/>
              </w:rPr>
              <w:t>3,2</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i/>
                <w:iCs/>
                <w:color w:val="000000"/>
                <w:sz w:val="14"/>
                <w:szCs w:val="14"/>
              </w:rPr>
            </w:pPr>
            <w:r w:rsidRPr="0062760A">
              <w:rPr>
                <w:rFonts w:ascii="Times New Roman" w:hAnsi="Times New Roman"/>
                <w:i/>
                <w:iCs/>
                <w:color w:val="000000"/>
                <w:sz w:val="14"/>
                <w:szCs w:val="14"/>
              </w:rPr>
              <w:t>1,6</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i/>
                <w:iCs/>
                <w:color w:val="000000"/>
                <w:sz w:val="14"/>
                <w:szCs w:val="14"/>
              </w:rPr>
            </w:pPr>
            <w:r w:rsidRPr="0062760A">
              <w:rPr>
                <w:rFonts w:ascii="Times New Roman" w:hAnsi="Times New Roman"/>
                <w:i/>
                <w:iCs/>
                <w:color w:val="000000"/>
                <w:sz w:val="14"/>
                <w:szCs w:val="14"/>
              </w:rPr>
              <w:t>0,0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i/>
                <w:iCs/>
                <w:color w:val="000000"/>
                <w:sz w:val="14"/>
                <w:szCs w:val="14"/>
              </w:rPr>
            </w:pPr>
            <w:r w:rsidRPr="0062760A">
              <w:rPr>
                <w:rFonts w:ascii="Times New Roman" w:hAnsi="Times New Roman"/>
                <w:i/>
                <w:iCs/>
                <w:color w:val="000000"/>
                <w:sz w:val="14"/>
                <w:szCs w:val="14"/>
              </w:rPr>
              <w:t>3,3</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i/>
                <w:iCs/>
                <w:color w:val="000000"/>
                <w:sz w:val="14"/>
                <w:szCs w:val="14"/>
              </w:rPr>
            </w:pPr>
            <w:r w:rsidRPr="0062760A">
              <w:rPr>
                <w:rFonts w:ascii="Times New Roman" w:hAnsi="Times New Roman"/>
                <w:i/>
                <w:iCs/>
                <w:color w:val="000000"/>
                <w:sz w:val="14"/>
                <w:szCs w:val="14"/>
              </w:rPr>
              <w:t>0,4</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i/>
                <w:iCs/>
                <w:color w:val="000000"/>
                <w:sz w:val="14"/>
                <w:szCs w:val="14"/>
              </w:rPr>
            </w:pPr>
            <w:r w:rsidRPr="0062760A">
              <w:rPr>
                <w:rFonts w:ascii="Times New Roman" w:hAnsi="Times New Roman"/>
                <w:i/>
                <w:iCs/>
                <w:color w:val="000000"/>
                <w:sz w:val="14"/>
                <w:szCs w:val="14"/>
              </w:rPr>
              <w:t>1,0</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62760A" w:rsidP="00482970">
            <w:pPr>
              <w:bidi w:val="0"/>
              <w:rPr>
                <w:rFonts w:ascii="Times New Roman" w:hAnsi="Times New Roman"/>
                <w:color w:val="000000"/>
                <w:sz w:val="14"/>
                <w:szCs w:val="14"/>
              </w:rPr>
            </w:pPr>
            <w:r w:rsidRPr="0062760A">
              <w:rPr>
                <w:rFonts w:ascii="Times New Roman" w:hAnsi="Times New Roman"/>
                <w:color w:val="000000"/>
                <w:sz w:val="14"/>
                <w:szCs w:val="14"/>
              </w:rPr>
              <w:t>ZP - príjmy od EAO (vrátane RZZP**)</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2 180 876</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2 230 623</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2 387 860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2 379 637</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2 281 300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2 401 656</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2 562 297</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62760A" w:rsidP="00482970">
            <w:pPr>
              <w:bidi w:val="0"/>
              <w:rPr>
                <w:rFonts w:ascii="Times New Roman" w:hAnsi="Times New Roman"/>
                <w:color w:val="000000"/>
                <w:sz w:val="14"/>
                <w:szCs w:val="14"/>
              </w:rPr>
            </w:pPr>
            <w:r w:rsidRPr="0062760A">
              <w:rPr>
                <w:rFonts w:ascii="Times New Roman" w:hAnsi="Times New Roman"/>
                <w:color w:val="000000"/>
                <w:sz w:val="14"/>
                <w:szCs w:val="14"/>
              </w:rPr>
              <w:t>ZP - príjmy za poistencov štátu (preddavky)</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1 162 382</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1 282 803</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1 197 816</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1 197 816</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1 330 392</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1 383 099</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1 272 555</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62760A" w:rsidP="00482970">
            <w:pPr>
              <w:bidi w:val="0"/>
              <w:rPr>
                <w:rFonts w:ascii="Times New Roman" w:hAnsi="Times New Roman"/>
                <w:color w:val="000000"/>
                <w:sz w:val="14"/>
                <w:szCs w:val="14"/>
              </w:rPr>
            </w:pPr>
            <w:r w:rsidRPr="0062760A">
              <w:rPr>
                <w:rFonts w:ascii="Times New Roman" w:hAnsi="Times New Roman"/>
                <w:color w:val="000000"/>
                <w:sz w:val="14"/>
                <w:szCs w:val="14"/>
              </w:rPr>
              <w:t>ZP - príjmy za poistencov štátu (RZZP**)</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-4 130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58 422</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10 000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9 733</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75 000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62760A" w:rsidP="00482970">
            <w:pPr>
              <w:bidi w:val="0"/>
              <w:rPr>
                <w:rFonts w:ascii="Times New Roman" w:hAnsi="Times New Roman"/>
                <w:color w:val="000000"/>
                <w:sz w:val="14"/>
                <w:szCs w:val="14"/>
              </w:rPr>
            </w:pPr>
            <w:r w:rsidRPr="0062760A">
              <w:rPr>
                <w:rFonts w:ascii="Times New Roman" w:hAnsi="Times New Roman"/>
                <w:color w:val="000000"/>
                <w:sz w:val="14"/>
                <w:szCs w:val="14"/>
              </w:rPr>
              <w:t>MZ SR (bez poistného plateného štátom, EÚ prostriedkov a spolufinancovania)</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106 879</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79 223</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69 127</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73 330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69 667</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70 207</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70 139</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62760A" w:rsidP="00482970">
            <w:pPr>
              <w:bidi w:val="0"/>
              <w:rPr>
                <w:rFonts w:ascii="Times New Roman" w:hAnsi="Times New Roman"/>
                <w:color w:val="000000"/>
                <w:sz w:val="14"/>
                <w:szCs w:val="14"/>
              </w:rPr>
            </w:pPr>
            <w:r w:rsidRPr="0062760A">
              <w:rPr>
                <w:rFonts w:ascii="Times New Roman" w:hAnsi="Times New Roman"/>
                <w:color w:val="000000"/>
                <w:sz w:val="14"/>
                <w:szCs w:val="14"/>
              </w:rPr>
              <w:t>MZ SR (EÚ prostriedky a spolufinancovanie)</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18 583</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sz w:val="14"/>
                <w:szCs w:val="14"/>
              </w:rPr>
            </w:pPr>
            <w:r w:rsidRPr="0062760A">
              <w:rPr>
                <w:rFonts w:ascii="Times New Roman" w:hAnsi="Times New Roman"/>
                <w:sz w:val="14"/>
                <w:szCs w:val="14"/>
              </w:rPr>
              <w:t>53 698</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135 000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78 599</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105 397</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21 042</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9 431</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62760A" w:rsidP="00482970">
            <w:pPr>
              <w:bidi w:val="0"/>
              <w:rPr>
                <w:rFonts w:ascii="Times New Roman" w:hAnsi="Times New Roman"/>
                <w:color w:val="000000"/>
                <w:sz w:val="14"/>
                <w:szCs w:val="14"/>
              </w:rPr>
            </w:pPr>
            <w:r w:rsidRPr="0062760A">
              <w:rPr>
                <w:rFonts w:ascii="Times New Roman" w:hAnsi="Times New Roman"/>
                <w:color w:val="000000"/>
                <w:sz w:val="14"/>
                <w:szCs w:val="14"/>
              </w:rPr>
              <w:t>Návratná finančná výpomoc</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129 763</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0</w:t>
            </w:r>
          </w:p>
        </w:tc>
      </w:tr>
      <w:tr>
        <w:tblPrEx>
          <w:tblW w:w="9374" w:type="dxa"/>
          <w:jc w:val="center"/>
          <w:tblCellMar>
            <w:left w:w="70" w:type="dxa"/>
            <w:right w:w="70" w:type="dxa"/>
          </w:tblCellMar>
          <w:tblLook w:val="04A0"/>
        </w:tblPrEx>
        <w:trPr>
          <w:trHeight w:val="225"/>
          <w:jc w:val="center"/>
        </w:trPr>
        <w:tc>
          <w:tcPr>
            <w:tcW w:w="3273" w:type="dxa"/>
            <w:tcBorders>
              <w:top w:val="nil"/>
              <w:left w:val="single" w:sz="4" w:space="0" w:color="auto"/>
              <w:bottom w:val="single" w:sz="4" w:space="0" w:color="auto"/>
              <w:right w:val="single" w:sz="4" w:space="0" w:color="auto"/>
            </w:tcBorders>
            <w:noWrap/>
            <w:textDirection w:val="lrTb"/>
            <w:vAlign w:val="bottom"/>
            <w:hideMark/>
          </w:tcPr>
          <w:p w:rsidR="00A24C2A" w:rsidRPr="0062760A" w:rsidP="00482970">
            <w:pPr>
              <w:bidi w:val="0"/>
              <w:rPr>
                <w:rFonts w:ascii="Times New Roman" w:hAnsi="Times New Roman"/>
                <w:color w:val="000000"/>
                <w:sz w:val="14"/>
                <w:szCs w:val="14"/>
              </w:rPr>
            </w:pPr>
            <w:r w:rsidRPr="0062760A">
              <w:rPr>
                <w:rFonts w:ascii="Times New Roman" w:hAnsi="Times New Roman"/>
                <w:color w:val="000000"/>
                <w:sz w:val="14"/>
                <w:szCs w:val="14"/>
              </w:rPr>
              <w:t>Zvýšenie ZI pre VšZP</w:t>
            </w:r>
          </w:p>
        </w:tc>
        <w:tc>
          <w:tcPr>
            <w:tcW w:w="941"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30 000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color w:val="000000"/>
                <w:sz w:val="14"/>
                <w:szCs w:val="14"/>
              </w:rPr>
            </w:pPr>
            <w:r w:rsidRPr="0062760A">
              <w:rPr>
                <w:rFonts w:ascii="Times New Roman" w:hAnsi="Times New Roman"/>
                <w:color w:val="000000"/>
                <w:sz w:val="14"/>
                <w:szCs w:val="14"/>
              </w:rPr>
              <w:t>35 100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sz w:val="14"/>
                <w:szCs w:val="14"/>
              </w:rPr>
            </w:pPr>
            <w:r w:rsidRPr="0062760A">
              <w:rPr>
                <w:rFonts w:ascii="Times New Roman" w:hAnsi="Times New Roman"/>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sz w:val="14"/>
                <w:szCs w:val="14"/>
              </w:rPr>
            </w:pPr>
            <w:r w:rsidRPr="0062760A">
              <w:rPr>
                <w:rFonts w:ascii="Times New Roman" w:hAnsi="Times New Roman"/>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sz w:val="14"/>
                <w:szCs w:val="14"/>
              </w:rPr>
            </w:pPr>
            <w:r w:rsidRPr="0062760A">
              <w:rPr>
                <w:rFonts w:ascii="Times New Roman" w:hAnsi="Times New Roman"/>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sz w:val="14"/>
                <w:szCs w:val="14"/>
              </w:rPr>
            </w:pPr>
            <w:r w:rsidRPr="0062760A">
              <w:rPr>
                <w:rFonts w:ascii="Times New Roman" w:hAnsi="Times New Roman"/>
                <w:sz w:val="14"/>
                <w:szCs w:val="14"/>
              </w:rPr>
              <w:t>0</w:t>
            </w:r>
          </w:p>
        </w:tc>
        <w:tc>
          <w:tcPr>
            <w:tcW w:w="860" w:type="dxa"/>
            <w:tcBorders>
              <w:top w:val="nil"/>
              <w:left w:val="nil"/>
              <w:bottom w:val="single" w:sz="4" w:space="0" w:color="auto"/>
              <w:right w:val="single" w:sz="4" w:space="0" w:color="auto"/>
            </w:tcBorders>
            <w:noWrap/>
            <w:textDirection w:val="lrTb"/>
            <w:vAlign w:val="bottom"/>
            <w:hideMark/>
          </w:tcPr>
          <w:p w:rsidR="00A24C2A" w:rsidRPr="0062760A" w:rsidP="00482970">
            <w:pPr>
              <w:bidi w:val="0"/>
              <w:jc w:val="right"/>
              <w:rPr>
                <w:rFonts w:ascii="Times New Roman" w:hAnsi="Times New Roman"/>
                <w:sz w:val="14"/>
                <w:szCs w:val="14"/>
              </w:rPr>
            </w:pPr>
            <w:r w:rsidRPr="0062760A">
              <w:rPr>
                <w:rFonts w:ascii="Times New Roman" w:hAnsi="Times New Roman"/>
                <w:sz w:val="14"/>
                <w:szCs w:val="14"/>
              </w:rPr>
              <w:t>0</w:t>
            </w:r>
          </w:p>
        </w:tc>
      </w:tr>
      <w:tr>
        <w:tblPrEx>
          <w:tblW w:w="9374" w:type="dxa"/>
          <w:jc w:val="center"/>
          <w:tblCellMar>
            <w:left w:w="70" w:type="dxa"/>
            <w:right w:w="70" w:type="dxa"/>
          </w:tblCellMar>
          <w:tblLook w:val="04A0"/>
        </w:tblPrEx>
        <w:trPr>
          <w:trHeight w:val="225"/>
          <w:jc w:val="center"/>
        </w:trPr>
        <w:tc>
          <w:tcPr>
            <w:tcW w:w="5074" w:type="dxa"/>
            <w:gridSpan w:val="3"/>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r w:rsidRPr="0062760A">
              <w:rPr>
                <w:rFonts w:ascii="Times New Roman" w:hAnsi="Times New Roman"/>
                <w:color w:val="000000"/>
                <w:sz w:val="16"/>
                <w:szCs w:val="16"/>
              </w:rPr>
              <w:t>* pre N 2012 je uvedený nárast oproti očakávanej skutočnosti 2011</w:t>
            </w: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r>
      <w:tr>
        <w:tblPrEx>
          <w:tblW w:w="9374" w:type="dxa"/>
          <w:jc w:val="center"/>
          <w:tblCellMar>
            <w:left w:w="70" w:type="dxa"/>
            <w:right w:w="70" w:type="dxa"/>
          </w:tblCellMar>
          <w:tblLook w:val="04A0"/>
        </w:tblPrEx>
        <w:trPr>
          <w:trHeight w:val="225"/>
          <w:jc w:val="center"/>
        </w:trPr>
        <w:tc>
          <w:tcPr>
            <w:tcW w:w="5074" w:type="dxa"/>
            <w:gridSpan w:val="3"/>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r w:rsidRPr="0062760A">
              <w:rPr>
                <w:rFonts w:ascii="Times New Roman" w:hAnsi="Times New Roman"/>
                <w:color w:val="000000"/>
                <w:sz w:val="16"/>
                <w:szCs w:val="16"/>
              </w:rPr>
              <w:t>** RZZP - ročné zúčtovanie verejného zdravotného poistenia</w:t>
            </w: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c>
          <w:tcPr>
            <w:tcW w:w="860" w:type="dxa"/>
            <w:tcBorders>
              <w:top w:val="nil"/>
              <w:left w:val="nil"/>
              <w:bottom w:val="nil"/>
              <w:right w:val="nil"/>
            </w:tcBorders>
            <w:noWrap/>
            <w:textDirection w:val="lrTb"/>
            <w:vAlign w:val="bottom"/>
            <w:hideMark/>
          </w:tcPr>
          <w:p w:rsidR="00A24C2A" w:rsidRPr="00F413AE" w:rsidP="00482970">
            <w:pPr>
              <w:bidi w:val="0"/>
              <w:rPr>
                <w:rFonts w:ascii="Times New Roman" w:hAnsi="Times New Roman"/>
                <w:color w:val="000000"/>
                <w:sz w:val="16"/>
                <w:szCs w:val="16"/>
              </w:rPr>
            </w:pPr>
          </w:p>
        </w:tc>
      </w:tr>
    </w:tbl>
    <w:p w:rsidR="00F86488" w:rsidRPr="00F27ABF" w:rsidP="00F86488">
      <w:pPr>
        <w:pStyle w:val="BodyText2"/>
        <w:bidi w:val="0"/>
        <w:spacing w:after="0" w:line="240" w:lineRule="auto"/>
        <w:jc w:val="both"/>
        <w:rPr>
          <w:rFonts w:ascii="Times New Roman" w:hAnsi="Times New Roman"/>
          <w:sz w:val="22"/>
          <w:szCs w:val="22"/>
        </w:rPr>
      </w:pPr>
    </w:p>
    <w:p w:rsidR="00F86488" w:rsidRPr="00EB33CC" w:rsidP="00F86488">
      <w:pPr>
        <w:bidi w:val="0"/>
        <w:ind w:firstLine="708"/>
        <w:jc w:val="both"/>
        <w:rPr>
          <w:rFonts w:ascii="Times New Roman" w:hAnsi="Times New Roman"/>
        </w:rPr>
      </w:pPr>
      <w:r w:rsidRPr="00EB33CC">
        <w:rPr>
          <w:rFonts w:ascii="Times New Roman" w:hAnsi="Times New Roman"/>
        </w:rPr>
        <w:t>Do súhrnu daňových príjmov verejného zdravotného poistenia sa započítavajú každoročne aj sankcie súvisiace so zdravotným poistením vo výške 3,16 mil. eur. Nedaňové príjmy sa predpokladajú na úrovni 18,5 mil. eur. V príjmovej časti rozpočtu verejného zdravotného poistenia je započítaný transfer z Ministerstva zdravotníctva SR v ročnej výške 199 tis. eur na úhradu neodkladnej zdravotnej starostlivosti v súlade so zákonom č.</w:t>
      </w:r>
      <w:r>
        <w:rPr>
          <w:rFonts w:ascii="Times New Roman" w:hAnsi="Times New Roman"/>
        </w:rPr>
        <w:t> </w:t>
      </w:r>
      <w:r w:rsidRPr="00EB33CC">
        <w:rPr>
          <w:rFonts w:ascii="Times New Roman" w:hAnsi="Times New Roman"/>
        </w:rPr>
        <w:t>580/2004</w:t>
      </w:r>
      <w:r>
        <w:rPr>
          <w:rFonts w:ascii="Times New Roman" w:hAnsi="Times New Roman"/>
        </w:rPr>
        <w:t> </w:t>
      </w:r>
      <w:r w:rsidRPr="00EB33CC">
        <w:rPr>
          <w:rFonts w:ascii="Times New Roman" w:hAnsi="Times New Roman"/>
        </w:rPr>
        <w:t>Z. z. o zdravotnom poistení. Súčasťou celkových príjmov verejného zdravotného poistenia je aj zostatok prostriedkov z predchádzajúcich rokov.</w:t>
      </w:r>
    </w:p>
    <w:p w:rsidR="00F86488" w:rsidRPr="00EB33CC" w:rsidP="00F86488">
      <w:pPr>
        <w:bidi w:val="0"/>
        <w:jc w:val="both"/>
        <w:rPr>
          <w:rFonts w:ascii="Times New Roman" w:hAnsi="Times New Roman"/>
        </w:rPr>
      </w:pPr>
    </w:p>
    <w:p w:rsidR="00F86488" w:rsidRPr="00EB33CC" w:rsidP="00F86488">
      <w:pPr>
        <w:bidi w:val="0"/>
        <w:ind w:firstLine="708"/>
        <w:jc w:val="both"/>
        <w:rPr>
          <w:rFonts w:ascii="Times New Roman" w:hAnsi="Times New Roman"/>
        </w:rPr>
      </w:pPr>
      <w:r w:rsidRPr="00EB33CC">
        <w:rPr>
          <w:rFonts w:ascii="Times New Roman" w:hAnsi="Times New Roman"/>
        </w:rPr>
        <w:t xml:space="preserve">Celkové výdavky verejného zdravotného poistenia sa </w:t>
      </w:r>
      <w:r>
        <w:rPr>
          <w:rFonts w:ascii="Times New Roman" w:hAnsi="Times New Roman"/>
        </w:rPr>
        <w:t>na</w:t>
      </w:r>
      <w:r w:rsidRPr="00EB33CC">
        <w:rPr>
          <w:rFonts w:ascii="Times New Roman" w:hAnsi="Times New Roman"/>
        </w:rPr>
        <w:t xml:space="preserve"> rok </w:t>
      </w:r>
      <w:r>
        <w:rPr>
          <w:rFonts w:ascii="Times New Roman" w:hAnsi="Times New Roman"/>
        </w:rPr>
        <w:t>2012 predpokladajú na úrovni 3,71</w:t>
      </w:r>
      <w:r w:rsidRPr="00EB33CC">
        <w:rPr>
          <w:rFonts w:ascii="Times New Roman" w:hAnsi="Times New Roman"/>
        </w:rPr>
        <w:t xml:space="preserve"> mld. e</w:t>
      </w:r>
      <w:r>
        <w:rPr>
          <w:rFonts w:ascii="Times New Roman" w:hAnsi="Times New Roman"/>
        </w:rPr>
        <w:t>ur s medziročným nárastom o 2,58</w:t>
      </w:r>
      <w:r w:rsidRPr="00EB33CC">
        <w:rPr>
          <w:rFonts w:ascii="Times New Roman" w:hAnsi="Times New Roman"/>
        </w:rPr>
        <w:t xml:space="preserve"> % oproti schválenému rozpočtu </w:t>
      </w:r>
      <w:r>
        <w:rPr>
          <w:rFonts w:ascii="Times New Roman" w:hAnsi="Times New Roman"/>
        </w:rPr>
        <w:t>na</w:t>
      </w:r>
      <w:r w:rsidRPr="00EB33CC">
        <w:rPr>
          <w:rFonts w:ascii="Times New Roman" w:hAnsi="Times New Roman"/>
        </w:rPr>
        <w:t xml:space="preserve"> rok 2011. </w:t>
      </w:r>
      <w:r>
        <w:rPr>
          <w:rFonts w:ascii="Times New Roman" w:hAnsi="Times New Roman"/>
        </w:rPr>
        <w:t>Na</w:t>
      </w:r>
      <w:r w:rsidRPr="00EB33CC">
        <w:rPr>
          <w:rFonts w:ascii="Times New Roman" w:hAnsi="Times New Roman"/>
        </w:rPr>
        <w:t> rok 2013 sa celkové výdavky predpokladajú v objeme 3,81 mld</w:t>
      </w:r>
      <w:r>
        <w:rPr>
          <w:rFonts w:ascii="Times New Roman" w:hAnsi="Times New Roman"/>
        </w:rPr>
        <w:t>. eur s medziročným nárastom 2,64</w:t>
      </w:r>
      <w:r w:rsidRPr="00EB33CC">
        <w:rPr>
          <w:rFonts w:ascii="Times New Roman" w:hAnsi="Times New Roman"/>
        </w:rPr>
        <w:t xml:space="preserve"> % a </w:t>
      </w:r>
      <w:r>
        <w:rPr>
          <w:rFonts w:ascii="Times New Roman" w:hAnsi="Times New Roman"/>
        </w:rPr>
        <w:t>na</w:t>
      </w:r>
      <w:r w:rsidRPr="00EB33CC">
        <w:rPr>
          <w:rFonts w:ascii="Times New Roman" w:hAnsi="Times New Roman"/>
        </w:rPr>
        <w:t> rok 2014 v objeme 3,86 mld. eur s medziročným nárastom 1,32 %.</w:t>
      </w:r>
    </w:p>
    <w:p w:rsidR="00F86488" w:rsidRPr="00EB33CC" w:rsidP="00F86488">
      <w:pPr>
        <w:bidi w:val="0"/>
        <w:jc w:val="both"/>
        <w:rPr>
          <w:rFonts w:ascii="Times New Roman" w:hAnsi="Times New Roman"/>
        </w:rPr>
      </w:pPr>
    </w:p>
    <w:p w:rsidR="00F86488" w:rsidRPr="00EB33CC" w:rsidP="00F86488">
      <w:pPr>
        <w:bidi w:val="0"/>
        <w:ind w:firstLine="708"/>
        <w:jc w:val="both"/>
        <w:rPr>
          <w:rFonts w:ascii="Times New Roman" w:hAnsi="Times New Roman"/>
        </w:rPr>
      </w:pPr>
      <w:r w:rsidRPr="00EB33CC">
        <w:rPr>
          <w:rFonts w:ascii="Times New Roman" w:hAnsi="Times New Roman"/>
        </w:rPr>
        <w:t xml:space="preserve">V súlade s legislatívnou úpravou zdravotného poistenia je ako bežný transfer vo výdavkoch verejného zdravotného poistenia zapracovaný príspevok na činnosť Úradu pre dohľad nad zdravotnou starostlivosťou a príspevok na činnosť operačných stredísk tiesňového volania záchrannej zdravotnej služby. Výška príspevkov </w:t>
      </w:r>
      <w:r>
        <w:rPr>
          <w:rFonts w:ascii="Times New Roman" w:hAnsi="Times New Roman"/>
        </w:rPr>
        <w:t>na</w:t>
      </w:r>
      <w:r w:rsidRPr="00EB33CC">
        <w:rPr>
          <w:rFonts w:ascii="Times New Roman" w:hAnsi="Times New Roman"/>
        </w:rPr>
        <w:t xml:space="preserve"> rok 2012 vychádza z predpokladaného výberu poistného zdravotnými poisťovňami v roku 2011. </w:t>
      </w:r>
    </w:p>
    <w:p w:rsidR="00F86488" w:rsidRPr="00EB33CC" w:rsidP="00F86488">
      <w:pPr>
        <w:bidi w:val="0"/>
        <w:jc w:val="both"/>
        <w:rPr>
          <w:rFonts w:ascii="Times New Roman" w:hAnsi="Times New Roman"/>
        </w:rPr>
      </w:pPr>
      <w:r w:rsidRPr="00EB33CC">
        <w:rPr>
          <w:rFonts w:ascii="Times New Roman" w:hAnsi="Times New Roman"/>
        </w:rPr>
        <w:t xml:space="preserve"> </w:t>
      </w:r>
    </w:p>
    <w:p w:rsidR="00F86488" w:rsidRPr="00EB33CC" w:rsidP="00F86488">
      <w:pPr>
        <w:bidi w:val="0"/>
        <w:ind w:firstLine="708"/>
        <w:jc w:val="both"/>
        <w:rPr>
          <w:rFonts w:ascii="Times New Roman" w:hAnsi="Times New Roman"/>
        </w:rPr>
      </w:pPr>
      <w:r w:rsidRPr="00EB33CC">
        <w:rPr>
          <w:rFonts w:ascii="Times New Roman" w:hAnsi="Times New Roman"/>
        </w:rPr>
        <w:t>Výdavky na prevádzkové činnosti štátnej zdravotnej poisťovne a výdavky súkromných zdravotných poisťovní na správu verejného zdravotného poistenia zahŕňajú predpoklad bežných aj kapitálových výdavkov na prevádzkové činnosti zdravotných poisťovní kryté príjmom z výberu poistného.</w:t>
      </w:r>
    </w:p>
    <w:p w:rsidR="00F86488" w:rsidRPr="00EB33CC" w:rsidP="00F86488">
      <w:pPr>
        <w:bidi w:val="0"/>
        <w:jc w:val="both"/>
        <w:rPr>
          <w:rFonts w:ascii="Times New Roman" w:hAnsi="Times New Roman"/>
        </w:rPr>
      </w:pPr>
    </w:p>
    <w:p w:rsidR="00F86488" w:rsidRPr="00EB33CC" w:rsidP="00F86488">
      <w:pPr>
        <w:bidi w:val="0"/>
        <w:ind w:firstLine="708"/>
        <w:jc w:val="both"/>
        <w:rPr>
          <w:rFonts w:ascii="Times New Roman" w:hAnsi="Times New Roman"/>
        </w:rPr>
      </w:pPr>
      <w:r w:rsidRPr="00EB33CC">
        <w:rPr>
          <w:rFonts w:ascii="Times New Roman" w:hAnsi="Times New Roman"/>
        </w:rPr>
        <w:t>Ostatné výdavky zahŕňajú výdavky na dane a poplatky odvádzané do štátneho rozpočtu podľa § 6a ods. 3 zákona č. 581/200</w:t>
      </w:r>
      <w:r>
        <w:rPr>
          <w:rFonts w:ascii="Times New Roman" w:hAnsi="Times New Roman"/>
        </w:rPr>
        <w:t>4</w:t>
      </w:r>
      <w:r w:rsidRPr="00EB33CC">
        <w:rPr>
          <w:rFonts w:ascii="Times New Roman" w:hAnsi="Times New Roman"/>
        </w:rPr>
        <w:t xml:space="preserve"> Z. z. o zdravotných poisťovniach</w:t>
      </w:r>
      <w:r>
        <w:rPr>
          <w:rFonts w:ascii="Times New Roman" w:hAnsi="Times New Roman"/>
        </w:rPr>
        <w:t>,</w:t>
      </w:r>
      <w:r w:rsidRPr="00EB33CC">
        <w:rPr>
          <w:rFonts w:ascii="Times New Roman" w:hAnsi="Times New Roman"/>
        </w:rPr>
        <w:t xml:space="preserve"> dohľade</w:t>
      </w:r>
      <w:r>
        <w:rPr>
          <w:rFonts w:ascii="Times New Roman" w:hAnsi="Times New Roman"/>
        </w:rPr>
        <w:t xml:space="preserve"> nad zdravotnou starostlivosťou a o zmene a doplnení niektorých zákonov. </w:t>
      </w:r>
    </w:p>
    <w:p w:rsidR="00F86488" w:rsidRPr="00EB33CC" w:rsidP="00F86488">
      <w:pPr>
        <w:bidi w:val="0"/>
        <w:jc w:val="both"/>
        <w:rPr>
          <w:rFonts w:ascii="Times New Roman" w:hAnsi="Times New Roman"/>
        </w:rPr>
      </w:pPr>
    </w:p>
    <w:p w:rsidR="00F86488" w:rsidP="00F86488">
      <w:pPr>
        <w:bidi w:val="0"/>
        <w:ind w:firstLine="708"/>
        <w:jc w:val="both"/>
        <w:rPr>
          <w:rFonts w:ascii="Times New Roman" w:hAnsi="Times New Roman"/>
        </w:rPr>
      </w:pPr>
      <w:r w:rsidRPr="00EB33CC">
        <w:rPr>
          <w:rFonts w:ascii="Times New Roman" w:hAnsi="Times New Roman"/>
        </w:rPr>
        <w:t xml:space="preserve">Celkový hotovostný prebytok hospodárenia verejného zdravotného poistenia sa </w:t>
      </w:r>
      <w:r>
        <w:rPr>
          <w:rFonts w:ascii="Times New Roman" w:hAnsi="Times New Roman"/>
        </w:rPr>
        <w:t>na</w:t>
      </w:r>
      <w:r w:rsidRPr="00EB33CC">
        <w:rPr>
          <w:rFonts w:ascii="Times New Roman" w:hAnsi="Times New Roman"/>
        </w:rPr>
        <w:t xml:space="preserve"> rok 2012 predpokladá vo výške 83,8 mil. eur, </w:t>
      </w:r>
      <w:r>
        <w:rPr>
          <w:rFonts w:ascii="Times New Roman" w:hAnsi="Times New Roman"/>
        </w:rPr>
        <w:t>na</w:t>
      </w:r>
      <w:r w:rsidRPr="00EB33CC">
        <w:rPr>
          <w:rFonts w:ascii="Times New Roman" w:hAnsi="Times New Roman"/>
        </w:rPr>
        <w:t xml:space="preserve"> rok 2013 vo výške 84,3 mil. eur a </w:t>
      </w:r>
      <w:r>
        <w:rPr>
          <w:rFonts w:ascii="Times New Roman" w:hAnsi="Times New Roman"/>
        </w:rPr>
        <w:t>na</w:t>
      </w:r>
      <w:r w:rsidRPr="00EB33CC">
        <w:rPr>
          <w:rFonts w:ascii="Times New Roman" w:hAnsi="Times New Roman"/>
        </w:rPr>
        <w:t xml:space="preserve"> rok 2013 vo výške 84,8 mil. eur. Schodok v metodike ESA 95 sa v roku 2012 predpokladá na úrovni 9,36 mil. eur, v roku 2013 sa predpokladá prebytok na úrovni 15,7 mil. eur a v roku 2014 na úrovni 14,4 mil. eur. </w:t>
      </w:r>
    </w:p>
    <w:p w:rsidR="001351C0" w:rsidRPr="0090114D" w:rsidP="0090114D">
      <w:pPr>
        <w:bidi w:val="0"/>
        <w:ind w:firstLine="708"/>
        <w:jc w:val="both"/>
        <w:rPr>
          <w:rFonts w:ascii="Times New Roman" w:hAnsi="Times New Roman"/>
        </w:rPr>
      </w:pPr>
    </w:p>
    <w:p w:rsidR="007B1DFC" w:rsidRPr="005B211D" w:rsidP="007B1DFC">
      <w:pPr>
        <w:keepNext/>
        <w:bidi w:val="0"/>
        <w:outlineLvl w:val="0"/>
        <w:rPr>
          <w:rFonts w:ascii="Times New Roman" w:hAnsi="Times New Roman"/>
          <w:b/>
          <w:bCs/>
          <w:kern w:val="36"/>
          <w:sz w:val="48"/>
          <w:szCs w:val="48"/>
        </w:rPr>
      </w:pPr>
      <w:r w:rsidRPr="005B211D">
        <w:rPr>
          <w:rFonts w:ascii="Times New Roman" w:hAnsi="Times New Roman"/>
          <w:b/>
          <w:bCs/>
          <w:kern w:val="36"/>
        </w:rPr>
        <w:t>4. Štátne fondy</w:t>
      </w:r>
    </w:p>
    <w:p w:rsidR="007B1DFC" w:rsidRPr="005B211D" w:rsidP="0090114D">
      <w:pPr>
        <w:bidi w:val="0"/>
        <w:rPr>
          <w:rFonts w:ascii="Times New Roman" w:hAnsi="Times New Roman"/>
        </w:rPr>
      </w:pPr>
      <w:r w:rsidRPr="005B211D">
        <w:rPr>
          <w:rFonts w:ascii="Times New Roman" w:hAnsi="Times New Roman"/>
          <w:b/>
          <w:bCs/>
        </w:rPr>
        <w:t> </w:t>
      </w:r>
    </w:p>
    <w:p w:rsidR="007B1DFC" w:rsidRPr="005B211D" w:rsidP="007B1DFC">
      <w:pPr>
        <w:bidi w:val="0"/>
        <w:jc w:val="both"/>
        <w:rPr>
          <w:rFonts w:ascii="Times New Roman" w:hAnsi="Times New Roman"/>
        </w:rPr>
      </w:pPr>
      <w:r w:rsidRPr="005B211D">
        <w:rPr>
          <w:rFonts w:ascii="Times New Roman" w:hAnsi="Times New Roman"/>
          <w:b/>
          <w:bCs/>
        </w:rPr>
        <w:t>4.1. Štátny fond rozvoja bývania</w:t>
      </w:r>
    </w:p>
    <w:p w:rsidR="007B1DFC" w:rsidRPr="005B211D" w:rsidP="0090114D">
      <w:pPr>
        <w:bidi w:val="0"/>
        <w:rPr>
          <w:rFonts w:ascii="Times New Roman" w:hAnsi="Times New Roman"/>
        </w:rPr>
      </w:pPr>
    </w:p>
    <w:p w:rsidR="00D94018" w:rsidP="00D94018">
      <w:pPr>
        <w:bidi w:val="0"/>
        <w:ind w:firstLine="708"/>
        <w:jc w:val="both"/>
        <w:rPr>
          <w:rFonts w:ascii="Times New Roman" w:hAnsi="Times New Roman"/>
        </w:rPr>
      </w:pPr>
      <w:r w:rsidRPr="005B211D">
        <w:rPr>
          <w:rFonts w:ascii="Times New Roman" w:hAnsi="Times New Roman"/>
        </w:rPr>
        <w:t>Prostredníctvom</w:t>
      </w:r>
      <w:r w:rsidRPr="00EB33CC">
        <w:rPr>
          <w:rFonts w:ascii="Times New Roman" w:hAnsi="Times New Roman"/>
        </w:rPr>
        <w:t xml:space="preserve"> Štátneho fondu rozvoja bývania (ďalej len „ŠFRB“) sa uskutočňuje financovanie štátnej podpory pri rozširovaní a zveľaďovaní bytového fondu.</w:t>
      </w: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D94018">
      <w:pPr>
        <w:bidi w:val="0"/>
        <w:ind w:firstLine="708"/>
        <w:jc w:val="both"/>
        <w:rPr>
          <w:rFonts w:ascii="Times New Roman" w:hAnsi="Times New Roman"/>
        </w:rPr>
      </w:pPr>
    </w:p>
    <w:p w:rsidR="006D0189" w:rsidP="001351C0">
      <w:pPr>
        <w:bidi w:val="0"/>
        <w:jc w:val="both"/>
        <w:rPr>
          <w:rFonts w:ascii="Times New Roman" w:hAnsi="Times New Roman"/>
        </w:rPr>
      </w:pPr>
    </w:p>
    <w:p w:rsidR="00D94018" w:rsidP="00D94018">
      <w:pPr>
        <w:bidi w:val="0"/>
        <w:ind w:firstLine="708"/>
        <w:jc w:val="both"/>
        <w:rPr>
          <w:rFonts w:ascii="Times New Roman" w:hAnsi="Times New Roman"/>
          <w:sz w:val="22"/>
          <w:szCs w:val="22"/>
        </w:rPr>
      </w:pPr>
    </w:p>
    <w:tbl>
      <w:tblPr>
        <w:tblStyle w:val="TableNormal"/>
        <w:tblW w:w="503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43"/>
        <w:gridCol w:w="977"/>
        <w:gridCol w:w="977"/>
        <w:gridCol w:w="977"/>
        <w:gridCol w:w="977"/>
        <w:gridCol w:w="977"/>
        <w:gridCol w:w="977"/>
        <w:gridCol w:w="977"/>
      </w:tblGrid>
      <w:tr>
        <w:tblPrEx>
          <w:tblW w:w="503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D94018" w:rsidRPr="00F27ABF" w:rsidP="00D94018">
            <w:pPr>
              <w:bidi w:val="0"/>
              <w:rPr>
                <w:rFonts w:ascii="Times New Roman" w:hAnsi="Times New Roman"/>
                <w:b/>
                <w:bCs/>
                <w:sz w:val="16"/>
                <w:szCs w:val="16"/>
              </w:rPr>
            </w:pPr>
            <w:r>
              <w:rPr>
                <w:rFonts w:ascii="Times New Roman" w:hAnsi="Times New Roman"/>
                <w:b/>
                <w:bCs/>
                <w:sz w:val="16"/>
                <w:szCs w:val="16"/>
              </w:rPr>
              <w:t>v tis. eur</w:t>
            </w:r>
          </w:p>
        </w:tc>
        <w:tc>
          <w:tcPr>
            <w:tcW w:w="9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D94018" w:rsidRPr="00F27ABF" w:rsidP="00D94018">
            <w:pPr>
              <w:bidi w:val="0"/>
              <w:jc w:val="center"/>
              <w:rPr>
                <w:rFonts w:ascii="Times New Roman" w:hAnsi="Times New Roman"/>
                <w:b/>
                <w:bCs/>
                <w:sz w:val="16"/>
                <w:szCs w:val="16"/>
              </w:rPr>
            </w:pPr>
            <w:r w:rsidRPr="00F27ABF">
              <w:rPr>
                <w:rFonts w:ascii="Times New Roman" w:hAnsi="Times New Roman"/>
                <w:b/>
                <w:bCs/>
                <w:sz w:val="16"/>
                <w:szCs w:val="16"/>
              </w:rPr>
              <w:t>2009 S</w:t>
            </w:r>
          </w:p>
        </w:tc>
        <w:tc>
          <w:tcPr>
            <w:tcW w:w="9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D94018" w:rsidRPr="00F27ABF" w:rsidP="00D94018">
            <w:pPr>
              <w:bidi w:val="0"/>
              <w:jc w:val="center"/>
              <w:rPr>
                <w:rFonts w:ascii="Times New Roman" w:hAnsi="Times New Roman"/>
                <w:b/>
                <w:bCs/>
                <w:sz w:val="16"/>
                <w:szCs w:val="16"/>
              </w:rPr>
            </w:pPr>
            <w:r w:rsidRPr="00F27ABF">
              <w:rPr>
                <w:rFonts w:ascii="Times New Roman" w:hAnsi="Times New Roman"/>
                <w:b/>
                <w:bCs/>
                <w:sz w:val="16"/>
                <w:szCs w:val="16"/>
              </w:rPr>
              <w:t>2010 S</w:t>
            </w:r>
          </w:p>
        </w:tc>
        <w:tc>
          <w:tcPr>
            <w:tcW w:w="9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D94018" w:rsidRPr="00F27ABF" w:rsidP="00D94018">
            <w:pPr>
              <w:bidi w:val="0"/>
              <w:jc w:val="center"/>
              <w:rPr>
                <w:rFonts w:ascii="Times New Roman" w:hAnsi="Times New Roman"/>
                <w:b/>
                <w:bCs/>
                <w:sz w:val="16"/>
                <w:szCs w:val="16"/>
              </w:rPr>
            </w:pPr>
            <w:r w:rsidRPr="00F27ABF">
              <w:rPr>
                <w:rFonts w:ascii="Times New Roman" w:hAnsi="Times New Roman"/>
                <w:b/>
                <w:bCs/>
                <w:sz w:val="16"/>
                <w:szCs w:val="16"/>
              </w:rPr>
              <w:t xml:space="preserve">2011 R </w:t>
            </w:r>
          </w:p>
        </w:tc>
        <w:tc>
          <w:tcPr>
            <w:tcW w:w="977"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D94018" w:rsidRPr="00F27ABF" w:rsidP="00D94018">
            <w:pPr>
              <w:bidi w:val="0"/>
              <w:jc w:val="center"/>
              <w:rPr>
                <w:rFonts w:ascii="Times New Roman" w:hAnsi="Times New Roman"/>
                <w:b/>
                <w:bCs/>
                <w:sz w:val="16"/>
                <w:szCs w:val="16"/>
              </w:rPr>
            </w:pPr>
            <w:r w:rsidRPr="00F27ABF">
              <w:rPr>
                <w:rFonts w:ascii="Times New Roman" w:hAnsi="Times New Roman"/>
                <w:b/>
                <w:bCs/>
                <w:sz w:val="16"/>
                <w:szCs w:val="16"/>
              </w:rPr>
              <w:t>2011 OS</w:t>
            </w:r>
          </w:p>
        </w:tc>
        <w:tc>
          <w:tcPr>
            <w:tcW w:w="9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D94018" w:rsidRPr="00F27ABF" w:rsidP="00D94018">
            <w:pPr>
              <w:bidi w:val="0"/>
              <w:jc w:val="center"/>
              <w:rPr>
                <w:rFonts w:ascii="Times New Roman" w:hAnsi="Times New Roman"/>
                <w:b/>
                <w:bCs/>
                <w:sz w:val="16"/>
                <w:szCs w:val="16"/>
              </w:rPr>
            </w:pPr>
            <w:r w:rsidRPr="00F27ABF">
              <w:rPr>
                <w:rFonts w:ascii="Times New Roman" w:hAnsi="Times New Roman"/>
                <w:b/>
                <w:bCs/>
                <w:sz w:val="16"/>
                <w:szCs w:val="16"/>
              </w:rPr>
              <w:t xml:space="preserve">2012 N </w:t>
            </w:r>
          </w:p>
        </w:tc>
        <w:tc>
          <w:tcPr>
            <w:tcW w:w="977"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D94018" w:rsidRPr="00F27ABF" w:rsidP="00D94018">
            <w:pPr>
              <w:bidi w:val="0"/>
              <w:jc w:val="center"/>
              <w:rPr>
                <w:rFonts w:ascii="Times New Roman" w:hAnsi="Times New Roman"/>
                <w:b/>
                <w:bCs/>
                <w:sz w:val="16"/>
                <w:szCs w:val="16"/>
              </w:rPr>
            </w:pPr>
            <w:r w:rsidRPr="00F27ABF">
              <w:rPr>
                <w:rFonts w:ascii="Times New Roman" w:hAnsi="Times New Roman"/>
                <w:b/>
                <w:bCs/>
                <w:sz w:val="16"/>
                <w:szCs w:val="16"/>
              </w:rPr>
              <w:t xml:space="preserve">2013 N </w:t>
            </w:r>
          </w:p>
        </w:tc>
        <w:tc>
          <w:tcPr>
            <w:tcW w:w="977"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D94018" w:rsidRPr="00F27ABF" w:rsidP="00D94018">
            <w:pPr>
              <w:bidi w:val="0"/>
              <w:jc w:val="center"/>
              <w:rPr>
                <w:rFonts w:ascii="Times New Roman" w:hAnsi="Times New Roman"/>
                <w:b/>
                <w:bCs/>
                <w:sz w:val="16"/>
                <w:szCs w:val="16"/>
              </w:rPr>
            </w:pPr>
            <w:r w:rsidRPr="00F27ABF">
              <w:rPr>
                <w:rFonts w:ascii="Times New Roman" w:hAnsi="Times New Roman"/>
                <w:b/>
                <w:bCs/>
                <w:sz w:val="16"/>
                <w:szCs w:val="16"/>
              </w:rPr>
              <w:t xml:space="preserve">2014 N </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EE6C04" w:rsidP="00D94018">
            <w:pPr>
              <w:bidi w:val="0"/>
              <w:rPr>
                <w:rFonts w:ascii="Times New Roman" w:hAnsi="Times New Roman"/>
                <w:b/>
                <w:bCs/>
                <w:iCs/>
                <w:sz w:val="16"/>
                <w:szCs w:val="16"/>
              </w:rPr>
            </w:pPr>
            <w:r w:rsidRPr="00EE6C04">
              <w:rPr>
                <w:rFonts w:ascii="Times New Roman" w:hAnsi="Times New Roman"/>
                <w:b/>
                <w:bCs/>
                <w:iCs/>
                <w:sz w:val="16"/>
                <w:szCs w:val="16"/>
              </w:rPr>
              <w:t>Príjmy ŠFRB spolu</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EE6C04" w:rsidP="00D94018">
            <w:pPr>
              <w:bidi w:val="0"/>
              <w:jc w:val="right"/>
              <w:rPr>
                <w:rFonts w:ascii="Times New Roman" w:hAnsi="Times New Roman"/>
                <w:b/>
                <w:bCs/>
                <w:iCs/>
                <w:sz w:val="16"/>
                <w:szCs w:val="16"/>
              </w:rPr>
            </w:pPr>
            <w:r w:rsidRPr="00EE6C04">
              <w:rPr>
                <w:rFonts w:ascii="Times New Roman" w:hAnsi="Times New Roman"/>
                <w:b/>
                <w:bCs/>
                <w:iCs/>
                <w:sz w:val="16"/>
                <w:szCs w:val="16"/>
              </w:rPr>
              <w:t>225 19</w:t>
            </w:r>
            <w:r>
              <w:rPr>
                <w:rFonts w:ascii="Times New Roman" w:hAnsi="Times New Roman"/>
                <w:b/>
                <w:bCs/>
                <w:iCs/>
                <w:sz w:val="16"/>
                <w:szCs w:val="16"/>
              </w:rPr>
              <w:t>8</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EE6C04" w:rsidP="00D94018">
            <w:pPr>
              <w:bidi w:val="0"/>
              <w:jc w:val="right"/>
              <w:rPr>
                <w:rFonts w:ascii="Times New Roman" w:hAnsi="Times New Roman"/>
                <w:b/>
                <w:bCs/>
                <w:iCs/>
                <w:sz w:val="16"/>
                <w:szCs w:val="16"/>
              </w:rPr>
            </w:pPr>
            <w:r w:rsidRPr="00EE6C04">
              <w:rPr>
                <w:rFonts w:ascii="Times New Roman" w:hAnsi="Times New Roman"/>
                <w:b/>
                <w:bCs/>
                <w:iCs/>
                <w:sz w:val="16"/>
                <w:szCs w:val="16"/>
              </w:rPr>
              <w:t>152 012</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EE6C04" w:rsidP="00D94018">
            <w:pPr>
              <w:bidi w:val="0"/>
              <w:jc w:val="right"/>
              <w:rPr>
                <w:rFonts w:ascii="Times New Roman" w:hAnsi="Times New Roman"/>
                <w:b/>
                <w:bCs/>
                <w:iCs/>
                <w:sz w:val="16"/>
                <w:szCs w:val="16"/>
              </w:rPr>
            </w:pPr>
            <w:r w:rsidRPr="00EE6C04">
              <w:rPr>
                <w:rFonts w:ascii="Times New Roman" w:hAnsi="Times New Roman"/>
                <w:b/>
                <w:bCs/>
                <w:iCs/>
                <w:sz w:val="16"/>
                <w:szCs w:val="16"/>
              </w:rPr>
              <w:t>149 135</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157 603</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157 166</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159 718</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164 351</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both"/>
              <w:rPr>
                <w:rFonts w:ascii="Times New Roman" w:hAnsi="Times New Roman"/>
                <w:b/>
                <w:bCs/>
                <w:i/>
                <w:iCs/>
                <w:sz w:val="16"/>
                <w:szCs w:val="16"/>
              </w:rPr>
            </w:pPr>
            <w:r w:rsidRPr="00F27ABF">
              <w:rPr>
                <w:rFonts w:ascii="Times New Roman" w:hAnsi="Times New Roman"/>
                <w:b/>
                <w:bCs/>
                <w:i/>
                <w:iCs/>
                <w:sz w:val="16"/>
                <w:szCs w:val="16"/>
              </w:rPr>
              <w:t>z toho: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 </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nedaňové príjmy, z toho: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28 364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30 891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32 022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34 200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30 780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31 600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32 100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úroky z domácich pôžičiek  </w:t>
            </w:r>
          </w:p>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a vkladov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27 602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28 645</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31 690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30 000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28 800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29 600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30 100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iné nedaňové príjmy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762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1 982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332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4 000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1 980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2 000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2 000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granty a transfery, z toho: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137 960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transfery v rámci </w:t>
            </w:r>
            <w:r>
              <w:rPr>
                <w:rFonts w:ascii="Times New Roman" w:hAnsi="Times New Roman"/>
                <w:sz w:val="16"/>
                <w:szCs w:val="16"/>
              </w:rPr>
              <w:t>VS</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137 962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54 904</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príjmy z transakcií s fin. akt. a</w:t>
            </w:r>
          </w:p>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pas., z toho: (FO)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58 87</w:t>
            </w:r>
            <w:r>
              <w:rPr>
                <w:rFonts w:ascii="Times New Roman" w:hAnsi="Times New Roman"/>
                <w:sz w:val="16"/>
                <w:szCs w:val="16"/>
              </w:rPr>
              <w:t>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66 217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62 209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68 499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71 482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73 214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77 347</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zo splácania úverov, pôž.</w:t>
            </w:r>
            <w:r>
              <w:rPr>
                <w:rFonts w:ascii="Times New Roman" w:hAnsi="Times New Roman"/>
                <w:sz w:val="16"/>
                <w:szCs w:val="16"/>
              </w:rPr>
              <w:t xml:space="preserve">, </w:t>
            </w:r>
            <w:r w:rsidRPr="00F27ABF">
              <w:rPr>
                <w:rFonts w:ascii="Times New Roman" w:hAnsi="Times New Roman"/>
                <w:sz w:val="16"/>
                <w:szCs w:val="16"/>
              </w:rPr>
              <w:t xml:space="preserve">NFV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45 52</w:t>
            </w:r>
            <w:r>
              <w:rPr>
                <w:rFonts w:ascii="Times New Roman" w:hAnsi="Times New Roman"/>
                <w:sz w:val="16"/>
                <w:szCs w:val="16"/>
              </w:rPr>
              <w:t>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55 89</w:t>
            </w:r>
            <w:r>
              <w:rPr>
                <w:rFonts w:ascii="Times New Roman" w:hAnsi="Times New Roman"/>
                <w:sz w:val="16"/>
                <w:szCs w:val="16"/>
              </w:rPr>
              <w:t>9</w:t>
            </w:r>
          </w:p>
        </w:tc>
        <w:tc>
          <w:tcPr>
            <w:tcW w:w="97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55 000</w:t>
            </w:r>
          </w:p>
        </w:tc>
        <w:tc>
          <w:tcPr>
            <w:tcW w:w="97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57 000</w:t>
            </w:r>
          </w:p>
        </w:tc>
        <w:tc>
          <w:tcPr>
            <w:tcW w:w="97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60 500</w:t>
            </w:r>
          </w:p>
        </w:tc>
        <w:tc>
          <w:tcPr>
            <w:tcW w:w="97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66 198</w:t>
            </w:r>
          </w:p>
        </w:tc>
        <w:tc>
          <w:tcPr>
            <w:tcW w:w="977"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70 100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zost. prostr. z predch. </w:t>
            </w:r>
            <w:r>
              <w:rPr>
                <w:rFonts w:ascii="Times New Roman" w:hAnsi="Times New Roman"/>
                <w:sz w:val="16"/>
                <w:szCs w:val="16"/>
              </w:rPr>
              <w:t>r</w:t>
            </w:r>
            <w:r w:rsidRPr="00F27ABF">
              <w:rPr>
                <w:rFonts w:ascii="Times New Roman" w:hAnsi="Times New Roman"/>
                <w:sz w:val="16"/>
                <w:szCs w:val="16"/>
              </w:rPr>
              <w:t>oka</w:t>
            </w:r>
            <w:r>
              <w:rPr>
                <w:rFonts w:ascii="Times New Roman" w:hAnsi="Times New Roman"/>
                <w:sz w:val="16"/>
                <w:szCs w:val="16"/>
              </w:rPr>
              <w:t xml:space="preserve"> (</w:t>
            </w:r>
            <w:r w:rsidRPr="00F27ABF">
              <w:rPr>
                <w:rFonts w:ascii="Times New Roman" w:hAnsi="Times New Roman"/>
                <w:sz w:val="16"/>
                <w:szCs w:val="16"/>
              </w:rPr>
              <w:t>FO)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13 347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10</w:t>
            </w:r>
            <w:r>
              <w:rPr>
                <w:rFonts w:ascii="Times New Roman" w:hAnsi="Times New Roman"/>
                <w:sz w:val="16"/>
                <w:szCs w:val="16"/>
              </w:rPr>
              <w:t> </w:t>
            </w:r>
            <w:r w:rsidRPr="00F27ABF">
              <w:rPr>
                <w:rFonts w:ascii="Times New Roman" w:hAnsi="Times New Roman"/>
                <w:sz w:val="16"/>
                <w:szCs w:val="16"/>
              </w:rPr>
              <w:t>31</w:t>
            </w:r>
            <w:r>
              <w:rPr>
                <w:rFonts w:ascii="Times New Roman" w:hAnsi="Times New Roman"/>
                <w:sz w:val="16"/>
                <w:szCs w:val="16"/>
              </w:rPr>
              <w:t>8</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7 209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11 499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10 982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7 016</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A70F33" w:rsidP="00D94018">
            <w:pPr>
              <w:bidi w:val="0"/>
              <w:jc w:val="right"/>
              <w:rPr>
                <w:rFonts w:ascii="Times New Roman" w:hAnsi="Times New Roman"/>
                <w:sz w:val="16"/>
                <w:szCs w:val="16"/>
              </w:rPr>
            </w:pPr>
            <w:r w:rsidRPr="00A70F33">
              <w:rPr>
                <w:rFonts w:ascii="Times New Roman" w:hAnsi="Times New Roman"/>
                <w:sz w:val="16"/>
                <w:szCs w:val="16"/>
              </w:rPr>
              <w:t>7 247</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rPr>
                <w:rFonts w:ascii="Times New Roman" w:hAnsi="Times New Roman"/>
                <w:b/>
                <w:bCs/>
                <w:iCs/>
                <w:sz w:val="16"/>
                <w:szCs w:val="16"/>
              </w:rPr>
            </w:pPr>
            <w:r w:rsidRPr="00F960FD">
              <w:rPr>
                <w:rFonts w:ascii="Times New Roman" w:hAnsi="Times New Roman"/>
                <w:b/>
                <w:bCs/>
                <w:iCs/>
                <w:sz w:val="16"/>
                <w:szCs w:val="16"/>
              </w:rPr>
              <w:t>Výdavky ŠFRB spolu</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214 880</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140 513</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146 827</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 xml:space="preserve">146 </w:t>
            </w:r>
            <w:r>
              <w:rPr>
                <w:rFonts w:ascii="Times New Roman" w:hAnsi="Times New Roman"/>
                <w:b/>
                <w:bCs/>
                <w:iCs/>
                <w:sz w:val="16"/>
                <w:szCs w:val="16"/>
              </w:rPr>
              <w:t>621</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150 150</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152 471</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156 129</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both"/>
              <w:rPr>
                <w:rFonts w:ascii="Times New Roman" w:hAnsi="Times New Roman"/>
                <w:b/>
                <w:bCs/>
                <w:i/>
                <w:iCs/>
                <w:sz w:val="16"/>
                <w:szCs w:val="16"/>
              </w:rPr>
            </w:pPr>
            <w:r>
              <w:rPr>
                <w:rFonts w:ascii="Times New Roman" w:hAnsi="Times New Roman"/>
                <w:b/>
                <w:bCs/>
                <w:i/>
                <w:iCs/>
                <w:sz w:val="16"/>
                <w:szCs w:val="16"/>
              </w:rPr>
              <w:t>z toho: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sz w:val="16"/>
                <w:szCs w:val="16"/>
              </w:rPr>
            </w:pP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color w:val="000000"/>
                <w:szCs w:val="22"/>
              </w:rPr>
            </w:pP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color w:val="000000"/>
                <w:szCs w:val="22"/>
              </w:rPr>
            </w:pP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color w:val="000000"/>
                <w:szCs w:val="22"/>
              </w:rPr>
            </w:pP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bežné výdavky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3 836</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4 361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3 856</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3 831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3 856</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3 856</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3 856</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mzdy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570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643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740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poistné</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206</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254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261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261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261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261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261</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tovary a služby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3 060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3 462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2 800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2 800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2 800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2 800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2 800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bežné transfery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55</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55</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55</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55</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kapitálové výdavky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771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215</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831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Pr>
                <w:rFonts w:ascii="Times New Roman" w:hAnsi="Times New Roman"/>
                <w:sz w:val="16"/>
                <w:szCs w:val="16"/>
              </w:rPr>
              <w:t>650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831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832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831</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obstarávanie kapitálových</w:t>
            </w:r>
            <w:r>
              <w:rPr>
                <w:rFonts w:ascii="Times New Roman" w:hAnsi="Times New Roman"/>
                <w:sz w:val="16"/>
                <w:szCs w:val="16"/>
              </w:rPr>
              <w:t xml:space="preserve"> </w:t>
            </w:r>
            <w:r w:rsidRPr="00F27ABF">
              <w:rPr>
                <w:rFonts w:ascii="Times New Roman" w:hAnsi="Times New Roman"/>
                <w:sz w:val="16"/>
                <w:szCs w:val="16"/>
              </w:rPr>
              <w:t>aktív</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394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Pr>
                <w:rFonts w:ascii="Times New Roman" w:hAnsi="Times New Roman"/>
                <w:sz w:val="16"/>
                <w:szCs w:val="16"/>
              </w:rPr>
              <w:t>35</w:t>
            </w:r>
            <w:r w:rsidRPr="00F27ABF">
              <w:rPr>
                <w:rFonts w:ascii="Times New Roman" w:hAnsi="Times New Roman"/>
                <w:sz w:val="16"/>
                <w:szCs w:val="16"/>
              </w:rPr>
              <w:t>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400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kapitálové transfery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377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172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431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Pr>
                <w:rFonts w:ascii="Times New Roman" w:hAnsi="Times New Roman"/>
                <w:sz w:val="16"/>
                <w:szCs w:val="16"/>
              </w:rPr>
              <w:t>300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431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432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431</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výdavky z transakcií s fin. akt.</w:t>
            </w:r>
          </w:p>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a pas., z toho: (FO)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210 273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135 937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142 140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142 140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145 463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147 783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151 442</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xml:space="preserve">      úvery a účasť na majetku  (FO)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210 273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135 937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142 140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142 140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145 463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147 783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151 442</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rPr>
                <w:rFonts w:ascii="Times New Roman" w:hAnsi="Times New Roman"/>
                <w:b/>
                <w:bCs/>
                <w:iCs/>
                <w:sz w:val="16"/>
                <w:szCs w:val="16"/>
              </w:rPr>
            </w:pPr>
            <w:r w:rsidRPr="00F960FD">
              <w:rPr>
                <w:rFonts w:ascii="Times New Roman" w:hAnsi="Times New Roman"/>
                <w:b/>
                <w:bCs/>
                <w:iCs/>
                <w:sz w:val="16"/>
                <w:szCs w:val="16"/>
              </w:rPr>
              <w:t>Celkový prebytok ŠFRB</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10 31</w:t>
            </w:r>
            <w:r>
              <w:rPr>
                <w:rFonts w:ascii="Times New Roman" w:hAnsi="Times New Roman"/>
                <w:b/>
                <w:bCs/>
                <w:iCs/>
                <w:sz w:val="16"/>
                <w:szCs w:val="16"/>
              </w:rPr>
              <w:t>8</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11 499</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2 308</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10 982</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7 016</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7 247</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8 222</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b/>
                <w:bCs/>
                <w:i/>
                <w:iCs/>
                <w:sz w:val="16"/>
                <w:szCs w:val="16"/>
              </w:rPr>
            </w:pPr>
            <w:r w:rsidRPr="00F27ABF">
              <w:rPr>
                <w:rFonts w:ascii="Times New Roman" w:hAnsi="Times New Roman"/>
                <w:b/>
                <w:bCs/>
                <w:i/>
                <w:iCs/>
                <w:sz w:val="16"/>
                <w:szCs w:val="16"/>
              </w:rPr>
              <w:t>vylúčenie finančných operácií</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b/>
                <w:bCs/>
                <w:i/>
                <w:iCs/>
                <w:sz w:val="16"/>
                <w:szCs w:val="16"/>
              </w:rPr>
            </w:pPr>
            <w:r w:rsidRPr="00F27ABF">
              <w:rPr>
                <w:rFonts w:ascii="Times New Roman" w:hAnsi="Times New Roman"/>
                <w:b/>
                <w:bCs/>
                <w:i/>
                <w:iCs/>
                <w:sz w:val="16"/>
                <w:szCs w:val="16"/>
              </w:rPr>
              <w:t>151 39</w:t>
            </w:r>
            <w:r>
              <w:rPr>
                <w:rFonts w:ascii="Times New Roman" w:hAnsi="Times New Roman"/>
                <w:b/>
                <w:bCs/>
                <w:i/>
                <w:iCs/>
                <w:sz w:val="16"/>
                <w:szCs w:val="16"/>
              </w:rPr>
              <w:t>8</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b/>
                <w:bCs/>
                <w:i/>
                <w:iCs/>
                <w:sz w:val="16"/>
                <w:szCs w:val="16"/>
              </w:rPr>
            </w:pPr>
            <w:r w:rsidRPr="00F27ABF">
              <w:rPr>
                <w:rFonts w:ascii="Times New Roman" w:hAnsi="Times New Roman"/>
                <w:b/>
                <w:bCs/>
                <w:i/>
                <w:iCs/>
                <w:sz w:val="16"/>
                <w:szCs w:val="16"/>
              </w:rPr>
              <w:t>69 720</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b/>
                <w:bCs/>
                <w:i/>
                <w:iCs/>
                <w:sz w:val="16"/>
                <w:szCs w:val="16"/>
              </w:rPr>
            </w:pPr>
            <w:r w:rsidRPr="00F27ABF">
              <w:rPr>
                <w:rFonts w:ascii="Times New Roman" w:hAnsi="Times New Roman"/>
                <w:b/>
                <w:bCs/>
                <w:i/>
                <w:iCs/>
                <w:sz w:val="16"/>
                <w:szCs w:val="16"/>
              </w:rPr>
              <w:t>79 931</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73 641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b/>
                <w:bCs/>
                <w:sz w:val="16"/>
                <w:szCs w:val="16"/>
              </w:rPr>
            </w:pPr>
            <w:r w:rsidRPr="0086084B">
              <w:rPr>
                <w:rFonts w:ascii="Times New Roman" w:hAnsi="Times New Roman"/>
                <w:b/>
                <w:bCs/>
                <w:sz w:val="16"/>
                <w:szCs w:val="16"/>
              </w:rPr>
              <w:t>73 981</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b/>
                <w:bCs/>
                <w:sz w:val="16"/>
                <w:szCs w:val="16"/>
              </w:rPr>
            </w:pPr>
            <w:r w:rsidRPr="0086084B">
              <w:rPr>
                <w:rFonts w:ascii="Times New Roman" w:hAnsi="Times New Roman"/>
                <w:b/>
                <w:bCs/>
                <w:sz w:val="16"/>
                <w:szCs w:val="16"/>
              </w:rPr>
              <w:t>74 569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b/>
                <w:bCs/>
                <w:sz w:val="16"/>
                <w:szCs w:val="16"/>
              </w:rPr>
            </w:pPr>
            <w:r w:rsidRPr="0086084B">
              <w:rPr>
                <w:rFonts w:ascii="Times New Roman" w:hAnsi="Times New Roman"/>
                <w:b/>
                <w:bCs/>
                <w:sz w:val="16"/>
                <w:szCs w:val="16"/>
              </w:rPr>
              <w:t>74 095</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bCs/>
                <w:i/>
                <w:iCs/>
                <w:sz w:val="16"/>
                <w:szCs w:val="16"/>
              </w:rPr>
            </w:pPr>
            <w:r w:rsidRPr="00F27ABF">
              <w:rPr>
                <w:rFonts w:ascii="Times New Roman" w:hAnsi="Times New Roman"/>
                <w:bCs/>
                <w:i/>
                <w:iCs/>
                <w:sz w:val="16"/>
                <w:szCs w:val="16"/>
              </w:rPr>
              <w:t xml:space="preserve">   z toho: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D94018" w:rsidRPr="00F27ABF" w:rsidP="00D94018">
            <w:pPr>
              <w:bidi w:val="0"/>
              <w:jc w:val="right"/>
              <w:rPr>
                <w:rFonts w:ascii="Times New Roman" w:hAnsi="Times New Roman"/>
                <w:b/>
                <w:bCs/>
                <w:i/>
                <w:iCs/>
                <w:sz w:val="16"/>
                <w:szCs w:val="16"/>
              </w:rPr>
            </w:pPr>
            <w:r w:rsidRPr="00F27ABF">
              <w:rPr>
                <w:rFonts w:ascii="Times New Roman" w:hAnsi="Times New Roman"/>
                <w:b/>
                <w:bCs/>
                <w:i/>
                <w:iCs/>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rPr>
                <w:rFonts w:ascii="Times New Roman" w:hAnsi="Times New Roman"/>
                <w:sz w:val="16"/>
                <w:szCs w:val="16"/>
              </w:rPr>
            </w:pPr>
            <w:r w:rsidRPr="0086084B">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 </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 </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vylúčenie príjmových (FO)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-58 87</w:t>
            </w:r>
            <w:r>
              <w:rPr>
                <w:rFonts w:ascii="Times New Roman" w:hAnsi="Times New Roman"/>
                <w:sz w:val="16"/>
                <w:szCs w:val="16"/>
              </w:rPr>
              <w:t>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-66 217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-62 209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-68 499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-71 482</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-73 214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-77 347</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sz w:val="16"/>
                <w:szCs w:val="16"/>
              </w:rPr>
            </w:pPr>
            <w:r w:rsidRPr="00F27ABF">
              <w:rPr>
                <w:rFonts w:ascii="Times New Roman" w:hAnsi="Times New Roman"/>
                <w:sz w:val="16"/>
                <w:szCs w:val="16"/>
              </w:rPr>
              <w:t>▪ vylúčenie výdavkových (FO)</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210 273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135 937</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sz w:val="16"/>
                <w:szCs w:val="16"/>
              </w:rPr>
            </w:pPr>
            <w:r w:rsidRPr="00F27ABF">
              <w:rPr>
                <w:rFonts w:ascii="Times New Roman" w:hAnsi="Times New Roman"/>
                <w:sz w:val="16"/>
                <w:szCs w:val="16"/>
              </w:rPr>
              <w:t>142 140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142 140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145 463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147 783</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sz w:val="16"/>
                <w:szCs w:val="16"/>
              </w:rPr>
            </w:pPr>
            <w:r w:rsidRPr="0086084B">
              <w:rPr>
                <w:rFonts w:ascii="Times New Roman" w:hAnsi="Times New Roman"/>
                <w:sz w:val="16"/>
                <w:szCs w:val="16"/>
              </w:rPr>
              <w:t>151 442</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rPr>
                <w:rFonts w:ascii="Times New Roman" w:hAnsi="Times New Roman"/>
                <w:b/>
                <w:bCs/>
                <w:i/>
                <w:iCs/>
                <w:sz w:val="16"/>
                <w:szCs w:val="16"/>
              </w:rPr>
            </w:pPr>
            <w:r w:rsidRPr="00F27ABF">
              <w:rPr>
                <w:rFonts w:ascii="Times New Roman" w:hAnsi="Times New Roman"/>
                <w:b/>
                <w:bCs/>
                <w:i/>
                <w:iCs/>
                <w:sz w:val="16"/>
                <w:szCs w:val="16"/>
              </w:rPr>
              <w:t>ostatné úpravy</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b/>
                <w:sz w:val="16"/>
                <w:szCs w:val="16"/>
              </w:rPr>
            </w:pPr>
            <w:r w:rsidRPr="00F27ABF">
              <w:rPr>
                <w:rFonts w:ascii="Times New Roman" w:hAnsi="Times New Roman"/>
                <w:b/>
                <w:sz w:val="16"/>
                <w:szCs w:val="16"/>
              </w:rPr>
              <w:t>-119</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b/>
                <w:sz w:val="16"/>
                <w:szCs w:val="16"/>
              </w:rPr>
            </w:pPr>
            <w:r w:rsidRPr="00F27ABF">
              <w:rPr>
                <w:rFonts w:ascii="Times New Roman" w:hAnsi="Times New Roman"/>
                <w:b/>
                <w:sz w:val="16"/>
                <w:szCs w:val="16"/>
              </w:rPr>
              <w:t>54</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F27ABF" w:rsidP="00D94018">
            <w:pPr>
              <w:bidi w:val="0"/>
              <w:jc w:val="right"/>
              <w:rPr>
                <w:rFonts w:ascii="Times New Roman" w:hAnsi="Times New Roman"/>
                <w:b/>
                <w:sz w:val="16"/>
                <w:szCs w:val="16"/>
              </w:rPr>
            </w:pPr>
            <w:r w:rsidRPr="00F27ABF">
              <w:rPr>
                <w:rFonts w:ascii="Times New Roman" w:hAnsi="Times New Roman"/>
                <w:b/>
                <w:sz w:val="16"/>
                <w:szCs w:val="16"/>
              </w:rPr>
              <w:t>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b/>
                <w:bCs/>
                <w:sz w:val="16"/>
                <w:szCs w:val="16"/>
              </w:rPr>
            </w:pPr>
            <w:r w:rsidRPr="0086084B">
              <w:rPr>
                <w:rFonts w:ascii="Times New Roman" w:hAnsi="Times New Roman"/>
                <w:b/>
                <w:bCs/>
                <w:sz w:val="16"/>
                <w:szCs w:val="16"/>
              </w:rPr>
              <w:t>5</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b/>
                <w:bCs/>
                <w:sz w:val="16"/>
                <w:szCs w:val="16"/>
              </w:rPr>
            </w:pPr>
            <w:r w:rsidRPr="0086084B">
              <w:rPr>
                <w:rFonts w:ascii="Times New Roman" w:hAnsi="Times New Roman"/>
                <w:b/>
                <w:bCs/>
                <w:sz w:val="16"/>
                <w:szCs w:val="16"/>
              </w:rPr>
              <w:t>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b/>
                <w:bCs/>
                <w:sz w:val="16"/>
                <w:szCs w:val="16"/>
              </w:rPr>
            </w:pPr>
            <w:r w:rsidRPr="0086084B">
              <w:rPr>
                <w:rFonts w:ascii="Times New Roman" w:hAnsi="Times New Roman"/>
                <w:b/>
                <w:bCs/>
                <w:sz w:val="16"/>
                <w:szCs w:val="16"/>
              </w:rPr>
              <w:t>0</w:t>
            </w:r>
          </w:p>
        </w:tc>
        <w:tc>
          <w:tcPr>
            <w:tcW w:w="977" w:type="dxa"/>
            <w:tcBorders>
              <w:top w:val="single" w:sz="4" w:space="0" w:color="auto"/>
              <w:left w:val="single" w:sz="4" w:space="0" w:color="auto"/>
              <w:bottom w:val="single" w:sz="4" w:space="0" w:color="auto"/>
              <w:right w:val="single" w:sz="4" w:space="0" w:color="auto"/>
            </w:tcBorders>
            <w:textDirection w:val="lrTb"/>
            <w:vAlign w:val="bottom"/>
            <w:hideMark/>
          </w:tcPr>
          <w:p w:rsidR="00D94018" w:rsidRPr="0086084B" w:rsidP="00D94018">
            <w:pPr>
              <w:bidi w:val="0"/>
              <w:jc w:val="right"/>
              <w:rPr>
                <w:rFonts w:ascii="Times New Roman" w:hAnsi="Times New Roman"/>
                <w:b/>
                <w:bCs/>
                <w:sz w:val="16"/>
                <w:szCs w:val="16"/>
              </w:rPr>
            </w:pPr>
            <w:r w:rsidRPr="0086084B">
              <w:rPr>
                <w:rFonts w:ascii="Times New Roman" w:hAnsi="Times New Roman"/>
                <w:b/>
                <w:bCs/>
                <w:sz w:val="16"/>
                <w:szCs w:val="16"/>
              </w:rPr>
              <w:t>0</w:t>
            </w:r>
          </w:p>
        </w:tc>
      </w:tr>
      <w:tr>
        <w:tblPrEx>
          <w:tblW w:w="5039" w:type="pct"/>
          <w:tblInd w:w="70" w:type="dxa"/>
          <w:tblLayout w:type="fixed"/>
          <w:tblCellMar>
            <w:left w:w="70" w:type="dxa"/>
            <w:right w:w="70" w:type="dxa"/>
          </w:tblCellMar>
          <w:tblLook w:val="04A0"/>
        </w:tblPrEx>
        <w:trPr>
          <w:trHeight w:val="227"/>
        </w:trPr>
        <w:tc>
          <w:tcPr>
            <w:tcW w:w="2445"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both"/>
              <w:rPr>
                <w:rFonts w:ascii="Times New Roman" w:hAnsi="Times New Roman"/>
                <w:b/>
                <w:bCs/>
                <w:iCs/>
                <w:sz w:val="16"/>
                <w:szCs w:val="16"/>
              </w:rPr>
            </w:pPr>
            <w:r w:rsidRPr="00F960FD">
              <w:rPr>
                <w:rFonts w:ascii="Times New Roman" w:hAnsi="Times New Roman"/>
                <w:b/>
                <w:bCs/>
                <w:iCs/>
                <w:sz w:val="16"/>
                <w:szCs w:val="16"/>
              </w:rPr>
              <w:t>Prebytok</w:t>
            </w:r>
            <w:r>
              <w:rPr>
                <w:rFonts w:ascii="Times New Roman" w:hAnsi="Times New Roman"/>
                <w:b/>
                <w:bCs/>
                <w:iCs/>
                <w:sz w:val="16"/>
                <w:szCs w:val="16"/>
              </w:rPr>
              <w:t xml:space="preserve"> </w:t>
            </w:r>
            <w:r w:rsidRPr="00F960FD">
              <w:rPr>
                <w:rFonts w:ascii="Times New Roman" w:hAnsi="Times New Roman"/>
                <w:b/>
                <w:bCs/>
                <w:iCs/>
                <w:sz w:val="16"/>
                <w:szCs w:val="16"/>
              </w:rPr>
              <w:t xml:space="preserve"> ŠFRB   (ESA 95)</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161 598</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81 273</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F960FD" w:rsidP="00D94018">
            <w:pPr>
              <w:bidi w:val="0"/>
              <w:jc w:val="right"/>
              <w:rPr>
                <w:rFonts w:ascii="Times New Roman" w:hAnsi="Times New Roman"/>
                <w:b/>
                <w:bCs/>
                <w:iCs/>
                <w:sz w:val="16"/>
                <w:szCs w:val="16"/>
              </w:rPr>
            </w:pPr>
            <w:r w:rsidRPr="00F960FD">
              <w:rPr>
                <w:rFonts w:ascii="Times New Roman" w:hAnsi="Times New Roman"/>
                <w:b/>
                <w:bCs/>
                <w:iCs/>
                <w:sz w:val="16"/>
                <w:szCs w:val="16"/>
              </w:rPr>
              <w:t>82 239</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84 628</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80 997</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81 816</w:t>
            </w:r>
          </w:p>
        </w:tc>
        <w:tc>
          <w:tcPr>
            <w:tcW w:w="9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D94018" w:rsidRPr="0086084B" w:rsidP="00D94018">
            <w:pPr>
              <w:bidi w:val="0"/>
              <w:jc w:val="right"/>
              <w:rPr>
                <w:rFonts w:ascii="Times New Roman" w:hAnsi="Times New Roman"/>
                <w:b/>
                <w:bCs/>
                <w:i/>
                <w:iCs/>
                <w:sz w:val="16"/>
                <w:szCs w:val="16"/>
              </w:rPr>
            </w:pPr>
            <w:r w:rsidRPr="0086084B">
              <w:rPr>
                <w:rFonts w:ascii="Times New Roman" w:hAnsi="Times New Roman"/>
                <w:b/>
                <w:bCs/>
                <w:i/>
                <w:iCs/>
                <w:sz w:val="16"/>
                <w:szCs w:val="16"/>
              </w:rPr>
              <w:t>82 317</w:t>
            </w:r>
          </w:p>
        </w:tc>
      </w:tr>
    </w:tbl>
    <w:p w:rsidR="00D94018" w:rsidRPr="00F27ABF" w:rsidP="00D94018">
      <w:pPr>
        <w:bidi w:val="0"/>
        <w:jc w:val="both"/>
        <w:rPr>
          <w:rFonts w:ascii="Times New Roman" w:hAnsi="Times New Roman"/>
          <w:b/>
          <w:sz w:val="22"/>
          <w:szCs w:val="22"/>
          <w:u w:val="single"/>
        </w:rPr>
      </w:pPr>
    </w:p>
    <w:p w:rsidR="00D94018" w:rsidRPr="00EB33CC" w:rsidP="00D94018">
      <w:pPr>
        <w:bidi w:val="0"/>
        <w:ind w:firstLine="708"/>
        <w:jc w:val="both"/>
        <w:rPr>
          <w:rFonts w:ascii="Times New Roman" w:hAnsi="Times New Roman"/>
        </w:rPr>
      </w:pPr>
      <w:r w:rsidRPr="00EB33CC">
        <w:rPr>
          <w:rFonts w:ascii="Times New Roman" w:hAnsi="Times New Roman"/>
        </w:rPr>
        <w:t>Príjmy ŠFRB v roku 2012 predstavujú celkovú výšku 15</w:t>
      </w:r>
      <w:r>
        <w:rPr>
          <w:rFonts w:ascii="Times New Roman" w:hAnsi="Times New Roman"/>
        </w:rPr>
        <w:t>7</w:t>
      </w:r>
      <w:r w:rsidRPr="00EB33CC">
        <w:rPr>
          <w:rFonts w:ascii="Times New Roman" w:hAnsi="Times New Roman"/>
        </w:rPr>
        <w:t xml:space="preserve"> mil. eur, pričom transfer zo štátneho rozpočtu je rozpočtovaný vo výške 54,9 mil. eur a vlastné zdroje v sume </w:t>
      </w:r>
      <w:r>
        <w:rPr>
          <w:rFonts w:ascii="Times New Roman" w:hAnsi="Times New Roman"/>
        </w:rPr>
        <w:t>102 </w:t>
      </w:r>
      <w:r w:rsidRPr="00EB33CC">
        <w:rPr>
          <w:rFonts w:ascii="Times New Roman" w:hAnsi="Times New Roman"/>
        </w:rPr>
        <w:t>mil.</w:t>
      </w:r>
      <w:r>
        <w:rPr>
          <w:rFonts w:ascii="Times New Roman" w:hAnsi="Times New Roman"/>
        </w:rPr>
        <w:t> </w:t>
      </w:r>
      <w:r w:rsidRPr="00EB33CC">
        <w:rPr>
          <w:rFonts w:ascii="Times New Roman" w:hAnsi="Times New Roman"/>
        </w:rPr>
        <w:t>eur. Vlastné príjmy ŠFRB sa očakávajú najmä zo splácania úverov v</w:t>
      </w:r>
      <w:r>
        <w:rPr>
          <w:rFonts w:ascii="Times New Roman" w:hAnsi="Times New Roman"/>
        </w:rPr>
        <w:t> </w:t>
      </w:r>
      <w:r w:rsidRPr="00EB33CC">
        <w:rPr>
          <w:rFonts w:ascii="Times New Roman" w:hAnsi="Times New Roman"/>
        </w:rPr>
        <w:t>sume</w:t>
      </w:r>
      <w:r>
        <w:rPr>
          <w:rFonts w:ascii="Times New Roman" w:hAnsi="Times New Roman"/>
        </w:rPr>
        <w:br/>
      </w:r>
      <w:r w:rsidRPr="00EB33CC">
        <w:rPr>
          <w:rFonts w:ascii="Times New Roman" w:hAnsi="Times New Roman"/>
        </w:rPr>
        <w:t xml:space="preserve"> 60,5  mil. eur, z úrokov z poskytnutých úverov vo výške 28,8 mil. eur a </w:t>
      </w:r>
      <w:r>
        <w:rPr>
          <w:rFonts w:ascii="Times New Roman" w:hAnsi="Times New Roman"/>
        </w:rPr>
        <w:t>12</w:t>
      </w:r>
      <w:r w:rsidRPr="00EB33CC">
        <w:rPr>
          <w:rFonts w:ascii="Times New Roman" w:hAnsi="Times New Roman"/>
        </w:rPr>
        <w:t>,8 mil. eur tvoria ostatné príjmy. Navrhované príjmy  v roku 2012 v porovnaní so schváleným rozpočtom roku 2011 sú vyššie o </w:t>
      </w:r>
      <w:r>
        <w:rPr>
          <w:rFonts w:ascii="Times New Roman" w:hAnsi="Times New Roman"/>
        </w:rPr>
        <w:t>5</w:t>
      </w:r>
      <w:r w:rsidRPr="00EB33CC">
        <w:rPr>
          <w:rFonts w:ascii="Times New Roman" w:hAnsi="Times New Roman"/>
        </w:rPr>
        <w:t>,</w:t>
      </w:r>
      <w:r>
        <w:rPr>
          <w:rFonts w:ascii="Times New Roman" w:hAnsi="Times New Roman"/>
        </w:rPr>
        <w:t>39</w:t>
      </w:r>
      <w:r w:rsidRPr="00EB33CC">
        <w:rPr>
          <w:rFonts w:ascii="Times New Roman" w:hAnsi="Times New Roman"/>
        </w:rPr>
        <w:t xml:space="preserve"> %, t. j. o </w:t>
      </w:r>
      <w:r>
        <w:rPr>
          <w:rFonts w:ascii="Times New Roman" w:hAnsi="Times New Roman"/>
        </w:rPr>
        <w:t>8</w:t>
      </w:r>
      <w:r w:rsidRPr="00EB33CC">
        <w:rPr>
          <w:rFonts w:ascii="Times New Roman" w:hAnsi="Times New Roman"/>
        </w:rPr>
        <w:t>,</w:t>
      </w:r>
      <w:r>
        <w:rPr>
          <w:rFonts w:ascii="Times New Roman" w:hAnsi="Times New Roman"/>
        </w:rPr>
        <w:t>03</w:t>
      </w:r>
      <w:r w:rsidRPr="00EB33CC">
        <w:rPr>
          <w:rFonts w:ascii="Times New Roman" w:hAnsi="Times New Roman"/>
        </w:rPr>
        <w:t xml:space="preserve"> mil. eur najmä z dôvodu zvýšenia príjmov zo splácania úverov a zostatku prostriedkov z predchádzajúceho roka. </w:t>
      </w:r>
    </w:p>
    <w:p w:rsidR="00D94018" w:rsidRPr="00EB33CC" w:rsidP="00D94018">
      <w:pPr>
        <w:bidi w:val="0"/>
        <w:jc w:val="both"/>
        <w:rPr>
          <w:rFonts w:ascii="Times New Roman" w:hAnsi="Times New Roman"/>
          <w:b/>
          <w:u w:val="single"/>
        </w:rPr>
      </w:pPr>
    </w:p>
    <w:p w:rsidR="00D94018" w:rsidRPr="00EB33CC" w:rsidP="003E7F48">
      <w:pPr>
        <w:bidi w:val="0"/>
        <w:spacing w:after="120"/>
        <w:ind w:firstLine="709"/>
        <w:jc w:val="both"/>
        <w:rPr>
          <w:rFonts w:ascii="Times New Roman" w:hAnsi="Times New Roman"/>
        </w:rPr>
      </w:pPr>
      <w:r w:rsidRPr="00EB33CC">
        <w:rPr>
          <w:rFonts w:ascii="Times New Roman" w:hAnsi="Times New Roman"/>
        </w:rPr>
        <w:t>Výdavky ŠFRB v roku 2012 sa rozpočtujú v sume 150 mil. eur a v porovnaní so schváleným rozpočtom roku 2011 sú vyššie o 2,26 %, teda o 3,32 mil. eur z dôvodu zvýšenia výdavkov na poskytovanie úverov. Výdavky na mzdy, poistné, tovary a služby, bežné transfery a kapitálové výdavky sú rozpočtované na úrovni schváleného rozpočtu roku 2011. Z rozpočtovaných výdavkov roku 2012 je čiastka 146 mil. eur  vyčlenená  na poskytovanie úverov, z toho  98,2 mil. eur na výstavbu bytov, 30,0 mil. eur na obnovu bytových domov, 3,30 mil. eur na výstavbu zariadení sociálnych služieb a 14,0 mil. eur na zatepľovanie bytových domov. Na poskytovanie podpôr vo forme nenávratného príspevku pri obstarávaní bývania pre občanov s ťažkým zdravotným postihnutím je rozpočtovaných 432 tis. eur a 4,26</w:t>
      </w:r>
      <w:r>
        <w:rPr>
          <w:rFonts w:ascii="Times New Roman" w:hAnsi="Times New Roman"/>
        </w:rPr>
        <w:t> </w:t>
      </w:r>
      <w:r w:rsidRPr="00EB33CC">
        <w:rPr>
          <w:rFonts w:ascii="Times New Roman" w:hAnsi="Times New Roman"/>
        </w:rPr>
        <w:t xml:space="preserve">mil. eur sú výdavky súvisiace so zabezpečením správy fondu a bankových služieb. </w:t>
      </w:r>
    </w:p>
    <w:p w:rsidR="00D94018" w:rsidRPr="00EB33CC" w:rsidP="003E7F48">
      <w:pPr>
        <w:bidi w:val="0"/>
        <w:ind w:firstLine="709"/>
        <w:jc w:val="both"/>
        <w:rPr>
          <w:rFonts w:ascii="Times New Roman" w:hAnsi="Times New Roman"/>
        </w:rPr>
      </w:pPr>
      <w:r w:rsidRPr="00EB33CC">
        <w:rPr>
          <w:rFonts w:ascii="Times New Roman" w:hAnsi="Times New Roman"/>
        </w:rPr>
        <w:t xml:space="preserve">Celkový hotovostný prebytok ŠFRB sa rozpočtuje v roku 2012 v sume </w:t>
      </w:r>
      <w:r w:rsidR="006749AC">
        <w:rPr>
          <w:rFonts w:ascii="Times New Roman" w:hAnsi="Times New Roman"/>
        </w:rPr>
        <w:t>7,02</w:t>
      </w:r>
      <w:r w:rsidRPr="00EB33CC">
        <w:rPr>
          <w:rFonts w:ascii="Times New Roman" w:hAnsi="Times New Roman"/>
        </w:rPr>
        <w:t xml:space="preserve"> mil. eur a oproti schválenému rozpočtu na rok 2011 je vyšší o </w:t>
      </w:r>
      <w:r w:rsidR="006749AC">
        <w:rPr>
          <w:rFonts w:ascii="Times New Roman" w:hAnsi="Times New Roman"/>
        </w:rPr>
        <w:t>204</w:t>
      </w:r>
      <w:r w:rsidRPr="00EB33CC">
        <w:rPr>
          <w:rFonts w:ascii="Times New Roman" w:hAnsi="Times New Roman"/>
        </w:rPr>
        <w:t xml:space="preserve"> %, čo predstavuje </w:t>
      </w:r>
      <w:r w:rsidR="006749AC">
        <w:rPr>
          <w:rFonts w:ascii="Times New Roman" w:hAnsi="Times New Roman"/>
        </w:rPr>
        <w:t>4,71</w:t>
      </w:r>
      <w:r w:rsidRPr="00EB33CC">
        <w:rPr>
          <w:rFonts w:ascii="Times New Roman" w:hAnsi="Times New Roman"/>
        </w:rPr>
        <w:t xml:space="preserve"> mil. eur. V metodike ESA 95 sa prebytok hospodárenia ŠFRB kvantifikuje v sume 81,0 mil. eur a v porovnaní so schváleným rozpočtom roku 2011 je nižší o 1,51 %, t.</w:t>
      </w:r>
      <w:r>
        <w:rPr>
          <w:rFonts w:ascii="Times New Roman" w:hAnsi="Times New Roman"/>
        </w:rPr>
        <w:t xml:space="preserve"> </w:t>
      </w:r>
      <w:r w:rsidRPr="00EB33CC">
        <w:rPr>
          <w:rFonts w:ascii="Times New Roman" w:hAnsi="Times New Roman"/>
        </w:rPr>
        <w:t xml:space="preserve">j. o 1,24  mil. eur v nadväznosti na vyššie príjmy zo splácania úverov a vyššie poskytnuté úvery. </w:t>
      </w:r>
    </w:p>
    <w:p w:rsidR="007B1DFC" w:rsidP="007B1DFC">
      <w:pPr>
        <w:bidi w:val="0"/>
        <w:jc w:val="both"/>
        <w:rPr>
          <w:rFonts w:ascii="Times New Roman" w:hAnsi="Times New Roman"/>
          <w:b/>
          <w:bCs/>
        </w:rPr>
      </w:pPr>
      <w:r w:rsidRPr="007B1DFC">
        <w:rPr>
          <w:rFonts w:ascii="Times New Roman" w:hAnsi="Times New Roman"/>
          <w:b/>
          <w:bCs/>
        </w:rPr>
        <w:t> </w:t>
      </w:r>
    </w:p>
    <w:p w:rsidR="00AA1D51" w:rsidP="00AA1D51">
      <w:pPr>
        <w:bidi w:val="0"/>
        <w:jc w:val="both"/>
        <w:rPr>
          <w:rFonts w:ascii="Times New Roman" w:hAnsi="Times New Roman"/>
          <w:b/>
        </w:rPr>
      </w:pPr>
      <w:r>
        <w:rPr>
          <w:rFonts w:ascii="Times New Roman" w:hAnsi="Times New Roman"/>
          <w:b/>
        </w:rPr>
        <w:t xml:space="preserve">4.2. Národný jadrový fond </w:t>
      </w:r>
    </w:p>
    <w:p w:rsidR="00AA1D51" w:rsidP="00AA1D51">
      <w:pPr>
        <w:bidi w:val="0"/>
        <w:ind w:firstLine="708"/>
        <w:jc w:val="both"/>
        <w:rPr>
          <w:rFonts w:ascii="Times New Roman" w:hAnsi="Times New Roman"/>
          <w:highlight w:val="yellow"/>
        </w:rPr>
      </w:pPr>
    </w:p>
    <w:p w:rsidR="004734B7" w:rsidP="004734B7">
      <w:pPr>
        <w:bidi w:val="0"/>
        <w:ind w:firstLine="708"/>
        <w:jc w:val="both"/>
        <w:rPr>
          <w:rFonts w:ascii="Times New Roman" w:hAnsi="Times New Roman"/>
        </w:rPr>
      </w:pPr>
      <w:r>
        <w:rPr>
          <w:rFonts w:ascii="Times New Roman" w:hAnsi="Times New Roman"/>
        </w:rPr>
        <w:t>Účelom zriadenia Národného jadrového fondu na vyraďovanie jadrových zariadení a na nakladanie s vyhoretým jadrovým palivom a rádioaktívnymi odpadmi (ďalej len „NJF“) je sústreďovať a spravovať finančné prostriedky na ukončenie prevádzky jadrového zariadenia, na vyraďovanie jadrových zariadení vrátane nakladania s rádioaktívnymi odpadmi z tohto vyraďovania, ukladanie vyhoretého jadrového paliva vrátane prepravy na ukladanie, inštitucionálnu kontrolu úložísk rádioaktívnych odpadov a vyhoretého jadrového paliva a skladovanie vyhoretého jadrového paliva.</w:t>
      </w:r>
    </w:p>
    <w:p w:rsidR="004734B7" w:rsidP="004734B7">
      <w:pPr>
        <w:bidi w:val="0"/>
        <w:ind w:firstLine="708"/>
        <w:jc w:val="both"/>
        <w:rPr>
          <w:rFonts w:ascii="Times New Roman" w:hAnsi="Times New Roman"/>
          <w:sz w:val="14"/>
          <w:szCs w:val="14"/>
        </w:rPr>
      </w:pPr>
    </w:p>
    <w:tbl>
      <w:tblPr>
        <w:tblStyle w:val="TableNormal"/>
        <w:tblW w:w="9152" w:type="dxa"/>
        <w:tblInd w:w="60" w:type="dxa"/>
        <w:tblCellMar>
          <w:left w:w="70" w:type="dxa"/>
          <w:right w:w="70" w:type="dxa"/>
        </w:tblCellMar>
        <w:tblLook w:val="04A0"/>
      </w:tblPr>
      <w:tblGrid>
        <w:gridCol w:w="2845"/>
        <w:gridCol w:w="851"/>
        <w:gridCol w:w="850"/>
        <w:gridCol w:w="810"/>
        <w:gridCol w:w="949"/>
        <w:gridCol w:w="949"/>
        <w:gridCol w:w="949"/>
        <w:gridCol w:w="949"/>
      </w:tblGrid>
      <w:tr>
        <w:tblPrEx>
          <w:tblW w:w="9152" w:type="dxa"/>
          <w:tblInd w:w="60" w:type="dxa"/>
          <w:tblCellMar>
            <w:left w:w="70" w:type="dxa"/>
            <w:right w:w="70" w:type="dxa"/>
          </w:tblCellMar>
          <w:tblLook w:val="04A0"/>
        </w:tblPrEx>
        <w:trPr>
          <w:trHeight w:val="227"/>
        </w:trPr>
        <w:tc>
          <w:tcPr>
            <w:tcW w:w="28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4734B7" w:rsidP="00EB38F8">
            <w:pPr>
              <w:bidi w:val="0"/>
              <w:rPr>
                <w:rFonts w:ascii="Times New Roman" w:hAnsi="Times New Roman"/>
                <w:b/>
                <w:bCs/>
                <w:sz w:val="16"/>
                <w:szCs w:val="16"/>
              </w:rPr>
            </w:pPr>
            <w:r>
              <w:rPr>
                <w:rFonts w:ascii="Times New Roman" w:hAnsi="Times New Roman"/>
                <w:b/>
                <w:bCs/>
                <w:sz w:val="16"/>
                <w:szCs w:val="16"/>
              </w:rPr>
              <w:t>v tis. eur</w:t>
            </w:r>
          </w:p>
        </w:tc>
        <w:tc>
          <w:tcPr>
            <w:tcW w:w="851"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4734B7" w:rsidP="00EB38F8">
            <w:pPr>
              <w:bidi w:val="0"/>
              <w:jc w:val="center"/>
              <w:rPr>
                <w:rFonts w:ascii="Times New Roman" w:hAnsi="Times New Roman"/>
                <w:b/>
                <w:bCs/>
                <w:sz w:val="16"/>
                <w:szCs w:val="16"/>
              </w:rPr>
            </w:pPr>
            <w:r>
              <w:rPr>
                <w:rFonts w:ascii="Times New Roman" w:hAnsi="Times New Roman"/>
                <w:b/>
                <w:bCs/>
                <w:sz w:val="16"/>
                <w:szCs w:val="16"/>
              </w:rPr>
              <w:t>2009 S</w:t>
            </w:r>
          </w:p>
        </w:tc>
        <w:tc>
          <w:tcPr>
            <w:tcW w:w="85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4734B7" w:rsidP="00EB38F8">
            <w:pPr>
              <w:bidi w:val="0"/>
              <w:jc w:val="center"/>
              <w:rPr>
                <w:rFonts w:ascii="Times New Roman" w:hAnsi="Times New Roman"/>
                <w:b/>
                <w:bCs/>
                <w:sz w:val="16"/>
                <w:szCs w:val="16"/>
              </w:rPr>
            </w:pPr>
            <w:r>
              <w:rPr>
                <w:rFonts w:ascii="Times New Roman" w:hAnsi="Times New Roman"/>
                <w:b/>
                <w:bCs/>
                <w:sz w:val="16"/>
                <w:szCs w:val="16"/>
              </w:rPr>
              <w:t>2010 S</w:t>
            </w:r>
          </w:p>
        </w:tc>
        <w:tc>
          <w:tcPr>
            <w:tcW w:w="81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4734B7" w:rsidP="00EB38F8">
            <w:pPr>
              <w:bidi w:val="0"/>
              <w:jc w:val="center"/>
              <w:rPr>
                <w:rFonts w:ascii="Times New Roman" w:hAnsi="Times New Roman"/>
                <w:b/>
                <w:bCs/>
                <w:sz w:val="16"/>
                <w:szCs w:val="16"/>
              </w:rPr>
            </w:pPr>
            <w:r>
              <w:rPr>
                <w:rFonts w:ascii="Times New Roman" w:hAnsi="Times New Roman"/>
                <w:b/>
                <w:bCs/>
                <w:sz w:val="16"/>
                <w:szCs w:val="16"/>
              </w:rPr>
              <w:t>2011 R</w:t>
            </w:r>
          </w:p>
        </w:tc>
        <w:tc>
          <w:tcPr>
            <w:tcW w:w="949" w:type="dxa"/>
            <w:tcBorders>
              <w:top w:val="single" w:sz="4" w:space="0" w:color="auto"/>
              <w:left w:val="single" w:sz="4" w:space="0" w:color="auto"/>
              <w:bottom w:val="single" w:sz="4" w:space="0" w:color="auto"/>
              <w:right w:val="nil"/>
            </w:tcBorders>
            <w:shd w:val="clear" w:color="auto" w:fill="A6A6A6"/>
            <w:noWrap/>
            <w:textDirection w:val="lrTb"/>
            <w:vAlign w:val="bottom"/>
            <w:hideMark/>
          </w:tcPr>
          <w:p w:rsidR="004734B7" w:rsidP="00EB38F8">
            <w:pPr>
              <w:bidi w:val="0"/>
              <w:jc w:val="center"/>
              <w:rPr>
                <w:rFonts w:ascii="Times New Roman" w:hAnsi="Times New Roman"/>
                <w:b/>
                <w:bCs/>
                <w:sz w:val="16"/>
                <w:szCs w:val="16"/>
              </w:rPr>
            </w:pPr>
            <w:r>
              <w:rPr>
                <w:rFonts w:ascii="Times New Roman" w:hAnsi="Times New Roman"/>
                <w:b/>
                <w:bCs/>
                <w:sz w:val="16"/>
                <w:szCs w:val="16"/>
              </w:rPr>
              <w:t xml:space="preserve"> 2011 OS</w:t>
            </w:r>
          </w:p>
        </w:tc>
        <w:tc>
          <w:tcPr>
            <w:tcW w:w="94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4734B7" w:rsidP="00EB38F8">
            <w:pPr>
              <w:bidi w:val="0"/>
              <w:jc w:val="center"/>
              <w:rPr>
                <w:rFonts w:ascii="Times New Roman" w:hAnsi="Times New Roman"/>
                <w:b/>
                <w:bCs/>
                <w:sz w:val="16"/>
                <w:szCs w:val="16"/>
              </w:rPr>
            </w:pPr>
            <w:r>
              <w:rPr>
                <w:rFonts w:ascii="Times New Roman" w:hAnsi="Times New Roman"/>
                <w:b/>
                <w:bCs/>
                <w:sz w:val="16"/>
                <w:szCs w:val="16"/>
              </w:rPr>
              <w:t>2012 N</w:t>
            </w:r>
          </w:p>
        </w:tc>
        <w:tc>
          <w:tcPr>
            <w:tcW w:w="94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4734B7" w:rsidP="00EB38F8">
            <w:pPr>
              <w:bidi w:val="0"/>
              <w:jc w:val="center"/>
              <w:rPr>
                <w:rFonts w:ascii="Times New Roman" w:hAnsi="Times New Roman"/>
                <w:b/>
                <w:bCs/>
                <w:sz w:val="16"/>
                <w:szCs w:val="16"/>
              </w:rPr>
            </w:pPr>
            <w:r>
              <w:rPr>
                <w:rFonts w:ascii="Times New Roman" w:hAnsi="Times New Roman"/>
                <w:b/>
                <w:bCs/>
                <w:sz w:val="16"/>
                <w:szCs w:val="16"/>
              </w:rPr>
              <w:t>2013 N</w:t>
            </w:r>
          </w:p>
        </w:tc>
        <w:tc>
          <w:tcPr>
            <w:tcW w:w="94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4734B7" w:rsidP="00EB38F8">
            <w:pPr>
              <w:bidi w:val="0"/>
              <w:jc w:val="center"/>
              <w:rPr>
                <w:rFonts w:ascii="Times New Roman" w:hAnsi="Times New Roman"/>
                <w:b/>
                <w:bCs/>
                <w:sz w:val="16"/>
                <w:szCs w:val="16"/>
              </w:rPr>
            </w:pPr>
            <w:r>
              <w:rPr>
                <w:rFonts w:ascii="Times New Roman" w:hAnsi="Times New Roman"/>
                <w:b/>
                <w:bCs/>
                <w:sz w:val="16"/>
                <w:szCs w:val="16"/>
              </w:rPr>
              <w:t>2014 N</w:t>
            </w:r>
          </w:p>
        </w:tc>
      </w:tr>
      <w:tr>
        <w:tblPrEx>
          <w:tblW w:w="9152" w:type="dxa"/>
          <w:tblInd w:w="60" w:type="dxa"/>
          <w:tblCellMar>
            <w:left w:w="70" w:type="dxa"/>
            <w:right w:w="70" w:type="dxa"/>
          </w:tblCellMar>
          <w:tblLook w:val="04A0"/>
        </w:tblPrEx>
        <w:trPr>
          <w:trHeight w:val="227"/>
        </w:trPr>
        <w:tc>
          <w:tcPr>
            <w:tcW w:w="28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Príjmy NJF  spolu</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765 369</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791 623</w:t>
            </w:r>
          </w:p>
        </w:tc>
        <w:tc>
          <w:tcPr>
            <w:tcW w:w="810" w:type="dxa"/>
            <w:tcBorders>
              <w:top w:val="single" w:sz="4" w:space="0" w:color="auto"/>
              <w:left w:val="nil"/>
              <w:bottom w:val="single" w:sz="4" w:space="0" w:color="auto"/>
              <w:right w:val="nil"/>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873 645</w:t>
            </w:r>
          </w:p>
        </w:tc>
        <w:tc>
          <w:tcPr>
            <w:tcW w:w="949" w:type="dxa"/>
            <w:tcBorders>
              <w:top w:val="single" w:sz="4" w:space="0" w:color="auto"/>
              <w:left w:val="single" w:sz="4" w:space="0" w:color="auto"/>
              <w:bottom w:val="single" w:sz="4" w:space="0" w:color="auto"/>
              <w:right w:val="nil"/>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871 209</w:t>
            </w:r>
          </w:p>
        </w:tc>
        <w:tc>
          <w:tcPr>
            <w:tcW w:w="94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1 008 386</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1 182 833</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1 377 899</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z toho:</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 </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 </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úroky z domácich pôžičiek a vkladov</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17 256</w:t>
            </w:r>
          </w:p>
        </w:tc>
        <w:tc>
          <w:tcPr>
            <w:tcW w:w="850" w:type="dxa"/>
            <w:tcBorders>
              <w:top w:val="nil"/>
              <w:left w:val="nil"/>
              <w:bottom w:val="single" w:sz="4" w:space="0" w:color="auto"/>
              <w:right w:val="single" w:sz="4" w:space="0" w:color="auto"/>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5 457</w:t>
            </w:r>
          </w:p>
        </w:tc>
        <w:tc>
          <w:tcPr>
            <w:tcW w:w="810" w:type="dxa"/>
            <w:tcBorders>
              <w:top w:val="nil"/>
              <w:left w:val="nil"/>
              <w:bottom w:val="single" w:sz="4" w:space="0" w:color="auto"/>
              <w:right w:val="nil"/>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10 287</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sz w:val="16"/>
                <w:szCs w:val="16"/>
              </w:rPr>
            </w:pPr>
            <w:r>
              <w:rPr>
                <w:rFonts w:ascii="Times New Roman" w:hAnsi="Times New Roman"/>
                <w:sz w:val="16"/>
                <w:szCs w:val="16"/>
              </w:rPr>
              <w:t>22 900</w:t>
            </w:r>
          </w:p>
        </w:tc>
        <w:tc>
          <w:tcPr>
            <w:tcW w:w="949" w:type="dxa"/>
            <w:tcBorders>
              <w:top w:val="nil"/>
              <w:left w:val="single" w:sz="4" w:space="0" w:color="auto"/>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24 500</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25 580</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26 930</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z prijatých odvodov od vlastníkov JZ, z toho:</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69 456</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55 515</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131 409</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131 409</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142 220</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174 574</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197 784</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príspevky od </w:t>
            </w:r>
          </w:p>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prevádzkovateľov JZ</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69 456</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55 515</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61 409</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61 409</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72 220</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104 574</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122 495</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odvod od prevádz. prenos. a   </w:t>
            </w:r>
          </w:p>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distr. sústav</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70 000</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50 000</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70 000</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70 000</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75 289</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transfer v rámci VS</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219</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99</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332</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207</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sz w:val="16"/>
                <w:szCs w:val="16"/>
              </w:rPr>
            </w:pPr>
            <w:r>
              <w:rPr>
                <w:rFonts w:ascii="Times New Roman" w:hAnsi="Times New Roman"/>
                <w:sz w:val="16"/>
                <w:szCs w:val="16"/>
              </w:rPr>
              <w:t>332</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345</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352</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ostatné príjmy</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13</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122</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zostatok prostriedkov z predch. rokov (FO)</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678 432</w:t>
            </w:r>
          </w:p>
        </w:tc>
        <w:tc>
          <w:tcPr>
            <w:tcW w:w="850" w:type="dxa"/>
            <w:tcBorders>
              <w:top w:val="nil"/>
              <w:left w:val="nil"/>
              <w:bottom w:val="single" w:sz="4" w:space="0" w:color="auto"/>
              <w:right w:val="single" w:sz="4" w:space="0" w:color="auto"/>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730 539</w:t>
            </w:r>
          </w:p>
        </w:tc>
        <w:tc>
          <w:tcPr>
            <w:tcW w:w="810" w:type="dxa"/>
            <w:tcBorders>
              <w:top w:val="nil"/>
              <w:left w:val="nil"/>
              <w:bottom w:val="single" w:sz="4" w:space="0" w:color="auto"/>
              <w:right w:val="nil"/>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731 617</w:t>
            </w:r>
          </w:p>
        </w:tc>
        <w:tc>
          <w:tcPr>
            <w:tcW w:w="949" w:type="dxa"/>
            <w:tcBorders>
              <w:top w:val="nil"/>
              <w:left w:val="single" w:sz="4" w:space="0" w:color="auto"/>
              <w:bottom w:val="single" w:sz="4" w:space="0" w:color="auto"/>
              <w:right w:val="nil"/>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736 571</w:t>
            </w:r>
          </w:p>
        </w:tc>
        <w:tc>
          <w:tcPr>
            <w:tcW w:w="949" w:type="dxa"/>
            <w:tcBorders>
              <w:top w:val="nil"/>
              <w:left w:val="single" w:sz="4" w:space="0" w:color="auto"/>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841 334</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982 334</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1 152 833</w:t>
            </w:r>
          </w:p>
        </w:tc>
      </w:tr>
      <w:tr>
        <w:tblPrEx>
          <w:tblW w:w="9152" w:type="dxa"/>
          <w:tblInd w:w="60" w:type="dxa"/>
          <w:tblCellMar>
            <w:left w:w="70" w:type="dxa"/>
            <w:right w:w="70" w:type="dxa"/>
          </w:tblCellMar>
          <w:tblLook w:val="04A0"/>
        </w:tblPrEx>
        <w:trPr>
          <w:trHeight w:val="227"/>
        </w:trPr>
        <w:tc>
          <w:tcPr>
            <w:tcW w:w="28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Výdavky NJF spolu</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34 830</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55 052</w:t>
            </w:r>
          </w:p>
        </w:tc>
        <w:tc>
          <w:tcPr>
            <w:tcW w:w="810" w:type="dxa"/>
            <w:tcBorders>
              <w:top w:val="single" w:sz="4" w:space="0" w:color="auto"/>
              <w:left w:val="nil"/>
              <w:bottom w:val="single" w:sz="4" w:space="0" w:color="auto"/>
              <w:right w:val="nil"/>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30 000</w:t>
            </w:r>
          </w:p>
        </w:tc>
        <w:tc>
          <w:tcPr>
            <w:tcW w:w="949" w:type="dxa"/>
            <w:tcBorders>
              <w:top w:val="single" w:sz="4" w:space="0" w:color="auto"/>
              <w:left w:val="single" w:sz="4" w:space="0" w:color="auto"/>
              <w:bottom w:val="single" w:sz="4" w:space="0" w:color="auto"/>
              <w:right w:val="nil"/>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29 875</w:t>
            </w:r>
          </w:p>
        </w:tc>
        <w:tc>
          <w:tcPr>
            <w:tcW w:w="94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26 052</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30 000</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50 000</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z toho:</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 </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 </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bežné výdavky, z toho:</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30 855</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45 795</w:t>
            </w:r>
          </w:p>
        </w:tc>
        <w:tc>
          <w:tcPr>
            <w:tcW w:w="810" w:type="dxa"/>
            <w:tcBorders>
              <w:top w:val="nil"/>
              <w:left w:val="nil"/>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25 960</w:t>
            </w:r>
          </w:p>
        </w:tc>
        <w:tc>
          <w:tcPr>
            <w:tcW w:w="949" w:type="dxa"/>
            <w:tcBorders>
              <w:top w:val="nil"/>
              <w:left w:val="single" w:sz="4" w:space="0" w:color="auto"/>
              <w:bottom w:val="single" w:sz="4" w:space="0" w:color="auto"/>
              <w:right w:val="nil"/>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28 520</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22 166</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25 500</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45 508</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mzdy</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170</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182</w:t>
            </w:r>
          </w:p>
        </w:tc>
        <w:tc>
          <w:tcPr>
            <w:tcW w:w="810" w:type="dxa"/>
            <w:tcBorders>
              <w:top w:val="nil"/>
              <w:left w:val="nil"/>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210</w:t>
            </w:r>
          </w:p>
        </w:tc>
        <w:tc>
          <w:tcPr>
            <w:tcW w:w="949" w:type="dxa"/>
            <w:tcBorders>
              <w:top w:val="nil"/>
              <w:left w:val="single" w:sz="4" w:space="0" w:color="auto"/>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210</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210</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210</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213</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poistné</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83</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83</w:t>
            </w:r>
          </w:p>
        </w:tc>
        <w:tc>
          <w:tcPr>
            <w:tcW w:w="810" w:type="dxa"/>
            <w:tcBorders>
              <w:top w:val="nil"/>
              <w:left w:val="nil"/>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111</w:t>
            </w:r>
          </w:p>
        </w:tc>
        <w:tc>
          <w:tcPr>
            <w:tcW w:w="949" w:type="dxa"/>
            <w:tcBorders>
              <w:top w:val="nil"/>
              <w:left w:val="single" w:sz="4" w:space="0" w:color="auto"/>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111</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136</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136</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139</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tovary a služby</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336</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317</w:t>
            </w:r>
          </w:p>
        </w:tc>
        <w:tc>
          <w:tcPr>
            <w:tcW w:w="810" w:type="dxa"/>
            <w:tcBorders>
              <w:top w:val="nil"/>
              <w:left w:val="nil"/>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381</w:t>
            </w:r>
          </w:p>
        </w:tc>
        <w:tc>
          <w:tcPr>
            <w:tcW w:w="949" w:type="dxa"/>
            <w:tcBorders>
              <w:top w:val="nil"/>
              <w:left w:val="single" w:sz="4" w:space="0" w:color="auto"/>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381</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357</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357</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361</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bežné transfery</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30 266</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45 213</w:t>
            </w:r>
          </w:p>
        </w:tc>
        <w:tc>
          <w:tcPr>
            <w:tcW w:w="810" w:type="dxa"/>
            <w:tcBorders>
              <w:top w:val="nil"/>
              <w:left w:val="nil"/>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25 258</w:t>
            </w:r>
          </w:p>
        </w:tc>
        <w:tc>
          <w:tcPr>
            <w:tcW w:w="949" w:type="dxa"/>
            <w:tcBorders>
              <w:top w:val="nil"/>
              <w:left w:val="single" w:sz="4" w:space="0" w:color="auto"/>
              <w:bottom w:val="single" w:sz="4" w:space="0" w:color="auto"/>
              <w:right w:val="nil"/>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27 818</w:t>
            </w:r>
          </w:p>
        </w:tc>
        <w:tc>
          <w:tcPr>
            <w:tcW w:w="949"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sz w:val="16"/>
                <w:szCs w:val="16"/>
              </w:rPr>
            </w:pPr>
            <w:r>
              <w:rPr>
                <w:rFonts w:ascii="Times New Roman" w:hAnsi="Times New Roman"/>
                <w:sz w:val="16"/>
                <w:szCs w:val="16"/>
              </w:rPr>
              <w:t>21 463</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sz w:val="16"/>
                <w:szCs w:val="16"/>
              </w:rPr>
            </w:pPr>
            <w:r>
              <w:rPr>
                <w:rFonts w:ascii="Times New Roman" w:hAnsi="Times New Roman"/>
                <w:sz w:val="16"/>
                <w:szCs w:val="16"/>
              </w:rPr>
              <w:t>24 797</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sz w:val="16"/>
                <w:szCs w:val="16"/>
              </w:rPr>
            </w:pPr>
            <w:r>
              <w:rPr>
                <w:rFonts w:ascii="Times New Roman" w:hAnsi="Times New Roman"/>
                <w:sz w:val="16"/>
                <w:szCs w:val="16"/>
              </w:rPr>
              <w:t>44 795</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kapitálové výdavky, z toho:</w:t>
            </w:r>
          </w:p>
        </w:tc>
        <w:tc>
          <w:tcPr>
            <w:tcW w:w="851" w:type="dxa"/>
            <w:tcBorders>
              <w:top w:val="nil"/>
              <w:left w:val="nil"/>
              <w:bottom w:val="single" w:sz="4" w:space="0" w:color="auto"/>
              <w:right w:val="single" w:sz="4" w:space="0" w:color="auto"/>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3 975</w:t>
            </w:r>
          </w:p>
        </w:tc>
        <w:tc>
          <w:tcPr>
            <w:tcW w:w="850" w:type="dxa"/>
            <w:tcBorders>
              <w:top w:val="nil"/>
              <w:left w:val="nil"/>
              <w:bottom w:val="single" w:sz="4" w:space="0" w:color="auto"/>
              <w:right w:val="single" w:sz="4" w:space="0" w:color="auto"/>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9 257</w:t>
            </w:r>
          </w:p>
        </w:tc>
        <w:tc>
          <w:tcPr>
            <w:tcW w:w="810" w:type="dxa"/>
            <w:tcBorders>
              <w:top w:val="nil"/>
              <w:left w:val="nil"/>
              <w:bottom w:val="single" w:sz="4" w:space="0" w:color="auto"/>
              <w:right w:val="nil"/>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4 040</w:t>
            </w:r>
          </w:p>
        </w:tc>
        <w:tc>
          <w:tcPr>
            <w:tcW w:w="949" w:type="dxa"/>
            <w:tcBorders>
              <w:top w:val="nil"/>
              <w:left w:val="single" w:sz="4" w:space="0" w:color="auto"/>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1 355</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3 886</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4 500</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4 492</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obstarávanie kapit. aktív</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23</w:t>
            </w:r>
          </w:p>
        </w:tc>
        <w:tc>
          <w:tcPr>
            <w:tcW w:w="850" w:type="dxa"/>
            <w:tcBorders>
              <w:top w:val="nil"/>
              <w:left w:val="nil"/>
              <w:bottom w:val="single" w:sz="4" w:space="0" w:color="auto"/>
              <w:right w:val="single" w:sz="4" w:space="0" w:color="auto"/>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810" w:type="dxa"/>
            <w:tcBorders>
              <w:top w:val="nil"/>
              <w:left w:val="nil"/>
              <w:bottom w:val="single" w:sz="4" w:space="0" w:color="auto"/>
              <w:right w:val="nil"/>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w:t>
            </w:r>
          </w:p>
        </w:tc>
        <w:tc>
          <w:tcPr>
            <w:tcW w:w="949" w:type="dxa"/>
            <w:tcBorders>
              <w:top w:val="nil"/>
              <w:left w:val="single" w:sz="4" w:space="0" w:color="auto"/>
              <w:bottom w:val="single" w:sz="4" w:space="0" w:color="auto"/>
              <w:right w:val="nil"/>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w:t>
            </w:r>
          </w:p>
        </w:tc>
        <w:tc>
          <w:tcPr>
            <w:tcW w:w="949" w:type="dxa"/>
            <w:tcBorders>
              <w:top w:val="nil"/>
              <w:left w:val="single" w:sz="4" w:space="0" w:color="auto"/>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w:t>
            </w:r>
          </w:p>
        </w:tc>
        <w:tc>
          <w:tcPr>
            <w:tcW w:w="949" w:type="dxa"/>
            <w:tcBorders>
              <w:top w:val="nil"/>
              <w:left w:val="nil"/>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2</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xml:space="preserve">    kapitálové transfery                       </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3 952</w:t>
            </w:r>
          </w:p>
        </w:tc>
        <w:tc>
          <w:tcPr>
            <w:tcW w:w="850" w:type="dxa"/>
            <w:tcBorders>
              <w:top w:val="nil"/>
              <w:left w:val="nil"/>
              <w:bottom w:val="single" w:sz="4" w:space="0" w:color="auto"/>
              <w:right w:val="single" w:sz="4" w:space="0" w:color="auto"/>
            </w:tcBorders>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9 257</w:t>
            </w:r>
          </w:p>
        </w:tc>
        <w:tc>
          <w:tcPr>
            <w:tcW w:w="810" w:type="dxa"/>
            <w:tcBorders>
              <w:top w:val="nil"/>
              <w:left w:val="nil"/>
              <w:bottom w:val="single" w:sz="4" w:space="0" w:color="auto"/>
              <w:right w:val="nil"/>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4 038</w:t>
            </w:r>
          </w:p>
        </w:tc>
        <w:tc>
          <w:tcPr>
            <w:tcW w:w="949" w:type="dxa"/>
            <w:tcBorders>
              <w:top w:val="nil"/>
              <w:left w:val="single" w:sz="4" w:space="0" w:color="auto"/>
              <w:bottom w:val="single" w:sz="4" w:space="0" w:color="auto"/>
              <w:right w:val="nil"/>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1 353</w:t>
            </w:r>
          </w:p>
        </w:tc>
        <w:tc>
          <w:tcPr>
            <w:tcW w:w="949" w:type="dxa"/>
            <w:tcBorders>
              <w:top w:val="nil"/>
              <w:left w:val="single" w:sz="4" w:space="0" w:color="auto"/>
              <w:bottom w:val="single" w:sz="4" w:space="0" w:color="auto"/>
              <w:right w:val="nil"/>
            </w:tcBorders>
            <w:shd w:val="clear" w:color="auto" w:fill="FFFFFF"/>
            <w:textDirection w:val="lrTb"/>
            <w:vAlign w:val="bottom"/>
            <w:hideMark/>
          </w:tcPr>
          <w:p w:rsidR="004734B7" w:rsidRPr="000C1ABD" w:rsidP="00EB38F8">
            <w:pPr>
              <w:bidi w:val="0"/>
              <w:jc w:val="right"/>
              <w:rPr>
                <w:rFonts w:ascii="Arial Narrow" w:hAnsi="Arial Narrow" w:cs="Arial"/>
                <w:color w:val="000000"/>
                <w:sz w:val="16"/>
                <w:szCs w:val="16"/>
              </w:rPr>
            </w:pPr>
            <w:r w:rsidRPr="000C1ABD">
              <w:rPr>
                <w:rFonts w:ascii="Arial Narrow" w:hAnsi="Arial Narrow" w:cs="Arial"/>
                <w:color w:val="000000"/>
                <w:sz w:val="16"/>
                <w:szCs w:val="16"/>
              </w:rPr>
              <w:t>3 884</w:t>
            </w:r>
          </w:p>
        </w:tc>
        <w:tc>
          <w:tcPr>
            <w:tcW w:w="949" w:type="dxa"/>
            <w:tcBorders>
              <w:top w:val="nil"/>
              <w:left w:val="single" w:sz="4" w:space="0" w:color="auto"/>
              <w:bottom w:val="single" w:sz="4" w:space="0" w:color="auto"/>
              <w:right w:val="nil"/>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4 498</w:t>
            </w:r>
          </w:p>
        </w:tc>
        <w:tc>
          <w:tcPr>
            <w:tcW w:w="949" w:type="dxa"/>
            <w:tcBorders>
              <w:top w:val="nil"/>
              <w:left w:val="single" w:sz="4" w:space="0" w:color="auto"/>
              <w:bottom w:val="single" w:sz="4" w:space="0" w:color="auto"/>
              <w:right w:val="single" w:sz="4" w:space="0" w:color="auto"/>
            </w:tcBorders>
            <w:shd w:val="clear" w:color="auto" w:fill="FFFFFF"/>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4 490</w:t>
            </w:r>
          </w:p>
        </w:tc>
      </w:tr>
      <w:tr>
        <w:tblPrEx>
          <w:tblW w:w="9152" w:type="dxa"/>
          <w:tblInd w:w="60" w:type="dxa"/>
          <w:tblCellMar>
            <w:left w:w="70" w:type="dxa"/>
            <w:right w:w="70" w:type="dxa"/>
          </w:tblCellMar>
          <w:tblLook w:val="04A0"/>
        </w:tblPrEx>
        <w:trPr>
          <w:trHeight w:val="227"/>
        </w:trPr>
        <w:tc>
          <w:tcPr>
            <w:tcW w:w="28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Celkový prebytok NJF</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730 539</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736 571</w:t>
            </w:r>
          </w:p>
        </w:tc>
        <w:tc>
          <w:tcPr>
            <w:tcW w:w="81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843 645</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841 334</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982 334</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1 152 833</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1 327 899</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 xml:space="preserve">  vylúčenie finančných operácií</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-678 432</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-730 539</w:t>
            </w:r>
          </w:p>
        </w:tc>
        <w:tc>
          <w:tcPr>
            <w:tcW w:w="81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-731 617</w:t>
            </w:r>
          </w:p>
        </w:tc>
        <w:tc>
          <w:tcPr>
            <w:tcW w:w="949"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-736 571</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-841 334</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-982 334</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-1 152 833</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 xml:space="preserve">  z toho:</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81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single" w:sz="4" w:space="0" w:color="auto"/>
            </w:tcBorders>
            <w:textDirection w:val="lrTb"/>
            <w:vAlign w:val="bottom"/>
            <w:hideMark/>
          </w:tcPr>
          <w:p w:rsidR="004734B7" w:rsidP="00EB38F8">
            <w:pPr>
              <w:bidi w:val="0"/>
              <w:rPr>
                <w:rFonts w:ascii="Times New Roman" w:hAnsi="Times New Roman"/>
                <w:color w:val="000000"/>
                <w:sz w:val="16"/>
                <w:szCs w:val="16"/>
              </w:rPr>
            </w:pPr>
            <w:r>
              <w:rPr>
                <w:rFonts w:ascii="Times New Roman" w:hAnsi="Times New Roman"/>
                <w:color w:val="000000"/>
                <w:sz w:val="16"/>
                <w:szCs w:val="16"/>
              </w:rPr>
              <w:t>▪   vylúčenie príjmových FO</w:t>
            </w:r>
          </w:p>
        </w:tc>
        <w:tc>
          <w:tcPr>
            <w:tcW w:w="851"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-678 432</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-730 539</w:t>
            </w:r>
          </w:p>
        </w:tc>
        <w:tc>
          <w:tcPr>
            <w:tcW w:w="81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-731 617</w:t>
            </w:r>
          </w:p>
        </w:tc>
        <w:tc>
          <w:tcPr>
            <w:tcW w:w="949"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-736 571</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-841 334</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-982 334</w:t>
            </w:r>
          </w:p>
        </w:tc>
        <w:tc>
          <w:tcPr>
            <w:tcW w:w="949" w:type="dxa"/>
            <w:tcBorders>
              <w:top w:val="nil"/>
              <w:left w:val="nil"/>
              <w:bottom w:val="single" w:sz="4" w:space="0" w:color="auto"/>
              <w:right w:val="single" w:sz="4" w:space="0" w:color="auto"/>
            </w:tcBorders>
            <w:shd w:val="clear" w:color="auto" w:fill="FFFFFF"/>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-1 152 833</w:t>
            </w:r>
          </w:p>
        </w:tc>
      </w:tr>
      <w:tr>
        <w:tblPrEx>
          <w:tblW w:w="9152" w:type="dxa"/>
          <w:tblInd w:w="60" w:type="dxa"/>
          <w:tblCellMar>
            <w:left w:w="70" w:type="dxa"/>
            <w:right w:w="70" w:type="dxa"/>
          </w:tblCellMar>
          <w:tblLook w:val="04A0"/>
        </w:tblPrEx>
        <w:trPr>
          <w:trHeight w:val="227"/>
        </w:trPr>
        <w:tc>
          <w:tcPr>
            <w:tcW w:w="2845" w:type="dxa"/>
            <w:tcBorders>
              <w:top w:val="nil"/>
              <w:left w:val="single" w:sz="4" w:space="0" w:color="auto"/>
              <w:bottom w:val="single" w:sz="4" w:space="0" w:color="auto"/>
              <w:right w:val="nil"/>
            </w:tcBorders>
            <w:textDirection w:val="lrTb"/>
            <w:vAlign w:val="bottom"/>
            <w:hideMark/>
          </w:tcPr>
          <w:p w:rsidR="004734B7" w:rsidP="00EB38F8">
            <w:pPr>
              <w:bidi w:val="0"/>
              <w:rPr>
                <w:rFonts w:ascii="Times New Roman" w:hAnsi="Times New Roman"/>
                <w:b/>
                <w:bCs/>
                <w:color w:val="000000"/>
                <w:sz w:val="16"/>
                <w:szCs w:val="16"/>
              </w:rPr>
            </w:pPr>
            <w:r>
              <w:rPr>
                <w:rFonts w:ascii="Times New Roman" w:hAnsi="Times New Roman"/>
                <w:b/>
                <w:bCs/>
                <w:color w:val="000000"/>
                <w:sz w:val="16"/>
                <w:szCs w:val="16"/>
              </w:rPr>
              <w:t>ostatné úpravy</w:t>
            </w:r>
          </w:p>
        </w:tc>
        <w:tc>
          <w:tcPr>
            <w:tcW w:w="851" w:type="dxa"/>
            <w:tcBorders>
              <w:top w:val="nil"/>
              <w:left w:val="single" w:sz="4" w:space="0" w:color="auto"/>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-6 748</w:t>
            </w:r>
          </w:p>
        </w:tc>
        <w:tc>
          <w:tcPr>
            <w:tcW w:w="85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8 447</w:t>
            </w:r>
          </w:p>
        </w:tc>
        <w:tc>
          <w:tcPr>
            <w:tcW w:w="810"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949" w:type="dxa"/>
            <w:tcBorders>
              <w:top w:val="nil"/>
              <w:left w:val="nil"/>
              <w:bottom w:val="single" w:sz="4" w:space="0" w:color="auto"/>
              <w:right w:val="single" w:sz="4" w:space="0" w:color="auto"/>
            </w:tcBorders>
            <w:noWrap/>
            <w:textDirection w:val="lrTb"/>
            <w:vAlign w:val="bottom"/>
            <w:hideMark/>
          </w:tcPr>
          <w:p w:rsidR="004734B7" w:rsidP="00EB38F8">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152" w:type="dxa"/>
          <w:tblInd w:w="60" w:type="dxa"/>
          <w:tblCellMar>
            <w:left w:w="70" w:type="dxa"/>
            <w:right w:w="70" w:type="dxa"/>
          </w:tblCellMar>
          <w:tblLook w:val="04A0"/>
        </w:tblPrEx>
        <w:trPr>
          <w:trHeight w:val="227"/>
        </w:trPr>
        <w:tc>
          <w:tcPr>
            <w:tcW w:w="28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4734B7" w:rsidP="00EB38F8">
            <w:pPr>
              <w:bidi w:val="0"/>
              <w:rPr>
                <w:rFonts w:ascii="Times New Roman" w:hAnsi="Times New Roman"/>
                <w:b/>
                <w:bCs/>
                <w:iCs/>
                <w:color w:val="000000"/>
                <w:sz w:val="16"/>
                <w:szCs w:val="16"/>
              </w:rPr>
            </w:pPr>
            <w:r>
              <w:rPr>
                <w:rFonts w:ascii="Times New Roman" w:hAnsi="Times New Roman"/>
                <w:b/>
                <w:bCs/>
                <w:iCs/>
                <w:color w:val="000000"/>
                <w:sz w:val="16"/>
                <w:szCs w:val="16"/>
              </w:rPr>
              <w:t>Prebytok (+) /schodok (-) NJF (ESA 95)</w:t>
            </w:r>
          </w:p>
        </w:tc>
        <w:tc>
          <w:tcPr>
            <w:tcW w:w="85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45 359</w:t>
            </w:r>
          </w:p>
        </w:tc>
        <w:tc>
          <w:tcPr>
            <w:tcW w:w="85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14 479</w:t>
            </w:r>
          </w:p>
        </w:tc>
        <w:tc>
          <w:tcPr>
            <w:tcW w:w="81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112 028</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iCs/>
                <w:color w:val="000000"/>
                <w:sz w:val="16"/>
                <w:szCs w:val="16"/>
              </w:rPr>
            </w:pPr>
            <w:r>
              <w:rPr>
                <w:rFonts w:ascii="Times New Roman" w:hAnsi="Times New Roman"/>
                <w:b/>
                <w:bCs/>
                <w:iCs/>
                <w:color w:val="000000"/>
                <w:sz w:val="16"/>
                <w:szCs w:val="16"/>
              </w:rPr>
              <w:t>104 763</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141 000</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170 499</w:t>
            </w:r>
          </w:p>
        </w:tc>
        <w:tc>
          <w:tcPr>
            <w:tcW w:w="949"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4734B7" w:rsidP="00EB38F8">
            <w:pPr>
              <w:bidi w:val="0"/>
              <w:jc w:val="right"/>
              <w:rPr>
                <w:rFonts w:ascii="Times New Roman" w:hAnsi="Times New Roman"/>
                <w:b/>
                <w:bCs/>
                <w:color w:val="000000"/>
                <w:sz w:val="16"/>
                <w:szCs w:val="16"/>
              </w:rPr>
            </w:pPr>
            <w:r>
              <w:rPr>
                <w:rFonts w:ascii="Times New Roman" w:hAnsi="Times New Roman"/>
                <w:b/>
                <w:bCs/>
                <w:color w:val="000000"/>
                <w:sz w:val="16"/>
                <w:szCs w:val="16"/>
              </w:rPr>
              <w:t>175 066</w:t>
            </w:r>
          </w:p>
        </w:tc>
      </w:tr>
    </w:tbl>
    <w:p w:rsidR="004734B7" w:rsidP="004734B7">
      <w:pPr>
        <w:bidi w:val="0"/>
        <w:ind w:firstLine="708"/>
        <w:jc w:val="both"/>
        <w:rPr>
          <w:rFonts w:ascii="Times New Roman" w:hAnsi="Times New Roman"/>
        </w:rPr>
      </w:pPr>
    </w:p>
    <w:p w:rsidR="004734B7" w:rsidP="004734B7">
      <w:pPr>
        <w:bidi w:val="0"/>
        <w:ind w:firstLine="708"/>
        <w:jc w:val="both"/>
        <w:rPr>
          <w:rFonts w:ascii="Times New Roman" w:hAnsi="Times New Roman"/>
        </w:rPr>
      </w:pPr>
      <w:r>
        <w:rPr>
          <w:rFonts w:ascii="Times New Roman" w:hAnsi="Times New Roman"/>
        </w:rPr>
        <w:t>Príjmy NJF na rok 2012 sú oproti schválenému rozpočtu na rok 2011 vyššie o 15,4 % z dôvodu rastu úrokov z vkladov (o 138 %), príspevkov z prijatých odvodov prevádzkovateľov jadrových zariadení vyrábajúcich elektrinu (o 17,6 %) a zostatku prostriedkov z predchádzajúcich rokov. Odvody od prevádzkovateľa prenosovej sústavy a prevádzkovateľov distribučných sústav na rok 2012 sú rozpočtované na rovnakej úrovni ako v schválenom rozpočte na rok 2011, t. j. 70 mil. eur. Transfer zo štátneho rozpočtu do NJF na rok 2012 je na rovnakej úrovni ako v schválenom rozpočte na rok 2011.</w:t>
      </w:r>
    </w:p>
    <w:p w:rsidR="004734B7" w:rsidP="004734B7">
      <w:pPr>
        <w:bidi w:val="0"/>
        <w:jc w:val="both"/>
        <w:rPr>
          <w:rFonts w:ascii="Times New Roman" w:hAnsi="Times New Roman"/>
          <w:b/>
          <w:u w:val="single"/>
        </w:rPr>
      </w:pPr>
    </w:p>
    <w:p w:rsidR="004734B7" w:rsidP="004734B7">
      <w:pPr>
        <w:bidi w:val="0"/>
        <w:ind w:firstLine="708"/>
        <w:jc w:val="both"/>
        <w:rPr>
          <w:rFonts w:ascii="Times New Roman" w:hAnsi="Times New Roman"/>
        </w:rPr>
      </w:pPr>
      <w:r>
        <w:rPr>
          <w:rFonts w:ascii="Times New Roman" w:hAnsi="Times New Roman"/>
        </w:rPr>
        <w:t xml:space="preserve">Výdavky NJF na rok 2012 oproti schválenému rozpočtu na rok 2011 klesajú o 13,1 %. Výdavky na mzdy na rok 2012 sú rozpočtované na úrovni schváleného rozpočtu na rok 2011. Vo výdavkoch na poistné sú v návrhu rozpočtu na rok 2012 zahrnuté aj odvody za členov Rady správcov a členov Dozornej rady podľa platných legislatívnych predpisov, preto rastú oproti schválenému rozpočtu na rok 2011 o 22,5 %. Pokles bežných výdavkov na rok 2012 oproti schválenému rozpočtu na rok 2011 zaznamenali výdavky na tovary a služby o 6,30 % a výdavky na bežné transfery  o 15,0 %. Kapitálové výdavky na rok 2012 oproti schválenému rozpočtu na rok 2011 klesajú  o 3,81 %, z toho výdavky na obstaranie kapitálových aktív sú na rovnakej úrovni ako v roku 2011, kapitálové transfery na rok 2012 sú oproti schválenému rozpočtu nižšie o 3,81. </w:t>
      </w:r>
    </w:p>
    <w:p w:rsidR="004734B7" w:rsidP="004734B7">
      <w:pPr>
        <w:bidi w:val="0"/>
        <w:jc w:val="both"/>
        <w:rPr>
          <w:rFonts w:ascii="Arial Narrow" w:hAnsi="Arial Narrow"/>
          <w:b/>
          <w:sz w:val="22"/>
          <w:szCs w:val="22"/>
          <w:u w:val="single"/>
        </w:rPr>
      </w:pPr>
    </w:p>
    <w:p w:rsidR="004734B7" w:rsidP="004734B7">
      <w:pPr>
        <w:bidi w:val="0"/>
        <w:ind w:firstLine="708"/>
        <w:jc w:val="both"/>
        <w:rPr>
          <w:rFonts w:ascii="Times New Roman" w:hAnsi="Times New Roman"/>
        </w:rPr>
      </w:pPr>
      <w:r>
        <w:rPr>
          <w:rFonts w:ascii="Times New Roman" w:hAnsi="Times New Roman"/>
        </w:rPr>
        <w:t xml:space="preserve">Výdavky NJF sú určené </w:t>
      </w:r>
      <w:r w:rsidRPr="00021451">
        <w:rPr>
          <w:rFonts w:ascii="Times New Roman" w:hAnsi="Times New Roman"/>
        </w:rPr>
        <w:t>na vyraďovanie jadro</w:t>
      </w:r>
      <w:r>
        <w:rPr>
          <w:rFonts w:ascii="Times New Roman" w:hAnsi="Times New Roman"/>
        </w:rPr>
        <w:t>vých elektrární JE A-1 a JE V-1, správu NJF, ako aj ďalšie výdavky podľa zákona č. 238/2006 Z. z. o NJF v znení neskorších predpisov.</w:t>
      </w:r>
      <w:r w:rsidRPr="00021451">
        <w:rPr>
          <w:rFonts w:ascii="Times New Roman" w:hAnsi="Times New Roman"/>
        </w:rPr>
        <w:t xml:space="preserve"> </w:t>
      </w:r>
      <w:r>
        <w:rPr>
          <w:rFonts w:ascii="Times New Roman" w:hAnsi="Times New Roman"/>
        </w:rPr>
        <w:t xml:space="preserve">Výdavky </w:t>
      </w:r>
      <w:r w:rsidRPr="00021451">
        <w:rPr>
          <w:rFonts w:ascii="Times New Roman" w:hAnsi="Times New Roman"/>
        </w:rPr>
        <w:t>na nakladanie s jadrovými materiálmi a rádioaktívnymi odpadmi, ktorých pôvodca nie je známy</w:t>
      </w:r>
      <w:r>
        <w:rPr>
          <w:rFonts w:ascii="Times New Roman" w:hAnsi="Times New Roman"/>
        </w:rPr>
        <w:t xml:space="preserve"> sú hradené z transferu zo štátneho rozpočtu. </w:t>
      </w:r>
    </w:p>
    <w:p w:rsidR="004734B7" w:rsidP="004734B7">
      <w:pPr>
        <w:bidi w:val="0"/>
        <w:ind w:firstLine="708"/>
        <w:jc w:val="both"/>
        <w:rPr>
          <w:rFonts w:ascii="Times New Roman" w:hAnsi="Times New Roman"/>
        </w:rPr>
      </w:pPr>
    </w:p>
    <w:p w:rsidR="004734B7" w:rsidP="004734B7">
      <w:pPr>
        <w:bidi w:val="0"/>
        <w:ind w:firstLine="708"/>
        <w:jc w:val="both"/>
        <w:rPr>
          <w:rFonts w:ascii="Times New Roman" w:hAnsi="Times New Roman"/>
        </w:rPr>
      </w:pPr>
      <w:r>
        <w:rPr>
          <w:rFonts w:ascii="Times New Roman" w:hAnsi="Times New Roman"/>
        </w:rPr>
        <w:t xml:space="preserve">Na výdavky súvisiace s vyraďovaním jadrovej elektrárne JE V1 budú použité aj zdroje z Medzinárodného fondu na podporu odstavenie JE V1 Bohunice (ďalej len „BIDSF“). </w:t>
      </w:r>
    </w:p>
    <w:p w:rsidR="004734B7" w:rsidP="004734B7">
      <w:pPr>
        <w:bidi w:val="0"/>
        <w:ind w:firstLine="708"/>
        <w:jc w:val="both"/>
        <w:rPr>
          <w:rFonts w:ascii="Times New Roman" w:hAnsi="Times New Roman"/>
        </w:rPr>
      </w:pPr>
    </w:p>
    <w:p w:rsidR="004734B7" w:rsidP="004734B7">
      <w:pPr>
        <w:bidi w:val="0"/>
        <w:ind w:firstLine="708"/>
        <w:jc w:val="both"/>
        <w:rPr>
          <w:rFonts w:ascii="Times New Roman" w:hAnsi="Times New Roman"/>
        </w:rPr>
      </w:pPr>
      <w:r>
        <w:rPr>
          <w:rFonts w:ascii="Times New Roman" w:hAnsi="Times New Roman"/>
        </w:rPr>
        <w:t xml:space="preserve">Vzhľadom na skutočnosť, že v minulých rokoch sa neakumulovali zdroje na vyraďovanie jadrovej elektrárne JE A1, výdavky v sume takmer 155 mil. eur boli uhrádzané z prostriedkov sústredených na jednotlivých účtoch JE V1, JE V2 a JE Mochovce.  Z dôvodu vyrovnania tohto „deficitu“ medzi jednotlivými účtami NJF je potrebné, aby prostriedky získané z odvodov od prevádzkovateľa prenosovej sústavy a prevádzkovateľov distribučných sústav boli v rokoch 2011 až 2014 predovšetkým smerované na vyrovnanie deficitu prostriedkov, vzniknutých na účtoch JE V1, JE V2 a JE Mochovce z titulu použitia prostriedkov na financovanie JE A1 v minulých rokoch. </w:t>
      </w:r>
    </w:p>
    <w:p w:rsidR="004734B7" w:rsidP="004734B7">
      <w:pPr>
        <w:bidi w:val="0"/>
        <w:jc w:val="both"/>
        <w:rPr>
          <w:rFonts w:ascii="Times New Roman" w:hAnsi="Times New Roman"/>
        </w:rPr>
      </w:pPr>
    </w:p>
    <w:p w:rsidR="004734B7" w:rsidP="004734B7">
      <w:pPr>
        <w:bidi w:val="0"/>
        <w:ind w:firstLine="708"/>
        <w:jc w:val="both"/>
        <w:rPr>
          <w:rFonts w:ascii="Times New Roman" w:hAnsi="Times New Roman"/>
        </w:rPr>
      </w:pPr>
      <w:r>
        <w:rPr>
          <w:rFonts w:ascii="Times New Roman" w:hAnsi="Times New Roman"/>
        </w:rPr>
        <w:t>Celkový prebytok rozpočtu NJF na rok 2012 je oproti schválenému rozpočtu na rok 2011 vyšší o 16,4 %. Prebytok rozpočtu v metodike ESA 95 na rok 2012 v sume 141 mil. eur je o 25,9 % vyšší oproti schválenému rozpočtu na rok 2011.</w:t>
      </w:r>
    </w:p>
    <w:p w:rsidR="00CE623A" w:rsidP="007B1DFC">
      <w:pPr>
        <w:bidi w:val="0"/>
        <w:rPr>
          <w:rFonts w:ascii="Times New Roman" w:hAnsi="Times New Roman"/>
          <w:b/>
          <w:bCs/>
        </w:rPr>
      </w:pPr>
    </w:p>
    <w:p w:rsidR="00CE623A" w:rsidP="00CE623A">
      <w:pPr>
        <w:bidi w:val="0"/>
        <w:rPr>
          <w:rFonts w:ascii="Times New Roman" w:hAnsi="Times New Roman"/>
          <w:b/>
          <w:bCs/>
        </w:rPr>
      </w:pPr>
      <w:r>
        <w:rPr>
          <w:rFonts w:ascii="Times New Roman" w:hAnsi="Times New Roman"/>
          <w:b/>
          <w:bCs/>
        </w:rPr>
        <w:t>4.3. Environmentálny fond</w:t>
      </w:r>
    </w:p>
    <w:p w:rsidR="00CE623A" w:rsidP="00C614A6">
      <w:pPr>
        <w:bidi w:val="0"/>
        <w:rPr>
          <w:rFonts w:ascii="Times New Roman" w:hAnsi="Times New Roman"/>
          <w:b/>
          <w:bCs/>
        </w:rPr>
      </w:pPr>
    </w:p>
    <w:p w:rsidR="009F69B7" w:rsidP="009F69B7">
      <w:pPr>
        <w:pStyle w:val="BodyTextIndent2"/>
        <w:tabs>
          <w:tab w:val="left" w:pos="0"/>
        </w:tabs>
        <w:bidi w:val="0"/>
        <w:spacing w:after="0" w:line="240" w:lineRule="auto"/>
        <w:ind w:left="0" w:firstLine="709"/>
        <w:jc w:val="both"/>
        <w:rPr>
          <w:rFonts w:ascii="Times New Roman" w:hAnsi="Times New Roman"/>
        </w:rPr>
      </w:pPr>
      <w:r>
        <w:rPr>
          <w:rFonts w:ascii="Times New Roman" w:hAnsi="Times New Roman"/>
        </w:rPr>
        <w:t>Prostriedky Environmentálneho fondu (ďalej len „EF“) by mali v roku 2012 slúžiť na zníženie znečistenia odpadových vôd, zabezpečenie zásobovania obyvateľstva pitnou vodou z obecných vodovodov, zlepšenie kvality ovzdušia, rozvoj odpadového hospodárstva, ochranu prírody ako aj odstraňovanie následkov havárií. EF bude v uvedených rokoch poskytovať aj návratnú podporu prostredníctvom  úverov určených na ekologické projekty. EF bude napĺňať programové ciele v oblasti realizácie štátnej podpory starostlivosti o životné prostredie konkrétnymi krokmi, ktoré umožnia znížiť rozostavanosť investícií environmentálneho charakteru, ktorých investormi sú prevažne malé obce do dvoch tisíc obyvateľov.</w:t>
      </w:r>
    </w:p>
    <w:p w:rsidR="009F69B7"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6D0189" w:rsidP="009F69B7">
      <w:pPr>
        <w:bidi w:val="0"/>
        <w:ind w:firstLine="709"/>
        <w:jc w:val="both"/>
        <w:rPr>
          <w:rFonts w:ascii="Times New Roman" w:hAnsi="Times New Roman"/>
        </w:rPr>
      </w:pPr>
    </w:p>
    <w:p w:rsidR="009F69B7" w:rsidP="009F69B7">
      <w:pPr>
        <w:bidi w:val="0"/>
        <w:ind w:firstLine="709"/>
        <w:jc w:val="both"/>
        <w:rPr>
          <w:rFonts w:ascii="Times New Roman" w:hAnsi="Times New Roman"/>
        </w:rPr>
      </w:pPr>
      <w:r>
        <w:rPr>
          <w:rFonts w:ascii="Times New Roman" w:hAnsi="Times New Roman"/>
        </w:rPr>
        <w:t>Vývoj príjmovej a výdavkovej časti rozpočtu EF na roky 2012 až 2014 je nasledovný:</w:t>
      </w:r>
    </w:p>
    <w:p w:rsidR="009F69B7" w:rsidP="009F69B7">
      <w:pPr>
        <w:bidi w:val="0"/>
        <w:ind w:firstLine="709"/>
        <w:jc w:val="both"/>
        <w:rPr>
          <w:rFonts w:ascii="Times New Roman" w:hAnsi="Times New Roman"/>
        </w:rPr>
      </w:pPr>
    </w:p>
    <w:tbl>
      <w:tblPr>
        <w:tblStyle w:val="TableNormal"/>
        <w:tblW w:w="9226" w:type="dxa"/>
        <w:jc w:val="center"/>
        <w:tblCellMar>
          <w:left w:w="70" w:type="dxa"/>
          <w:right w:w="70" w:type="dxa"/>
        </w:tblCellMar>
        <w:tblLook w:val="04A0"/>
      </w:tblPr>
      <w:tblGrid>
        <w:gridCol w:w="3720"/>
        <w:gridCol w:w="786"/>
        <w:gridCol w:w="772"/>
        <w:gridCol w:w="765"/>
        <w:gridCol w:w="767"/>
        <w:gridCol w:w="753"/>
        <w:gridCol w:w="873"/>
        <w:gridCol w:w="790"/>
      </w:tblGrid>
      <w:tr>
        <w:tblPrEx>
          <w:tblW w:w="9226" w:type="dxa"/>
          <w:jc w:val="center"/>
          <w:tblCellMar>
            <w:left w:w="70" w:type="dxa"/>
            <w:right w:w="70" w:type="dxa"/>
          </w:tblCellMar>
          <w:tblLook w:val="04A0"/>
        </w:tblPrEx>
        <w:trPr>
          <w:trHeight w:val="227"/>
          <w:jc w:val="center"/>
        </w:trPr>
        <w:tc>
          <w:tcPr>
            <w:tcW w:w="3720"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9F69B7" w:rsidP="00EA0AB6">
            <w:pPr>
              <w:bidi w:val="0"/>
              <w:rPr>
                <w:rFonts w:ascii="Times New Roman" w:hAnsi="Times New Roman"/>
                <w:b/>
                <w:bCs/>
                <w:color w:val="000000"/>
                <w:sz w:val="16"/>
                <w:szCs w:val="16"/>
              </w:rPr>
            </w:pPr>
            <w:r>
              <w:rPr>
                <w:rFonts w:ascii="Times New Roman" w:hAnsi="Times New Roman"/>
                <w:b/>
                <w:bCs/>
                <w:color w:val="000000"/>
                <w:sz w:val="16"/>
                <w:szCs w:val="16"/>
              </w:rPr>
              <w:t>v tis. eur</w:t>
            </w:r>
          </w:p>
        </w:tc>
        <w:tc>
          <w:tcPr>
            <w:tcW w:w="786"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9F69B7" w:rsidP="00EA0AB6">
            <w:pPr>
              <w:bidi w:val="0"/>
              <w:jc w:val="center"/>
              <w:rPr>
                <w:rFonts w:ascii="Times New Roman" w:hAnsi="Times New Roman"/>
                <w:b/>
                <w:bCs/>
                <w:color w:val="000000"/>
                <w:sz w:val="16"/>
                <w:szCs w:val="16"/>
              </w:rPr>
            </w:pPr>
            <w:r>
              <w:rPr>
                <w:rFonts w:ascii="Times New Roman" w:hAnsi="Times New Roman"/>
                <w:b/>
                <w:bCs/>
                <w:color w:val="000000"/>
                <w:sz w:val="16"/>
                <w:szCs w:val="16"/>
              </w:rPr>
              <w:t>2009 S</w:t>
            </w:r>
          </w:p>
        </w:tc>
        <w:tc>
          <w:tcPr>
            <w:tcW w:w="77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9F69B7" w:rsidP="00EA0AB6">
            <w:pPr>
              <w:bidi w:val="0"/>
              <w:jc w:val="center"/>
              <w:rPr>
                <w:rFonts w:ascii="Times New Roman" w:hAnsi="Times New Roman"/>
                <w:b/>
                <w:bCs/>
                <w:color w:val="000000"/>
                <w:sz w:val="16"/>
                <w:szCs w:val="16"/>
              </w:rPr>
            </w:pPr>
            <w:r>
              <w:rPr>
                <w:rFonts w:ascii="Times New Roman" w:hAnsi="Times New Roman"/>
                <w:b/>
                <w:bCs/>
                <w:color w:val="000000"/>
                <w:sz w:val="16"/>
                <w:szCs w:val="16"/>
              </w:rPr>
              <w:t>2010 S</w:t>
            </w:r>
          </w:p>
        </w:tc>
        <w:tc>
          <w:tcPr>
            <w:tcW w:w="765"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9F69B7" w:rsidP="00EA0AB6">
            <w:pPr>
              <w:bidi w:val="0"/>
              <w:jc w:val="center"/>
              <w:rPr>
                <w:rFonts w:ascii="Times New Roman" w:hAnsi="Times New Roman"/>
                <w:b/>
                <w:bCs/>
                <w:color w:val="000000"/>
                <w:sz w:val="16"/>
                <w:szCs w:val="16"/>
              </w:rPr>
            </w:pPr>
            <w:r>
              <w:rPr>
                <w:rFonts w:ascii="Times New Roman" w:hAnsi="Times New Roman"/>
                <w:b/>
                <w:bCs/>
                <w:color w:val="000000"/>
                <w:sz w:val="16"/>
                <w:szCs w:val="16"/>
              </w:rPr>
              <w:t>2011 R</w:t>
            </w:r>
          </w:p>
        </w:tc>
        <w:tc>
          <w:tcPr>
            <w:tcW w:w="767"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9F69B7" w:rsidP="00EA0AB6">
            <w:pPr>
              <w:bidi w:val="0"/>
              <w:ind w:right="-130"/>
              <w:jc w:val="center"/>
              <w:rPr>
                <w:rFonts w:ascii="Times New Roman" w:hAnsi="Times New Roman"/>
                <w:b/>
                <w:bCs/>
                <w:color w:val="000000"/>
                <w:sz w:val="16"/>
                <w:szCs w:val="16"/>
              </w:rPr>
            </w:pPr>
            <w:r>
              <w:rPr>
                <w:rFonts w:ascii="Times New Roman" w:hAnsi="Times New Roman"/>
                <w:b/>
                <w:bCs/>
                <w:color w:val="000000"/>
                <w:sz w:val="16"/>
                <w:szCs w:val="16"/>
              </w:rPr>
              <w:t>2011 OS</w:t>
            </w:r>
          </w:p>
        </w:tc>
        <w:tc>
          <w:tcPr>
            <w:tcW w:w="75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9F69B7" w:rsidP="00EA0AB6">
            <w:pPr>
              <w:bidi w:val="0"/>
              <w:jc w:val="center"/>
              <w:rPr>
                <w:rFonts w:ascii="Times New Roman" w:hAnsi="Times New Roman"/>
                <w:b/>
                <w:bCs/>
                <w:color w:val="000000"/>
                <w:sz w:val="16"/>
                <w:szCs w:val="16"/>
              </w:rPr>
            </w:pPr>
            <w:r>
              <w:rPr>
                <w:rFonts w:ascii="Times New Roman" w:hAnsi="Times New Roman"/>
                <w:b/>
                <w:bCs/>
                <w:color w:val="000000"/>
                <w:sz w:val="16"/>
                <w:szCs w:val="16"/>
              </w:rPr>
              <w:t>2012 N</w:t>
            </w:r>
          </w:p>
        </w:tc>
        <w:tc>
          <w:tcPr>
            <w:tcW w:w="87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9F69B7" w:rsidP="00EA0AB6">
            <w:pPr>
              <w:bidi w:val="0"/>
              <w:jc w:val="center"/>
              <w:rPr>
                <w:rFonts w:ascii="Times New Roman" w:hAnsi="Times New Roman"/>
                <w:b/>
                <w:bCs/>
                <w:color w:val="000000"/>
                <w:sz w:val="16"/>
                <w:szCs w:val="16"/>
              </w:rPr>
            </w:pPr>
            <w:r>
              <w:rPr>
                <w:rFonts w:ascii="Times New Roman" w:hAnsi="Times New Roman"/>
                <w:b/>
                <w:bCs/>
                <w:color w:val="000000"/>
                <w:sz w:val="16"/>
                <w:szCs w:val="16"/>
              </w:rPr>
              <w:t>2013 N</w:t>
            </w:r>
          </w:p>
        </w:tc>
        <w:tc>
          <w:tcPr>
            <w:tcW w:w="79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9F69B7" w:rsidP="00EA0AB6">
            <w:pPr>
              <w:bidi w:val="0"/>
              <w:jc w:val="center"/>
              <w:rPr>
                <w:rFonts w:ascii="Times New Roman" w:hAnsi="Times New Roman"/>
                <w:b/>
                <w:bCs/>
                <w:color w:val="000000"/>
                <w:sz w:val="16"/>
                <w:szCs w:val="16"/>
              </w:rPr>
            </w:pPr>
            <w:r>
              <w:rPr>
                <w:rFonts w:ascii="Times New Roman" w:hAnsi="Times New Roman"/>
                <w:b/>
                <w:bCs/>
                <w:color w:val="000000"/>
                <w:sz w:val="16"/>
                <w:szCs w:val="16"/>
              </w:rPr>
              <w:t>2014 N</w:t>
            </w:r>
          </w:p>
        </w:tc>
      </w:tr>
      <w:tr>
        <w:tblPrEx>
          <w:tblW w:w="9226" w:type="dxa"/>
          <w:jc w:val="center"/>
          <w:tblCellMar>
            <w:left w:w="70" w:type="dxa"/>
            <w:right w:w="70" w:type="dxa"/>
          </w:tblCellMar>
          <w:tblLook w:val="04A0"/>
        </w:tblPrEx>
        <w:trPr>
          <w:trHeight w:val="227"/>
          <w:jc w:val="center"/>
        </w:trPr>
        <w:tc>
          <w:tcPr>
            <w:tcW w:w="372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9F69B7" w:rsidP="00EA0AB6">
            <w:pPr>
              <w:bidi w:val="0"/>
              <w:rPr>
                <w:rFonts w:ascii="Times New Roman" w:hAnsi="Times New Roman"/>
                <w:b/>
                <w:bCs/>
                <w:iCs/>
                <w:color w:val="000000"/>
                <w:sz w:val="16"/>
                <w:szCs w:val="16"/>
              </w:rPr>
            </w:pPr>
            <w:r>
              <w:rPr>
                <w:rFonts w:ascii="Times New Roman" w:hAnsi="Times New Roman"/>
                <w:b/>
                <w:bCs/>
                <w:iCs/>
                <w:color w:val="000000"/>
                <w:sz w:val="16"/>
                <w:szCs w:val="16"/>
              </w:rPr>
              <w:t>Príjmy EF spolu</w:t>
            </w:r>
          </w:p>
        </w:tc>
        <w:tc>
          <w:tcPr>
            <w:tcW w:w="786"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145 893</w:t>
            </w:r>
          </w:p>
        </w:tc>
        <w:tc>
          <w:tcPr>
            <w:tcW w:w="7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125 082</w:t>
            </w:r>
          </w:p>
        </w:tc>
        <w:tc>
          <w:tcPr>
            <w:tcW w:w="765"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205 956</w:t>
            </w:r>
          </w:p>
        </w:tc>
        <w:tc>
          <w:tcPr>
            <w:tcW w:w="767"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120 853</w:t>
            </w:r>
          </w:p>
        </w:tc>
        <w:tc>
          <w:tcPr>
            <w:tcW w:w="75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174 748</w:t>
            </w:r>
          </w:p>
        </w:tc>
        <w:tc>
          <w:tcPr>
            <w:tcW w:w="87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191 357</w:t>
            </w:r>
          </w:p>
        </w:tc>
        <w:tc>
          <w:tcPr>
            <w:tcW w:w="79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223 036</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b/>
                <w:bCs/>
                <w:i/>
                <w:iCs/>
                <w:color w:val="000000"/>
                <w:sz w:val="16"/>
                <w:szCs w:val="16"/>
              </w:rPr>
            </w:pPr>
            <w:r>
              <w:rPr>
                <w:rFonts w:ascii="Times New Roman" w:hAnsi="Times New Roman"/>
                <w:b/>
                <w:bCs/>
                <w:i/>
                <w:iCs/>
                <w:color w:val="000000"/>
                <w:sz w:val="16"/>
                <w:szCs w:val="16"/>
              </w:rPr>
              <w:t>z toho: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daňové príjmy</w:t>
            </w:r>
          </w:p>
        </w:tc>
        <w:tc>
          <w:tcPr>
            <w:tcW w:w="786"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780</w:t>
            </w:r>
          </w:p>
        </w:tc>
        <w:tc>
          <w:tcPr>
            <w:tcW w:w="772"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1 183</w:t>
            </w:r>
          </w:p>
        </w:tc>
        <w:tc>
          <w:tcPr>
            <w:tcW w:w="765"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870</w:t>
            </w:r>
          </w:p>
        </w:tc>
        <w:tc>
          <w:tcPr>
            <w:tcW w:w="767"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1 001</w:t>
            </w:r>
          </w:p>
        </w:tc>
        <w:tc>
          <w:tcPr>
            <w:tcW w:w="75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1 001</w:t>
            </w:r>
          </w:p>
        </w:tc>
        <w:tc>
          <w:tcPr>
            <w:tcW w:w="87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1 010</w:t>
            </w:r>
          </w:p>
        </w:tc>
        <w:tc>
          <w:tcPr>
            <w:tcW w:w="790"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1 010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nedaňové príjmy, z toho:</w:t>
            </w:r>
          </w:p>
        </w:tc>
        <w:tc>
          <w:tcPr>
            <w:tcW w:w="786"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44 212</w:t>
            </w:r>
          </w:p>
        </w:tc>
        <w:tc>
          <w:tcPr>
            <w:tcW w:w="772"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37 841</w:t>
            </w:r>
          </w:p>
        </w:tc>
        <w:tc>
          <w:tcPr>
            <w:tcW w:w="765"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140 528</w:t>
            </w:r>
          </w:p>
        </w:tc>
        <w:tc>
          <w:tcPr>
            <w:tcW w:w="767"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40 528</w:t>
            </w:r>
          </w:p>
        </w:tc>
        <w:tc>
          <w:tcPr>
            <w:tcW w:w="75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67 283</w:t>
            </w:r>
          </w:p>
        </w:tc>
        <w:tc>
          <w:tcPr>
            <w:tcW w:w="87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40 343</w:t>
            </w:r>
          </w:p>
        </w:tc>
        <w:tc>
          <w:tcPr>
            <w:tcW w:w="790"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40 413</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z úhrad za vydobyté nerasty</w:t>
            </w:r>
          </w:p>
        </w:tc>
        <w:tc>
          <w:tcPr>
            <w:tcW w:w="786"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2 510</w:t>
            </w:r>
          </w:p>
        </w:tc>
        <w:tc>
          <w:tcPr>
            <w:tcW w:w="772"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1 946</w:t>
            </w:r>
          </w:p>
        </w:tc>
        <w:tc>
          <w:tcPr>
            <w:tcW w:w="765"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2 655</w:t>
            </w:r>
          </w:p>
        </w:tc>
        <w:tc>
          <w:tcPr>
            <w:tcW w:w="767"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2 655</w:t>
            </w:r>
          </w:p>
        </w:tc>
        <w:tc>
          <w:tcPr>
            <w:tcW w:w="75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2 100</w:t>
            </w:r>
          </w:p>
        </w:tc>
        <w:tc>
          <w:tcPr>
            <w:tcW w:w="87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2 150</w:t>
            </w:r>
          </w:p>
        </w:tc>
        <w:tc>
          <w:tcPr>
            <w:tcW w:w="790"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2 200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administ. poplatky a iné poplatky a platby</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38 026</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35 385</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37 353</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37 353</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37 653</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37 663</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37 683</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príjem z predaja kapitál. aktív (z emis.kvót)</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100 000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27 000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úroky z tuzem. úverov, pôžičiek, vkladov a ážio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463</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404</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483</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483</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420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420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420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iné nedaňové príjmy</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3 213</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105</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37</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110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110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110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transfery zo ŠR</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3330</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príjmy z transakcií s fin. akt. a pas., z toho: (FO)</w:t>
            </w:r>
          </w:p>
        </w:tc>
        <w:tc>
          <w:tcPr>
            <w:tcW w:w="786"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97 571</w:t>
            </w:r>
          </w:p>
        </w:tc>
        <w:tc>
          <w:tcPr>
            <w:tcW w:w="772"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86 058</w:t>
            </w:r>
          </w:p>
        </w:tc>
        <w:tc>
          <w:tcPr>
            <w:tcW w:w="765"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64 558</w:t>
            </w:r>
          </w:p>
        </w:tc>
        <w:tc>
          <w:tcPr>
            <w:tcW w:w="767"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79 324</w:t>
            </w:r>
          </w:p>
        </w:tc>
        <w:tc>
          <w:tcPr>
            <w:tcW w:w="75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106 464</w:t>
            </w:r>
          </w:p>
        </w:tc>
        <w:tc>
          <w:tcPr>
            <w:tcW w:w="87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150 004</w:t>
            </w:r>
          </w:p>
        </w:tc>
        <w:tc>
          <w:tcPr>
            <w:tcW w:w="790"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181 613</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zo splátok tuzem. úverov, pôž. a NFV (FO)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1477</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1 973</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2 987</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2 987</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2 100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2 100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2 100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zost. prostr. z predch. roka (FO)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96 094</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84 086</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61 571</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76 337</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104 364</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147 904</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179 513</w:t>
            </w:r>
          </w:p>
        </w:tc>
      </w:tr>
      <w:tr>
        <w:tblPrEx>
          <w:tblW w:w="9226" w:type="dxa"/>
          <w:jc w:val="center"/>
          <w:tblCellMar>
            <w:left w:w="70" w:type="dxa"/>
            <w:right w:w="70" w:type="dxa"/>
          </w:tblCellMar>
          <w:tblLook w:val="04A0"/>
        </w:tblPrEx>
        <w:trPr>
          <w:trHeight w:val="227"/>
          <w:jc w:val="center"/>
        </w:trPr>
        <w:tc>
          <w:tcPr>
            <w:tcW w:w="372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9F69B7" w:rsidP="00EA0AB6">
            <w:pPr>
              <w:bidi w:val="0"/>
              <w:rPr>
                <w:rFonts w:ascii="Times New Roman" w:hAnsi="Times New Roman"/>
                <w:b/>
                <w:bCs/>
                <w:iCs/>
                <w:color w:val="000000"/>
                <w:sz w:val="16"/>
                <w:szCs w:val="16"/>
              </w:rPr>
            </w:pPr>
            <w:r>
              <w:rPr>
                <w:rFonts w:ascii="Times New Roman" w:hAnsi="Times New Roman"/>
                <w:b/>
                <w:bCs/>
                <w:iCs/>
                <w:color w:val="000000"/>
                <w:sz w:val="16"/>
                <w:szCs w:val="16"/>
              </w:rPr>
              <w:t>Výdavky EF spolu</w:t>
            </w:r>
          </w:p>
        </w:tc>
        <w:tc>
          <w:tcPr>
            <w:tcW w:w="786"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61 809</w:t>
            </w:r>
          </w:p>
        </w:tc>
        <w:tc>
          <w:tcPr>
            <w:tcW w:w="7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48 746</w:t>
            </w:r>
          </w:p>
        </w:tc>
        <w:tc>
          <w:tcPr>
            <w:tcW w:w="765"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37 064</w:t>
            </w:r>
          </w:p>
        </w:tc>
        <w:tc>
          <w:tcPr>
            <w:tcW w:w="767"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16 488</w:t>
            </w:r>
          </w:p>
        </w:tc>
        <w:tc>
          <w:tcPr>
            <w:tcW w:w="75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26 844</w:t>
            </w:r>
          </w:p>
        </w:tc>
        <w:tc>
          <w:tcPr>
            <w:tcW w:w="87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11 844</w:t>
            </w:r>
          </w:p>
        </w:tc>
        <w:tc>
          <w:tcPr>
            <w:tcW w:w="79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11 844</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b/>
                <w:bCs/>
                <w:iCs/>
                <w:color w:val="000000"/>
                <w:sz w:val="16"/>
                <w:szCs w:val="16"/>
              </w:rPr>
            </w:pPr>
            <w:r>
              <w:rPr>
                <w:rFonts w:ascii="Times New Roman" w:hAnsi="Times New Roman"/>
                <w:b/>
                <w:bCs/>
                <w:iCs/>
                <w:color w:val="000000"/>
                <w:sz w:val="16"/>
                <w:szCs w:val="16"/>
              </w:rPr>
              <w:t>z toho: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bežné výdavky, z toho:</w:t>
            </w:r>
          </w:p>
        </w:tc>
        <w:tc>
          <w:tcPr>
            <w:tcW w:w="786"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11 830</w:t>
            </w:r>
          </w:p>
        </w:tc>
        <w:tc>
          <w:tcPr>
            <w:tcW w:w="772"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8 246</w:t>
            </w:r>
          </w:p>
        </w:tc>
        <w:tc>
          <w:tcPr>
            <w:tcW w:w="765"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3 830</w:t>
            </w:r>
          </w:p>
        </w:tc>
        <w:tc>
          <w:tcPr>
            <w:tcW w:w="767"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3 254</w:t>
            </w:r>
          </w:p>
        </w:tc>
        <w:tc>
          <w:tcPr>
            <w:tcW w:w="75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3 830</w:t>
            </w:r>
          </w:p>
        </w:tc>
        <w:tc>
          <w:tcPr>
            <w:tcW w:w="87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3 830</w:t>
            </w:r>
          </w:p>
        </w:tc>
        <w:tc>
          <w:tcPr>
            <w:tcW w:w="790"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3 830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ind w:firstLine="480" w:firstLineChars="300"/>
              <w:rPr>
                <w:rFonts w:ascii="Times New Roman" w:hAnsi="Times New Roman"/>
                <w:color w:val="000000"/>
                <w:sz w:val="16"/>
                <w:szCs w:val="16"/>
              </w:rPr>
            </w:pPr>
            <w:r>
              <w:rPr>
                <w:rFonts w:ascii="Times New Roman" w:hAnsi="Times New Roman"/>
                <w:color w:val="000000"/>
                <w:sz w:val="16"/>
                <w:szCs w:val="16"/>
              </w:rPr>
              <w:t>mzdy a odvody</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643</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749</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808</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808</w:t>
            </w:r>
          </w:p>
        </w:tc>
        <w:tc>
          <w:tcPr>
            <w:tcW w:w="753"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808</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808</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808</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ind w:firstLine="480" w:firstLineChars="300"/>
              <w:rPr>
                <w:rFonts w:ascii="Times New Roman" w:hAnsi="Times New Roman"/>
                <w:color w:val="000000"/>
                <w:sz w:val="16"/>
                <w:szCs w:val="16"/>
              </w:rPr>
            </w:pPr>
            <w:r>
              <w:rPr>
                <w:rFonts w:ascii="Times New Roman" w:hAnsi="Times New Roman"/>
                <w:color w:val="000000"/>
                <w:sz w:val="16"/>
                <w:szCs w:val="16"/>
              </w:rPr>
              <w:t>tovary a služby (prev. náklady)</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2 862</w:t>
            </w:r>
          </w:p>
        </w:tc>
        <w:tc>
          <w:tcPr>
            <w:tcW w:w="772"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348</w:t>
            </w:r>
          </w:p>
        </w:tc>
        <w:tc>
          <w:tcPr>
            <w:tcW w:w="765"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359</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359</w:t>
            </w:r>
          </w:p>
        </w:tc>
        <w:tc>
          <w:tcPr>
            <w:tcW w:w="753"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359</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359</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359</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ind w:firstLine="480" w:firstLineChars="300"/>
              <w:rPr>
                <w:rFonts w:ascii="Times New Roman" w:hAnsi="Times New Roman"/>
                <w:color w:val="000000"/>
                <w:sz w:val="16"/>
                <w:szCs w:val="16"/>
              </w:rPr>
            </w:pPr>
            <w:r>
              <w:rPr>
                <w:rFonts w:ascii="Times New Roman" w:hAnsi="Times New Roman"/>
                <w:color w:val="000000"/>
                <w:sz w:val="16"/>
                <w:szCs w:val="16"/>
              </w:rPr>
              <w:t>vrátenie príjmov minulých rokov</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2 651</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2 650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2 074</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2 650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2 650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2 650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ind w:firstLine="480" w:firstLineChars="300"/>
              <w:rPr>
                <w:rFonts w:ascii="Times New Roman" w:hAnsi="Times New Roman"/>
                <w:color w:val="000000"/>
                <w:sz w:val="16"/>
                <w:szCs w:val="16"/>
              </w:rPr>
            </w:pPr>
            <w:r>
              <w:rPr>
                <w:rFonts w:ascii="Times New Roman" w:hAnsi="Times New Roman"/>
                <w:color w:val="000000"/>
                <w:sz w:val="16"/>
                <w:szCs w:val="16"/>
              </w:rPr>
              <w:t>bežné transfery</w:t>
            </w:r>
          </w:p>
        </w:tc>
        <w:tc>
          <w:tcPr>
            <w:tcW w:w="786"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8 325</w:t>
            </w:r>
          </w:p>
        </w:tc>
        <w:tc>
          <w:tcPr>
            <w:tcW w:w="772"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4 497</w:t>
            </w:r>
          </w:p>
        </w:tc>
        <w:tc>
          <w:tcPr>
            <w:tcW w:w="765"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13</w:t>
            </w:r>
          </w:p>
        </w:tc>
        <w:tc>
          <w:tcPr>
            <w:tcW w:w="767"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13</w:t>
            </w:r>
          </w:p>
        </w:tc>
        <w:tc>
          <w:tcPr>
            <w:tcW w:w="75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13</w:t>
            </w:r>
          </w:p>
        </w:tc>
        <w:tc>
          <w:tcPr>
            <w:tcW w:w="87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13</w:t>
            </w:r>
          </w:p>
        </w:tc>
        <w:tc>
          <w:tcPr>
            <w:tcW w:w="790"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13</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kapitálové výdavky, z toho:</w:t>
            </w:r>
          </w:p>
        </w:tc>
        <w:tc>
          <w:tcPr>
            <w:tcW w:w="786"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40 025</w:t>
            </w:r>
          </w:p>
        </w:tc>
        <w:tc>
          <w:tcPr>
            <w:tcW w:w="772"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32 679</w:t>
            </w:r>
          </w:p>
        </w:tc>
        <w:tc>
          <w:tcPr>
            <w:tcW w:w="765"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30 014</w:t>
            </w:r>
          </w:p>
        </w:tc>
        <w:tc>
          <w:tcPr>
            <w:tcW w:w="767"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10 014</w:t>
            </w:r>
          </w:p>
        </w:tc>
        <w:tc>
          <w:tcPr>
            <w:tcW w:w="75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20 014</w:t>
            </w:r>
          </w:p>
        </w:tc>
        <w:tc>
          <w:tcPr>
            <w:tcW w:w="873"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5 014</w:t>
            </w:r>
          </w:p>
        </w:tc>
        <w:tc>
          <w:tcPr>
            <w:tcW w:w="790" w:type="dxa"/>
            <w:tcBorders>
              <w:top w:val="nil"/>
              <w:left w:val="nil"/>
              <w:bottom w:val="single" w:sz="4" w:space="0" w:color="auto"/>
              <w:right w:val="single" w:sz="4" w:space="0" w:color="auto"/>
            </w:tcBorders>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5 014</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ind w:firstLine="480" w:firstLineChars="300"/>
              <w:rPr>
                <w:rFonts w:ascii="Times New Roman" w:hAnsi="Times New Roman"/>
                <w:color w:val="000000"/>
                <w:sz w:val="16"/>
                <w:szCs w:val="16"/>
              </w:rPr>
            </w:pPr>
            <w:r>
              <w:rPr>
                <w:rFonts w:ascii="Times New Roman" w:hAnsi="Times New Roman"/>
                <w:color w:val="000000"/>
                <w:sz w:val="16"/>
                <w:szCs w:val="16"/>
              </w:rPr>
              <w:t>obstarávanie kapitálových aktív</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38</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w:t>
            </w:r>
          </w:p>
        </w:tc>
        <w:tc>
          <w:tcPr>
            <w:tcW w:w="753"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14</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ind w:firstLine="480" w:firstLineChars="300"/>
              <w:rPr>
                <w:rFonts w:ascii="Times New Roman" w:hAnsi="Times New Roman"/>
                <w:color w:val="000000"/>
                <w:sz w:val="16"/>
                <w:szCs w:val="16"/>
              </w:rPr>
            </w:pPr>
            <w:r>
              <w:rPr>
                <w:rFonts w:ascii="Times New Roman" w:hAnsi="Times New Roman"/>
                <w:color w:val="000000"/>
                <w:sz w:val="16"/>
                <w:szCs w:val="16"/>
              </w:rPr>
              <w:t>kapitálové transfery</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40 021</w:t>
            </w:r>
          </w:p>
        </w:tc>
        <w:tc>
          <w:tcPr>
            <w:tcW w:w="772"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32 641</w:t>
            </w:r>
          </w:p>
        </w:tc>
        <w:tc>
          <w:tcPr>
            <w:tcW w:w="765"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30 000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10 000</w:t>
            </w:r>
          </w:p>
        </w:tc>
        <w:tc>
          <w:tcPr>
            <w:tcW w:w="753" w:type="dxa"/>
            <w:tcBorders>
              <w:top w:val="nil"/>
              <w:left w:val="nil"/>
              <w:bottom w:val="single" w:sz="4" w:space="0" w:color="auto"/>
              <w:right w:val="single" w:sz="4" w:space="0" w:color="auto"/>
            </w:tcBorders>
            <w:shd w:val="clear" w:color="auto" w:fill="FFFFFF"/>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20 000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5 000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5 000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výdavky z transakcií s fin. akt. a pas., z toho: (FO) </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9 954</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7 821</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3 220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3 220</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textDirection w:val="lrTb"/>
            <w:vAlign w:val="bottom"/>
            <w:hideMark/>
          </w:tcPr>
          <w:p w:rsidR="009F69B7" w:rsidP="00EA0AB6">
            <w:pPr>
              <w:bidi w:val="0"/>
              <w:ind w:firstLine="160" w:firstLineChars="100"/>
              <w:rPr>
                <w:rFonts w:ascii="Times New Roman" w:hAnsi="Times New Roman"/>
                <w:color w:val="000000"/>
                <w:sz w:val="16"/>
                <w:szCs w:val="16"/>
              </w:rPr>
            </w:pPr>
            <w:r>
              <w:rPr>
                <w:rFonts w:ascii="Times New Roman" w:hAnsi="Times New Roman"/>
                <w:color w:val="000000"/>
                <w:sz w:val="16"/>
                <w:szCs w:val="16"/>
              </w:rPr>
              <w:t xml:space="preserve">        úvery, pôžičky a NFV v rámci VS (FO)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9 954</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7 821</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3 220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3 220</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r>
      <w:tr>
        <w:tblPrEx>
          <w:tblW w:w="9226" w:type="dxa"/>
          <w:jc w:val="center"/>
          <w:tblCellMar>
            <w:left w:w="70" w:type="dxa"/>
            <w:right w:w="70" w:type="dxa"/>
          </w:tblCellMar>
          <w:tblLook w:val="04A0"/>
        </w:tblPrEx>
        <w:trPr>
          <w:trHeight w:val="227"/>
          <w:jc w:val="center"/>
        </w:trPr>
        <w:tc>
          <w:tcPr>
            <w:tcW w:w="372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9F69B7" w:rsidP="00EA0AB6">
            <w:pPr>
              <w:bidi w:val="0"/>
              <w:rPr>
                <w:rFonts w:ascii="Times New Roman" w:hAnsi="Times New Roman"/>
                <w:b/>
                <w:bCs/>
                <w:iCs/>
                <w:color w:val="000000"/>
                <w:sz w:val="16"/>
                <w:szCs w:val="16"/>
              </w:rPr>
            </w:pPr>
            <w:r>
              <w:rPr>
                <w:rFonts w:ascii="Times New Roman" w:hAnsi="Times New Roman"/>
                <w:b/>
                <w:bCs/>
                <w:iCs/>
                <w:color w:val="000000"/>
                <w:sz w:val="16"/>
                <w:szCs w:val="16"/>
              </w:rPr>
              <w:t>Celkový prebytok EF</w:t>
            </w:r>
          </w:p>
        </w:tc>
        <w:tc>
          <w:tcPr>
            <w:tcW w:w="786"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84 084</w:t>
            </w:r>
          </w:p>
        </w:tc>
        <w:tc>
          <w:tcPr>
            <w:tcW w:w="7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76 337</w:t>
            </w:r>
          </w:p>
        </w:tc>
        <w:tc>
          <w:tcPr>
            <w:tcW w:w="765"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168 892</w:t>
            </w:r>
          </w:p>
        </w:tc>
        <w:tc>
          <w:tcPr>
            <w:tcW w:w="767"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104 364</w:t>
            </w:r>
          </w:p>
        </w:tc>
        <w:tc>
          <w:tcPr>
            <w:tcW w:w="75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147 904</w:t>
            </w:r>
          </w:p>
        </w:tc>
        <w:tc>
          <w:tcPr>
            <w:tcW w:w="87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179 513</w:t>
            </w:r>
          </w:p>
        </w:tc>
        <w:tc>
          <w:tcPr>
            <w:tcW w:w="79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211 192</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rPr>
                <w:rFonts w:ascii="Times New Roman" w:hAnsi="Times New Roman"/>
                <w:b/>
                <w:bCs/>
                <w:i/>
                <w:iCs/>
                <w:color w:val="000000"/>
                <w:sz w:val="16"/>
                <w:szCs w:val="16"/>
              </w:rPr>
            </w:pPr>
            <w:r>
              <w:rPr>
                <w:rFonts w:ascii="Times New Roman" w:hAnsi="Times New Roman"/>
                <w:b/>
                <w:bCs/>
                <w:i/>
                <w:iCs/>
                <w:color w:val="000000"/>
                <w:sz w:val="16"/>
                <w:szCs w:val="16"/>
              </w:rPr>
              <w:t>vylúčenie finančných operácií</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-87 617</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-78 237</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-61 338</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-76 104</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-103 464</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-147 004</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-178 613</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rPr>
                <w:rFonts w:ascii="Times New Roman" w:hAnsi="Times New Roman"/>
                <w:b/>
                <w:bCs/>
                <w:i/>
                <w:iCs/>
                <w:color w:val="000000"/>
                <w:sz w:val="16"/>
                <w:szCs w:val="16"/>
              </w:rPr>
            </w:pPr>
            <w:r>
              <w:rPr>
                <w:rFonts w:ascii="Times New Roman" w:hAnsi="Times New Roman"/>
                <w:b/>
                <w:bCs/>
                <w:i/>
                <w:iCs/>
                <w:color w:val="000000"/>
                <w:sz w:val="16"/>
                <w:szCs w:val="16"/>
              </w:rPr>
              <w:t xml:space="preserve">   z toho: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 </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vylúčenie príjmových FO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-97 571</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-86 058</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-64 558</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-79 323</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-106 464</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-150 004</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-181 613</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rPr>
                <w:rFonts w:ascii="Times New Roman" w:hAnsi="Times New Roman"/>
                <w:color w:val="000000"/>
                <w:sz w:val="16"/>
                <w:szCs w:val="16"/>
              </w:rPr>
            </w:pPr>
            <w:r>
              <w:rPr>
                <w:rFonts w:ascii="Times New Roman" w:hAnsi="Times New Roman"/>
                <w:color w:val="000000"/>
                <w:sz w:val="16"/>
                <w:szCs w:val="16"/>
              </w:rPr>
              <w:t xml:space="preserve">    ▪   vylúčenie výdavkových FO</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9 954</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7 821</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3 220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3 220</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color w:val="000000"/>
                <w:sz w:val="16"/>
                <w:szCs w:val="16"/>
              </w:rPr>
            </w:pPr>
            <w:r>
              <w:rPr>
                <w:rFonts w:ascii="Times New Roman" w:hAnsi="Times New Roman"/>
                <w:color w:val="000000"/>
                <w:sz w:val="16"/>
                <w:szCs w:val="16"/>
              </w:rPr>
              <w:t>3 000</w:t>
            </w:r>
          </w:p>
        </w:tc>
      </w:tr>
      <w:tr>
        <w:tblPrEx>
          <w:tblW w:w="9226" w:type="dxa"/>
          <w:jc w:val="center"/>
          <w:tblCellMar>
            <w:left w:w="70" w:type="dxa"/>
            <w:right w:w="70" w:type="dxa"/>
          </w:tblCellMar>
          <w:tblLook w:val="04A0"/>
        </w:tblPrEx>
        <w:trPr>
          <w:trHeight w:val="227"/>
          <w:jc w:val="center"/>
        </w:trPr>
        <w:tc>
          <w:tcPr>
            <w:tcW w:w="3720" w:type="dxa"/>
            <w:tcBorders>
              <w:top w:val="nil"/>
              <w:left w:val="single" w:sz="4" w:space="0" w:color="auto"/>
              <w:bottom w:val="single" w:sz="4" w:space="0" w:color="auto"/>
              <w:right w:val="single" w:sz="4" w:space="0" w:color="auto"/>
            </w:tcBorders>
            <w:noWrap/>
            <w:textDirection w:val="lrTb"/>
            <w:vAlign w:val="bottom"/>
            <w:hideMark/>
          </w:tcPr>
          <w:p w:rsidR="009F69B7" w:rsidP="00EA0AB6">
            <w:pPr>
              <w:bidi w:val="0"/>
              <w:rPr>
                <w:rFonts w:ascii="Times New Roman" w:hAnsi="Times New Roman"/>
                <w:b/>
                <w:bCs/>
                <w:i/>
                <w:iCs/>
                <w:color w:val="000000"/>
                <w:sz w:val="16"/>
                <w:szCs w:val="16"/>
              </w:rPr>
            </w:pPr>
            <w:r>
              <w:rPr>
                <w:rFonts w:ascii="Times New Roman" w:hAnsi="Times New Roman"/>
                <w:b/>
                <w:bCs/>
                <w:i/>
                <w:iCs/>
                <w:color w:val="000000"/>
                <w:sz w:val="16"/>
                <w:szCs w:val="16"/>
              </w:rPr>
              <w:t>ostatné úpravy</w:t>
            </w:r>
          </w:p>
        </w:tc>
        <w:tc>
          <w:tcPr>
            <w:tcW w:w="786"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345</w:t>
            </w:r>
          </w:p>
        </w:tc>
        <w:tc>
          <w:tcPr>
            <w:tcW w:w="772"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5 052</w:t>
            </w:r>
          </w:p>
        </w:tc>
        <w:tc>
          <w:tcPr>
            <w:tcW w:w="765"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0</w:t>
            </w:r>
          </w:p>
        </w:tc>
        <w:tc>
          <w:tcPr>
            <w:tcW w:w="767"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2 065</w:t>
            </w:r>
          </w:p>
        </w:tc>
        <w:tc>
          <w:tcPr>
            <w:tcW w:w="75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0</w:t>
            </w:r>
          </w:p>
        </w:tc>
        <w:tc>
          <w:tcPr>
            <w:tcW w:w="873"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0</w:t>
            </w:r>
          </w:p>
        </w:tc>
        <w:tc>
          <w:tcPr>
            <w:tcW w:w="790" w:type="dxa"/>
            <w:tcBorders>
              <w:top w:val="nil"/>
              <w:left w:val="nil"/>
              <w:bottom w:val="single" w:sz="4" w:space="0" w:color="auto"/>
              <w:right w:val="single" w:sz="4" w:space="0" w:color="auto"/>
            </w:tcBorders>
            <w:noWrap/>
            <w:textDirection w:val="lrTb"/>
            <w:vAlign w:val="bottom"/>
            <w:hideMark/>
          </w:tcPr>
          <w:p w:rsidR="009F69B7" w:rsidP="00EA0AB6">
            <w:pPr>
              <w:bidi w:val="0"/>
              <w:jc w:val="right"/>
              <w:rPr>
                <w:rFonts w:ascii="Times New Roman" w:hAnsi="Times New Roman"/>
                <w:b/>
                <w:bCs/>
                <w:i/>
                <w:iCs/>
                <w:color w:val="000000"/>
                <w:sz w:val="16"/>
                <w:szCs w:val="16"/>
              </w:rPr>
            </w:pPr>
            <w:r>
              <w:rPr>
                <w:rFonts w:ascii="Times New Roman" w:hAnsi="Times New Roman"/>
                <w:b/>
                <w:bCs/>
                <w:i/>
                <w:iCs/>
                <w:color w:val="000000"/>
                <w:sz w:val="16"/>
                <w:szCs w:val="16"/>
              </w:rPr>
              <w:t>0</w:t>
            </w:r>
          </w:p>
        </w:tc>
      </w:tr>
      <w:tr>
        <w:tblPrEx>
          <w:tblW w:w="9226" w:type="dxa"/>
          <w:jc w:val="center"/>
          <w:tblCellMar>
            <w:left w:w="70" w:type="dxa"/>
            <w:right w:w="70" w:type="dxa"/>
          </w:tblCellMar>
          <w:tblLook w:val="04A0"/>
        </w:tblPrEx>
        <w:trPr>
          <w:trHeight w:val="227"/>
          <w:jc w:val="center"/>
        </w:trPr>
        <w:tc>
          <w:tcPr>
            <w:tcW w:w="372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9F69B7" w:rsidP="00EA0AB6">
            <w:pPr>
              <w:bidi w:val="0"/>
              <w:rPr>
                <w:rFonts w:ascii="Times New Roman" w:hAnsi="Times New Roman"/>
                <w:b/>
                <w:bCs/>
                <w:iCs/>
                <w:color w:val="000000"/>
                <w:sz w:val="16"/>
                <w:szCs w:val="16"/>
              </w:rPr>
            </w:pPr>
            <w:r>
              <w:rPr>
                <w:rFonts w:ascii="Times New Roman" w:hAnsi="Times New Roman"/>
                <w:b/>
                <w:bCs/>
                <w:iCs/>
                <w:color w:val="000000"/>
                <w:sz w:val="16"/>
                <w:szCs w:val="16"/>
              </w:rPr>
              <w:t>Prebytok (+)/schodok (-)  EF(ESA 95)</w:t>
            </w:r>
          </w:p>
        </w:tc>
        <w:tc>
          <w:tcPr>
            <w:tcW w:w="786"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-3 188</w:t>
            </w:r>
          </w:p>
        </w:tc>
        <w:tc>
          <w:tcPr>
            <w:tcW w:w="7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3 152</w:t>
            </w:r>
          </w:p>
        </w:tc>
        <w:tc>
          <w:tcPr>
            <w:tcW w:w="765"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iCs/>
                <w:color w:val="000000"/>
                <w:sz w:val="16"/>
                <w:szCs w:val="16"/>
              </w:rPr>
            </w:pPr>
            <w:r>
              <w:rPr>
                <w:rFonts w:ascii="Times New Roman" w:hAnsi="Times New Roman"/>
                <w:b/>
                <w:bCs/>
                <w:iCs/>
                <w:color w:val="000000"/>
                <w:sz w:val="16"/>
                <w:szCs w:val="16"/>
              </w:rPr>
              <w:t>107 554</w:t>
            </w:r>
          </w:p>
        </w:tc>
        <w:tc>
          <w:tcPr>
            <w:tcW w:w="767"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30 325</w:t>
            </w:r>
          </w:p>
        </w:tc>
        <w:tc>
          <w:tcPr>
            <w:tcW w:w="75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44 440</w:t>
            </w:r>
          </w:p>
        </w:tc>
        <w:tc>
          <w:tcPr>
            <w:tcW w:w="87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32 509</w:t>
            </w:r>
          </w:p>
        </w:tc>
        <w:tc>
          <w:tcPr>
            <w:tcW w:w="79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9F69B7" w:rsidP="00EA0AB6">
            <w:pPr>
              <w:bidi w:val="0"/>
              <w:jc w:val="right"/>
              <w:rPr>
                <w:rFonts w:ascii="Times New Roman" w:hAnsi="Times New Roman"/>
                <w:b/>
                <w:bCs/>
                <w:color w:val="000000"/>
                <w:sz w:val="16"/>
                <w:szCs w:val="16"/>
              </w:rPr>
            </w:pPr>
            <w:r>
              <w:rPr>
                <w:rFonts w:ascii="Times New Roman" w:hAnsi="Times New Roman"/>
                <w:b/>
                <w:bCs/>
                <w:color w:val="000000"/>
                <w:sz w:val="16"/>
                <w:szCs w:val="16"/>
              </w:rPr>
              <w:t>32 579</w:t>
            </w:r>
          </w:p>
        </w:tc>
      </w:tr>
    </w:tbl>
    <w:p w:rsidR="009F69B7" w:rsidP="009F69B7">
      <w:pPr>
        <w:bidi w:val="0"/>
        <w:jc w:val="both"/>
        <w:rPr>
          <w:rFonts w:ascii="Times New Roman" w:hAnsi="Times New Roman"/>
          <w:szCs w:val="22"/>
        </w:rPr>
      </w:pPr>
    </w:p>
    <w:p w:rsidR="009F69B7" w:rsidP="009F69B7">
      <w:pPr>
        <w:bidi w:val="0"/>
        <w:ind w:firstLine="708"/>
        <w:jc w:val="both"/>
        <w:rPr>
          <w:rFonts w:ascii="Times New Roman" w:hAnsi="Times New Roman"/>
        </w:rPr>
      </w:pPr>
      <w:r>
        <w:rPr>
          <w:rFonts w:ascii="Times New Roman" w:hAnsi="Times New Roman"/>
        </w:rPr>
        <w:t xml:space="preserve">Objem príjmov je navrhnutý na rok 2012 v celkovej výške 174,7 mil. eur, ktorý má byť dosiahnutý rovnako ako po minulé roky výlučne z vlastných zdrojov bez dotácií zo štátneho rozpočtu. Tento objem rastie oproti očakávanej skutočnosti roku 2011 o 44,6 %. Dôvodom nárastu je vyššia úroveň rozpočtovaných zostatkov prostriedkov z predchádzajúcich rokov a naplánovaný príjem z predaja emisných kvót. Východiskom na spracovanie návrhu rozpočtu príjmov fondu na roky 2012 až 2014 bola očakávaná skutočnosť v plnení príjmov v roku 2011, pričom Ministerstvo financií SR očakáva nenaplnenie rozpočtovaných príjmov z predaja emisných kvót na rok 2011, čo bolo zohľadnené aj v očakávanej skutočnosti v plnení príjmov na rok 2011. </w:t>
      </w:r>
    </w:p>
    <w:p w:rsidR="009F69B7" w:rsidP="009F69B7">
      <w:pPr>
        <w:bidi w:val="0"/>
        <w:jc w:val="both"/>
        <w:rPr>
          <w:rFonts w:ascii="Times New Roman" w:hAnsi="Times New Roman"/>
        </w:rPr>
      </w:pPr>
    </w:p>
    <w:p w:rsidR="009F69B7" w:rsidP="009F69B7">
      <w:pPr>
        <w:bidi w:val="0"/>
        <w:ind w:firstLine="708"/>
        <w:jc w:val="both"/>
        <w:rPr>
          <w:rFonts w:ascii="Times New Roman" w:hAnsi="Times New Roman"/>
        </w:rPr>
      </w:pPr>
      <w:r>
        <w:rPr>
          <w:rFonts w:ascii="Times New Roman" w:hAnsi="Times New Roman"/>
        </w:rPr>
        <w:t>Najväčší podiel na navrhovaných celkových príjmoch EF tvorí zostatok prostriedkov z predchádzajúcich rokov, a to 59,7 %. Príjmy z administratívnych poplatkov (poplatkov a platieb za vypúšťanie odpadových vôd do povrchových vôd, za odber podzemnej vody a za znečisťovanie ovzdušia), ktoré v minulosti tvorili väčšinu príjmov, by mali v roku 2012 činiť  21,5 % celkových príjmov. Rozpočtujú sa tiež kapitálové príjmy z predaja emisných kvót na úrovni 27 mil. eur, čo tvorí 15,5 % celkového rozpočtu príjmov.</w:t>
      </w:r>
    </w:p>
    <w:p w:rsidR="009F69B7" w:rsidP="009F69B7">
      <w:pPr>
        <w:bidi w:val="0"/>
        <w:jc w:val="both"/>
        <w:rPr>
          <w:rFonts w:ascii="Times New Roman" w:hAnsi="Times New Roman"/>
        </w:rPr>
      </w:pPr>
    </w:p>
    <w:p w:rsidR="009F69B7" w:rsidP="009F69B7">
      <w:pPr>
        <w:bidi w:val="0"/>
        <w:ind w:firstLine="708"/>
        <w:jc w:val="both"/>
        <w:rPr>
          <w:rFonts w:ascii="Times New Roman" w:hAnsi="Times New Roman"/>
        </w:rPr>
      </w:pPr>
      <w:r>
        <w:rPr>
          <w:rFonts w:ascii="Times New Roman" w:hAnsi="Times New Roman"/>
        </w:rPr>
        <w:t xml:space="preserve">Výdavky fondu navrhnuté na rok 2012 v celkovej výške 26,8 mil. eur rastú oproti očakávanej skutočnosti roku 2011 o 62,8 %. Nárast je spôsobený rozpočtovaním kapitálových transferov vo výške 20 mil. eur, </w:t>
      </w:r>
      <w:r w:rsidRPr="003E1A98">
        <w:rPr>
          <w:rFonts w:ascii="Times New Roman" w:hAnsi="Times New Roman"/>
        </w:rPr>
        <w:t>určených príjemcom dotácií v oblasti životného prostredia</w:t>
      </w:r>
      <w:r>
        <w:rPr>
          <w:rFonts w:ascii="Times New Roman" w:hAnsi="Times New Roman"/>
        </w:rPr>
        <w:t>. Návrh rozpočtu výdavkov určených na správu fondu sa rozpočtuje vo výške 1,19 mil. eur, čím dosahuje iba 0,68 % z výšky ročných príjmov fondu a neprekračuje zákonom povolenú hranicu 3 %. Osobné výdavky EF, ako aj  výdavky na tovary a služby zachovávajú v návrhu rozpočtu na roky 2012 až 2014 úroveň schváleného rozpočtu roku 2011.</w:t>
      </w:r>
    </w:p>
    <w:p w:rsidR="009F69B7" w:rsidP="009F69B7">
      <w:pPr>
        <w:bidi w:val="0"/>
        <w:jc w:val="both"/>
        <w:rPr>
          <w:rFonts w:ascii="Times New Roman" w:hAnsi="Times New Roman"/>
        </w:rPr>
      </w:pPr>
    </w:p>
    <w:p w:rsidR="009F69B7" w:rsidP="009F69B7">
      <w:pPr>
        <w:bidi w:val="0"/>
        <w:ind w:firstLine="708"/>
        <w:jc w:val="both"/>
        <w:rPr>
          <w:rFonts w:ascii="Times New Roman" w:hAnsi="Times New Roman"/>
        </w:rPr>
      </w:pPr>
      <w:r>
        <w:rPr>
          <w:rFonts w:ascii="Times New Roman" w:hAnsi="Times New Roman"/>
        </w:rPr>
        <w:t>Celkový hotovostný prebytok EF sa rozpočtuje v roku 2012 vo výške 147,9 mil. eur, v roku 2013 vo výške 179,5 mil. eur a v roku 2014 v sume 211,2 mil. eur. V metodike ESA 95 sa prebytok hospodárenia EF kvantifikuje vo výške 44,4 mil. eur až 32,6 mil. eur, adekvátne v jednotlivých rokoch, čo je v súlade s návrhom limitov Ministerstva financií SR pre subjekt verejnej správy.</w:t>
      </w:r>
    </w:p>
    <w:p w:rsidR="009F69B7" w:rsidP="007B1DFC">
      <w:pPr>
        <w:bidi w:val="0"/>
        <w:rPr>
          <w:rFonts w:ascii="Times New Roman" w:hAnsi="Times New Roman"/>
          <w:b/>
          <w:bCs/>
        </w:rPr>
      </w:pPr>
    </w:p>
    <w:p w:rsidR="007B1DFC" w:rsidRPr="0078555A" w:rsidP="007B1DFC">
      <w:pPr>
        <w:bidi w:val="0"/>
        <w:rPr>
          <w:rFonts w:ascii="Times New Roman" w:hAnsi="Times New Roman"/>
        </w:rPr>
      </w:pPr>
      <w:r w:rsidRPr="0078555A">
        <w:rPr>
          <w:rFonts w:ascii="Times New Roman" w:hAnsi="Times New Roman"/>
          <w:b/>
          <w:bCs/>
        </w:rPr>
        <w:t>5. Slovenský pozemkový fond</w:t>
      </w:r>
    </w:p>
    <w:p w:rsidR="007B1DFC" w:rsidRPr="0078555A" w:rsidP="007B1DFC">
      <w:pPr>
        <w:bidi w:val="0"/>
        <w:rPr>
          <w:rFonts w:ascii="Times New Roman" w:hAnsi="Times New Roman"/>
        </w:rPr>
      </w:pPr>
    </w:p>
    <w:tbl>
      <w:tblPr>
        <w:tblStyle w:val="TableNormal"/>
        <w:tblW w:w="9300" w:type="dxa"/>
        <w:tblCellMar>
          <w:left w:w="0" w:type="dxa"/>
          <w:right w:w="0" w:type="dxa"/>
        </w:tblCellMar>
        <w:tblLook w:val="04A0"/>
      </w:tblPr>
      <w:tblGrid>
        <w:gridCol w:w="3420"/>
        <w:gridCol w:w="840"/>
        <w:gridCol w:w="840"/>
        <w:gridCol w:w="840"/>
        <w:gridCol w:w="840"/>
        <w:gridCol w:w="840"/>
        <w:gridCol w:w="840"/>
        <w:gridCol w:w="840"/>
      </w:tblGrid>
      <w:tr>
        <w:tblPrEx>
          <w:tblW w:w="9300" w:type="dxa"/>
          <w:tblCellMar>
            <w:left w:w="0" w:type="dxa"/>
            <w:right w:w="0" w:type="dxa"/>
          </w:tblCellMar>
          <w:tblLook w:val="04A0"/>
        </w:tblPrEx>
        <w:trPr>
          <w:trHeight w:val="227"/>
        </w:trPr>
        <w:tc>
          <w:tcPr>
            <w:tcW w:w="3420"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sz w:val="16"/>
                <w:szCs w:val="16"/>
              </w:rPr>
              <w:t>v tis. eur</w:t>
            </w:r>
          </w:p>
        </w:tc>
        <w:tc>
          <w:tcPr>
            <w:tcW w:w="84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jc w:val="center"/>
              <w:rPr>
                <w:rFonts w:ascii="Times New Roman" w:hAnsi="Times New Roman"/>
              </w:rPr>
            </w:pPr>
            <w:r w:rsidRPr="0078555A">
              <w:rPr>
                <w:rFonts w:ascii="Times New Roman" w:hAnsi="Times New Roman"/>
                <w:b/>
                <w:bCs/>
                <w:sz w:val="16"/>
                <w:szCs w:val="16"/>
              </w:rPr>
              <w:t>2009 S</w:t>
            </w:r>
          </w:p>
        </w:tc>
        <w:tc>
          <w:tcPr>
            <w:tcW w:w="84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jc w:val="center"/>
              <w:rPr>
                <w:rFonts w:ascii="Times New Roman" w:hAnsi="Times New Roman"/>
              </w:rPr>
            </w:pPr>
            <w:r w:rsidRPr="0078555A">
              <w:rPr>
                <w:rFonts w:ascii="Times New Roman" w:hAnsi="Times New Roman"/>
                <w:b/>
                <w:bCs/>
                <w:sz w:val="16"/>
                <w:szCs w:val="16"/>
              </w:rPr>
              <w:t>2010 S</w:t>
            </w:r>
          </w:p>
        </w:tc>
        <w:tc>
          <w:tcPr>
            <w:tcW w:w="84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jc w:val="center"/>
              <w:rPr>
                <w:rFonts w:ascii="Times New Roman" w:hAnsi="Times New Roman"/>
              </w:rPr>
            </w:pPr>
            <w:r w:rsidRPr="0078555A">
              <w:rPr>
                <w:rFonts w:ascii="Times New Roman" w:hAnsi="Times New Roman"/>
                <w:b/>
                <w:bCs/>
                <w:sz w:val="16"/>
                <w:szCs w:val="16"/>
              </w:rPr>
              <w:t>2011 R</w:t>
            </w:r>
          </w:p>
        </w:tc>
        <w:tc>
          <w:tcPr>
            <w:tcW w:w="84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jc w:val="center"/>
              <w:rPr>
                <w:rFonts w:ascii="Times New Roman" w:hAnsi="Times New Roman"/>
              </w:rPr>
            </w:pPr>
            <w:r w:rsidRPr="0078555A">
              <w:rPr>
                <w:rFonts w:ascii="Times New Roman" w:hAnsi="Times New Roman"/>
                <w:b/>
                <w:bCs/>
                <w:sz w:val="16"/>
                <w:szCs w:val="16"/>
              </w:rPr>
              <w:t>2011 OS</w:t>
            </w:r>
          </w:p>
        </w:tc>
        <w:tc>
          <w:tcPr>
            <w:tcW w:w="84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jc w:val="center"/>
              <w:rPr>
                <w:rFonts w:ascii="Times New Roman" w:hAnsi="Times New Roman"/>
              </w:rPr>
            </w:pPr>
            <w:r w:rsidRPr="0078555A">
              <w:rPr>
                <w:rFonts w:ascii="Times New Roman" w:hAnsi="Times New Roman"/>
                <w:b/>
                <w:bCs/>
                <w:sz w:val="16"/>
                <w:szCs w:val="16"/>
              </w:rPr>
              <w:t>2012 N</w:t>
            </w:r>
          </w:p>
        </w:tc>
        <w:tc>
          <w:tcPr>
            <w:tcW w:w="84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jc w:val="center"/>
              <w:rPr>
                <w:rFonts w:ascii="Times New Roman" w:hAnsi="Times New Roman"/>
              </w:rPr>
            </w:pPr>
            <w:r w:rsidRPr="0078555A">
              <w:rPr>
                <w:rFonts w:ascii="Times New Roman" w:hAnsi="Times New Roman"/>
                <w:b/>
                <w:bCs/>
                <w:sz w:val="16"/>
                <w:szCs w:val="16"/>
              </w:rPr>
              <w:t>2013 N</w:t>
            </w:r>
          </w:p>
        </w:tc>
        <w:tc>
          <w:tcPr>
            <w:tcW w:w="84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ind w:right="-46"/>
              <w:jc w:val="center"/>
              <w:rPr>
                <w:rFonts w:ascii="Times New Roman" w:hAnsi="Times New Roman"/>
              </w:rPr>
            </w:pPr>
            <w:r w:rsidRPr="0078555A">
              <w:rPr>
                <w:rFonts w:ascii="Times New Roman" w:hAnsi="Times New Roman"/>
                <w:b/>
                <w:bCs/>
                <w:sz w:val="16"/>
                <w:szCs w:val="16"/>
              </w:rPr>
              <w:t>2014 N</w:t>
            </w:r>
          </w:p>
        </w:tc>
      </w:tr>
      <w:tr>
        <w:tblPrEx>
          <w:tblW w:w="9300" w:type="dxa"/>
          <w:tblCellMar>
            <w:left w:w="0" w:type="dxa"/>
            <w:right w:w="0" w:type="dxa"/>
          </w:tblCellMar>
          <w:tblLook w:val="04A0"/>
        </w:tblPrEx>
        <w:trPr>
          <w:trHeight w:val="227"/>
        </w:trPr>
        <w:tc>
          <w:tcPr>
            <w:tcW w:w="342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sz w:val="16"/>
                <w:szCs w:val="16"/>
              </w:rPr>
              <w:t>Príjmy SPF spolu</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25 887</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25 507</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21 803</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21 803</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19 255</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17 220</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16 210</w:t>
            </w:r>
          </w:p>
        </w:tc>
      </w:tr>
      <w:tr>
        <w:tblPrEx>
          <w:tblW w:w="9300" w:type="dxa"/>
          <w:tblCellMar>
            <w:left w:w="0" w:type="dxa"/>
            <w:right w:w="0" w:type="dxa"/>
          </w:tblCellMar>
          <w:tblLook w:val="04A0"/>
        </w:tblPrEx>
        <w:trPr>
          <w:trHeight w:val="2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sz w:val="16"/>
                <w:szCs w:val="16"/>
              </w:rPr>
              <w:t>z toho:</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   nedaňové príjmy, z toho:</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20 669</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20 040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21 553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21 553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19 025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17 120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16 170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príjmy z podnikania a z vlastníctva majetku</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11 028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10 515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12 000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12 000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10 715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12 000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11 580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administ. poplatky a iné poplatky a platby</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128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111</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105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110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80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xml:space="preserve">        kapitálové príjmy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7 282</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7 660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8 600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8 600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7 700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4 600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4 100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xml:space="preserve">        úroky z tuzem.úverov,pôž.,NFV a vkladov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890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417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810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810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505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410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410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iné nedaňové príjmy</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1 341</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1 337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ind w:right="-46"/>
              <w:rPr>
                <w:rFonts w:ascii="Times New Roman" w:hAnsi="Times New Roman"/>
              </w:rPr>
            </w:pPr>
            <w:r w:rsidRPr="0078555A">
              <w:rPr>
                <w:rFonts w:ascii="Times New Roman" w:hAnsi="Times New Roman"/>
                <w:sz w:val="16"/>
                <w:szCs w:val="16"/>
              </w:rPr>
              <w:t xml:space="preserve">    ▪   príjmy z transakcií s fin. akt. a pas.(FO), </w:t>
            </w:r>
          </w:p>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xml:space="preserve">        z toho: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5 218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5 467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230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príjmy z privatizácie (FO)</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697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475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230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iné príjmové FO - nerozpočtované</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1 939</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2 949</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zost. prostr. z predch. roka (FO)</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2 582</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2 043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r>
      <w:tr>
        <w:tblPrEx>
          <w:tblW w:w="9300" w:type="dxa"/>
          <w:tblCellMar>
            <w:left w:w="0" w:type="dxa"/>
            <w:right w:w="0" w:type="dxa"/>
          </w:tblCellMar>
          <w:tblLook w:val="04A0"/>
        </w:tblPrEx>
        <w:trPr>
          <w:trHeight w:val="227"/>
        </w:trPr>
        <w:tc>
          <w:tcPr>
            <w:tcW w:w="342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sz w:val="16"/>
                <w:szCs w:val="16"/>
              </w:rPr>
              <w:t>Výdavky SPF spolu</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20 492</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19 346</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15 640</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15 640</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12 799</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12 389</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12 389</w:t>
            </w:r>
          </w:p>
        </w:tc>
      </w:tr>
      <w:tr>
        <w:tblPrEx>
          <w:tblW w:w="9300" w:type="dxa"/>
          <w:tblCellMar>
            <w:left w:w="0" w:type="dxa"/>
            <w:right w:w="0" w:type="dxa"/>
          </w:tblCellMar>
          <w:tblLook w:val="04A0"/>
        </w:tblPrEx>
        <w:trPr>
          <w:trHeight w:val="2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sz w:val="16"/>
                <w:szCs w:val="16"/>
              </w:rPr>
              <w:t>z toho:</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   bežné výdavky, z toho:</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19 401</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18 081</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13 957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13 957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11 699</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11 289</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11 289</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mzdy a odvody</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5 752</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5 243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5 243</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tovary a služby</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3 498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3 702</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3 805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3 805</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4 118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3 508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3 498</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bežné transfery (reštitúcie a fin. náhrady)</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10 660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8 627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4 909</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4 909</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2 338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2 538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2 548</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xml:space="preserve">    ▪   kapitálové výdavky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1 091</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248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1 683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1 683</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1 100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1 100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1 100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   ostatné výdavkové finančné operácie (FO)</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1 017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0 </w:t>
            </w:r>
          </w:p>
        </w:tc>
      </w:tr>
      <w:tr>
        <w:tblPrEx>
          <w:tblW w:w="9300" w:type="dxa"/>
          <w:tblCellMar>
            <w:left w:w="0" w:type="dxa"/>
            <w:right w:w="0" w:type="dxa"/>
          </w:tblCellMar>
          <w:tblLook w:val="04A0"/>
        </w:tblPrEx>
        <w:trPr>
          <w:trHeight w:val="227"/>
        </w:trPr>
        <w:tc>
          <w:tcPr>
            <w:tcW w:w="342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sz w:val="16"/>
                <w:szCs w:val="16"/>
              </w:rPr>
              <w:t>Celková bilancia SPF</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5 395</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6 161</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6 163</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6 163</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6 456</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4 831</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3 821</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i/>
                <w:iCs/>
                <w:sz w:val="16"/>
                <w:szCs w:val="16"/>
              </w:rPr>
              <w:t>vylúčenie finančných operácií</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-5 218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-4 450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-230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-100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-40</w:t>
            </w:r>
          </w:p>
        </w:tc>
      </w:tr>
      <w:tr>
        <w:tblPrEx>
          <w:tblW w:w="9300" w:type="dxa"/>
          <w:tblCellMar>
            <w:left w:w="0" w:type="dxa"/>
            <w:right w:w="0" w:type="dxa"/>
          </w:tblCellMar>
          <w:tblLook w:val="04A0"/>
        </w:tblPrEx>
        <w:trPr>
          <w:trHeight w:val="2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rPr>
                <w:rFonts w:ascii="Times New Roman" w:hAnsi="Times New Roman"/>
              </w:rPr>
            </w:pPr>
            <w:r w:rsidRPr="0078555A">
              <w:rPr>
                <w:rFonts w:ascii="Times New Roman" w:hAnsi="Times New Roman"/>
                <w:i/>
                <w:iCs/>
                <w:sz w:val="16"/>
                <w:szCs w:val="16"/>
              </w:rPr>
              <w:t>z toho:</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   vylúčenie príjmových (FO)</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-5 218</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-5 467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-250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-230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-100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-40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sz w:val="16"/>
                <w:szCs w:val="16"/>
              </w:rPr>
              <w:t>    ▪   vylúčenie výdavkových (FO)</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1 017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sz w:val="16"/>
                <w:szCs w:val="16"/>
              </w:rPr>
              <w:t>0</w:t>
            </w:r>
          </w:p>
        </w:tc>
      </w:tr>
      <w:tr>
        <w:tblPrEx>
          <w:tblW w:w="9300" w:type="dxa"/>
          <w:tblCellMar>
            <w:left w:w="0" w:type="dxa"/>
            <w:right w:w="0" w:type="dxa"/>
          </w:tblCellMar>
          <w:tblLook w:val="04A0"/>
        </w:tblPrEx>
        <w:trPr>
          <w:trHeight w:val="227"/>
        </w:trPr>
        <w:tc>
          <w:tcPr>
            <w:tcW w:w="342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i/>
                <w:iCs/>
                <w:sz w:val="16"/>
                <w:szCs w:val="16"/>
              </w:rPr>
              <w:t>ostatné úpravy</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-5 337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547</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0</w:t>
            </w:r>
          </w:p>
        </w:tc>
        <w:tc>
          <w:tcPr>
            <w:tcW w:w="8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i/>
                <w:iCs/>
                <w:sz w:val="16"/>
                <w:szCs w:val="16"/>
              </w:rPr>
              <w:t>0</w:t>
            </w:r>
          </w:p>
        </w:tc>
      </w:tr>
      <w:tr>
        <w:tblPrEx>
          <w:tblW w:w="9300" w:type="dxa"/>
          <w:tblCellMar>
            <w:left w:w="0" w:type="dxa"/>
            <w:right w:w="0" w:type="dxa"/>
          </w:tblCellMar>
          <w:tblLook w:val="04A0"/>
        </w:tblPrEx>
        <w:trPr>
          <w:trHeight w:val="227"/>
        </w:trPr>
        <w:tc>
          <w:tcPr>
            <w:tcW w:w="342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rPr>
                <w:rFonts w:ascii="Times New Roman" w:hAnsi="Times New Roman"/>
              </w:rPr>
            </w:pPr>
            <w:r w:rsidRPr="0078555A">
              <w:rPr>
                <w:rFonts w:ascii="Times New Roman" w:hAnsi="Times New Roman"/>
                <w:b/>
                <w:bCs/>
                <w:sz w:val="16"/>
                <w:szCs w:val="16"/>
              </w:rPr>
              <w:t>Prebytok (+)/schodok (-)  SPF  (ESA 95)</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-5 160</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2 258</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5 913</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5 913</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6 226</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4 731</w:t>
            </w:r>
          </w:p>
        </w:tc>
        <w:tc>
          <w:tcPr>
            <w:tcW w:w="84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ind w:right="-46"/>
              <w:jc w:val="right"/>
              <w:rPr>
                <w:rFonts w:ascii="Times New Roman" w:hAnsi="Times New Roman"/>
              </w:rPr>
            </w:pPr>
            <w:r w:rsidRPr="0078555A">
              <w:rPr>
                <w:rFonts w:ascii="Times New Roman" w:hAnsi="Times New Roman"/>
                <w:b/>
                <w:bCs/>
                <w:sz w:val="16"/>
                <w:szCs w:val="16"/>
              </w:rPr>
              <w:t>3 781</w:t>
            </w:r>
          </w:p>
        </w:tc>
      </w:tr>
      <w:tr>
        <w:tblPrEx>
          <w:tblW w:w="9300" w:type="dxa"/>
          <w:tblCellMar>
            <w:left w:w="0" w:type="dxa"/>
            <w:right w:w="0" w:type="dxa"/>
          </w:tblCellMar>
          <w:tblLook w:val="04A0"/>
        </w:tblPrEx>
        <w:tc>
          <w:tcPr>
            <w:tcW w:w="342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4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4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4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4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4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4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4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r>
    </w:tbl>
    <w:p w:rsidR="007B1DFC" w:rsidRPr="0078555A" w:rsidP="007B1DFC">
      <w:pPr>
        <w:bidi w:val="0"/>
        <w:jc w:val="both"/>
        <w:rPr>
          <w:rFonts w:ascii="Times New Roman" w:hAnsi="Times New Roman"/>
        </w:rPr>
      </w:pPr>
      <w:bookmarkStart w:id="0" w:name="_GoBack"/>
      <w:bookmarkEnd w:id="0"/>
      <w:r w:rsidRPr="0078555A">
        <w:rPr>
          <w:rFonts w:ascii="Times New Roman" w:hAnsi="Times New Roman"/>
        </w:rPr>
        <w:t> </w:t>
      </w:r>
    </w:p>
    <w:p w:rsidR="007B1DFC" w:rsidRPr="0078555A" w:rsidP="007B1DFC">
      <w:pPr>
        <w:bidi w:val="0"/>
        <w:jc w:val="both"/>
        <w:rPr>
          <w:rFonts w:ascii="Times New Roman" w:hAnsi="Times New Roman"/>
        </w:rPr>
      </w:pPr>
      <w:r w:rsidRPr="0078555A">
        <w:rPr>
          <w:rFonts w:ascii="Times New Roman" w:hAnsi="Times New Roman"/>
        </w:rPr>
        <w:t>              Celkové príjmy Slovenského pozemkového fondu (ďalej len „SPF“) na rok 2012 sú rozpočtované v objeme 19 255 tis. eur. Ich výšku v jednotlivých rozpočtových rokoch ovplyvňuje vývoj príjmov z podnikania a vlastníctva majetku, ako aj vývoj kapitálových príjmov. Ide o príjmy z nájomného za prenajaté pozemky v správe SPF a príjmy z predaja majetku.</w:t>
      </w:r>
    </w:p>
    <w:p w:rsidR="007B1DFC" w:rsidRPr="0078555A" w:rsidP="007B1DFC">
      <w:pPr>
        <w:bidi w:val="0"/>
        <w:jc w:val="both"/>
        <w:rPr>
          <w:rFonts w:ascii="Times New Roman" w:hAnsi="Times New Roman"/>
        </w:rPr>
      </w:pPr>
      <w:r w:rsidRPr="0078555A">
        <w:rPr>
          <w:rFonts w:ascii="Times New Roman" w:hAnsi="Times New Roman"/>
        </w:rPr>
        <w:t> </w:t>
      </w:r>
    </w:p>
    <w:p w:rsidR="007B1DFC" w:rsidRPr="0078555A" w:rsidP="007B1DFC">
      <w:pPr>
        <w:bidi w:val="0"/>
        <w:jc w:val="both"/>
        <w:rPr>
          <w:rFonts w:ascii="Times New Roman" w:hAnsi="Times New Roman"/>
        </w:rPr>
      </w:pPr>
      <w:r w:rsidRPr="0078555A">
        <w:rPr>
          <w:rFonts w:ascii="Times New Roman" w:hAnsi="Times New Roman"/>
        </w:rPr>
        <w:t>              Dominantné postavenie v príjmovej časti navrhovaného rozpočtu SPF majú rozpočtované príjmy z podnikania a vlastníctva majetku podľa zákona č. 229/1991 Zb. o úprave vlastníckych vzťahov k pôde a inému poľnohospodárskemu majetku v znení neskorších predpisov a zákona č. 330/1991 Zb. o pozemkových úpravách, usporiadaní pozemkového vlastníctva, pozemkových úradoch, pozemkovom fonde a pozemkových spoločenstvách v znení neskorších predpisov, pozostávajúce v prevažnej miere z príjmov za nájomné zo spravovaných pozemkov. Na rok 2012 sa rozpočtujú v objeme 10 715 tis. eur, čo v porovnaní s očakávanou skutočnosťou roku 2011 predstavuje zníženie o 1 285 tis. eur, t. j. o 10,7 %. Uvedené zníženie je dôsledkom poklesu výmery prenajímanej pôdy z dôvodu jej predaja a identifikácie, dôsledkom uspokojovania reštitučných nárokov oprávnených osôb vydávaním pôdy v súlade s platnými zákonmi, ako aj faktu, že už viac rokov nedošlo k úprave - zvýšeniu nájomného za prenajímanú pôdu, ani k premietnutiu miery inflácie do nájomných zmlúv. Druhú rozhodujúcu položku v príjmovej časti rozpočtu SPF predstavujú kapitálové príjmy z predaja fondom spravovaných pozemkov a nehmotných aktív v objeme 7 700 tis. eur. Ich rozpočtovaný objem na rok 2012 je v porovnaní s očakávanou skutočnosťou roku 2011 nižší o 900 tis. eur a vychádza z kvalifikovaného odhadu vývoja predaja pôdy najmä z dôvodu plánovanej výstavby diaľnic podľa aktuálnych informácií z Národnej diaľničnej spoločnosti, a. s.</w:t>
      </w:r>
    </w:p>
    <w:p w:rsidR="007B1DFC" w:rsidRPr="0078555A" w:rsidP="007B1DFC">
      <w:pPr>
        <w:bidi w:val="0"/>
        <w:jc w:val="both"/>
        <w:rPr>
          <w:rFonts w:ascii="Times New Roman" w:hAnsi="Times New Roman"/>
        </w:rPr>
      </w:pPr>
      <w:r w:rsidRPr="0078555A">
        <w:rPr>
          <w:rFonts w:ascii="Times New Roman" w:hAnsi="Times New Roman"/>
        </w:rPr>
        <w:t> </w:t>
      </w:r>
    </w:p>
    <w:p w:rsidR="007B1DFC" w:rsidRPr="0078555A" w:rsidP="007B1DFC">
      <w:pPr>
        <w:bidi w:val="0"/>
        <w:jc w:val="both"/>
        <w:rPr>
          <w:rFonts w:ascii="Times New Roman" w:hAnsi="Times New Roman"/>
        </w:rPr>
      </w:pPr>
      <w:r w:rsidRPr="0078555A">
        <w:rPr>
          <w:rFonts w:ascii="Times New Roman" w:hAnsi="Times New Roman"/>
        </w:rPr>
        <w:t>              Celkové výdavky SPF sú rozpočtované na úrovni 12 799 tis. eur, čo v porovnaní s očakávanou skutočnosťou roku 2011 znamená pokles o 18,2 %. Dominantné postavenie v rámci rozpočtovaných výdavkov majú objemom 11 699 tis. eur bežné výdavky, ktorých financovanie pre SPF vyplýva z príslušných právnych predpisov upravujúcich jeho postavenie a činnosti. Ide o výdavky určené  na zabezpečenie financovania činnosti SPF, plnenia reštitučných nárokov oprávnených osôb a  usporiadania vlastníctva k pozemkom. Výdavky na mzdy a odvody sa rozpočtujú na úrovni schváleného rozpočtu roku 2011 a výdavky na tovary a služby rozpočtované v objeme 4 118 tis. eur klesajú v porovnaní s očakávanou skutočnosťou roku 2011 o 8,2 %. Bežné transfery sa rozpočtujú vo výške 2 338 tis. eur, čo je oproti očakávanej skutočnosti roku 2011 o 2 571 tis. eur menej a slúžia prevažne na plnenie reštitučných nárokov. Kapitálové výdavky rozpočtované v objeme 1 100 tis. eur sú v porovnaní s očakávanou skutočnosťou roku 2011 nižšie o 34,6 %.</w:t>
      </w:r>
    </w:p>
    <w:p w:rsidR="007B1DFC" w:rsidRPr="0078555A" w:rsidP="007B1DFC">
      <w:pPr>
        <w:bidi w:val="0"/>
        <w:jc w:val="both"/>
        <w:rPr>
          <w:rFonts w:ascii="Times New Roman" w:hAnsi="Times New Roman"/>
        </w:rPr>
      </w:pPr>
      <w:r w:rsidRPr="0078555A">
        <w:rPr>
          <w:rFonts w:ascii="Times New Roman" w:hAnsi="Times New Roman"/>
        </w:rPr>
        <w:t> </w:t>
      </w:r>
    </w:p>
    <w:p w:rsidR="007B1DFC" w:rsidRPr="0078555A" w:rsidP="007B1DFC">
      <w:pPr>
        <w:bidi w:val="0"/>
        <w:jc w:val="both"/>
        <w:rPr>
          <w:rFonts w:ascii="Times New Roman" w:hAnsi="Times New Roman"/>
        </w:rPr>
      </w:pPr>
      <w:r w:rsidRPr="0078555A">
        <w:rPr>
          <w:rFonts w:ascii="Times New Roman" w:hAnsi="Times New Roman"/>
        </w:rPr>
        <w:t xml:space="preserve">              Celkový hotovostný prebytok hospodárenia SPF na rok 2012 sa predpokladá v objeme 6,5 mil. eur, na rok 2013 v objeme 4,8 mil. eur a na rok 2014 v objeme 3,8 mil. eur. V metodike ESA 95 sa predpokladá prebytok v roku 2012 na úrovni 6,2 mil. eur, v roku 2013 na úrovni 4,7 mil. eur a v roku 2014 vo výške 3,8 mil. eur. </w:t>
      </w:r>
    </w:p>
    <w:p w:rsidR="007B1DFC" w:rsidRPr="007B1DFC" w:rsidP="007B1DFC">
      <w:pPr>
        <w:bidi w:val="0"/>
        <w:jc w:val="both"/>
        <w:rPr>
          <w:rFonts w:ascii="Times New Roman" w:hAnsi="Times New Roman"/>
          <w:color w:val="FF0000"/>
        </w:rPr>
      </w:pPr>
    </w:p>
    <w:p w:rsidR="007B1DFC" w:rsidRPr="007B1DFC" w:rsidP="007B1DFC">
      <w:pPr>
        <w:keepNext/>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6D0189" w:rsidP="007B1DFC">
      <w:pPr>
        <w:bidi w:val="0"/>
        <w:outlineLvl w:val="0"/>
        <w:rPr>
          <w:rFonts w:ascii="Times New Roman" w:hAnsi="Times New Roman"/>
          <w:b/>
          <w:bCs/>
          <w:color w:val="FF0000"/>
          <w:kern w:val="36"/>
        </w:rPr>
      </w:pPr>
    </w:p>
    <w:p w:rsidR="006D0189" w:rsidP="007B1DFC">
      <w:pPr>
        <w:bidi w:val="0"/>
        <w:outlineLvl w:val="0"/>
        <w:rPr>
          <w:rFonts w:ascii="Times New Roman" w:hAnsi="Times New Roman"/>
          <w:b/>
          <w:bCs/>
          <w:color w:val="FF0000"/>
          <w:kern w:val="36"/>
        </w:rPr>
      </w:pPr>
    </w:p>
    <w:p w:rsidR="006D0189" w:rsidP="007B1DFC">
      <w:pPr>
        <w:bidi w:val="0"/>
        <w:outlineLvl w:val="0"/>
        <w:rPr>
          <w:rFonts w:ascii="Times New Roman" w:hAnsi="Times New Roman"/>
          <w:b/>
          <w:bCs/>
          <w:color w:val="FF0000"/>
          <w:kern w:val="36"/>
        </w:rPr>
      </w:pPr>
    </w:p>
    <w:p w:rsidR="006D0189" w:rsidP="007B1DFC">
      <w:pPr>
        <w:bidi w:val="0"/>
        <w:outlineLvl w:val="0"/>
        <w:rPr>
          <w:rFonts w:ascii="Times New Roman" w:hAnsi="Times New Roman"/>
          <w:b/>
          <w:bCs/>
          <w:color w:val="FF0000"/>
          <w:kern w:val="36"/>
        </w:rPr>
      </w:pPr>
    </w:p>
    <w:p w:rsidR="007B1DFC" w:rsidRPr="007B1DFC" w:rsidP="007B1DFC">
      <w:pPr>
        <w:bidi w:val="0"/>
        <w:outlineLvl w:val="0"/>
        <w:rPr>
          <w:rFonts w:ascii="Times New Roman" w:hAnsi="Times New Roman"/>
          <w:b/>
          <w:bCs/>
          <w:color w:val="FF0000"/>
          <w:kern w:val="36"/>
          <w:sz w:val="48"/>
          <w:szCs w:val="48"/>
        </w:rPr>
      </w:pPr>
      <w:r w:rsidRPr="007B1DFC">
        <w:rPr>
          <w:rFonts w:ascii="Times New Roman" w:hAnsi="Times New Roman"/>
          <w:b/>
          <w:bCs/>
          <w:color w:val="FF0000"/>
          <w:kern w:val="36"/>
        </w:rPr>
        <w:t> </w:t>
      </w:r>
    </w:p>
    <w:p w:rsidR="007B1DFC" w:rsidP="007B1DFC">
      <w:pPr>
        <w:bidi w:val="0"/>
        <w:outlineLvl w:val="0"/>
        <w:rPr>
          <w:rFonts w:ascii="Times New Roman" w:hAnsi="Times New Roman"/>
          <w:b/>
          <w:bCs/>
          <w:color w:val="FF0000"/>
          <w:kern w:val="36"/>
        </w:rPr>
      </w:pPr>
      <w:r w:rsidRPr="007B1DFC">
        <w:rPr>
          <w:rFonts w:ascii="Times New Roman" w:hAnsi="Times New Roman"/>
          <w:b/>
          <w:bCs/>
          <w:color w:val="FF0000"/>
          <w:kern w:val="36"/>
        </w:rPr>
        <w:t> </w:t>
      </w:r>
    </w:p>
    <w:p w:rsidR="007B1DFC" w:rsidP="007B1DFC">
      <w:pPr>
        <w:bidi w:val="0"/>
        <w:rPr>
          <w:rFonts w:ascii="Times New Roman" w:hAnsi="Times New Roman"/>
          <w:b/>
          <w:bCs/>
          <w:color w:val="FF0000"/>
          <w:kern w:val="36"/>
          <w:sz w:val="48"/>
          <w:szCs w:val="48"/>
        </w:rPr>
      </w:pPr>
    </w:p>
    <w:p w:rsidR="006C2589" w:rsidRPr="005B211D" w:rsidP="005B211D">
      <w:pPr>
        <w:bidi w:val="0"/>
        <w:rPr>
          <w:rFonts w:ascii="Times New Roman" w:hAnsi="Times New Roman"/>
          <w:color w:val="FF0000"/>
        </w:rPr>
      </w:pPr>
      <w:r w:rsidRPr="006C2589">
        <w:rPr>
          <w:rFonts w:ascii="Times New Roman" w:hAnsi="Times New Roman"/>
          <w:b/>
          <w:bCs/>
          <w:kern w:val="36"/>
        </w:rPr>
        <w:t>6. Fond národného majetku Slovenskej republiky</w:t>
      </w:r>
    </w:p>
    <w:p w:rsidR="006C2589" w:rsidRPr="006C2589" w:rsidP="00A64696">
      <w:pPr>
        <w:bidi w:val="0"/>
        <w:jc w:val="both"/>
        <w:rPr>
          <w:rFonts w:ascii="Times New Roman" w:hAnsi="Times New Roman"/>
        </w:rPr>
      </w:pPr>
      <w:r w:rsidRPr="006C2589">
        <w:rPr>
          <w:rFonts w:ascii="Times New Roman" w:hAnsi="Times New Roman"/>
          <w:b/>
          <w:bCs/>
        </w:rPr>
        <w:t> </w:t>
      </w:r>
    </w:p>
    <w:tbl>
      <w:tblPr>
        <w:tblStyle w:val="TableNormal"/>
        <w:tblW w:w="9080" w:type="dxa"/>
        <w:tblCellMar>
          <w:left w:w="0" w:type="dxa"/>
          <w:right w:w="0" w:type="dxa"/>
        </w:tblCellMar>
        <w:tblLook w:val="04A0"/>
      </w:tblPr>
      <w:tblGrid>
        <w:gridCol w:w="3340"/>
        <w:gridCol w:w="820"/>
        <w:gridCol w:w="820"/>
        <w:gridCol w:w="820"/>
        <w:gridCol w:w="820"/>
        <w:gridCol w:w="820"/>
        <w:gridCol w:w="820"/>
        <w:gridCol w:w="820"/>
      </w:tblGrid>
      <w:tr>
        <w:tblPrEx>
          <w:tblW w:w="9080" w:type="dxa"/>
          <w:tblCellMar>
            <w:left w:w="0" w:type="dxa"/>
            <w:right w:w="0" w:type="dxa"/>
          </w:tblCellMar>
          <w:tblLook w:val="04A0"/>
        </w:tblPrEx>
        <w:trPr>
          <w:trHeight w:val="227"/>
        </w:trPr>
        <w:tc>
          <w:tcPr>
            <w:tcW w:w="3340"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sz w:val="16"/>
                <w:szCs w:val="16"/>
              </w:rPr>
              <w:t>v tis. eur</w:t>
            </w:r>
          </w:p>
        </w:tc>
        <w:tc>
          <w:tcPr>
            <w:tcW w:w="820" w:type="dxa"/>
            <w:tcBorders>
              <w:top w:val="single" w:sz="4" w:space="0" w:color="000000"/>
              <w:left w:val="nil"/>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2009 S</w:t>
            </w:r>
          </w:p>
        </w:tc>
        <w:tc>
          <w:tcPr>
            <w:tcW w:w="820" w:type="dxa"/>
            <w:tcBorders>
              <w:top w:val="single" w:sz="4" w:space="0" w:color="000000"/>
              <w:left w:val="nil"/>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2010 S</w:t>
            </w:r>
          </w:p>
        </w:tc>
        <w:tc>
          <w:tcPr>
            <w:tcW w:w="820" w:type="dxa"/>
            <w:tcBorders>
              <w:top w:val="single" w:sz="4" w:space="0" w:color="000000"/>
              <w:left w:val="nil"/>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2011 R</w:t>
            </w:r>
          </w:p>
        </w:tc>
        <w:tc>
          <w:tcPr>
            <w:tcW w:w="820" w:type="dxa"/>
            <w:tcBorders>
              <w:top w:val="single" w:sz="4" w:space="0" w:color="000000"/>
              <w:left w:val="nil"/>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 xml:space="preserve">2011 OS  </w:t>
            </w:r>
          </w:p>
        </w:tc>
        <w:tc>
          <w:tcPr>
            <w:tcW w:w="820" w:type="dxa"/>
            <w:tcBorders>
              <w:top w:val="single" w:sz="4" w:space="0" w:color="000000"/>
              <w:left w:val="nil"/>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2012 N</w:t>
            </w:r>
          </w:p>
        </w:tc>
        <w:tc>
          <w:tcPr>
            <w:tcW w:w="820" w:type="dxa"/>
            <w:tcBorders>
              <w:top w:val="single" w:sz="4" w:space="0" w:color="000000"/>
              <w:left w:val="nil"/>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2013 N</w:t>
            </w:r>
          </w:p>
        </w:tc>
        <w:tc>
          <w:tcPr>
            <w:tcW w:w="820" w:type="dxa"/>
            <w:tcBorders>
              <w:top w:val="single" w:sz="4" w:space="0" w:color="000000"/>
              <w:left w:val="nil"/>
              <w:bottom w:val="single" w:sz="4" w:space="0" w:color="000000"/>
              <w:right w:val="single" w:sz="4" w:space="0" w:color="000000"/>
            </w:tcBorders>
            <w:shd w:val="clear" w:color="auto" w:fill="A6A6A6"/>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2014 N</w:t>
            </w:r>
          </w:p>
        </w:tc>
      </w:tr>
      <w:tr>
        <w:tblPrEx>
          <w:tblW w:w="9080" w:type="dxa"/>
          <w:tblCellMar>
            <w:left w:w="0" w:type="dxa"/>
            <w:right w:w="0" w:type="dxa"/>
          </w:tblCellMar>
          <w:tblLook w:val="04A0"/>
        </w:tblPrEx>
        <w:trPr>
          <w:trHeight w:val="227"/>
        </w:trPr>
        <w:tc>
          <w:tcPr>
            <w:tcW w:w="334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sz w:val="16"/>
                <w:szCs w:val="16"/>
              </w:rPr>
              <w:t>Príjmy FNM SR spolu</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887 747</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888 590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344 306</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695 190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rsidP="000235B4">
            <w:pPr>
              <w:bidi w:val="0"/>
              <w:spacing w:line="227" w:lineRule="atLeast"/>
              <w:jc w:val="right"/>
              <w:rPr>
                <w:rFonts w:ascii="Times New Roman" w:hAnsi="Times New Roman"/>
              </w:rPr>
            </w:pPr>
            <w:r w:rsidRPr="006C2589">
              <w:rPr>
                <w:rFonts w:ascii="Times New Roman" w:hAnsi="Times New Roman"/>
                <w:b/>
                <w:bCs/>
                <w:sz w:val="16"/>
                <w:szCs w:val="16"/>
              </w:rPr>
              <w:t>3</w:t>
            </w:r>
            <w:r w:rsidR="000235B4">
              <w:rPr>
                <w:rFonts w:ascii="Times New Roman" w:hAnsi="Times New Roman"/>
                <w:b/>
                <w:bCs/>
                <w:sz w:val="16"/>
                <w:szCs w:val="16"/>
              </w:rPr>
              <w:t>9</w:t>
            </w:r>
            <w:r w:rsidRPr="006C2589">
              <w:rPr>
                <w:rFonts w:ascii="Times New Roman" w:hAnsi="Times New Roman"/>
                <w:b/>
                <w:bCs/>
                <w:sz w:val="16"/>
                <w:szCs w:val="16"/>
              </w:rPr>
              <w:t>1 569</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358 452</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353 688</w:t>
            </w:r>
          </w:p>
        </w:tc>
      </w:tr>
      <w:tr>
        <w:tblPrEx>
          <w:tblW w:w="9080" w:type="dxa"/>
          <w:tblCellMar>
            <w:left w:w="0" w:type="dxa"/>
            <w:right w:w="0" w:type="dxa"/>
          </w:tblCellMar>
          <w:tblLook w:val="04A0"/>
        </w:tblPrEx>
        <w:trPr>
          <w:trHeight w:val="2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z toho:</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ost.nedaň.príjmy (úroky a iné príjmy)</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2 358</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1 825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425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1 300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303</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303</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príjmy z dividend</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599 595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544 230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298 204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439 055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rsidP="000235B4">
            <w:pPr>
              <w:bidi w:val="0"/>
              <w:spacing w:line="227" w:lineRule="atLeast"/>
              <w:jc w:val="right"/>
              <w:rPr>
                <w:rFonts w:ascii="Times New Roman" w:hAnsi="Times New Roman"/>
              </w:rPr>
            </w:pPr>
            <w:r w:rsidRPr="006C2589">
              <w:rPr>
                <w:rFonts w:ascii="Times New Roman" w:hAnsi="Times New Roman"/>
                <w:sz w:val="16"/>
                <w:szCs w:val="16"/>
              </w:rPr>
              <w:t>3</w:t>
            </w:r>
            <w:r w:rsidR="000235B4">
              <w:rPr>
                <w:rFonts w:ascii="Times New Roman" w:hAnsi="Times New Roman"/>
                <w:sz w:val="16"/>
                <w:szCs w:val="16"/>
              </w:rPr>
              <w:t>8</w:t>
            </w:r>
            <w:r w:rsidRPr="006C2589">
              <w:rPr>
                <w:rFonts w:ascii="Times New Roman" w:hAnsi="Times New Roman"/>
                <w:sz w:val="16"/>
                <w:szCs w:val="16"/>
              </w:rPr>
              <w:t>5 864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358 084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353 355</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rPr>
                <w:rFonts w:ascii="Times New Roman" w:hAnsi="Times New Roman"/>
              </w:rPr>
            </w:pPr>
            <w:r w:rsidRPr="006C2589">
              <w:rPr>
                <w:rFonts w:ascii="Times New Roman" w:hAnsi="Times New Roman"/>
                <w:sz w:val="16"/>
                <w:szCs w:val="16"/>
              </w:rPr>
              <w:t xml:space="preserve">    ▪   príjmy z transakcií s fin. akt. a pas.(FO), </w:t>
            </w:r>
          </w:p>
          <w:p w:rsidR="006C2589" w:rsidRPr="006C2589">
            <w:pPr>
              <w:bidi w:val="0"/>
              <w:spacing w:line="227" w:lineRule="atLeast"/>
              <w:rPr>
                <w:rFonts w:ascii="Times New Roman" w:hAnsi="Times New Roman"/>
              </w:rPr>
            </w:pPr>
            <w:r w:rsidRPr="006C2589">
              <w:rPr>
                <w:rFonts w:ascii="Times New Roman" w:hAnsi="Times New Roman"/>
                <w:sz w:val="16"/>
                <w:szCs w:val="16"/>
              </w:rPr>
              <w:t xml:space="preserve">      z toho: </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285 794</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342 535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45 677</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254 835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5 402</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62</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ind w:firstLine="320"/>
              <w:rPr>
                <w:rFonts w:ascii="Times New Roman" w:hAnsi="Times New Roman"/>
              </w:rPr>
            </w:pPr>
            <w:r w:rsidRPr="006C2589">
              <w:rPr>
                <w:rFonts w:ascii="Times New Roman" w:hAnsi="Times New Roman"/>
                <w:sz w:val="16"/>
                <w:szCs w:val="16"/>
              </w:rPr>
              <w:t>      príjmy z privatizácie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17</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17</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17</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17</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17</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ind w:firstLine="320"/>
              <w:rPr>
                <w:rFonts w:ascii="Times New Roman" w:hAnsi="Times New Roman"/>
              </w:rPr>
            </w:pPr>
            <w:r w:rsidRPr="006C2589">
              <w:rPr>
                <w:rFonts w:ascii="Times New Roman" w:hAnsi="Times New Roman"/>
                <w:sz w:val="16"/>
                <w:szCs w:val="16"/>
              </w:rPr>
              <w:t>      ostatné finančné operácie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23</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90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90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ind w:firstLine="320"/>
              <w:rPr>
                <w:rFonts w:ascii="Times New Roman" w:hAnsi="Times New Roman"/>
              </w:rPr>
            </w:pPr>
            <w:r w:rsidRPr="006C2589">
              <w:rPr>
                <w:rFonts w:ascii="Times New Roman" w:hAnsi="Times New Roman"/>
                <w:sz w:val="16"/>
                <w:szCs w:val="16"/>
              </w:rPr>
              <w:t>      zostatok pros. z pred. rokov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285 775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342 495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45 570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254 700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5 335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r>
      <w:tr>
        <w:tblPrEx>
          <w:tblW w:w="9080" w:type="dxa"/>
          <w:tblCellMar>
            <w:left w:w="0" w:type="dxa"/>
            <w:right w:w="0" w:type="dxa"/>
          </w:tblCellMar>
          <w:tblLook w:val="04A0"/>
        </w:tblPrEx>
        <w:trPr>
          <w:trHeight w:val="227"/>
        </w:trPr>
        <w:tc>
          <w:tcPr>
            <w:tcW w:w="334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sz w:val="16"/>
                <w:szCs w:val="16"/>
              </w:rPr>
              <w:t>Výdavky FNM SR spolu</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547 247</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633 890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323 216</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689 855</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rsidP="000235B4">
            <w:pPr>
              <w:bidi w:val="0"/>
              <w:spacing w:line="227" w:lineRule="atLeast"/>
              <w:jc w:val="right"/>
              <w:rPr>
                <w:rFonts w:ascii="Times New Roman" w:hAnsi="Times New Roman"/>
              </w:rPr>
            </w:pPr>
            <w:r w:rsidRPr="006C2589">
              <w:rPr>
                <w:rFonts w:ascii="Times New Roman" w:hAnsi="Times New Roman"/>
                <w:b/>
                <w:bCs/>
                <w:sz w:val="16"/>
                <w:szCs w:val="16"/>
              </w:rPr>
              <w:t>4</w:t>
            </w:r>
            <w:r w:rsidR="000235B4">
              <w:rPr>
                <w:rFonts w:ascii="Times New Roman" w:hAnsi="Times New Roman"/>
                <w:b/>
                <w:bCs/>
                <w:sz w:val="16"/>
                <w:szCs w:val="16"/>
              </w:rPr>
              <w:t>1</w:t>
            </w:r>
            <w:r w:rsidRPr="006C2589">
              <w:rPr>
                <w:rFonts w:ascii="Times New Roman" w:hAnsi="Times New Roman"/>
                <w:b/>
                <w:bCs/>
                <w:sz w:val="16"/>
                <w:szCs w:val="16"/>
              </w:rPr>
              <w:t>5 269</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365 162</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359 338</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z toho:</w:t>
            </w:r>
          </w:p>
        </w:tc>
        <w:tc>
          <w:tcPr>
            <w:tcW w:w="820" w:type="dxa"/>
            <w:tcBorders>
              <w:top w:val="nil"/>
              <w:left w:val="nil"/>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xml:space="preserve">    ▪   transfer do ŠFA </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531 879</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611 946</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312 069</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652 920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rsidP="000235B4">
            <w:pPr>
              <w:bidi w:val="0"/>
              <w:spacing w:line="227" w:lineRule="atLeast"/>
              <w:jc w:val="right"/>
              <w:rPr>
                <w:rFonts w:ascii="Times New Roman" w:hAnsi="Times New Roman"/>
              </w:rPr>
            </w:pPr>
            <w:r w:rsidRPr="006C2589">
              <w:rPr>
                <w:rFonts w:ascii="Times New Roman" w:hAnsi="Times New Roman"/>
                <w:sz w:val="16"/>
                <w:szCs w:val="16"/>
              </w:rPr>
              <w:t>3</w:t>
            </w:r>
            <w:r w:rsidR="000235B4">
              <w:rPr>
                <w:rFonts w:ascii="Times New Roman" w:hAnsi="Times New Roman"/>
                <w:sz w:val="16"/>
                <w:szCs w:val="16"/>
              </w:rPr>
              <w:t>8</w:t>
            </w:r>
            <w:r w:rsidRPr="006C2589">
              <w:rPr>
                <w:rFonts w:ascii="Times New Roman" w:hAnsi="Times New Roman"/>
                <w:sz w:val="16"/>
                <w:szCs w:val="16"/>
              </w:rPr>
              <w:t>5 864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358 084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353 355</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výdavky spojené s činnosťou FNM SR</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3 810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4 056</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3 074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3 074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3 001</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2 829</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1 998</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úhrada nákladov spojených s privatizáciou</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1 411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1 020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1 362</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7 640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13 645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1 181</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1 093</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výdavky spojené s reštitučnými nárokmi</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7 158</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7 049</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966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967</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766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766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766</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xml:space="preserve">    ▪   úhrada nákladov  v dôsl. odstúp.od zmluvy </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760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99</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484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210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135</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rPr>
                <w:rFonts w:ascii="Times New Roman" w:hAnsi="Times New Roman"/>
              </w:rPr>
            </w:pPr>
            <w:r w:rsidRPr="006C2589">
              <w:rPr>
                <w:rFonts w:ascii="Times New Roman" w:hAnsi="Times New Roman"/>
                <w:sz w:val="16"/>
                <w:szCs w:val="16"/>
              </w:rPr>
              <w:t xml:space="preserve">    ▪   na ďalšie účely (osobitný predpis) CP fyz. </w:t>
            </w:r>
          </w:p>
          <w:p w:rsidR="006C2589" w:rsidRPr="006C2589">
            <w:pPr>
              <w:bidi w:val="0"/>
              <w:spacing w:line="227" w:lineRule="atLeast"/>
              <w:rPr>
                <w:rFonts w:ascii="Times New Roman" w:hAnsi="Times New Roman"/>
              </w:rPr>
            </w:pPr>
            <w:r w:rsidRPr="006C2589">
              <w:rPr>
                <w:rFonts w:ascii="Times New Roman" w:hAnsi="Times New Roman"/>
                <w:sz w:val="16"/>
                <w:szCs w:val="16"/>
              </w:rPr>
              <w:t>        osoby</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1 640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8 944</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3 000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7 750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9 500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výdavky FNM SR (§ 15)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1 600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1 600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1 500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1 400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1 300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výdavky FNM SR (§ 30)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6</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453</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ostatné</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8</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7</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6</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splátka dlhopisov FNM SR</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322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363</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354</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354</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z toho:  úrok</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27</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29</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29</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28</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28</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28</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istina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113</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104</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daň</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7</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5</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poplatok</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155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188</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155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i/>
                <w:iCs/>
                <w:sz w:val="16"/>
                <w:szCs w:val="16"/>
              </w:rPr>
              <w:t>161</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účasť na majetku a iné FO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278</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330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15 000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330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330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330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ostatné výdavkové fin. operácie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w:t>
            </w:r>
          </w:p>
        </w:tc>
      </w:tr>
      <w:tr>
        <w:tblPrEx>
          <w:tblW w:w="9080" w:type="dxa"/>
          <w:tblCellMar>
            <w:left w:w="0" w:type="dxa"/>
            <w:right w:w="0" w:type="dxa"/>
          </w:tblCellMar>
          <w:tblLook w:val="04A0"/>
        </w:tblPrEx>
        <w:trPr>
          <w:trHeight w:val="227"/>
        </w:trPr>
        <w:tc>
          <w:tcPr>
            <w:tcW w:w="334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sz w:val="16"/>
                <w:szCs w:val="16"/>
              </w:rPr>
              <w:t>Celková bilancia FNM SR</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340 500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254 700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21 090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5 335</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-23 700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-6 710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-5 650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i/>
                <w:iCs/>
                <w:sz w:val="16"/>
                <w:szCs w:val="16"/>
              </w:rPr>
              <w:t>vylúčenie finančných operácií</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-285 403</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-342 431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-45 178</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-239 666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-4 911</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429</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461</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i/>
                <w:iCs/>
                <w:sz w:val="16"/>
                <w:szCs w:val="16"/>
              </w:rPr>
              <w:t>   z toho:</w:t>
            </w:r>
          </w:p>
        </w:tc>
        <w:tc>
          <w:tcPr>
            <w:tcW w:w="820" w:type="dxa"/>
            <w:tcBorders>
              <w:top w:val="nil"/>
              <w:left w:val="nil"/>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nil"/>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 </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vylúčenie príjmových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-285 794</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-342 535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-45 677</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-254 835</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-5 402</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-62</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vylúčenie výdavkových (FO)</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391</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104</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499</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15 169</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491</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491</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491</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i/>
                <w:iCs/>
                <w:sz w:val="16"/>
                <w:szCs w:val="16"/>
              </w:rPr>
              <w:t>  zahrnutie položiek časového rozlíšenia</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-1 922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873</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1 600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časové rozlíšenie výdavkov (§ 15)</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1 600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one" w:sz="0" w:space="0" w:color="auto"/>
              <w:left w:val="none" w:sz="0" w:space="0" w:color="auto"/>
              <w:bottom w:val="none" w:sz="0" w:space="0" w:color="auto"/>
              <w:right w:val="none" w:sz="0" w:space="0" w:color="auto"/>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single" w:sz="4" w:space="0" w:color="000000"/>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sz w:val="16"/>
                <w:szCs w:val="16"/>
              </w:rPr>
              <w:t>    ▪   časové rozlíšenie výdavkov (§ 30)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sz w:val="16"/>
                <w:szCs w:val="16"/>
              </w:rPr>
              <w:t>0</w:t>
            </w:r>
          </w:p>
        </w:tc>
      </w:tr>
      <w:tr>
        <w:tblPrEx>
          <w:tblW w:w="9080" w:type="dxa"/>
          <w:tblCellMar>
            <w:left w:w="0" w:type="dxa"/>
            <w:right w:w="0" w:type="dxa"/>
          </w:tblCellMar>
          <w:tblLook w:val="04A0"/>
        </w:tblPrEx>
        <w:trPr>
          <w:trHeight w:val="227"/>
        </w:trPr>
        <w:tc>
          <w:tcPr>
            <w:tcW w:w="334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i/>
                <w:iCs/>
                <w:sz w:val="16"/>
                <w:szCs w:val="16"/>
              </w:rPr>
              <w:t>  ostatné úpravy</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-133 267</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-126 412</w:t>
            </w:r>
          </w:p>
        </w:tc>
        <w:tc>
          <w:tcPr>
            <w:tcW w:w="8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-65 076</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c>
          <w:tcPr>
            <w:tcW w:w="820"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i/>
                <w:iCs/>
                <w:sz w:val="16"/>
                <w:szCs w:val="16"/>
              </w:rPr>
              <w:t>0</w:t>
            </w:r>
          </w:p>
        </w:tc>
      </w:tr>
      <w:tr>
        <w:tblPrEx>
          <w:tblW w:w="9080" w:type="dxa"/>
          <w:tblCellMar>
            <w:left w:w="0" w:type="dxa"/>
            <w:right w:w="0" w:type="dxa"/>
          </w:tblCellMar>
          <w:tblLook w:val="04A0"/>
        </w:tblPrEx>
        <w:trPr>
          <w:trHeight w:val="227"/>
        </w:trPr>
        <w:tc>
          <w:tcPr>
            <w:tcW w:w="334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rPr>
                <w:rFonts w:ascii="Times New Roman" w:hAnsi="Times New Roman"/>
              </w:rPr>
            </w:pPr>
            <w:r w:rsidRPr="006C2589">
              <w:rPr>
                <w:rFonts w:ascii="Times New Roman" w:hAnsi="Times New Roman"/>
                <w:b/>
                <w:bCs/>
                <w:sz w:val="16"/>
                <w:szCs w:val="16"/>
              </w:rPr>
              <w:t>Prebytok (+)/schodok (-) FNM SR   (ESA 95)</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-80 092</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-213 270</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-22 488</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-299 407</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-28 611</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-6 281</w:t>
            </w:r>
          </w:p>
        </w:tc>
        <w:tc>
          <w:tcPr>
            <w:tcW w:w="820" w:type="dxa"/>
            <w:tcBorders>
              <w:top w:val="single" w:sz="4" w:space="0" w:color="000000"/>
              <w:left w:val="nil"/>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6C2589" w:rsidRPr="006C2589">
            <w:pPr>
              <w:bidi w:val="0"/>
              <w:spacing w:line="227" w:lineRule="atLeast"/>
              <w:jc w:val="right"/>
              <w:rPr>
                <w:rFonts w:ascii="Times New Roman" w:hAnsi="Times New Roman"/>
              </w:rPr>
            </w:pPr>
            <w:r w:rsidRPr="006C2589">
              <w:rPr>
                <w:rFonts w:ascii="Times New Roman" w:hAnsi="Times New Roman"/>
                <w:b/>
                <w:bCs/>
                <w:sz w:val="16"/>
                <w:szCs w:val="16"/>
              </w:rPr>
              <w:t>-5 189</w:t>
            </w:r>
          </w:p>
        </w:tc>
      </w:tr>
      <w:tr>
        <w:tblPrEx>
          <w:tblW w:w="9080" w:type="dxa"/>
          <w:tblCellMar>
            <w:left w:w="0" w:type="dxa"/>
            <w:right w:w="0" w:type="dxa"/>
          </w:tblCellMar>
          <w:tblLook w:val="04A0"/>
        </w:tblPrEx>
        <w:tc>
          <w:tcPr>
            <w:tcW w:w="334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c>
          <w:tcPr>
            <w:tcW w:w="82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c>
          <w:tcPr>
            <w:tcW w:w="82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c>
          <w:tcPr>
            <w:tcW w:w="82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c>
          <w:tcPr>
            <w:tcW w:w="82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c>
          <w:tcPr>
            <w:tcW w:w="82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c>
          <w:tcPr>
            <w:tcW w:w="82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c>
          <w:tcPr>
            <w:tcW w:w="820" w:type="dxa"/>
            <w:tcBorders>
              <w:top w:val="none" w:sz="0" w:space="0" w:color="auto"/>
              <w:left w:val="none" w:sz="0" w:space="0" w:color="auto"/>
              <w:bottom w:val="none" w:sz="0" w:space="0" w:color="auto"/>
              <w:right w:val="none" w:sz="0" w:space="0" w:color="auto"/>
            </w:tcBorders>
            <w:textDirection w:val="lrTb"/>
            <w:vAlign w:val="center"/>
            <w:hideMark/>
          </w:tcPr>
          <w:p w:rsidR="006C2589" w:rsidRPr="006C2589">
            <w:pPr>
              <w:bidi w:val="0"/>
              <w:rPr>
                <w:rFonts w:ascii="Calibri" w:hAnsi="Calibri"/>
                <w:sz w:val="22"/>
                <w:szCs w:val="22"/>
              </w:rPr>
            </w:pPr>
          </w:p>
        </w:tc>
      </w:tr>
    </w:tbl>
    <w:p w:rsidR="006C2589" w:rsidRPr="006C2589" w:rsidP="007C26EE">
      <w:pPr>
        <w:bidi w:val="0"/>
        <w:ind w:firstLine="709"/>
        <w:jc w:val="both"/>
        <w:rPr>
          <w:rFonts w:ascii="Times New Roman" w:hAnsi="Times New Roman"/>
        </w:rPr>
      </w:pPr>
      <w:r w:rsidRPr="006C2589">
        <w:rPr>
          <w:rFonts w:ascii="Times New Roman" w:hAnsi="Times New Roman"/>
          <w:sz w:val="22"/>
          <w:szCs w:val="22"/>
        </w:rPr>
        <w:t> </w:t>
      </w:r>
    </w:p>
    <w:p w:rsidR="006C2589" w:rsidRPr="006C2589" w:rsidP="007C26EE">
      <w:pPr>
        <w:bidi w:val="0"/>
        <w:ind w:firstLine="709"/>
        <w:jc w:val="both"/>
        <w:rPr>
          <w:rFonts w:ascii="Times New Roman" w:hAnsi="Times New Roman"/>
        </w:rPr>
      </w:pPr>
      <w:r w:rsidRPr="006C2589">
        <w:rPr>
          <w:rFonts w:ascii="Times New Roman" w:hAnsi="Times New Roman"/>
        </w:rPr>
        <w:t>Príjmy Fondu národného majetku Slovenskej republiky (ďalej len „FNM SR“) na rok 2012 sú rozpočtované v sume 3</w:t>
      </w:r>
      <w:r w:rsidR="000235B4">
        <w:rPr>
          <w:rFonts w:ascii="Times New Roman" w:hAnsi="Times New Roman"/>
        </w:rPr>
        <w:t>9</w:t>
      </w:r>
      <w:r w:rsidRPr="006C2589">
        <w:rPr>
          <w:rFonts w:ascii="Times New Roman" w:hAnsi="Times New Roman"/>
        </w:rPr>
        <w:t>1 569 tis. eur. Najvýznamnejšou príjmovou položkou sú príjmy z dividend od spoločností s majetkovou účasťou FNM SR, ktorých výška závisí od vývoja hospodárskeho výsledku a od spôsobu rozdelenia zisku v týchto spoločnostiach. V roku 2012 sa objem dividend predpokladá v sume 3</w:t>
      </w:r>
      <w:r w:rsidR="000235B4">
        <w:rPr>
          <w:rFonts w:ascii="Times New Roman" w:hAnsi="Times New Roman"/>
        </w:rPr>
        <w:t>8</w:t>
      </w:r>
      <w:r w:rsidRPr="006C2589">
        <w:rPr>
          <w:rFonts w:ascii="Times New Roman" w:hAnsi="Times New Roman"/>
        </w:rPr>
        <w:t>5 864  tis. eur, čo je oproti očakávanej skutočnosti roku 2011 menej o </w:t>
      </w:r>
      <w:r w:rsidR="000235B4">
        <w:rPr>
          <w:rFonts w:ascii="Times New Roman" w:hAnsi="Times New Roman"/>
        </w:rPr>
        <w:t>5</w:t>
      </w:r>
      <w:r w:rsidRPr="006C2589">
        <w:rPr>
          <w:rFonts w:ascii="Times New Roman" w:hAnsi="Times New Roman"/>
        </w:rPr>
        <w:t xml:space="preserve">3 191 tis. eur, a to z dôvodu príjmov mimoriadnych dividend v roku 2011 najmä od SPP, a. s. V návrhu rozpočtu na roky 2012 až 2014 sú rozpočtované iba riadne dividendy. Predpokladá sa, že všetky príjmy z dividend budú v rokoch 2012 až 2014 transferované prostredníctvom štátnych finančných aktív do príjmov štátneho rozpočtu. </w:t>
      </w:r>
      <w:r w:rsidRPr="00CE4ECF" w:rsidR="006465AC">
        <w:rPr>
          <w:rFonts w:ascii="Times New Roman" w:hAnsi="Times New Roman"/>
        </w:rPr>
        <w:t xml:space="preserve">V rámci ostatných nedaňových príjmov dochádza k poklesu z titulu prevodu 200 000 tis. eur zo zostatku prostriedkov z predchádzajúcich rokov do štátnych finančných aktív na oddlženie zdravotníctva v roku 2011.  </w:t>
      </w:r>
      <w:r w:rsidRPr="00CE4ECF">
        <w:rPr>
          <w:rFonts w:ascii="Times New Roman" w:hAnsi="Times New Roman"/>
        </w:rPr>
        <w:t>Príjmy</w:t>
      </w:r>
      <w:r w:rsidRPr="006C2589">
        <w:rPr>
          <w:rFonts w:ascii="Times New Roman" w:hAnsi="Times New Roman"/>
        </w:rPr>
        <w:t xml:space="preserve"> z privatizácie sa nerozpočtujú. V prípade ich naplnenia by mali byť všetky transferované do štátnych finančných aktív.</w:t>
      </w:r>
    </w:p>
    <w:p w:rsidR="006C2589" w:rsidRPr="006C2589" w:rsidP="006C2589">
      <w:pPr>
        <w:bidi w:val="0"/>
        <w:ind w:firstLine="708"/>
        <w:jc w:val="both"/>
        <w:rPr>
          <w:rFonts w:ascii="Times New Roman" w:hAnsi="Times New Roman"/>
        </w:rPr>
      </w:pPr>
      <w:r w:rsidRPr="006C2589">
        <w:rPr>
          <w:rFonts w:ascii="Times New Roman" w:hAnsi="Times New Roman"/>
        </w:rPr>
        <w:t>Výdavky FNM SR sú na rok 2012 rozpočtované v sume 4</w:t>
      </w:r>
      <w:r w:rsidR="000235B4">
        <w:rPr>
          <w:rFonts w:ascii="Times New Roman" w:hAnsi="Times New Roman"/>
        </w:rPr>
        <w:t>1</w:t>
      </w:r>
      <w:r w:rsidRPr="006C2589">
        <w:rPr>
          <w:rFonts w:ascii="Times New Roman" w:hAnsi="Times New Roman"/>
        </w:rPr>
        <w:t>5 269 tis. eur. V porovnaní s očakávanou skutočnosťou roka 2011 dochádza v roku 2012 k poklesu celkového objemu výdavkov, a to hlavne z dôvodu nižšieho transferu do štátnych finančných aktív. Celkovo dochádza k medziročnému poklesu o 2</w:t>
      </w:r>
      <w:r w:rsidR="000235B4">
        <w:rPr>
          <w:rFonts w:ascii="Times New Roman" w:hAnsi="Times New Roman"/>
        </w:rPr>
        <w:t>7</w:t>
      </w:r>
      <w:r w:rsidRPr="006C2589">
        <w:rPr>
          <w:rFonts w:ascii="Times New Roman" w:hAnsi="Times New Roman"/>
        </w:rPr>
        <w:t xml:space="preserve">4 586 tis. eur. Ostatné výdavky FNM SR tvoria výdavky spojené s jeho činnosťou a výdavky, ktoré FNM SR vyplývajú zo zákona </w:t>
      </w:r>
      <w:r w:rsidR="00394DAF">
        <w:rPr>
          <w:rFonts w:ascii="Times New Roman" w:hAnsi="Times New Roman"/>
        </w:rPr>
        <w:br/>
      </w:r>
      <w:r w:rsidRPr="006C2589">
        <w:rPr>
          <w:rFonts w:ascii="Times New Roman" w:hAnsi="Times New Roman"/>
        </w:rPr>
        <w:t>č. 92/1991 Zb. (napr. úhrada nákladov v dôsledku odstúpenia od zmluvy, zvýšenie základného imania a pod.).</w:t>
      </w:r>
    </w:p>
    <w:p w:rsidR="006C2589" w:rsidRPr="006C2589" w:rsidP="006C2589">
      <w:pPr>
        <w:bidi w:val="0"/>
        <w:ind w:firstLine="708"/>
        <w:jc w:val="both"/>
        <w:rPr>
          <w:rFonts w:ascii="Times New Roman" w:hAnsi="Times New Roman"/>
        </w:rPr>
      </w:pPr>
      <w:r w:rsidRPr="006C2589">
        <w:rPr>
          <w:rFonts w:ascii="Times New Roman" w:hAnsi="Times New Roman"/>
        </w:rPr>
        <w:t> </w:t>
      </w:r>
    </w:p>
    <w:p w:rsidR="006C2589" w:rsidRPr="006C2589" w:rsidP="006C2589">
      <w:pPr>
        <w:bidi w:val="0"/>
        <w:ind w:firstLine="708"/>
        <w:jc w:val="both"/>
        <w:rPr>
          <w:rFonts w:ascii="Times New Roman" w:hAnsi="Times New Roman"/>
        </w:rPr>
      </w:pPr>
      <w:r w:rsidRPr="006C2589">
        <w:rPr>
          <w:rFonts w:ascii="Times New Roman" w:hAnsi="Times New Roman"/>
        </w:rPr>
        <w:t>Cieľom navrhovaného rozpočtového hospodárenia FNM SR v rokoch 2012 až 2014 je zabezpečiť dostatok zdrojov na realizáciu úhrad splátok verejného dlhu v pôsobnosti FNM SR. Úhrady verejného dlhu budú pozostávať zo splátok dlhopisov FNM SR, z úhrad výdavkov spojených s reštitučnými nárokmi a z úhrad vyplývajúcich zo zákonného ručenia FNM SR podľa § 15 zákona č. 92/1991 Zb. Rozpočet verejnej správy na  roky 2012 až 2014 neuvažuje so zrušením FNM SR do roku 2014. V prípade prijatia rozhodnutia o zrušení FNM SR bude riešený presun kompetencií.</w:t>
      </w:r>
    </w:p>
    <w:p w:rsidR="006C2589" w:rsidRPr="006C2589" w:rsidP="006C2589">
      <w:pPr>
        <w:bidi w:val="0"/>
        <w:ind w:firstLine="708"/>
        <w:jc w:val="both"/>
        <w:rPr>
          <w:rFonts w:ascii="Times New Roman" w:hAnsi="Times New Roman"/>
        </w:rPr>
      </w:pPr>
      <w:r w:rsidRPr="006C2589">
        <w:rPr>
          <w:rFonts w:ascii="Times New Roman" w:hAnsi="Times New Roman"/>
        </w:rPr>
        <w:t> </w:t>
      </w:r>
    </w:p>
    <w:p w:rsidR="006C2589" w:rsidRPr="006C2589" w:rsidP="006C2589">
      <w:pPr>
        <w:bidi w:val="0"/>
        <w:ind w:firstLine="708"/>
        <w:jc w:val="both"/>
        <w:rPr>
          <w:rFonts w:ascii="Times New Roman" w:hAnsi="Times New Roman"/>
        </w:rPr>
      </w:pPr>
      <w:r w:rsidRPr="006C2589">
        <w:rPr>
          <w:rFonts w:ascii="Times New Roman" w:hAnsi="Times New Roman"/>
        </w:rPr>
        <w:t xml:space="preserve">Celkový hotovostný schodok  hospodárenia FNM SR sa na rok 2012 predpokladá vo výške 23,7 mil. eur, na rok 2013 vo výške 6,7 mil. eur a na rok 2014 vo výške 5,7 mil. eur, pričom v metodike ESA 95 sa predpokladá  schodok v roku 2012 na úrovni 28,6 mil. eur, v roku 2013 vo výške 6,3 mil. eur a v roku 2014 na úrovni 5,2 mil. eur. </w:t>
      </w:r>
    </w:p>
    <w:p w:rsidR="007B1DFC" w:rsidRPr="007B1DFC" w:rsidP="00A64696">
      <w:pPr>
        <w:bidi w:val="0"/>
        <w:outlineLvl w:val="0"/>
        <w:rPr>
          <w:rFonts w:ascii="Times New Roman" w:hAnsi="Times New Roman"/>
          <w:color w:val="FF0000"/>
        </w:rPr>
      </w:pPr>
      <w:r w:rsidRPr="007B1DFC">
        <w:rPr>
          <w:rFonts w:ascii="Times New Roman" w:hAnsi="Times New Roman"/>
          <w:color w:val="FF0000"/>
        </w:rPr>
        <w:t xml:space="preserve"> </w:t>
      </w:r>
    </w:p>
    <w:p w:rsidR="007B1DFC" w:rsidRPr="0078555A" w:rsidP="007B1DFC">
      <w:pPr>
        <w:bidi w:val="0"/>
        <w:rPr>
          <w:rFonts w:ascii="Times New Roman" w:hAnsi="Times New Roman"/>
        </w:rPr>
      </w:pPr>
      <w:r w:rsidRPr="0078555A">
        <w:rPr>
          <w:rFonts w:ascii="Times New Roman" w:hAnsi="Times New Roman"/>
          <w:b/>
          <w:bCs/>
        </w:rPr>
        <w:t>7. Slovenská konsolidačná, a. s.</w:t>
      </w:r>
    </w:p>
    <w:p w:rsidR="007B1DFC" w:rsidRPr="0078555A" w:rsidP="007B1DFC">
      <w:pPr>
        <w:bidi w:val="0"/>
        <w:rPr>
          <w:rFonts w:ascii="Times New Roman" w:hAnsi="Times New Roman"/>
        </w:rPr>
      </w:pPr>
      <w:r w:rsidRPr="0078555A">
        <w:rPr>
          <w:rFonts w:ascii="Times New Roman" w:hAnsi="Times New Roman"/>
          <w:b/>
          <w:bCs/>
        </w:rPr>
        <w:t> </w:t>
      </w:r>
    </w:p>
    <w:tbl>
      <w:tblPr>
        <w:tblStyle w:val="TableNormal"/>
        <w:tblW w:w="9180" w:type="dxa"/>
        <w:tblCellMar>
          <w:left w:w="0" w:type="dxa"/>
          <w:right w:w="0" w:type="dxa"/>
        </w:tblCellMar>
        <w:tblLook w:val="04A0"/>
      </w:tblPr>
      <w:tblGrid>
        <w:gridCol w:w="3760"/>
        <w:gridCol w:w="720"/>
        <w:gridCol w:w="880"/>
        <w:gridCol w:w="760"/>
        <w:gridCol w:w="820"/>
        <w:gridCol w:w="760"/>
        <w:gridCol w:w="720"/>
        <w:gridCol w:w="760"/>
      </w:tblGrid>
      <w:tr>
        <w:tblPrEx>
          <w:tblW w:w="9180" w:type="dxa"/>
          <w:tblCellMar>
            <w:left w:w="0" w:type="dxa"/>
            <w:right w:w="0" w:type="dxa"/>
          </w:tblCellMar>
          <w:tblLook w:val="04A0"/>
        </w:tblPrEx>
        <w:trPr>
          <w:trHeight w:val="227"/>
        </w:trPr>
        <w:tc>
          <w:tcPr>
            <w:tcW w:w="3760"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b/>
                <w:bCs/>
                <w:sz w:val="16"/>
                <w:szCs w:val="16"/>
              </w:rPr>
              <w:t>v tis. eur</w:t>
            </w:r>
          </w:p>
        </w:tc>
        <w:tc>
          <w:tcPr>
            <w:tcW w:w="72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jc w:val="center"/>
              <w:rPr>
                <w:rFonts w:ascii="Times New Roman" w:hAnsi="Times New Roman"/>
              </w:rPr>
            </w:pPr>
            <w:r w:rsidRPr="0078555A">
              <w:rPr>
                <w:rFonts w:ascii="Times New Roman" w:hAnsi="Times New Roman"/>
                <w:b/>
                <w:bCs/>
                <w:sz w:val="16"/>
                <w:szCs w:val="16"/>
              </w:rPr>
              <w:t>2009 S</w:t>
            </w:r>
          </w:p>
        </w:tc>
        <w:tc>
          <w:tcPr>
            <w:tcW w:w="88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jc w:val="center"/>
              <w:rPr>
                <w:rFonts w:ascii="Times New Roman" w:hAnsi="Times New Roman"/>
              </w:rPr>
            </w:pPr>
            <w:r w:rsidRPr="0078555A">
              <w:rPr>
                <w:rFonts w:ascii="Times New Roman" w:hAnsi="Times New Roman"/>
                <w:b/>
                <w:bCs/>
                <w:sz w:val="16"/>
                <w:szCs w:val="16"/>
              </w:rPr>
              <w:t>2010 S</w:t>
            </w:r>
          </w:p>
        </w:tc>
        <w:tc>
          <w:tcPr>
            <w:tcW w:w="76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jc w:val="center"/>
              <w:rPr>
                <w:rFonts w:ascii="Times New Roman" w:hAnsi="Times New Roman"/>
              </w:rPr>
            </w:pPr>
            <w:r w:rsidRPr="0078555A">
              <w:rPr>
                <w:rFonts w:ascii="Times New Roman" w:hAnsi="Times New Roman"/>
                <w:b/>
                <w:bCs/>
                <w:sz w:val="16"/>
                <w:szCs w:val="16"/>
              </w:rPr>
              <w:t>2011 R</w:t>
            </w:r>
          </w:p>
        </w:tc>
        <w:tc>
          <w:tcPr>
            <w:tcW w:w="82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jc w:val="center"/>
              <w:rPr>
                <w:rFonts w:ascii="Times New Roman" w:hAnsi="Times New Roman"/>
              </w:rPr>
            </w:pPr>
            <w:r w:rsidRPr="0078555A">
              <w:rPr>
                <w:rFonts w:ascii="Times New Roman" w:hAnsi="Times New Roman"/>
                <w:b/>
                <w:bCs/>
                <w:sz w:val="16"/>
                <w:szCs w:val="16"/>
              </w:rPr>
              <w:t>2011 OS</w:t>
            </w:r>
          </w:p>
        </w:tc>
        <w:tc>
          <w:tcPr>
            <w:tcW w:w="76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jc w:val="center"/>
              <w:rPr>
                <w:rFonts w:ascii="Times New Roman" w:hAnsi="Times New Roman"/>
              </w:rPr>
            </w:pPr>
            <w:r w:rsidRPr="0078555A">
              <w:rPr>
                <w:rFonts w:ascii="Times New Roman" w:hAnsi="Times New Roman"/>
                <w:b/>
                <w:bCs/>
                <w:sz w:val="16"/>
                <w:szCs w:val="16"/>
              </w:rPr>
              <w:t>2012 N</w:t>
            </w:r>
          </w:p>
        </w:tc>
        <w:tc>
          <w:tcPr>
            <w:tcW w:w="72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jc w:val="center"/>
              <w:rPr>
                <w:rFonts w:ascii="Times New Roman" w:hAnsi="Times New Roman"/>
              </w:rPr>
            </w:pPr>
            <w:r w:rsidRPr="0078555A">
              <w:rPr>
                <w:rFonts w:ascii="Times New Roman" w:hAnsi="Times New Roman"/>
                <w:b/>
                <w:bCs/>
                <w:sz w:val="16"/>
                <w:szCs w:val="16"/>
              </w:rPr>
              <w:t>2013 N</w:t>
            </w:r>
          </w:p>
        </w:tc>
        <w:tc>
          <w:tcPr>
            <w:tcW w:w="760"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B1DFC" w:rsidRPr="0078555A" w:rsidP="007B1DFC">
            <w:pPr>
              <w:bidi w:val="0"/>
              <w:spacing w:line="227" w:lineRule="atLeast"/>
              <w:jc w:val="center"/>
              <w:rPr>
                <w:rFonts w:ascii="Times New Roman" w:hAnsi="Times New Roman"/>
              </w:rPr>
            </w:pPr>
            <w:r w:rsidRPr="0078555A">
              <w:rPr>
                <w:rFonts w:ascii="Times New Roman" w:hAnsi="Times New Roman"/>
                <w:b/>
                <w:bCs/>
                <w:sz w:val="16"/>
                <w:szCs w:val="16"/>
              </w:rPr>
              <w:t>2014 N</w:t>
            </w:r>
          </w:p>
        </w:tc>
      </w:tr>
      <w:tr>
        <w:tblPrEx>
          <w:tblW w:w="9180" w:type="dxa"/>
          <w:tblCellMar>
            <w:left w:w="0" w:type="dxa"/>
            <w:right w:w="0" w:type="dxa"/>
          </w:tblCellMar>
          <w:tblLook w:val="04A0"/>
        </w:tblPrEx>
        <w:trPr>
          <w:trHeight w:val="227"/>
        </w:trPr>
        <w:tc>
          <w:tcPr>
            <w:tcW w:w="376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b/>
                <w:bCs/>
                <w:sz w:val="16"/>
                <w:szCs w:val="16"/>
              </w:rPr>
              <w:t>Príjmy SK, a. s. spolu</w:t>
            </w:r>
          </w:p>
        </w:tc>
        <w:tc>
          <w:tcPr>
            <w:tcW w:w="7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91 304</w:t>
            </w:r>
          </w:p>
        </w:tc>
        <w:tc>
          <w:tcPr>
            <w:tcW w:w="88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98 067</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87 090</w:t>
            </w:r>
          </w:p>
        </w:tc>
        <w:tc>
          <w:tcPr>
            <w:tcW w:w="8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95 138</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83 560</w:t>
            </w:r>
          </w:p>
        </w:tc>
        <w:tc>
          <w:tcPr>
            <w:tcW w:w="7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74 297</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69 941</w:t>
            </w:r>
          </w:p>
        </w:tc>
      </w:tr>
      <w:tr>
        <w:tblPrEx>
          <w:tblW w:w="9180" w:type="dxa"/>
          <w:tblCellMar>
            <w:left w:w="0" w:type="dxa"/>
            <w:right w:w="0" w:type="dxa"/>
          </w:tblCellMar>
          <w:tblLook w:val="04A0"/>
        </w:tblPrEx>
        <w:trPr>
          <w:trHeight w:val="2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z toho:</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   nedaňové príjmy</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14 203</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7 059</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7 134</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15 268</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7 720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7 720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7 620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príjmy z podnikania a z vlast. majetku</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55</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46</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55</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45</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55</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55</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55</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admin. poplatky a iné popl. a platby</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 </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xml:space="preserve">              úroky z tuzemských úverov, pôžičiek, NFV                 </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13 392</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6 612</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6 989</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15 073</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7 590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7 590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7 490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ostatné príjmy</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756</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401</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90</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150</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75</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75</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75</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   príjmy z transakcií s fin. akt. a pas., z toho: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77 101</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91 008</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79 956</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79 870</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75 840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66 577</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62 321</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príjmy zo splácania istín pohľadávok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4 697</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5 020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2 462</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1 300</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2 000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2 000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2 000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príjmy z predaja majetkových účastín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zost. prostr. z predch. roka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70 027</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85 549</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77 494</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78 570</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73 840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64 577</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60 321</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odplata za postúpenú pohľadávku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2 377</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439</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20" w:type="dxa"/>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r>
      <w:tr>
        <w:tblPrEx>
          <w:tblW w:w="9180" w:type="dxa"/>
          <w:tblCellMar>
            <w:left w:w="0" w:type="dxa"/>
            <w:right w:w="0" w:type="dxa"/>
          </w:tblCellMar>
          <w:tblLook w:val="04A0"/>
        </w:tblPrEx>
        <w:trPr>
          <w:trHeight w:val="227"/>
        </w:trPr>
        <w:tc>
          <w:tcPr>
            <w:tcW w:w="376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b/>
                <w:bCs/>
                <w:sz w:val="16"/>
                <w:szCs w:val="16"/>
              </w:rPr>
              <w:t>Výdavky SK, a. s. spolu</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5 664</w:t>
            </w:r>
          </w:p>
        </w:tc>
        <w:tc>
          <w:tcPr>
            <w:tcW w:w="88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19 983</w:t>
            </w:r>
          </w:p>
        </w:tc>
        <w:tc>
          <w:tcPr>
            <w:tcW w:w="76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9 911</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20 675</w:t>
            </w:r>
          </w:p>
        </w:tc>
        <w:tc>
          <w:tcPr>
            <w:tcW w:w="76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18 984</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14 119</w:t>
            </w:r>
          </w:p>
        </w:tc>
        <w:tc>
          <w:tcPr>
            <w:tcW w:w="76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11 575</w:t>
            </w:r>
          </w:p>
        </w:tc>
      </w:tr>
      <w:tr>
        <w:tblPrEx>
          <w:tblW w:w="9180" w:type="dxa"/>
          <w:tblCellMar>
            <w:left w:w="0" w:type="dxa"/>
            <w:right w:w="0" w:type="dxa"/>
          </w:tblCellMar>
          <w:tblLook w:val="04A0"/>
        </w:tblPrEx>
        <w:trPr>
          <w:trHeight w:val="2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z toho:</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   bežné výdavky na správne činnosti úradu</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5 548</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19 836</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9 525</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20 442</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18 704</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13 869</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11 385</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mzdy, platy, služ. príjmy a ost. os. vyrovnania</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3 407</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4 014</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4 271</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4 271</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4 206</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3 191</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2 399</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poistné a prísp. do poisťovní</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998</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1 145</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1 233</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1 233</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1 263</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916</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933</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tovary a služby</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1 128</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14 447</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3 910</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14 823</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12 999</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9 224</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7 659</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bežné transfery</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15</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230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111</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115</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236</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538</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394</w:t>
            </w:r>
          </w:p>
        </w:tc>
      </w:tr>
      <w:tr>
        <w:tblPrEx>
          <w:tblW w:w="9180" w:type="dxa"/>
          <w:tblCellMar>
            <w:left w:w="0" w:type="dxa"/>
            <w:right w:w="0" w:type="dxa"/>
          </w:tblCellMar>
          <w:tblLook w:val="04A0"/>
        </w:tblPrEx>
        <w:trPr>
          <w:trHeight w:val="227"/>
        </w:trPr>
        <w:tc>
          <w:tcPr>
            <w:tcW w:w="37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   kapitálové výdavky</w:t>
            </w:r>
          </w:p>
        </w:tc>
        <w:tc>
          <w:tcPr>
            <w:tcW w:w="7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116</w:t>
            </w:r>
          </w:p>
        </w:tc>
        <w:tc>
          <w:tcPr>
            <w:tcW w:w="8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146</w:t>
            </w:r>
          </w:p>
        </w:tc>
        <w:tc>
          <w:tcPr>
            <w:tcW w:w="7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386</w:t>
            </w:r>
          </w:p>
        </w:tc>
        <w:tc>
          <w:tcPr>
            <w:tcW w:w="8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233</w:t>
            </w:r>
          </w:p>
        </w:tc>
        <w:tc>
          <w:tcPr>
            <w:tcW w:w="7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280</w:t>
            </w:r>
          </w:p>
        </w:tc>
        <w:tc>
          <w:tcPr>
            <w:tcW w:w="7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250</w:t>
            </w:r>
          </w:p>
        </w:tc>
        <w:tc>
          <w:tcPr>
            <w:tcW w:w="7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190</w:t>
            </w:r>
          </w:p>
        </w:tc>
      </w:tr>
      <w:tr>
        <w:tblPrEx>
          <w:tblW w:w="9180" w:type="dxa"/>
          <w:tblCellMar>
            <w:left w:w="0" w:type="dxa"/>
            <w:right w:w="0" w:type="dxa"/>
          </w:tblCellMar>
          <w:tblLook w:val="04A0"/>
        </w:tblPrEx>
        <w:trPr>
          <w:trHeight w:val="227"/>
        </w:trPr>
        <w:tc>
          <w:tcPr>
            <w:tcW w:w="37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obstarávanie kapitálových aktív</w:t>
            </w:r>
          </w:p>
        </w:tc>
        <w:tc>
          <w:tcPr>
            <w:tcW w:w="7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116</w:t>
            </w:r>
          </w:p>
        </w:tc>
        <w:tc>
          <w:tcPr>
            <w:tcW w:w="8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146</w:t>
            </w:r>
          </w:p>
        </w:tc>
        <w:tc>
          <w:tcPr>
            <w:tcW w:w="7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386</w:t>
            </w:r>
          </w:p>
        </w:tc>
        <w:tc>
          <w:tcPr>
            <w:tcW w:w="8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233</w:t>
            </w:r>
          </w:p>
        </w:tc>
        <w:tc>
          <w:tcPr>
            <w:tcW w:w="7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280</w:t>
            </w:r>
          </w:p>
        </w:tc>
        <w:tc>
          <w:tcPr>
            <w:tcW w:w="7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250</w:t>
            </w:r>
          </w:p>
        </w:tc>
        <w:tc>
          <w:tcPr>
            <w:tcW w:w="76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190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   výdavky z trans. s fin. aktívami a pasívami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ostatné výdavkové FO - dividendy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r>
      <w:tr>
        <w:tblPrEx>
          <w:tblW w:w="9180" w:type="dxa"/>
          <w:tblCellMar>
            <w:left w:w="0" w:type="dxa"/>
            <w:right w:w="0" w:type="dxa"/>
          </w:tblCellMar>
          <w:tblLook w:val="04A0"/>
        </w:tblPrEx>
        <w:trPr>
          <w:trHeight w:val="227"/>
        </w:trPr>
        <w:tc>
          <w:tcPr>
            <w:tcW w:w="376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b/>
                <w:bCs/>
                <w:sz w:val="16"/>
                <w:szCs w:val="16"/>
              </w:rPr>
              <w:t>Celkový prebytok/schodok SK, a. s.</w:t>
            </w:r>
          </w:p>
        </w:tc>
        <w:tc>
          <w:tcPr>
            <w:tcW w:w="7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85 640</w:t>
            </w:r>
          </w:p>
        </w:tc>
        <w:tc>
          <w:tcPr>
            <w:tcW w:w="88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78 084</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77 179</w:t>
            </w:r>
          </w:p>
        </w:tc>
        <w:tc>
          <w:tcPr>
            <w:tcW w:w="8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74 463</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64 576</w:t>
            </w:r>
          </w:p>
        </w:tc>
        <w:tc>
          <w:tcPr>
            <w:tcW w:w="7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60 178</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58 366</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b/>
                <w:bCs/>
                <w:i/>
                <w:iCs/>
                <w:sz w:val="16"/>
                <w:szCs w:val="16"/>
              </w:rPr>
              <w:t>  - vylúčenie finančných operácií</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-77 101</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-91 007</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-79 956</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-79 870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-75 840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-66 577</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-62 321</w:t>
            </w:r>
          </w:p>
        </w:tc>
      </w:tr>
      <w:tr>
        <w:tblPrEx>
          <w:tblW w:w="9180" w:type="dxa"/>
          <w:tblCellMar>
            <w:left w:w="0" w:type="dxa"/>
            <w:right w:w="0" w:type="dxa"/>
          </w:tblCellMar>
          <w:tblLook w:val="04A0"/>
        </w:tblPrEx>
        <w:trPr>
          <w:trHeight w:val="2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z toho:</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   vylúčenie príjmových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-77 101</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-91 008</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-79 956</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-79 870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-75 840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-66 577</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-62 321</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sz w:val="16"/>
                <w:szCs w:val="16"/>
              </w:rPr>
              <w:t>    ▪   vylúčenie výdavkových (FO)</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1</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sz w:val="16"/>
                <w:szCs w:val="16"/>
              </w:rPr>
              <w:t>0</w:t>
            </w:r>
          </w:p>
        </w:tc>
      </w:tr>
      <w:tr>
        <w:tblPrEx>
          <w:tblW w:w="9180" w:type="dxa"/>
          <w:tblCellMar>
            <w:left w:w="0" w:type="dxa"/>
            <w:right w:w="0" w:type="dxa"/>
          </w:tblCellMar>
          <w:tblLook w:val="04A0"/>
        </w:tblPrEx>
        <w:trPr>
          <w:trHeight w:val="227"/>
        </w:trPr>
        <w:tc>
          <w:tcPr>
            <w:tcW w:w="376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b/>
                <w:bCs/>
                <w:i/>
                <w:iCs/>
                <w:sz w:val="16"/>
                <w:szCs w:val="16"/>
              </w:rPr>
              <w:t>     ostatné úpravy</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2 243</w:t>
            </w:r>
          </w:p>
        </w:tc>
        <w:tc>
          <w:tcPr>
            <w:tcW w:w="8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402</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0</w:t>
            </w:r>
          </w:p>
        </w:tc>
        <w:tc>
          <w:tcPr>
            <w:tcW w:w="8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0</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0</w:t>
            </w:r>
          </w:p>
        </w:tc>
        <w:tc>
          <w:tcPr>
            <w:tcW w:w="76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i/>
                <w:iCs/>
                <w:sz w:val="16"/>
                <w:szCs w:val="16"/>
              </w:rPr>
              <w:t>0</w:t>
            </w:r>
          </w:p>
        </w:tc>
      </w:tr>
      <w:tr>
        <w:tblPrEx>
          <w:tblW w:w="9180" w:type="dxa"/>
          <w:tblCellMar>
            <w:left w:w="0" w:type="dxa"/>
            <w:right w:w="0" w:type="dxa"/>
          </w:tblCellMar>
          <w:tblLook w:val="04A0"/>
        </w:tblPrEx>
        <w:trPr>
          <w:trHeight w:val="227"/>
        </w:trPr>
        <w:tc>
          <w:tcPr>
            <w:tcW w:w="376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B1DFC" w:rsidRPr="0078555A" w:rsidP="007B1DFC">
            <w:pPr>
              <w:bidi w:val="0"/>
              <w:spacing w:line="227" w:lineRule="atLeast"/>
              <w:rPr>
                <w:rFonts w:ascii="Times New Roman" w:hAnsi="Times New Roman"/>
              </w:rPr>
            </w:pPr>
            <w:r w:rsidRPr="0078555A">
              <w:rPr>
                <w:rFonts w:ascii="Times New Roman" w:hAnsi="Times New Roman"/>
                <w:b/>
                <w:bCs/>
                <w:sz w:val="16"/>
                <w:szCs w:val="16"/>
              </w:rPr>
              <w:t>Prebytok (+)/schodok (-) SK, a. s.   (ESA 95)</w:t>
            </w:r>
          </w:p>
        </w:tc>
        <w:tc>
          <w:tcPr>
            <w:tcW w:w="7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10 782</w:t>
            </w:r>
          </w:p>
        </w:tc>
        <w:tc>
          <w:tcPr>
            <w:tcW w:w="88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-12 521</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-2 777</w:t>
            </w:r>
          </w:p>
        </w:tc>
        <w:tc>
          <w:tcPr>
            <w:tcW w:w="8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-5 407</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-11 264</w:t>
            </w:r>
          </w:p>
        </w:tc>
        <w:tc>
          <w:tcPr>
            <w:tcW w:w="72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-6 399</w:t>
            </w:r>
          </w:p>
        </w:tc>
        <w:tc>
          <w:tcPr>
            <w:tcW w:w="760" w:type="dxa"/>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B1DFC" w:rsidRPr="0078555A" w:rsidP="007B1DFC">
            <w:pPr>
              <w:bidi w:val="0"/>
              <w:spacing w:line="227" w:lineRule="atLeast"/>
              <w:jc w:val="right"/>
              <w:rPr>
                <w:rFonts w:ascii="Times New Roman" w:hAnsi="Times New Roman"/>
              </w:rPr>
            </w:pPr>
            <w:r w:rsidRPr="0078555A">
              <w:rPr>
                <w:rFonts w:ascii="Times New Roman" w:hAnsi="Times New Roman"/>
                <w:b/>
                <w:bCs/>
                <w:sz w:val="16"/>
                <w:szCs w:val="16"/>
              </w:rPr>
              <w:t>-3 955</w:t>
            </w:r>
          </w:p>
        </w:tc>
      </w:tr>
      <w:tr>
        <w:tblPrEx>
          <w:tblW w:w="9180" w:type="dxa"/>
          <w:tblCellMar>
            <w:left w:w="0" w:type="dxa"/>
            <w:right w:w="0" w:type="dxa"/>
          </w:tblCellMar>
          <w:tblLook w:val="04A0"/>
        </w:tblPrEx>
        <w:tc>
          <w:tcPr>
            <w:tcW w:w="376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72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8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76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82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76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72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c>
          <w:tcPr>
            <w:tcW w:w="760" w:type="dxa"/>
            <w:tcBorders>
              <w:top w:val="nil"/>
              <w:left w:val="nil"/>
              <w:bottom w:val="nil"/>
              <w:right w:val="nil"/>
            </w:tcBorders>
            <w:textDirection w:val="lrTb"/>
            <w:vAlign w:val="center"/>
            <w:hideMark/>
          </w:tcPr>
          <w:p w:rsidR="007B1DFC" w:rsidRPr="0078555A" w:rsidP="007B1DFC">
            <w:pPr>
              <w:bidi w:val="0"/>
              <w:rPr>
                <w:rFonts w:ascii="Times New Roman" w:hAnsi="Times New Roman"/>
                <w:sz w:val="2"/>
              </w:rPr>
            </w:pPr>
          </w:p>
        </w:tc>
      </w:tr>
    </w:tbl>
    <w:p w:rsidR="007B1DFC" w:rsidRPr="0078555A" w:rsidP="007B1DFC">
      <w:pPr>
        <w:bidi w:val="0"/>
        <w:ind w:firstLine="708"/>
        <w:jc w:val="both"/>
        <w:rPr>
          <w:rFonts w:ascii="Times New Roman" w:hAnsi="Times New Roman"/>
        </w:rPr>
      </w:pPr>
      <w:r w:rsidRPr="0078555A">
        <w:rPr>
          <w:rFonts w:ascii="Times New Roman" w:hAnsi="Times New Roman"/>
        </w:rPr>
        <w:t>Celkové príjmy Slovenskej konsolidačnej, a. s. (ďalej len „SK, a. s.“) sú rozpočtované v roku 2012 v objeme 83 560 tis. eur, z toho  nedaňové príjmy vo výške 7 720 tis. eur.  Oproti očakávanej skutočnosti roku 2011 ide o pokles celkových príjmov o 12,2 %, pri poklese nedaňových príjmov o 49,4 %. Najvýznamnejším zdrojom nedaňových príjmov sú úroky z tuzemských úverov, pôžičiek a vkladov v objeme 7 590 tis. eur, ktoré v porovnaní s očakávanou skutočnosťou roku 2011 poklesnú o 49,6 % z dôvodu, že v roku 2011 SK, a. s. očakáva mimoriadne príjmy z ukončených konkurzov, ktoré sa v budúcnosti nebudú opakovať.</w:t>
      </w:r>
    </w:p>
    <w:p w:rsidR="007B1DFC" w:rsidRPr="0078555A" w:rsidP="007B1DFC">
      <w:pPr>
        <w:bidi w:val="0"/>
        <w:ind w:firstLine="708"/>
        <w:jc w:val="both"/>
        <w:rPr>
          <w:rFonts w:ascii="Times New Roman" w:hAnsi="Times New Roman"/>
        </w:rPr>
      </w:pPr>
      <w:r w:rsidRPr="0078555A">
        <w:rPr>
          <w:rFonts w:ascii="Times New Roman" w:hAnsi="Times New Roman"/>
        </w:rPr>
        <w:t> </w:t>
      </w:r>
    </w:p>
    <w:p w:rsidR="007B1DFC" w:rsidRPr="0078555A" w:rsidP="007B1DFC">
      <w:pPr>
        <w:bidi w:val="0"/>
        <w:ind w:firstLine="708"/>
        <w:jc w:val="both"/>
        <w:rPr>
          <w:rFonts w:ascii="Times New Roman" w:hAnsi="Times New Roman"/>
        </w:rPr>
      </w:pPr>
      <w:r w:rsidRPr="0078555A">
        <w:rPr>
          <w:rFonts w:ascii="Times New Roman" w:hAnsi="Times New Roman"/>
        </w:rPr>
        <w:t>Výdavky SK, a. s. rozpočtované na rok 2012 na úrovni 18 984 tis. eur tvoria prevažne  bežné výdavky určené na činnosť spoločnosti a na výplatu dividend akcionárovi Ministerstvu financií Slovenskej republiky. Pokles výdavkov v roku 2012 o 8,2 % oproti očakávanej skutočnosti roku 2011 je spôsobený hlavne poklesom úhrady dividend akcionárovi Ministerstvu financií Slovenskej republiky v roku 2012 v celkovej sume 11 880 tis. eur, oproti očakávanej skutočnosti roku 2011 v objeme 13 247 tis. eur.</w:t>
      </w:r>
    </w:p>
    <w:p w:rsidR="007B1DFC" w:rsidRPr="0078555A" w:rsidP="007B1DFC">
      <w:pPr>
        <w:bidi w:val="0"/>
        <w:ind w:firstLine="708"/>
        <w:jc w:val="both"/>
        <w:rPr>
          <w:rFonts w:ascii="Times New Roman" w:hAnsi="Times New Roman"/>
        </w:rPr>
      </w:pPr>
      <w:r w:rsidRPr="0078555A">
        <w:rPr>
          <w:rFonts w:ascii="Times New Roman" w:hAnsi="Times New Roman"/>
        </w:rPr>
        <w:t> </w:t>
      </w:r>
    </w:p>
    <w:p w:rsidR="007B1DFC" w:rsidRPr="0078555A" w:rsidP="007B1DFC">
      <w:pPr>
        <w:bidi w:val="0"/>
        <w:ind w:firstLine="708"/>
        <w:jc w:val="both"/>
        <w:rPr>
          <w:rFonts w:ascii="Times New Roman" w:hAnsi="Times New Roman"/>
        </w:rPr>
      </w:pPr>
      <w:r w:rsidRPr="0078555A">
        <w:rPr>
          <w:rFonts w:ascii="Times New Roman" w:hAnsi="Times New Roman"/>
        </w:rPr>
        <w:t xml:space="preserve">Celkový prebytok SK, a. s. je rozpočtovaný na hotovostnej báze na úrovni 64,6 mil. eur, čo je o 9,9 mil. eur menej ako sa očakáva v roku 2011. V metodike ESA 95 je rozpočtovaný celkový schodok v roku 2012 na úrovni 11,3 mil. eur, čo je o 5,9 mil. eur viac ako sa očakáva v roku 2011. </w:t>
      </w:r>
    </w:p>
    <w:p w:rsidR="005B211D" w:rsidRPr="007B1DFC" w:rsidP="007B1DFC">
      <w:pPr>
        <w:bidi w:val="0"/>
        <w:rPr>
          <w:rFonts w:ascii="Times New Roman" w:hAnsi="Times New Roman"/>
        </w:rPr>
      </w:pPr>
    </w:p>
    <w:p w:rsidR="007B1DFC" w:rsidRPr="007B1DFC" w:rsidP="007B1DFC">
      <w:pPr>
        <w:bidi w:val="0"/>
        <w:jc w:val="both"/>
        <w:rPr>
          <w:rFonts w:ascii="Times New Roman" w:hAnsi="Times New Roman"/>
        </w:rPr>
      </w:pPr>
      <w:r w:rsidRPr="007B1DFC">
        <w:rPr>
          <w:rFonts w:ascii="Times New Roman" w:hAnsi="Times New Roman"/>
          <w:b/>
          <w:bCs/>
        </w:rPr>
        <w:t>8. Úrad pre dohľad nad zdravotnou starostlivosťou</w:t>
      </w:r>
    </w:p>
    <w:p w:rsidR="007B1DFC" w:rsidRPr="007B1DFC" w:rsidP="007B1DFC">
      <w:pPr>
        <w:bidi w:val="0"/>
        <w:jc w:val="both"/>
        <w:rPr>
          <w:rFonts w:ascii="Times New Roman" w:hAnsi="Times New Roman"/>
        </w:rPr>
      </w:pPr>
      <w:r w:rsidRPr="007B1DFC">
        <w:rPr>
          <w:rFonts w:ascii="Times New Roman" w:hAnsi="Times New Roman"/>
        </w:rPr>
        <w:t> </w:t>
      </w:r>
    </w:p>
    <w:p w:rsidR="00BE3741" w:rsidRPr="00EB33CC" w:rsidP="00BE3741">
      <w:pPr>
        <w:bidi w:val="0"/>
        <w:ind w:firstLine="708"/>
        <w:jc w:val="both"/>
        <w:rPr>
          <w:rFonts w:ascii="Times New Roman" w:hAnsi="Times New Roman"/>
        </w:rPr>
      </w:pPr>
      <w:r w:rsidRPr="00EB33CC">
        <w:rPr>
          <w:rFonts w:ascii="Times New Roman" w:hAnsi="Times New Roman"/>
        </w:rPr>
        <w:t>Úrad pre dohľad nad zdravotnou starostlivosťou (ďalej len „úrad“) bol zriadený zákonom č. 581/2004 Z. z. o zdravotných poisťovniach, dohľade nad zdravotnou starostlivosťou a o zmene a doplnení niektorých zákonov k  1. novembru 2004. Návrh rozpočtu na roky 2012 až 2014 je zostavený na základe platnej legislatívy.</w:t>
      </w:r>
    </w:p>
    <w:p w:rsidR="00BE3741" w:rsidRPr="00EB33CC" w:rsidP="00BE3741">
      <w:pPr>
        <w:bidi w:val="0"/>
        <w:jc w:val="both"/>
        <w:rPr>
          <w:rFonts w:ascii="Times New Roman" w:hAnsi="Times New Roman"/>
        </w:rPr>
      </w:pPr>
    </w:p>
    <w:p w:rsidR="00BE3741" w:rsidRPr="00EB33CC" w:rsidP="00BE3741">
      <w:pPr>
        <w:pStyle w:val="BodyTextIndent2"/>
        <w:tabs>
          <w:tab w:val="left" w:pos="0"/>
        </w:tabs>
        <w:bidi w:val="0"/>
        <w:spacing w:after="0" w:line="240" w:lineRule="auto"/>
        <w:ind w:left="0"/>
        <w:jc w:val="both"/>
        <w:rPr>
          <w:rFonts w:ascii="Times New Roman" w:hAnsi="Times New Roman"/>
        </w:rPr>
      </w:pPr>
      <w:r w:rsidRPr="00EB33CC">
        <w:rPr>
          <w:rFonts w:ascii="Times New Roman" w:hAnsi="Times New Roman"/>
        </w:rPr>
        <w:tab/>
        <w:t>Vývoj príjmovej a výdavkovej časti rozpočtu úradu na roky 2012 až 2014 je v porovnaní s predchádzajúcimi rokmi nasledovný:</w:t>
      </w:r>
    </w:p>
    <w:tbl>
      <w:tblPr>
        <w:tblStyle w:val="TableNormal"/>
        <w:tblW w:w="9128" w:type="dxa"/>
        <w:tblInd w:w="70" w:type="dxa"/>
        <w:tblCellMar>
          <w:left w:w="70" w:type="dxa"/>
          <w:right w:w="70" w:type="dxa"/>
        </w:tblCellMar>
        <w:tblLook w:val="04A0"/>
      </w:tblPr>
      <w:tblGrid>
        <w:gridCol w:w="3635"/>
        <w:gridCol w:w="772"/>
        <w:gridCol w:w="772"/>
        <w:gridCol w:w="772"/>
        <w:gridCol w:w="861"/>
        <w:gridCol w:w="772"/>
        <w:gridCol w:w="772"/>
        <w:gridCol w:w="772"/>
      </w:tblGrid>
      <w:tr>
        <w:tblPrEx>
          <w:tblW w:w="9128" w:type="dxa"/>
          <w:tblInd w:w="70" w:type="dxa"/>
          <w:tblCellMar>
            <w:left w:w="70" w:type="dxa"/>
            <w:right w:w="70" w:type="dxa"/>
          </w:tblCellMar>
          <w:tblLook w:val="04A0"/>
        </w:tblPrEx>
        <w:trPr>
          <w:trHeight w:val="255"/>
        </w:trPr>
        <w:tc>
          <w:tcPr>
            <w:tcW w:w="3635" w:type="dxa"/>
            <w:tcBorders>
              <w:top w:val="nil"/>
              <w:left w:val="nil"/>
              <w:bottom w:val="single" w:sz="4" w:space="0" w:color="auto"/>
              <w:right w:val="nil"/>
            </w:tcBorders>
            <w:noWrap/>
            <w:textDirection w:val="lrTb"/>
            <w:vAlign w:val="bottom"/>
            <w:hideMark/>
          </w:tcPr>
          <w:p w:rsidR="00BE3741" w:rsidRPr="00F27ABF" w:rsidP="00EA0AB6">
            <w:pPr>
              <w:bidi w:val="0"/>
              <w:rPr>
                <w:rFonts w:ascii="Times New Roman" w:hAnsi="Times New Roman"/>
                <w:sz w:val="16"/>
                <w:szCs w:val="16"/>
              </w:rPr>
            </w:pPr>
          </w:p>
        </w:tc>
        <w:tc>
          <w:tcPr>
            <w:tcW w:w="772" w:type="dxa"/>
            <w:tcBorders>
              <w:top w:val="nil"/>
              <w:left w:val="nil"/>
              <w:bottom w:val="single" w:sz="4" w:space="0" w:color="auto"/>
              <w:right w:val="nil"/>
            </w:tcBorders>
            <w:noWrap/>
            <w:textDirection w:val="lrTb"/>
            <w:vAlign w:val="bottom"/>
            <w:hideMark/>
          </w:tcPr>
          <w:p w:rsidR="00BE3741" w:rsidRPr="00F27ABF" w:rsidP="00EA0AB6">
            <w:pPr>
              <w:bidi w:val="0"/>
              <w:rPr>
                <w:rFonts w:ascii="Times New Roman" w:hAnsi="Times New Roman"/>
                <w:sz w:val="16"/>
                <w:szCs w:val="16"/>
              </w:rPr>
            </w:pPr>
          </w:p>
        </w:tc>
        <w:tc>
          <w:tcPr>
            <w:tcW w:w="772" w:type="dxa"/>
            <w:tcBorders>
              <w:top w:val="nil"/>
              <w:left w:val="nil"/>
              <w:bottom w:val="single" w:sz="4" w:space="0" w:color="auto"/>
              <w:right w:val="nil"/>
            </w:tcBorders>
            <w:noWrap/>
            <w:textDirection w:val="lrTb"/>
            <w:vAlign w:val="bottom"/>
            <w:hideMark/>
          </w:tcPr>
          <w:p w:rsidR="00BE3741" w:rsidRPr="00F27ABF" w:rsidP="00EA0AB6">
            <w:pPr>
              <w:bidi w:val="0"/>
              <w:rPr>
                <w:rFonts w:ascii="Times New Roman" w:hAnsi="Times New Roman"/>
                <w:sz w:val="16"/>
                <w:szCs w:val="16"/>
              </w:rPr>
            </w:pPr>
          </w:p>
        </w:tc>
        <w:tc>
          <w:tcPr>
            <w:tcW w:w="772" w:type="dxa"/>
            <w:tcBorders>
              <w:top w:val="nil"/>
              <w:left w:val="nil"/>
              <w:bottom w:val="single" w:sz="4" w:space="0" w:color="auto"/>
              <w:right w:val="nil"/>
            </w:tcBorders>
            <w:noWrap/>
            <w:textDirection w:val="lrTb"/>
            <w:vAlign w:val="bottom"/>
            <w:hideMark/>
          </w:tcPr>
          <w:p w:rsidR="00BE3741" w:rsidRPr="00F27ABF" w:rsidP="00EA0AB6">
            <w:pPr>
              <w:bidi w:val="0"/>
              <w:rPr>
                <w:rFonts w:ascii="Times New Roman" w:hAnsi="Times New Roman"/>
                <w:sz w:val="16"/>
                <w:szCs w:val="16"/>
              </w:rPr>
            </w:pPr>
          </w:p>
        </w:tc>
        <w:tc>
          <w:tcPr>
            <w:tcW w:w="861" w:type="dxa"/>
            <w:tcBorders>
              <w:top w:val="nil"/>
              <w:left w:val="nil"/>
              <w:bottom w:val="single" w:sz="4" w:space="0" w:color="auto"/>
              <w:right w:val="nil"/>
            </w:tcBorders>
            <w:noWrap/>
            <w:textDirection w:val="lrTb"/>
            <w:vAlign w:val="bottom"/>
            <w:hideMark/>
          </w:tcPr>
          <w:p w:rsidR="00BE3741" w:rsidRPr="00F27ABF" w:rsidP="00EA0AB6">
            <w:pPr>
              <w:bidi w:val="0"/>
              <w:rPr>
                <w:rFonts w:ascii="Times New Roman" w:hAnsi="Times New Roman"/>
                <w:sz w:val="16"/>
                <w:szCs w:val="16"/>
              </w:rPr>
            </w:pPr>
          </w:p>
        </w:tc>
        <w:tc>
          <w:tcPr>
            <w:tcW w:w="772" w:type="dxa"/>
            <w:tcBorders>
              <w:top w:val="nil"/>
              <w:left w:val="nil"/>
              <w:bottom w:val="single" w:sz="4" w:space="0" w:color="auto"/>
              <w:right w:val="nil"/>
            </w:tcBorders>
            <w:noWrap/>
            <w:textDirection w:val="lrTb"/>
            <w:vAlign w:val="bottom"/>
            <w:hideMark/>
          </w:tcPr>
          <w:p w:rsidR="00BE3741" w:rsidRPr="00F27ABF" w:rsidP="00EA0AB6">
            <w:pPr>
              <w:bidi w:val="0"/>
              <w:rPr>
                <w:rFonts w:ascii="Times New Roman" w:hAnsi="Times New Roman"/>
                <w:sz w:val="16"/>
                <w:szCs w:val="16"/>
              </w:rPr>
            </w:pPr>
          </w:p>
        </w:tc>
        <w:tc>
          <w:tcPr>
            <w:tcW w:w="772" w:type="dxa"/>
            <w:tcBorders>
              <w:top w:val="nil"/>
              <w:left w:val="nil"/>
              <w:bottom w:val="single" w:sz="4" w:space="0" w:color="auto"/>
              <w:right w:val="nil"/>
            </w:tcBorders>
            <w:noWrap/>
            <w:textDirection w:val="lrTb"/>
            <w:vAlign w:val="bottom"/>
            <w:hideMark/>
          </w:tcPr>
          <w:p w:rsidR="00BE3741" w:rsidRPr="00F27ABF" w:rsidP="00EA0AB6">
            <w:pPr>
              <w:bidi w:val="0"/>
              <w:rPr>
                <w:rFonts w:ascii="Times New Roman" w:hAnsi="Times New Roman"/>
                <w:sz w:val="16"/>
                <w:szCs w:val="16"/>
              </w:rPr>
            </w:pPr>
          </w:p>
        </w:tc>
        <w:tc>
          <w:tcPr>
            <w:tcW w:w="772" w:type="dxa"/>
            <w:tcBorders>
              <w:top w:val="nil"/>
              <w:left w:val="nil"/>
              <w:bottom w:val="single" w:sz="4" w:space="0" w:color="auto"/>
              <w:right w:val="nil"/>
            </w:tcBorders>
            <w:noWrap/>
            <w:textDirection w:val="lrTb"/>
            <w:vAlign w:val="bottom"/>
            <w:hideMark/>
          </w:tcPr>
          <w:p w:rsidR="00BE3741" w:rsidRPr="00F27ABF" w:rsidP="00EA0AB6">
            <w:pPr>
              <w:bidi w:val="0"/>
              <w:jc w:val="right"/>
              <w:rPr>
                <w:rFonts w:ascii="Times New Roman" w:hAnsi="Times New Roman"/>
                <w:sz w:val="16"/>
                <w:szCs w:val="16"/>
              </w:rPr>
            </w:pPr>
          </w:p>
        </w:tc>
      </w:tr>
      <w:tr>
        <w:tblPrEx>
          <w:tblW w:w="9128" w:type="dxa"/>
          <w:tblInd w:w="70" w:type="dxa"/>
          <w:tblCellMar>
            <w:left w:w="70" w:type="dxa"/>
            <w:right w:w="70" w:type="dxa"/>
          </w:tblCellMar>
          <w:tblLook w:val="04A0"/>
        </w:tblPrEx>
        <w:trPr>
          <w:trHeight w:val="227"/>
        </w:trPr>
        <w:tc>
          <w:tcPr>
            <w:tcW w:w="3635" w:type="dxa"/>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BE3741" w:rsidRPr="00F27ABF" w:rsidP="00EA0AB6">
            <w:pPr>
              <w:bidi w:val="0"/>
              <w:rPr>
                <w:rFonts w:ascii="Times New Roman" w:hAnsi="Times New Roman"/>
                <w:b/>
                <w:bCs/>
                <w:sz w:val="16"/>
                <w:szCs w:val="16"/>
              </w:rPr>
            </w:pPr>
            <w:r>
              <w:rPr>
                <w:rFonts w:ascii="Times New Roman" w:hAnsi="Times New Roman"/>
                <w:b/>
                <w:bCs/>
                <w:sz w:val="16"/>
                <w:szCs w:val="16"/>
              </w:rPr>
              <w:t> v tis. eur</w:t>
            </w:r>
          </w:p>
        </w:tc>
        <w:tc>
          <w:tcPr>
            <w:tcW w:w="772" w:type="dxa"/>
            <w:tcBorders>
              <w:top w:val="single" w:sz="4" w:space="0" w:color="auto"/>
              <w:left w:val="nil"/>
              <w:bottom w:val="single" w:sz="4" w:space="0" w:color="auto"/>
              <w:right w:val="single" w:sz="4" w:space="0" w:color="auto"/>
            </w:tcBorders>
            <w:shd w:val="clear" w:color="000000" w:fill="A6A6A6"/>
            <w:textDirection w:val="lrTb"/>
            <w:vAlign w:val="bottom"/>
            <w:hideMark/>
          </w:tcPr>
          <w:p w:rsidR="00BE3741"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2009 S</w:t>
            </w:r>
          </w:p>
        </w:tc>
        <w:tc>
          <w:tcPr>
            <w:tcW w:w="772" w:type="dxa"/>
            <w:tcBorders>
              <w:top w:val="single" w:sz="4" w:space="0" w:color="auto"/>
              <w:left w:val="nil"/>
              <w:bottom w:val="single" w:sz="4" w:space="0" w:color="auto"/>
              <w:right w:val="single" w:sz="4" w:space="0" w:color="auto"/>
            </w:tcBorders>
            <w:shd w:val="clear" w:color="000000" w:fill="A6A6A6"/>
            <w:textDirection w:val="lrTb"/>
            <w:vAlign w:val="bottom"/>
            <w:hideMark/>
          </w:tcPr>
          <w:p w:rsidR="00BE3741"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2010 S</w:t>
            </w:r>
          </w:p>
        </w:tc>
        <w:tc>
          <w:tcPr>
            <w:tcW w:w="772" w:type="dxa"/>
            <w:tcBorders>
              <w:top w:val="single" w:sz="4" w:space="0" w:color="auto"/>
              <w:left w:val="nil"/>
              <w:bottom w:val="single" w:sz="4" w:space="0" w:color="auto"/>
              <w:right w:val="single" w:sz="4" w:space="0" w:color="auto"/>
            </w:tcBorders>
            <w:shd w:val="clear" w:color="000000" w:fill="A6A6A6"/>
            <w:textDirection w:val="lrTb"/>
            <w:vAlign w:val="bottom"/>
            <w:hideMark/>
          </w:tcPr>
          <w:p w:rsidR="00BE3741"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2011 R</w:t>
            </w:r>
          </w:p>
        </w:tc>
        <w:tc>
          <w:tcPr>
            <w:tcW w:w="861" w:type="dxa"/>
            <w:tcBorders>
              <w:top w:val="single" w:sz="4" w:space="0" w:color="auto"/>
              <w:left w:val="nil"/>
              <w:bottom w:val="single" w:sz="4" w:space="0" w:color="auto"/>
              <w:right w:val="single" w:sz="4" w:space="0" w:color="auto"/>
            </w:tcBorders>
            <w:shd w:val="clear" w:color="000000" w:fill="A6A6A6"/>
            <w:textDirection w:val="lrTb"/>
            <w:vAlign w:val="bottom"/>
            <w:hideMark/>
          </w:tcPr>
          <w:p w:rsidR="00BE3741"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2011 OS</w:t>
            </w:r>
          </w:p>
        </w:tc>
        <w:tc>
          <w:tcPr>
            <w:tcW w:w="772" w:type="dxa"/>
            <w:tcBorders>
              <w:top w:val="single" w:sz="4" w:space="0" w:color="auto"/>
              <w:left w:val="nil"/>
              <w:bottom w:val="single" w:sz="4" w:space="0" w:color="auto"/>
              <w:right w:val="single" w:sz="4" w:space="0" w:color="auto"/>
            </w:tcBorders>
            <w:shd w:val="clear" w:color="000000" w:fill="A6A6A6"/>
            <w:textDirection w:val="lrTb"/>
            <w:vAlign w:val="bottom"/>
            <w:hideMark/>
          </w:tcPr>
          <w:p w:rsidR="00BE3741"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2012 N</w:t>
            </w:r>
          </w:p>
        </w:tc>
        <w:tc>
          <w:tcPr>
            <w:tcW w:w="772" w:type="dxa"/>
            <w:tcBorders>
              <w:top w:val="single" w:sz="4" w:space="0" w:color="auto"/>
              <w:left w:val="nil"/>
              <w:bottom w:val="single" w:sz="4" w:space="0" w:color="auto"/>
              <w:right w:val="single" w:sz="4" w:space="0" w:color="auto"/>
            </w:tcBorders>
            <w:shd w:val="clear" w:color="000000" w:fill="A6A6A6"/>
            <w:textDirection w:val="lrTb"/>
            <w:vAlign w:val="bottom"/>
            <w:hideMark/>
          </w:tcPr>
          <w:p w:rsidR="00BE3741"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2013 N</w:t>
            </w:r>
          </w:p>
        </w:tc>
        <w:tc>
          <w:tcPr>
            <w:tcW w:w="772" w:type="dxa"/>
            <w:tcBorders>
              <w:top w:val="single" w:sz="4" w:space="0" w:color="auto"/>
              <w:left w:val="nil"/>
              <w:bottom w:val="single" w:sz="4" w:space="0" w:color="auto"/>
              <w:right w:val="single" w:sz="4" w:space="0" w:color="auto"/>
            </w:tcBorders>
            <w:shd w:val="clear" w:color="000000" w:fill="A6A6A6"/>
            <w:textDirection w:val="lrTb"/>
            <w:vAlign w:val="bottom"/>
            <w:hideMark/>
          </w:tcPr>
          <w:p w:rsidR="00BE3741" w:rsidRPr="00F27ABF" w:rsidP="00EA0AB6">
            <w:pPr>
              <w:bidi w:val="0"/>
              <w:jc w:val="center"/>
              <w:rPr>
                <w:rFonts w:ascii="Times New Roman" w:hAnsi="Times New Roman"/>
                <w:b/>
                <w:bCs/>
                <w:sz w:val="16"/>
                <w:szCs w:val="16"/>
              </w:rPr>
            </w:pPr>
            <w:r w:rsidRPr="00F27ABF">
              <w:rPr>
                <w:rFonts w:ascii="Times New Roman" w:hAnsi="Times New Roman"/>
                <w:b/>
                <w:bCs/>
                <w:sz w:val="16"/>
                <w:szCs w:val="16"/>
              </w:rPr>
              <w:t>2014 N</w:t>
            </w:r>
          </w:p>
        </w:tc>
      </w:tr>
      <w:tr>
        <w:tblPrEx>
          <w:tblW w:w="9128" w:type="dxa"/>
          <w:tblInd w:w="70" w:type="dxa"/>
          <w:tblCellMar>
            <w:left w:w="70" w:type="dxa"/>
            <w:right w:w="70" w:type="dxa"/>
          </w:tblCellMar>
          <w:tblLook w:val="04A0"/>
        </w:tblPrEx>
        <w:trPr>
          <w:trHeight w:val="227"/>
        </w:trPr>
        <w:tc>
          <w:tcPr>
            <w:tcW w:w="363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BE3741" w:rsidRPr="00B81EEC" w:rsidP="00EA0AB6">
            <w:pPr>
              <w:bidi w:val="0"/>
              <w:rPr>
                <w:rFonts w:ascii="Times New Roman" w:hAnsi="Times New Roman"/>
                <w:b/>
                <w:bCs/>
                <w:iCs/>
                <w:sz w:val="16"/>
                <w:szCs w:val="16"/>
              </w:rPr>
            </w:pPr>
            <w:r w:rsidRPr="00B81EEC">
              <w:rPr>
                <w:rFonts w:ascii="Times New Roman" w:hAnsi="Times New Roman"/>
                <w:b/>
                <w:bCs/>
                <w:iCs/>
                <w:sz w:val="16"/>
                <w:szCs w:val="16"/>
              </w:rPr>
              <w:t>Príjmy úradu spolu, z toho:</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32 005</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32 395</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33 003</w:t>
            </w:r>
          </w:p>
        </w:tc>
        <w:tc>
          <w:tcPr>
            <w:tcW w:w="86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32 356</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3B77B5" w:rsidP="00EA0AB6">
            <w:pPr>
              <w:bidi w:val="0"/>
              <w:jc w:val="right"/>
              <w:rPr>
                <w:rFonts w:ascii="Times New Roman" w:hAnsi="Times New Roman"/>
                <w:b/>
                <w:bCs/>
                <w:iCs/>
                <w:sz w:val="16"/>
                <w:szCs w:val="16"/>
              </w:rPr>
            </w:pPr>
            <w:r w:rsidRPr="003B77B5">
              <w:rPr>
                <w:rFonts w:ascii="Times New Roman" w:hAnsi="Times New Roman"/>
                <w:b/>
                <w:bCs/>
                <w:iCs/>
                <w:sz w:val="16"/>
                <w:szCs w:val="16"/>
              </w:rPr>
              <w:t>32 330</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32 357</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32 816</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160" w:firstLineChars="100"/>
              <w:rPr>
                <w:rFonts w:ascii="Times New Roman" w:hAnsi="Times New Roman"/>
                <w:sz w:val="16"/>
                <w:szCs w:val="16"/>
              </w:rPr>
            </w:pPr>
            <w:r w:rsidRPr="00F27ABF">
              <w:rPr>
                <w:rFonts w:ascii="Times New Roman" w:hAnsi="Times New Roman"/>
                <w:sz w:val="16"/>
                <w:szCs w:val="16"/>
              </w:rPr>
              <w:t>▪  nedaňové príjmy</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1 228</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1 006</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1 081</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1 047</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785</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850</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865</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160" w:firstLineChars="100"/>
              <w:rPr>
                <w:rFonts w:ascii="Times New Roman" w:hAnsi="Times New Roman"/>
                <w:sz w:val="16"/>
                <w:szCs w:val="16"/>
              </w:rPr>
            </w:pPr>
            <w:r w:rsidRPr="00F27ABF">
              <w:rPr>
                <w:rFonts w:ascii="Times New Roman" w:hAnsi="Times New Roman"/>
                <w:sz w:val="16"/>
                <w:szCs w:val="16"/>
              </w:rPr>
              <w:t>▪   transfery v rámci VS, z toho:</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14 195</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14 391</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15 998</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15 103</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15 964</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16 162</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16 180</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320" w:firstLineChars="200"/>
              <w:rPr>
                <w:rFonts w:ascii="Times New Roman" w:hAnsi="Times New Roman"/>
                <w:sz w:val="16"/>
                <w:szCs w:val="16"/>
              </w:rPr>
            </w:pPr>
            <w:r w:rsidRPr="00F27ABF">
              <w:rPr>
                <w:rFonts w:ascii="Times New Roman" w:hAnsi="Times New Roman"/>
                <w:sz w:val="16"/>
                <w:szCs w:val="16"/>
              </w:rPr>
              <w:t xml:space="preserve">        zo štátneho rozpočtu</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0</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0</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0</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0</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629</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401</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0</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320" w:firstLineChars="200"/>
              <w:rPr>
                <w:rFonts w:ascii="Times New Roman" w:hAnsi="Times New Roman"/>
                <w:sz w:val="16"/>
                <w:szCs w:val="16"/>
              </w:rPr>
            </w:pPr>
            <w:r w:rsidRPr="00F27ABF">
              <w:rPr>
                <w:rFonts w:ascii="Times New Roman" w:hAnsi="Times New Roman"/>
                <w:sz w:val="16"/>
                <w:szCs w:val="16"/>
              </w:rPr>
              <w:t xml:space="preserve">        zo zdravotných poisťovní</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14 195</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14 391</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15 998</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15 103</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15 335</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15 761</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16 180</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160" w:firstLineChars="100"/>
              <w:rPr>
                <w:rFonts w:ascii="Times New Roman" w:hAnsi="Times New Roman"/>
                <w:sz w:val="16"/>
                <w:szCs w:val="16"/>
              </w:rPr>
            </w:pPr>
            <w:r w:rsidRPr="00F27ABF">
              <w:rPr>
                <w:rFonts w:ascii="Times New Roman" w:hAnsi="Times New Roman"/>
                <w:sz w:val="16"/>
                <w:szCs w:val="16"/>
              </w:rPr>
              <w:t>▪  zostatok prostriedkov z</w:t>
            </w:r>
            <w:r>
              <w:rPr>
                <w:rFonts w:ascii="Times New Roman" w:hAnsi="Times New Roman"/>
                <w:sz w:val="16"/>
                <w:szCs w:val="16"/>
              </w:rPr>
              <w:t> </w:t>
            </w:r>
            <w:r w:rsidRPr="00F27ABF">
              <w:rPr>
                <w:rFonts w:ascii="Times New Roman" w:hAnsi="Times New Roman"/>
                <w:sz w:val="16"/>
                <w:szCs w:val="16"/>
              </w:rPr>
              <w:t>predch</w:t>
            </w:r>
            <w:r>
              <w:rPr>
                <w:rFonts w:ascii="Times New Roman" w:hAnsi="Times New Roman"/>
                <w:sz w:val="16"/>
                <w:szCs w:val="16"/>
              </w:rPr>
              <w:t>.</w:t>
            </w:r>
            <w:r w:rsidRPr="00F27ABF">
              <w:rPr>
                <w:rFonts w:ascii="Times New Roman" w:hAnsi="Times New Roman"/>
                <w:sz w:val="16"/>
                <w:szCs w:val="16"/>
              </w:rPr>
              <w:t xml:space="preserve"> rokov (FO)</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16 582</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16 998</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15 924</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16 206</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15 581</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15 345</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15 771</w:t>
            </w:r>
          </w:p>
        </w:tc>
      </w:tr>
      <w:tr>
        <w:tblPrEx>
          <w:tblW w:w="9128" w:type="dxa"/>
          <w:tblInd w:w="70" w:type="dxa"/>
          <w:tblCellMar>
            <w:left w:w="70" w:type="dxa"/>
            <w:right w:w="70" w:type="dxa"/>
          </w:tblCellMar>
          <w:tblLook w:val="04A0"/>
        </w:tblPrEx>
        <w:trPr>
          <w:trHeight w:val="227"/>
        </w:trPr>
        <w:tc>
          <w:tcPr>
            <w:tcW w:w="363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BE3741" w:rsidRPr="00B81EEC" w:rsidP="00EA0AB6">
            <w:pPr>
              <w:bidi w:val="0"/>
              <w:rPr>
                <w:rFonts w:ascii="Times New Roman" w:hAnsi="Times New Roman"/>
                <w:b/>
                <w:bCs/>
                <w:iCs/>
                <w:sz w:val="16"/>
                <w:szCs w:val="16"/>
              </w:rPr>
            </w:pPr>
            <w:r w:rsidRPr="00B81EEC">
              <w:rPr>
                <w:rFonts w:ascii="Times New Roman" w:hAnsi="Times New Roman"/>
                <w:b/>
                <w:bCs/>
                <w:iCs/>
                <w:sz w:val="16"/>
                <w:szCs w:val="16"/>
              </w:rPr>
              <w:t>Výdavky úradu spolu, z toho:</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14 978</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16 189</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16 905</w:t>
            </w:r>
          </w:p>
        </w:tc>
        <w:tc>
          <w:tcPr>
            <w:tcW w:w="86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16 775</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3B77B5" w:rsidP="00EA0AB6">
            <w:pPr>
              <w:bidi w:val="0"/>
              <w:jc w:val="right"/>
              <w:rPr>
                <w:rFonts w:ascii="Times New Roman" w:hAnsi="Times New Roman"/>
                <w:b/>
                <w:bCs/>
                <w:iCs/>
                <w:sz w:val="16"/>
                <w:szCs w:val="16"/>
              </w:rPr>
            </w:pPr>
            <w:r w:rsidRPr="003B77B5">
              <w:rPr>
                <w:rFonts w:ascii="Times New Roman" w:hAnsi="Times New Roman"/>
                <w:b/>
                <w:bCs/>
                <w:iCs/>
                <w:sz w:val="16"/>
                <w:szCs w:val="16"/>
              </w:rPr>
              <w:t>16 985</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16 586</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16 626</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160" w:firstLineChars="100"/>
              <w:rPr>
                <w:rFonts w:ascii="Times New Roman" w:hAnsi="Times New Roman"/>
                <w:sz w:val="16"/>
                <w:szCs w:val="16"/>
              </w:rPr>
            </w:pPr>
            <w:r w:rsidRPr="00F27ABF">
              <w:rPr>
                <w:rFonts w:ascii="Times New Roman" w:hAnsi="Times New Roman"/>
                <w:sz w:val="16"/>
                <w:szCs w:val="16"/>
              </w:rPr>
              <w:t>▪   bežné výdavky na správne činnosti úradu</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13 911</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14 712</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14 655</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14 655</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15 496</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15 542</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15 865</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320" w:firstLineChars="200"/>
              <w:rPr>
                <w:rFonts w:ascii="Times New Roman" w:hAnsi="Times New Roman"/>
                <w:sz w:val="16"/>
                <w:szCs w:val="16"/>
              </w:rPr>
            </w:pPr>
            <w:r w:rsidRPr="00F27ABF">
              <w:rPr>
                <w:rFonts w:ascii="Times New Roman" w:hAnsi="Times New Roman"/>
                <w:sz w:val="16"/>
                <w:szCs w:val="16"/>
              </w:rPr>
              <w:t xml:space="preserve">        bežný transfer rozpočtovej  organizácii</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85</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85</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85</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85</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85</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85</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85</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textDirection w:val="lrTb"/>
            <w:vAlign w:val="bottom"/>
            <w:hideMark/>
          </w:tcPr>
          <w:p w:rsidR="00BE3741" w:rsidRPr="00F27ABF" w:rsidP="00EA0AB6">
            <w:pPr>
              <w:bidi w:val="0"/>
              <w:ind w:firstLine="160" w:firstLineChars="100"/>
              <w:rPr>
                <w:rFonts w:ascii="Times New Roman" w:hAnsi="Times New Roman"/>
                <w:sz w:val="16"/>
                <w:szCs w:val="16"/>
              </w:rPr>
            </w:pPr>
            <w:r w:rsidRPr="00F27ABF">
              <w:rPr>
                <w:rFonts w:ascii="Times New Roman" w:hAnsi="Times New Roman"/>
                <w:sz w:val="16"/>
                <w:szCs w:val="16"/>
              </w:rPr>
              <w:t>▪   kapitálové výdavky</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1 067</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1 477</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2 250</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sz w:val="16"/>
                <w:szCs w:val="16"/>
              </w:rPr>
            </w:pPr>
            <w:r w:rsidRPr="00F27ABF">
              <w:rPr>
                <w:rFonts w:ascii="Times New Roman" w:hAnsi="Times New Roman"/>
                <w:sz w:val="16"/>
                <w:szCs w:val="16"/>
              </w:rPr>
              <w:t>2 120</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Cs/>
                <w:iCs/>
                <w:sz w:val="16"/>
                <w:szCs w:val="16"/>
              </w:rPr>
            </w:pPr>
            <w:r w:rsidRPr="003B77B5">
              <w:rPr>
                <w:rFonts w:ascii="Times New Roman" w:hAnsi="Times New Roman"/>
                <w:bCs/>
                <w:iCs/>
                <w:sz w:val="16"/>
                <w:szCs w:val="16"/>
              </w:rPr>
              <w:t>1 489</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1 044</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sz w:val="16"/>
                <w:szCs w:val="16"/>
              </w:rPr>
            </w:pPr>
            <w:r w:rsidRPr="00F24D00">
              <w:rPr>
                <w:rFonts w:ascii="Times New Roman" w:hAnsi="Times New Roman"/>
                <w:sz w:val="16"/>
                <w:szCs w:val="16"/>
              </w:rPr>
              <w:t>761</w:t>
            </w:r>
          </w:p>
        </w:tc>
      </w:tr>
      <w:tr>
        <w:tblPrEx>
          <w:tblW w:w="9128" w:type="dxa"/>
          <w:tblInd w:w="70" w:type="dxa"/>
          <w:tblCellMar>
            <w:left w:w="70" w:type="dxa"/>
            <w:right w:w="70" w:type="dxa"/>
          </w:tblCellMar>
          <w:tblLook w:val="04A0"/>
        </w:tblPrEx>
        <w:trPr>
          <w:trHeight w:val="227"/>
        </w:trPr>
        <w:tc>
          <w:tcPr>
            <w:tcW w:w="363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BE3741" w:rsidRPr="00B81EEC" w:rsidP="00EA0AB6">
            <w:pPr>
              <w:bidi w:val="0"/>
              <w:rPr>
                <w:rFonts w:ascii="Times New Roman" w:hAnsi="Times New Roman"/>
                <w:b/>
                <w:bCs/>
                <w:iCs/>
                <w:sz w:val="16"/>
                <w:szCs w:val="16"/>
              </w:rPr>
            </w:pPr>
            <w:r w:rsidRPr="00B81EEC">
              <w:rPr>
                <w:rFonts w:ascii="Times New Roman" w:hAnsi="Times New Roman"/>
                <w:b/>
                <w:bCs/>
                <w:iCs/>
                <w:sz w:val="16"/>
                <w:szCs w:val="16"/>
              </w:rPr>
              <w:t>Celkový prebytok úradu</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17 027</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16 206</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16 098</w:t>
            </w:r>
          </w:p>
        </w:tc>
        <w:tc>
          <w:tcPr>
            <w:tcW w:w="86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15 581</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3B77B5" w:rsidP="00EA0AB6">
            <w:pPr>
              <w:bidi w:val="0"/>
              <w:jc w:val="right"/>
              <w:rPr>
                <w:rFonts w:ascii="Times New Roman" w:hAnsi="Times New Roman"/>
                <w:b/>
                <w:bCs/>
                <w:iCs/>
                <w:sz w:val="16"/>
                <w:szCs w:val="16"/>
              </w:rPr>
            </w:pPr>
            <w:r w:rsidRPr="003B77B5">
              <w:rPr>
                <w:rFonts w:ascii="Times New Roman" w:hAnsi="Times New Roman"/>
                <w:b/>
                <w:bCs/>
                <w:iCs/>
                <w:sz w:val="16"/>
                <w:szCs w:val="16"/>
              </w:rPr>
              <w:t>15 345</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15 771</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16 190</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noWrap/>
            <w:textDirection w:val="lrTb"/>
            <w:vAlign w:val="bottom"/>
            <w:hideMark/>
          </w:tcPr>
          <w:p w:rsidR="00BE3741" w:rsidRPr="00F27ABF" w:rsidP="00EA0AB6">
            <w:pPr>
              <w:bidi w:val="0"/>
              <w:rPr>
                <w:rFonts w:ascii="Times New Roman" w:hAnsi="Times New Roman"/>
                <w:b/>
                <w:bCs/>
                <w:i/>
                <w:iCs/>
                <w:sz w:val="16"/>
                <w:szCs w:val="16"/>
              </w:rPr>
            </w:pPr>
            <w:r w:rsidRPr="00F27ABF">
              <w:rPr>
                <w:rFonts w:ascii="Times New Roman" w:hAnsi="Times New Roman"/>
                <w:b/>
                <w:bCs/>
                <w:i/>
                <w:iCs/>
                <w:sz w:val="16"/>
                <w:szCs w:val="16"/>
              </w:rPr>
              <w:t xml:space="preserve"> vylúčenie finančných operácií, z toho:</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-16 582</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-16 998</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-15 924</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-16 206</w:t>
            </w:r>
          </w:p>
        </w:tc>
        <w:tc>
          <w:tcPr>
            <w:tcW w:w="772" w:type="dxa"/>
            <w:tcBorders>
              <w:top w:val="nil"/>
              <w:left w:val="nil"/>
              <w:bottom w:val="single" w:sz="4" w:space="0" w:color="auto"/>
              <w:right w:val="single" w:sz="4" w:space="0" w:color="auto"/>
            </w:tcBorders>
            <w:noWrap/>
            <w:textDirection w:val="lrTb"/>
            <w:vAlign w:val="bottom"/>
            <w:hideMark/>
          </w:tcPr>
          <w:p w:rsidR="00BE3741" w:rsidRPr="003A13AE" w:rsidP="00EA0AB6">
            <w:pPr>
              <w:bidi w:val="0"/>
              <w:jc w:val="right"/>
              <w:rPr>
                <w:rFonts w:ascii="Times New Roman" w:hAnsi="Times New Roman"/>
                <w:b/>
                <w:bCs/>
                <w:i/>
                <w:iCs/>
                <w:sz w:val="16"/>
                <w:szCs w:val="16"/>
              </w:rPr>
            </w:pPr>
            <w:r w:rsidRPr="003A13AE">
              <w:rPr>
                <w:rFonts w:ascii="Times New Roman" w:hAnsi="Times New Roman"/>
                <w:b/>
                <w:bCs/>
                <w:i/>
                <w:iCs/>
                <w:sz w:val="16"/>
                <w:szCs w:val="16"/>
              </w:rPr>
              <w:t>-15 581</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b/>
                <w:bCs/>
                <w:i/>
                <w:iCs/>
                <w:sz w:val="16"/>
                <w:szCs w:val="16"/>
              </w:rPr>
            </w:pPr>
            <w:r w:rsidRPr="00F24D00">
              <w:rPr>
                <w:rFonts w:ascii="Times New Roman" w:hAnsi="Times New Roman"/>
                <w:b/>
                <w:bCs/>
                <w:i/>
                <w:iCs/>
                <w:sz w:val="16"/>
                <w:szCs w:val="16"/>
              </w:rPr>
              <w:t>-15 345</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b/>
                <w:bCs/>
                <w:i/>
                <w:iCs/>
                <w:sz w:val="16"/>
                <w:szCs w:val="16"/>
              </w:rPr>
            </w:pPr>
            <w:r w:rsidRPr="00F24D00">
              <w:rPr>
                <w:rFonts w:ascii="Times New Roman" w:hAnsi="Times New Roman"/>
                <w:b/>
                <w:bCs/>
                <w:i/>
                <w:iCs/>
                <w:sz w:val="16"/>
                <w:szCs w:val="16"/>
              </w:rPr>
              <w:t>-15 771</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noWrap/>
            <w:textDirection w:val="lrTb"/>
            <w:vAlign w:val="bottom"/>
            <w:hideMark/>
          </w:tcPr>
          <w:p w:rsidR="00BE3741" w:rsidRPr="00F27ABF" w:rsidP="00EA0AB6">
            <w:pPr>
              <w:bidi w:val="0"/>
              <w:ind w:firstLine="160" w:firstLineChars="100"/>
              <w:rPr>
                <w:rFonts w:ascii="Times New Roman" w:hAnsi="Times New Roman"/>
                <w:i/>
                <w:iCs/>
                <w:sz w:val="16"/>
                <w:szCs w:val="16"/>
              </w:rPr>
            </w:pPr>
            <w:r w:rsidRPr="00F27ABF">
              <w:rPr>
                <w:rFonts w:ascii="Times New Roman" w:hAnsi="Times New Roman"/>
                <w:i/>
                <w:iCs/>
                <w:sz w:val="16"/>
                <w:szCs w:val="16"/>
              </w:rPr>
              <w:t>▪   vylúčenie príjmových FO</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i/>
                <w:iCs/>
                <w:sz w:val="16"/>
                <w:szCs w:val="16"/>
              </w:rPr>
            </w:pPr>
            <w:r w:rsidRPr="00F27ABF">
              <w:rPr>
                <w:rFonts w:ascii="Times New Roman" w:hAnsi="Times New Roman"/>
                <w:i/>
                <w:iCs/>
                <w:sz w:val="16"/>
                <w:szCs w:val="16"/>
              </w:rPr>
              <w:t>-16 582</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i/>
                <w:iCs/>
                <w:sz w:val="16"/>
                <w:szCs w:val="16"/>
              </w:rPr>
            </w:pPr>
            <w:r w:rsidRPr="00F27ABF">
              <w:rPr>
                <w:rFonts w:ascii="Times New Roman" w:hAnsi="Times New Roman"/>
                <w:i/>
                <w:iCs/>
                <w:sz w:val="16"/>
                <w:szCs w:val="16"/>
              </w:rPr>
              <w:t>-16 998</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i/>
                <w:iCs/>
                <w:sz w:val="16"/>
                <w:szCs w:val="16"/>
              </w:rPr>
            </w:pPr>
            <w:r w:rsidRPr="00F27ABF">
              <w:rPr>
                <w:rFonts w:ascii="Times New Roman" w:hAnsi="Times New Roman"/>
                <w:i/>
                <w:iCs/>
                <w:sz w:val="16"/>
                <w:szCs w:val="16"/>
              </w:rPr>
              <w:t>-15 924</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i/>
                <w:iCs/>
                <w:sz w:val="16"/>
                <w:szCs w:val="16"/>
              </w:rPr>
            </w:pPr>
            <w:r w:rsidRPr="00F27ABF">
              <w:rPr>
                <w:rFonts w:ascii="Times New Roman" w:hAnsi="Times New Roman"/>
                <w:i/>
                <w:iCs/>
                <w:sz w:val="16"/>
                <w:szCs w:val="16"/>
              </w:rPr>
              <w:t>-16 206</w:t>
            </w:r>
          </w:p>
        </w:tc>
        <w:tc>
          <w:tcPr>
            <w:tcW w:w="772" w:type="dxa"/>
            <w:tcBorders>
              <w:top w:val="nil"/>
              <w:left w:val="nil"/>
              <w:bottom w:val="single" w:sz="4" w:space="0" w:color="auto"/>
              <w:right w:val="single" w:sz="4" w:space="0" w:color="auto"/>
            </w:tcBorders>
            <w:noWrap/>
            <w:textDirection w:val="lrTb"/>
            <w:vAlign w:val="bottom"/>
            <w:hideMark/>
          </w:tcPr>
          <w:p w:rsidR="00BE3741" w:rsidRPr="003A13AE" w:rsidP="00EA0AB6">
            <w:pPr>
              <w:bidi w:val="0"/>
              <w:jc w:val="right"/>
              <w:rPr>
                <w:rFonts w:ascii="Times New Roman" w:hAnsi="Times New Roman"/>
                <w:bCs/>
                <w:i/>
                <w:iCs/>
                <w:sz w:val="16"/>
                <w:szCs w:val="16"/>
              </w:rPr>
            </w:pPr>
            <w:r w:rsidRPr="003A13AE">
              <w:rPr>
                <w:rFonts w:ascii="Times New Roman" w:hAnsi="Times New Roman"/>
                <w:bCs/>
                <w:i/>
                <w:iCs/>
                <w:sz w:val="16"/>
                <w:szCs w:val="16"/>
              </w:rPr>
              <w:t>-15 581</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i/>
                <w:iCs/>
                <w:sz w:val="16"/>
                <w:szCs w:val="16"/>
              </w:rPr>
            </w:pPr>
            <w:r w:rsidRPr="00F24D00">
              <w:rPr>
                <w:rFonts w:ascii="Times New Roman" w:hAnsi="Times New Roman"/>
                <w:i/>
                <w:iCs/>
                <w:sz w:val="16"/>
                <w:szCs w:val="16"/>
              </w:rPr>
              <w:t>-15 345</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i/>
                <w:iCs/>
                <w:sz w:val="16"/>
                <w:szCs w:val="16"/>
              </w:rPr>
            </w:pPr>
            <w:r w:rsidRPr="00F24D00">
              <w:rPr>
                <w:rFonts w:ascii="Times New Roman" w:hAnsi="Times New Roman"/>
                <w:i/>
                <w:iCs/>
                <w:sz w:val="16"/>
                <w:szCs w:val="16"/>
              </w:rPr>
              <w:t>-15 771</w:t>
            </w:r>
          </w:p>
        </w:tc>
      </w:tr>
      <w:tr>
        <w:tblPrEx>
          <w:tblW w:w="9128" w:type="dxa"/>
          <w:tblInd w:w="70" w:type="dxa"/>
          <w:tblCellMar>
            <w:left w:w="70" w:type="dxa"/>
            <w:right w:w="70" w:type="dxa"/>
          </w:tblCellMar>
          <w:tblLook w:val="04A0"/>
        </w:tblPrEx>
        <w:trPr>
          <w:trHeight w:val="227"/>
        </w:trPr>
        <w:tc>
          <w:tcPr>
            <w:tcW w:w="3635" w:type="dxa"/>
            <w:tcBorders>
              <w:top w:val="nil"/>
              <w:left w:val="single" w:sz="4" w:space="0" w:color="auto"/>
              <w:bottom w:val="single" w:sz="4" w:space="0" w:color="auto"/>
              <w:right w:val="single" w:sz="4" w:space="0" w:color="auto"/>
            </w:tcBorders>
            <w:noWrap/>
            <w:textDirection w:val="lrTb"/>
            <w:vAlign w:val="bottom"/>
            <w:hideMark/>
          </w:tcPr>
          <w:p w:rsidR="00BE3741" w:rsidRPr="00F27ABF" w:rsidP="00EA0AB6">
            <w:pPr>
              <w:bidi w:val="0"/>
              <w:rPr>
                <w:rFonts w:ascii="Times New Roman" w:hAnsi="Times New Roman"/>
                <w:b/>
                <w:bCs/>
                <w:i/>
                <w:iCs/>
                <w:sz w:val="16"/>
                <w:szCs w:val="16"/>
              </w:rPr>
            </w:pPr>
            <w:r w:rsidRPr="00F27ABF">
              <w:rPr>
                <w:rFonts w:ascii="Times New Roman" w:hAnsi="Times New Roman"/>
                <w:b/>
                <w:bCs/>
                <w:i/>
                <w:iCs/>
                <w:sz w:val="16"/>
                <w:szCs w:val="16"/>
              </w:rPr>
              <w:t xml:space="preserve">  ostatné úpravy</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7</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1 103</w:t>
            </w:r>
          </w:p>
        </w:tc>
        <w:tc>
          <w:tcPr>
            <w:tcW w:w="772"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Pr>
                <w:rFonts w:ascii="Times New Roman" w:hAnsi="Times New Roman"/>
                <w:b/>
                <w:bCs/>
                <w:i/>
                <w:iCs/>
                <w:sz w:val="16"/>
                <w:szCs w:val="16"/>
              </w:rPr>
              <w:t>0</w:t>
            </w:r>
          </w:p>
        </w:tc>
        <w:tc>
          <w:tcPr>
            <w:tcW w:w="861" w:type="dxa"/>
            <w:tcBorders>
              <w:top w:val="nil"/>
              <w:left w:val="nil"/>
              <w:bottom w:val="single" w:sz="4" w:space="0" w:color="auto"/>
              <w:right w:val="single" w:sz="4" w:space="0" w:color="auto"/>
            </w:tcBorders>
            <w:noWrap/>
            <w:textDirection w:val="lrTb"/>
            <w:vAlign w:val="bottom"/>
            <w:hideMark/>
          </w:tcPr>
          <w:p w:rsidR="00BE3741" w:rsidRPr="00F27ABF" w:rsidP="00EA0AB6">
            <w:pPr>
              <w:bidi w:val="0"/>
              <w:jc w:val="right"/>
              <w:rPr>
                <w:rFonts w:ascii="Times New Roman" w:hAnsi="Times New Roman"/>
                <w:b/>
                <w:bCs/>
                <w:i/>
                <w:iCs/>
                <w:sz w:val="16"/>
                <w:szCs w:val="16"/>
              </w:rPr>
            </w:pPr>
            <w:r w:rsidRPr="00F27ABF">
              <w:rPr>
                <w:rFonts w:ascii="Times New Roman" w:hAnsi="Times New Roman"/>
                <w:b/>
                <w:bCs/>
                <w:i/>
                <w:iCs/>
                <w:sz w:val="16"/>
                <w:szCs w:val="16"/>
              </w:rPr>
              <w:t>-1 404</w:t>
            </w:r>
          </w:p>
        </w:tc>
        <w:tc>
          <w:tcPr>
            <w:tcW w:w="772" w:type="dxa"/>
            <w:tcBorders>
              <w:top w:val="nil"/>
              <w:left w:val="nil"/>
              <w:bottom w:val="single" w:sz="4" w:space="0" w:color="auto"/>
              <w:right w:val="single" w:sz="4" w:space="0" w:color="auto"/>
            </w:tcBorders>
            <w:noWrap/>
            <w:textDirection w:val="lrTb"/>
            <w:vAlign w:val="bottom"/>
            <w:hideMark/>
          </w:tcPr>
          <w:p w:rsidR="00BE3741" w:rsidRPr="003B77B5" w:rsidP="00EA0AB6">
            <w:pPr>
              <w:bidi w:val="0"/>
              <w:jc w:val="right"/>
              <w:rPr>
                <w:rFonts w:ascii="Times New Roman" w:hAnsi="Times New Roman"/>
                <w:b/>
                <w:bCs/>
                <w:iCs/>
                <w:sz w:val="16"/>
                <w:szCs w:val="16"/>
              </w:rPr>
            </w:pPr>
            <w:r w:rsidRPr="003B77B5">
              <w:rPr>
                <w:rFonts w:ascii="Times New Roman" w:hAnsi="Times New Roman"/>
                <w:b/>
                <w:bCs/>
                <w:iCs/>
                <w:sz w:val="16"/>
                <w:szCs w:val="16"/>
              </w:rPr>
              <w:t>-</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b/>
                <w:bCs/>
                <w:i/>
                <w:iCs/>
                <w:sz w:val="16"/>
                <w:szCs w:val="16"/>
              </w:rPr>
            </w:pPr>
            <w:r w:rsidRPr="00F24D00">
              <w:rPr>
                <w:rFonts w:ascii="Times New Roman" w:hAnsi="Times New Roman"/>
                <w:b/>
                <w:bCs/>
                <w:i/>
                <w:iCs/>
                <w:sz w:val="16"/>
                <w:szCs w:val="16"/>
              </w:rPr>
              <w:t>-</w:t>
            </w:r>
          </w:p>
        </w:tc>
        <w:tc>
          <w:tcPr>
            <w:tcW w:w="772" w:type="dxa"/>
            <w:tcBorders>
              <w:top w:val="nil"/>
              <w:left w:val="nil"/>
              <w:bottom w:val="single" w:sz="4" w:space="0" w:color="auto"/>
              <w:right w:val="single" w:sz="4" w:space="0" w:color="auto"/>
            </w:tcBorders>
            <w:noWrap/>
            <w:textDirection w:val="lrTb"/>
            <w:vAlign w:val="bottom"/>
            <w:hideMark/>
          </w:tcPr>
          <w:p w:rsidR="00BE3741" w:rsidRPr="00F24D00" w:rsidP="00EA0AB6">
            <w:pPr>
              <w:bidi w:val="0"/>
              <w:jc w:val="right"/>
              <w:rPr>
                <w:rFonts w:ascii="Times New Roman" w:hAnsi="Times New Roman"/>
                <w:b/>
                <w:bCs/>
                <w:i/>
                <w:iCs/>
                <w:sz w:val="16"/>
                <w:szCs w:val="16"/>
              </w:rPr>
            </w:pPr>
            <w:r w:rsidRPr="00F24D00">
              <w:rPr>
                <w:rFonts w:ascii="Times New Roman" w:hAnsi="Times New Roman"/>
                <w:b/>
                <w:bCs/>
                <w:i/>
                <w:iCs/>
                <w:sz w:val="16"/>
                <w:szCs w:val="16"/>
              </w:rPr>
              <w:t>-</w:t>
            </w:r>
          </w:p>
        </w:tc>
      </w:tr>
      <w:tr>
        <w:tblPrEx>
          <w:tblW w:w="9128" w:type="dxa"/>
          <w:tblInd w:w="70" w:type="dxa"/>
          <w:tblCellMar>
            <w:left w:w="70" w:type="dxa"/>
            <w:right w:w="70" w:type="dxa"/>
          </w:tblCellMar>
          <w:tblLook w:val="04A0"/>
        </w:tblPrEx>
        <w:trPr>
          <w:trHeight w:val="227"/>
        </w:trPr>
        <w:tc>
          <w:tcPr>
            <w:tcW w:w="363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BE3741" w:rsidRPr="00B81EEC" w:rsidP="00EA0AB6">
            <w:pPr>
              <w:bidi w:val="0"/>
              <w:rPr>
                <w:rFonts w:ascii="Times New Roman" w:hAnsi="Times New Roman"/>
                <w:b/>
                <w:bCs/>
                <w:iCs/>
                <w:sz w:val="16"/>
                <w:szCs w:val="16"/>
              </w:rPr>
            </w:pPr>
            <w:r w:rsidRPr="00B81EEC">
              <w:rPr>
                <w:rFonts w:ascii="Times New Roman" w:hAnsi="Times New Roman"/>
                <w:b/>
                <w:bCs/>
                <w:iCs/>
                <w:sz w:val="16"/>
                <w:szCs w:val="16"/>
              </w:rPr>
              <w:t>Prebytok / schodok úradu (ESA 95)</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452</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311</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174</w:t>
            </w:r>
          </w:p>
        </w:tc>
        <w:tc>
          <w:tcPr>
            <w:tcW w:w="86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B81EEC" w:rsidP="00EA0AB6">
            <w:pPr>
              <w:bidi w:val="0"/>
              <w:jc w:val="right"/>
              <w:rPr>
                <w:rFonts w:ascii="Times New Roman" w:hAnsi="Times New Roman"/>
                <w:b/>
                <w:bCs/>
                <w:iCs/>
                <w:sz w:val="16"/>
                <w:szCs w:val="16"/>
              </w:rPr>
            </w:pPr>
            <w:r w:rsidRPr="00B81EEC">
              <w:rPr>
                <w:rFonts w:ascii="Times New Roman" w:hAnsi="Times New Roman"/>
                <w:b/>
                <w:bCs/>
                <w:iCs/>
                <w:sz w:val="16"/>
                <w:szCs w:val="16"/>
              </w:rPr>
              <w:t>-2 029</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3B77B5" w:rsidP="00EA0AB6">
            <w:pPr>
              <w:bidi w:val="0"/>
              <w:jc w:val="right"/>
              <w:rPr>
                <w:rFonts w:ascii="Times New Roman" w:hAnsi="Times New Roman"/>
                <w:b/>
                <w:bCs/>
                <w:iCs/>
                <w:sz w:val="16"/>
                <w:szCs w:val="16"/>
              </w:rPr>
            </w:pPr>
            <w:r w:rsidRPr="003B77B5">
              <w:rPr>
                <w:rFonts w:ascii="Times New Roman" w:hAnsi="Times New Roman"/>
                <w:b/>
                <w:bCs/>
                <w:iCs/>
                <w:sz w:val="16"/>
                <w:szCs w:val="16"/>
              </w:rPr>
              <w:t>-236</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426</w:t>
            </w:r>
          </w:p>
        </w:tc>
        <w:tc>
          <w:tcPr>
            <w:tcW w:w="7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BE3741" w:rsidRPr="00F24D00" w:rsidP="00EA0AB6">
            <w:pPr>
              <w:bidi w:val="0"/>
              <w:jc w:val="right"/>
              <w:rPr>
                <w:rFonts w:ascii="Times New Roman" w:hAnsi="Times New Roman"/>
                <w:b/>
                <w:bCs/>
                <w:iCs/>
                <w:sz w:val="16"/>
                <w:szCs w:val="16"/>
              </w:rPr>
            </w:pPr>
            <w:r w:rsidRPr="00F24D00">
              <w:rPr>
                <w:rFonts w:ascii="Times New Roman" w:hAnsi="Times New Roman"/>
                <w:b/>
                <w:bCs/>
                <w:iCs/>
                <w:sz w:val="16"/>
                <w:szCs w:val="16"/>
              </w:rPr>
              <w:t>419</w:t>
            </w:r>
          </w:p>
        </w:tc>
      </w:tr>
    </w:tbl>
    <w:p w:rsidR="00BE3741" w:rsidRPr="00F27ABF" w:rsidP="00BE3741">
      <w:pPr>
        <w:pStyle w:val="BodyText"/>
        <w:bidi w:val="0"/>
        <w:ind w:firstLine="708"/>
        <w:rPr>
          <w:rFonts w:ascii="Times New Roman" w:hAnsi="Times New Roman"/>
          <w:sz w:val="22"/>
          <w:szCs w:val="22"/>
        </w:rPr>
      </w:pPr>
    </w:p>
    <w:p w:rsidR="00BE3741" w:rsidRPr="00EB33CC" w:rsidP="00BE3741">
      <w:pPr>
        <w:bidi w:val="0"/>
        <w:ind w:firstLine="708"/>
        <w:jc w:val="both"/>
        <w:rPr>
          <w:rFonts w:ascii="Times New Roman" w:hAnsi="Times New Roman"/>
          <w:szCs w:val="22"/>
        </w:rPr>
      </w:pPr>
      <w:r w:rsidRPr="00EB33CC">
        <w:rPr>
          <w:rFonts w:ascii="Times New Roman" w:hAnsi="Times New Roman"/>
          <w:szCs w:val="22"/>
        </w:rPr>
        <w:t>Celkové príjmy úradu sú v roku 2012 plánované vo výške 32,</w:t>
      </w:r>
      <w:r>
        <w:rPr>
          <w:rFonts w:ascii="Times New Roman" w:hAnsi="Times New Roman"/>
          <w:szCs w:val="22"/>
        </w:rPr>
        <w:t>3</w:t>
      </w:r>
      <w:r w:rsidRPr="00EB33CC">
        <w:rPr>
          <w:rFonts w:ascii="Times New Roman" w:hAnsi="Times New Roman"/>
          <w:szCs w:val="22"/>
        </w:rPr>
        <w:t xml:space="preserve"> mil. e</w:t>
      </w:r>
      <w:r>
        <w:rPr>
          <w:rFonts w:ascii="Times New Roman" w:hAnsi="Times New Roman"/>
          <w:szCs w:val="22"/>
        </w:rPr>
        <w:t>ur s medziročným poklesom o 2,04</w:t>
      </w:r>
      <w:r w:rsidRPr="00EB33CC">
        <w:rPr>
          <w:rFonts w:ascii="Times New Roman" w:hAnsi="Times New Roman"/>
          <w:szCs w:val="22"/>
        </w:rPr>
        <w:t xml:space="preserve"> % oproti schválenému rozpočtu </w:t>
      </w:r>
      <w:r>
        <w:rPr>
          <w:rFonts w:ascii="Times New Roman" w:hAnsi="Times New Roman"/>
          <w:szCs w:val="22"/>
        </w:rPr>
        <w:t>na</w:t>
      </w:r>
      <w:r w:rsidRPr="00EB33CC">
        <w:rPr>
          <w:rFonts w:ascii="Times New Roman" w:hAnsi="Times New Roman"/>
          <w:szCs w:val="22"/>
        </w:rPr>
        <w:t xml:space="preserve"> rok 2011 a </w:t>
      </w:r>
      <w:r>
        <w:rPr>
          <w:rFonts w:ascii="Times New Roman" w:hAnsi="Times New Roman"/>
          <w:szCs w:val="22"/>
        </w:rPr>
        <w:t>o</w:t>
      </w:r>
      <w:r w:rsidRPr="00EB33CC">
        <w:rPr>
          <w:rFonts w:ascii="Times New Roman" w:hAnsi="Times New Roman"/>
          <w:szCs w:val="22"/>
        </w:rPr>
        <w:t xml:space="preserve"> 0,</w:t>
      </w:r>
      <w:r>
        <w:rPr>
          <w:rFonts w:ascii="Times New Roman" w:hAnsi="Times New Roman"/>
          <w:szCs w:val="22"/>
        </w:rPr>
        <w:t>08</w:t>
      </w:r>
      <w:r w:rsidRPr="00EB33CC">
        <w:rPr>
          <w:rFonts w:ascii="Times New Roman" w:hAnsi="Times New Roman"/>
          <w:szCs w:val="22"/>
        </w:rPr>
        <w:t xml:space="preserve"> % oproti očakávaným pr</w:t>
      </w:r>
      <w:r>
        <w:rPr>
          <w:rFonts w:ascii="Times New Roman" w:hAnsi="Times New Roman"/>
          <w:szCs w:val="22"/>
        </w:rPr>
        <w:t>íjmom v roku 2011. Na</w:t>
      </w:r>
      <w:r w:rsidRPr="00EB33CC">
        <w:rPr>
          <w:rFonts w:ascii="Times New Roman" w:hAnsi="Times New Roman"/>
          <w:szCs w:val="22"/>
        </w:rPr>
        <w:t> rok 2013 sa celkové pr</w:t>
      </w:r>
      <w:r>
        <w:rPr>
          <w:rFonts w:ascii="Times New Roman" w:hAnsi="Times New Roman"/>
          <w:szCs w:val="22"/>
        </w:rPr>
        <w:t>íjmy predpokladajú v objeme 32,4</w:t>
      </w:r>
      <w:r w:rsidRPr="00EB33CC">
        <w:rPr>
          <w:rFonts w:ascii="Times New Roman" w:hAnsi="Times New Roman"/>
          <w:szCs w:val="22"/>
        </w:rPr>
        <w:t xml:space="preserve"> mil. e</w:t>
      </w:r>
      <w:r>
        <w:rPr>
          <w:rFonts w:ascii="Times New Roman" w:hAnsi="Times New Roman"/>
          <w:szCs w:val="22"/>
        </w:rPr>
        <w:t>ur s medziročným nárastom o 0,08</w:t>
      </w:r>
      <w:r w:rsidRPr="00EB33CC">
        <w:rPr>
          <w:rFonts w:ascii="Times New Roman" w:hAnsi="Times New Roman"/>
          <w:szCs w:val="22"/>
        </w:rPr>
        <w:t xml:space="preserve"> % a </w:t>
      </w:r>
      <w:r>
        <w:rPr>
          <w:rFonts w:ascii="Times New Roman" w:hAnsi="Times New Roman"/>
          <w:szCs w:val="22"/>
        </w:rPr>
        <w:t>na</w:t>
      </w:r>
      <w:r w:rsidRPr="00EB33CC">
        <w:rPr>
          <w:rFonts w:ascii="Times New Roman" w:hAnsi="Times New Roman"/>
          <w:szCs w:val="22"/>
        </w:rPr>
        <w:t xml:space="preserve"> rok 2014 v objeme </w:t>
      </w:r>
      <w:r>
        <w:rPr>
          <w:rFonts w:ascii="Times New Roman" w:hAnsi="Times New Roman"/>
          <w:szCs w:val="22"/>
        </w:rPr>
        <w:br/>
      </w:r>
      <w:r w:rsidRPr="00EB33CC">
        <w:rPr>
          <w:rFonts w:ascii="Times New Roman" w:hAnsi="Times New Roman"/>
          <w:szCs w:val="22"/>
        </w:rPr>
        <w:t>3</w:t>
      </w:r>
      <w:r>
        <w:rPr>
          <w:rFonts w:ascii="Times New Roman" w:hAnsi="Times New Roman"/>
          <w:szCs w:val="22"/>
        </w:rPr>
        <w:t>2,8 mil. eur, čo predstavuje 1,42</w:t>
      </w:r>
      <w:r w:rsidRPr="00EB33CC">
        <w:rPr>
          <w:rFonts w:ascii="Times New Roman" w:hAnsi="Times New Roman"/>
          <w:szCs w:val="22"/>
        </w:rPr>
        <w:t xml:space="preserve">% nárast oproti predchádzajúcemu roku. </w:t>
      </w:r>
    </w:p>
    <w:p w:rsidR="00BE3741" w:rsidRPr="00EB33CC" w:rsidP="00BE3741">
      <w:pPr>
        <w:bidi w:val="0"/>
        <w:jc w:val="both"/>
        <w:rPr>
          <w:rFonts w:ascii="Times New Roman" w:hAnsi="Times New Roman"/>
          <w:szCs w:val="22"/>
        </w:rPr>
      </w:pPr>
    </w:p>
    <w:p w:rsidR="00BE3741" w:rsidRPr="00EB33CC" w:rsidP="00BE3741">
      <w:pPr>
        <w:bidi w:val="0"/>
        <w:ind w:firstLine="708"/>
        <w:jc w:val="both"/>
        <w:rPr>
          <w:rFonts w:ascii="Times New Roman" w:hAnsi="Times New Roman"/>
          <w:szCs w:val="22"/>
        </w:rPr>
      </w:pPr>
      <w:r w:rsidRPr="00EB33CC">
        <w:rPr>
          <w:rFonts w:ascii="Times New Roman" w:hAnsi="Times New Roman"/>
          <w:szCs w:val="22"/>
        </w:rPr>
        <w:t xml:space="preserve">Rozhodujúcim príjmom úradu je každoročný príspevok na činnosť úradu od zdravotných poisťovní podľa § 30 zákona č. 581/2004 Z. z., ktorého výška je 0,45 % </w:t>
      </w:r>
      <w:r>
        <w:rPr>
          <w:rFonts w:ascii="Times New Roman" w:hAnsi="Times New Roman"/>
          <w:szCs w:val="22"/>
        </w:rPr>
        <w:br/>
      </w:r>
      <w:r w:rsidRPr="00EB33CC">
        <w:rPr>
          <w:rFonts w:ascii="Times New Roman" w:hAnsi="Times New Roman"/>
          <w:szCs w:val="22"/>
        </w:rPr>
        <w:t>z vymeriavacieho základu. V súlade so zákonom č. 581/2004 Z. z. o </w:t>
      </w:r>
      <w:r w:rsidRPr="00EB33CC">
        <w:rPr>
          <w:rFonts w:ascii="Times New Roman" w:hAnsi="Times New Roman"/>
        </w:rPr>
        <w:t>zdravotných poisťovniach, dohľade nad zdravotnou starostlivosťou a o zmene a doplnení niektorých zákonov</w:t>
      </w:r>
      <w:r>
        <w:rPr>
          <w:rFonts w:ascii="Times New Roman" w:hAnsi="Times New Roman"/>
        </w:rPr>
        <w:t xml:space="preserve"> </w:t>
      </w:r>
      <w:r w:rsidRPr="00EB33CC">
        <w:rPr>
          <w:rFonts w:ascii="Times New Roman" w:hAnsi="Times New Roman"/>
        </w:rPr>
        <w:t xml:space="preserve"> </w:t>
      </w:r>
      <w:r w:rsidRPr="00EB33CC">
        <w:rPr>
          <w:rFonts w:ascii="Times New Roman" w:hAnsi="Times New Roman"/>
          <w:szCs w:val="22"/>
        </w:rPr>
        <w:t>s účinnosťou od 1. januára 2011, sa za vymeriavací základ považuje suma nachádzajúca sa v rozhodnutí úradu o ročnom prerozdelení poistného za príslušný kalendárny rok ako celková suma z ročného prerozdelenia, pričom základom ročného prerozdelenia je iba 95 % povinného poistného. Príspevok sa poukazuje na účet úradu do 20. decembra kalendárneho roku na nasledujúci kalendárny rok. Úrad presúva uvedené prostriedky do nasledujúceho roku ako zostatok finančných prostriedkov z predchádzajúcich rokov. Nakoľko v predchádzajúcom období sa používal vymeriavací základ vo výške 100 % poistného po prerozdelení, dochádza v roku 2012 k poklesu príspevku oproti schvále</w:t>
      </w:r>
      <w:r>
        <w:rPr>
          <w:rFonts w:ascii="Times New Roman" w:hAnsi="Times New Roman"/>
          <w:szCs w:val="22"/>
        </w:rPr>
        <w:t>nému rozpočtu na rok 2011 o 4,14 % na úroveň 15,3</w:t>
      </w:r>
      <w:r w:rsidRPr="00EB33CC">
        <w:rPr>
          <w:rFonts w:ascii="Times New Roman" w:hAnsi="Times New Roman"/>
          <w:szCs w:val="22"/>
        </w:rPr>
        <w:t xml:space="preserve"> mil. eur. Príspevok v roku 2013 sa predpokladá vo výške </w:t>
      </w:r>
      <w:r>
        <w:rPr>
          <w:rFonts w:ascii="Times New Roman" w:hAnsi="Times New Roman"/>
          <w:szCs w:val="22"/>
        </w:rPr>
        <w:br/>
        <w:t>15,8</w:t>
      </w:r>
      <w:r w:rsidRPr="00EB33CC">
        <w:rPr>
          <w:rFonts w:ascii="Times New Roman" w:hAnsi="Times New Roman"/>
          <w:szCs w:val="22"/>
        </w:rPr>
        <w:t xml:space="preserve"> mil</w:t>
      </w:r>
      <w:r>
        <w:rPr>
          <w:rFonts w:ascii="Times New Roman" w:hAnsi="Times New Roman"/>
          <w:szCs w:val="22"/>
        </w:rPr>
        <w:t>. eur s medziročným nárastom 2,78</w:t>
      </w:r>
      <w:r w:rsidRPr="00EB33CC">
        <w:rPr>
          <w:rFonts w:ascii="Times New Roman" w:hAnsi="Times New Roman"/>
          <w:szCs w:val="22"/>
        </w:rPr>
        <w:t xml:space="preserve"> % a v roku 2014 vo výške 16,2 mil.</w:t>
      </w:r>
      <w:r>
        <w:rPr>
          <w:rFonts w:ascii="Times New Roman" w:hAnsi="Times New Roman"/>
          <w:szCs w:val="22"/>
        </w:rPr>
        <w:t xml:space="preserve"> eur s medziročným nárastom 2,66</w:t>
      </w:r>
      <w:r w:rsidRPr="00EB33CC">
        <w:rPr>
          <w:rFonts w:ascii="Times New Roman" w:hAnsi="Times New Roman"/>
          <w:szCs w:val="22"/>
        </w:rPr>
        <w:t xml:space="preserve"> %.</w:t>
      </w:r>
    </w:p>
    <w:p w:rsidR="00BE3741" w:rsidRPr="00EB33CC" w:rsidP="00BE3741">
      <w:pPr>
        <w:bidi w:val="0"/>
        <w:ind w:firstLine="708"/>
        <w:jc w:val="both"/>
        <w:rPr>
          <w:rFonts w:ascii="Times New Roman" w:hAnsi="Times New Roman"/>
          <w:szCs w:val="22"/>
        </w:rPr>
      </w:pPr>
    </w:p>
    <w:p w:rsidR="00BE3741" w:rsidRPr="00EB33CC" w:rsidP="00BE3741">
      <w:pPr>
        <w:bidi w:val="0"/>
        <w:ind w:firstLine="708"/>
        <w:jc w:val="both"/>
        <w:rPr>
          <w:rFonts w:ascii="Times New Roman" w:hAnsi="Times New Roman"/>
          <w:szCs w:val="22"/>
        </w:rPr>
      </w:pPr>
      <w:r w:rsidRPr="00EB33CC">
        <w:rPr>
          <w:rFonts w:ascii="Times New Roman" w:hAnsi="Times New Roman"/>
          <w:szCs w:val="22"/>
        </w:rPr>
        <w:t>V zostatku prostriedkov z predchádzajúcich rokov v roku 2012 vo výške 15,6 mil. eur je zahrnutý, okrem predpokladaného prevodu príspevku od zdravotných poisťovní vo výške 15,1 mil. eur aj objem nevyčerpaných prostriedkov z predchádzajúcich rokov vo výške 478</w:t>
      </w:r>
      <w:r>
        <w:rPr>
          <w:rFonts w:ascii="Times New Roman" w:hAnsi="Times New Roman"/>
          <w:szCs w:val="22"/>
        </w:rPr>
        <w:t> </w:t>
      </w:r>
      <w:r w:rsidRPr="00EB33CC">
        <w:rPr>
          <w:rFonts w:ascii="Times New Roman" w:hAnsi="Times New Roman"/>
          <w:szCs w:val="22"/>
        </w:rPr>
        <w:t xml:space="preserve">tis. eur. Zostatok prostriedkov z predchádzajúcich rokov </w:t>
      </w:r>
      <w:r>
        <w:rPr>
          <w:rFonts w:ascii="Times New Roman" w:hAnsi="Times New Roman"/>
          <w:szCs w:val="22"/>
        </w:rPr>
        <w:t>zohľadňuje</w:t>
      </w:r>
      <w:r w:rsidRPr="00EB33CC">
        <w:rPr>
          <w:rFonts w:ascii="Times New Roman" w:hAnsi="Times New Roman"/>
          <w:szCs w:val="22"/>
        </w:rPr>
        <w:t xml:space="preserve"> očakávanú skutočnosť hospodárenia úradu </w:t>
      </w:r>
      <w:r>
        <w:rPr>
          <w:rFonts w:ascii="Times New Roman" w:hAnsi="Times New Roman"/>
          <w:szCs w:val="22"/>
        </w:rPr>
        <w:t>na</w:t>
      </w:r>
      <w:r w:rsidRPr="00EB33CC">
        <w:rPr>
          <w:rFonts w:ascii="Times New Roman" w:hAnsi="Times New Roman"/>
          <w:szCs w:val="22"/>
        </w:rPr>
        <w:t xml:space="preserve"> rok 2011.</w:t>
      </w:r>
    </w:p>
    <w:p w:rsidR="00BE3741" w:rsidRPr="00EB33CC" w:rsidP="00BE3741">
      <w:pPr>
        <w:bidi w:val="0"/>
        <w:ind w:firstLine="708"/>
        <w:jc w:val="both"/>
        <w:rPr>
          <w:rFonts w:ascii="Times New Roman" w:hAnsi="Times New Roman"/>
          <w:szCs w:val="22"/>
        </w:rPr>
      </w:pPr>
    </w:p>
    <w:p w:rsidR="00BE3741" w:rsidRPr="00EB33CC" w:rsidP="00BE3741">
      <w:pPr>
        <w:pStyle w:val="BodyTextIndent2"/>
        <w:tabs>
          <w:tab w:val="left" w:pos="0"/>
        </w:tabs>
        <w:bidi w:val="0"/>
        <w:spacing w:after="0" w:line="240" w:lineRule="auto"/>
        <w:ind w:left="0"/>
        <w:jc w:val="both"/>
        <w:rPr>
          <w:rFonts w:ascii="Times New Roman" w:hAnsi="Times New Roman"/>
          <w:szCs w:val="22"/>
        </w:rPr>
      </w:pPr>
      <w:r w:rsidRPr="00EB33CC">
        <w:rPr>
          <w:rFonts w:ascii="Times New Roman" w:hAnsi="Times New Roman"/>
          <w:szCs w:val="22"/>
        </w:rPr>
        <w:tab/>
        <w:t xml:space="preserve">Nedaňové príjmy súvisiace s činnosťou úradu sú rozpočtované </w:t>
      </w:r>
      <w:r>
        <w:rPr>
          <w:rFonts w:ascii="Times New Roman" w:hAnsi="Times New Roman"/>
          <w:szCs w:val="22"/>
        </w:rPr>
        <w:t>na</w:t>
      </w:r>
      <w:r w:rsidRPr="00EB33CC">
        <w:rPr>
          <w:rFonts w:ascii="Times New Roman" w:hAnsi="Times New Roman"/>
          <w:szCs w:val="22"/>
        </w:rPr>
        <w:t xml:space="preserve"> rok 2012 vo výške 785 tis. eur. V uvedenej sume sa predpokladajú príjmy z činnosti súdnolekárskych a patologickoanatomických pracovísk, z úhrad za vydané rozhodnutia v správnom konaní, ako aj príjmy z úrokov na účtoch. Medziročný pokles nedaňových príjmov o 27,4 % oproti rozpočtovaným príjmom roku 2011 a o 25,0 % oproti očakávaným príjmom vyplýva z možnosti vymáhania pohľadávok aj zdravotnými poisťovňami, čím sa znižuje príjem úradu z uvedenej činnosti. </w:t>
      </w:r>
    </w:p>
    <w:p w:rsidR="00BE3741" w:rsidRPr="00EB33CC" w:rsidP="00BE3741">
      <w:pPr>
        <w:pStyle w:val="BodyTextIndent2"/>
        <w:tabs>
          <w:tab w:val="left" w:pos="-540"/>
        </w:tabs>
        <w:bidi w:val="0"/>
        <w:spacing w:after="0" w:line="240" w:lineRule="auto"/>
        <w:ind w:left="0"/>
        <w:jc w:val="both"/>
        <w:rPr>
          <w:rFonts w:ascii="Times New Roman" w:hAnsi="Times New Roman"/>
          <w:szCs w:val="22"/>
        </w:rPr>
      </w:pPr>
    </w:p>
    <w:p w:rsidR="00BE3741" w:rsidRPr="00EB33CC" w:rsidP="00BE3741">
      <w:pPr>
        <w:pStyle w:val="BodyTextIndent2"/>
        <w:tabs>
          <w:tab w:val="left" w:pos="-540"/>
        </w:tabs>
        <w:bidi w:val="0"/>
        <w:spacing w:after="0" w:line="240" w:lineRule="auto"/>
        <w:ind w:left="0"/>
        <w:jc w:val="both"/>
        <w:rPr>
          <w:rFonts w:ascii="Times New Roman" w:hAnsi="Times New Roman"/>
          <w:szCs w:val="22"/>
        </w:rPr>
      </w:pPr>
      <w:r w:rsidRPr="00EB33CC">
        <w:rPr>
          <w:rFonts w:ascii="Times New Roman" w:hAnsi="Times New Roman"/>
          <w:szCs w:val="22"/>
        </w:rPr>
        <w:tab/>
      </w:r>
      <w:r>
        <w:rPr>
          <w:rFonts w:ascii="Times New Roman" w:hAnsi="Times New Roman"/>
          <w:szCs w:val="22"/>
        </w:rPr>
        <w:t>Na</w:t>
      </w:r>
      <w:r w:rsidRPr="00EB33CC">
        <w:rPr>
          <w:rFonts w:ascii="Times New Roman" w:hAnsi="Times New Roman"/>
          <w:szCs w:val="22"/>
        </w:rPr>
        <w:t xml:space="preserve"> rok 2012 a 2013 sa predpokladá získanie prostriedkov z EÚ fondov prostredníctvom Operačného programu Vzdelávanie, ako aj Operačného programu Informatizácia spoločnosti na financovanie implementácie DRG systému vrátane hardvérového vybavenia. V rozpočte úradu je započítaný transfer prostriedkov od Ministerstva zdravotníctva SR, a to v objeme 629 tis. eur v roku 2012 a v objeme 401 tis. eur v roku 2013, ktoré majú slúžiť ako vlastné zdroje úradu na povinné spolufinancovanie.  </w:t>
      </w:r>
    </w:p>
    <w:p w:rsidR="00BE3741" w:rsidRPr="00EB33CC" w:rsidP="00BE3741">
      <w:pPr>
        <w:pStyle w:val="BodyTextIndent2"/>
        <w:tabs>
          <w:tab w:val="left" w:pos="-540"/>
        </w:tabs>
        <w:bidi w:val="0"/>
        <w:spacing w:after="0" w:line="240" w:lineRule="auto"/>
        <w:ind w:left="0"/>
        <w:jc w:val="both"/>
        <w:rPr>
          <w:rFonts w:ascii="Times New Roman" w:hAnsi="Times New Roman"/>
          <w:szCs w:val="22"/>
        </w:rPr>
      </w:pPr>
    </w:p>
    <w:p w:rsidR="00BE3741" w:rsidRPr="00EB33CC" w:rsidP="00BE3741">
      <w:pPr>
        <w:pStyle w:val="BodyTextIndent2"/>
        <w:tabs>
          <w:tab w:val="left" w:pos="0"/>
        </w:tabs>
        <w:bidi w:val="0"/>
        <w:spacing w:after="0" w:line="240" w:lineRule="auto"/>
        <w:ind w:left="0"/>
        <w:jc w:val="both"/>
        <w:rPr>
          <w:rFonts w:ascii="Times New Roman" w:hAnsi="Times New Roman"/>
          <w:szCs w:val="22"/>
        </w:rPr>
      </w:pPr>
      <w:r w:rsidRPr="00EB33CC">
        <w:rPr>
          <w:rFonts w:ascii="Times New Roman" w:hAnsi="Times New Roman"/>
          <w:szCs w:val="22"/>
        </w:rPr>
        <w:tab/>
        <w:t xml:space="preserve">Celkové výdavky úradu na rok 2012 sa predpokladajú vo výške 17,0 mil. eur s medziročným nárastom o 0,47 % oproti schválenému rozpočtu na rok 2011 a o 1,25 % oproti očakávanej skutočnosti roku 2011, pričom sa predpokladá aj použitie nevyčerpaných prostriedkov z predchádzajúcich rokov. </w:t>
      </w:r>
    </w:p>
    <w:p w:rsidR="00BE3741" w:rsidRPr="00EB33CC" w:rsidP="00BE3741">
      <w:pPr>
        <w:pStyle w:val="BodyTextIndent2"/>
        <w:tabs>
          <w:tab w:val="left" w:pos="0"/>
        </w:tabs>
        <w:bidi w:val="0"/>
        <w:spacing w:after="0" w:line="240" w:lineRule="auto"/>
        <w:ind w:left="0"/>
        <w:jc w:val="both"/>
        <w:rPr>
          <w:rFonts w:ascii="Times New Roman" w:hAnsi="Times New Roman"/>
          <w:szCs w:val="22"/>
        </w:rPr>
      </w:pPr>
    </w:p>
    <w:p w:rsidR="00BE3741" w:rsidRPr="00EB33CC" w:rsidP="00BE3741">
      <w:pPr>
        <w:pStyle w:val="BodyTextIndent2"/>
        <w:tabs>
          <w:tab w:val="left" w:pos="0"/>
        </w:tabs>
        <w:bidi w:val="0"/>
        <w:spacing w:after="0" w:line="240" w:lineRule="auto"/>
        <w:ind w:left="0"/>
        <w:jc w:val="both"/>
        <w:rPr>
          <w:rFonts w:ascii="Times New Roman" w:hAnsi="Times New Roman"/>
          <w:szCs w:val="22"/>
        </w:rPr>
      </w:pPr>
      <w:r w:rsidRPr="00EB33CC">
        <w:rPr>
          <w:rFonts w:ascii="Times New Roman" w:hAnsi="Times New Roman"/>
          <w:szCs w:val="22"/>
        </w:rPr>
        <w:tab/>
        <w:t>V rámci bežných výdavkov je vyčlenená na rok 2012 suma 9,59 mil. eur na osobné výdavky s 3,69% medziročným nárastom. Tovary a služby zaznamenali medziročný nárast oproti schválenému rozpočtu na rok 2011 9,37 %, pričom v rámci služieb sa v rozpočte predpokladajú aj výdavky na vyrovnanie kurzových rozdielov vyplývajúcich z činnosti úradu ako styčného orgánu. V súlade s uznesením vlády č. 950 zo 17. decembra 2008 k správe o plnení multilicenčnej zmluvy Microsoft Enterprise Agreement a návrhu jej pokračovania úrad vyčlenil pre Ministerstvo financií SR každoročne 85,0 tis. eur na úhradu plnenia multilicenčnej zmluvy. Kapitálové výdavky v sume 1,49 mil. eur sú vyčlenené prioritne na dobudovanie a rozširovanie informačného systému, z čoho 860 tis. eur sú zdroje úradu a 629</w:t>
      </w:r>
      <w:r>
        <w:rPr>
          <w:rFonts w:ascii="Times New Roman" w:hAnsi="Times New Roman"/>
          <w:szCs w:val="22"/>
        </w:rPr>
        <w:t> </w:t>
      </w:r>
      <w:r w:rsidRPr="00EB33CC">
        <w:rPr>
          <w:rFonts w:ascii="Times New Roman" w:hAnsi="Times New Roman"/>
          <w:szCs w:val="22"/>
        </w:rPr>
        <w:t>tis. eur sú prostriedky na implementáciu systému DRG v zdravotníctve.</w:t>
      </w:r>
    </w:p>
    <w:p w:rsidR="00BE3741" w:rsidRPr="00EB33CC" w:rsidP="00BE3741">
      <w:pPr>
        <w:pStyle w:val="BodyTextIndent2"/>
        <w:tabs>
          <w:tab w:val="left" w:pos="0"/>
        </w:tabs>
        <w:bidi w:val="0"/>
        <w:spacing w:after="0" w:line="240" w:lineRule="auto"/>
        <w:ind w:left="0"/>
        <w:jc w:val="both"/>
        <w:rPr>
          <w:rFonts w:ascii="Times New Roman" w:hAnsi="Times New Roman"/>
          <w:szCs w:val="22"/>
        </w:rPr>
      </w:pPr>
    </w:p>
    <w:p w:rsidR="00BE3741" w:rsidRPr="00EB33CC" w:rsidP="00BE3741">
      <w:pPr>
        <w:pStyle w:val="BodyTextIndent2"/>
        <w:tabs>
          <w:tab w:val="left" w:pos="0"/>
        </w:tabs>
        <w:bidi w:val="0"/>
        <w:spacing w:after="0" w:line="240" w:lineRule="auto"/>
        <w:ind w:left="0"/>
        <w:jc w:val="both"/>
        <w:rPr>
          <w:rFonts w:ascii="Times New Roman" w:hAnsi="Times New Roman"/>
          <w:szCs w:val="22"/>
        </w:rPr>
      </w:pPr>
      <w:r w:rsidRPr="00EB33CC">
        <w:rPr>
          <w:rFonts w:ascii="Times New Roman" w:hAnsi="Times New Roman"/>
          <w:szCs w:val="22"/>
        </w:rPr>
        <w:tab/>
      </w:r>
      <w:r>
        <w:rPr>
          <w:rFonts w:ascii="Times New Roman" w:hAnsi="Times New Roman"/>
          <w:szCs w:val="22"/>
        </w:rPr>
        <w:t>Na</w:t>
      </w:r>
      <w:r w:rsidRPr="00EB33CC">
        <w:rPr>
          <w:rFonts w:ascii="Times New Roman" w:hAnsi="Times New Roman"/>
          <w:szCs w:val="22"/>
        </w:rPr>
        <w:t> rok 2013 sa celkové výdavky predpokladajú v objeme 16,6 mil. eur s 2,</w:t>
      </w:r>
      <w:r>
        <w:rPr>
          <w:rFonts w:ascii="Times New Roman" w:hAnsi="Times New Roman"/>
          <w:szCs w:val="22"/>
        </w:rPr>
        <w:t>35</w:t>
      </w:r>
      <w:r w:rsidRPr="00EB33CC">
        <w:rPr>
          <w:rFonts w:ascii="Times New Roman" w:hAnsi="Times New Roman"/>
          <w:szCs w:val="22"/>
        </w:rPr>
        <w:t>% medziročným poklesom a v roku 20</w:t>
      </w:r>
      <w:r>
        <w:rPr>
          <w:rFonts w:ascii="Times New Roman" w:hAnsi="Times New Roman"/>
          <w:szCs w:val="22"/>
        </w:rPr>
        <w:t>14 v objeme 16,6 mil. eur s 0,24</w:t>
      </w:r>
      <w:r w:rsidRPr="00EB33CC">
        <w:rPr>
          <w:rFonts w:ascii="Times New Roman" w:hAnsi="Times New Roman"/>
          <w:szCs w:val="22"/>
        </w:rPr>
        <w:t xml:space="preserve">% medziročným </w:t>
      </w:r>
      <w:r>
        <w:rPr>
          <w:rFonts w:ascii="Times New Roman" w:hAnsi="Times New Roman"/>
          <w:szCs w:val="22"/>
        </w:rPr>
        <w:t>nárastom</w:t>
      </w:r>
      <w:r w:rsidRPr="00EB33CC">
        <w:rPr>
          <w:rFonts w:ascii="Times New Roman" w:hAnsi="Times New Roman"/>
          <w:szCs w:val="22"/>
        </w:rPr>
        <w:t>.</w:t>
      </w:r>
    </w:p>
    <w:p w:rsidR="00BE3741" w:rsidRPr="00EB33CC" w:rsidP="00BE3741">
      <w:pPr>
        <w:pStyle w:val="BodyTextIndent2"/>
        <w:tabs>
          <w:tab w:val="left" w:pos="0"/>
        </w:tabs>
        <w:bidi w:val="0"/>
        <w:spacing w:after="0" w:line="240" w:lineRule="auto"/>
        <w:ind w:left="0"/>
        <w:jc w:val="both"/>
        <w:rPr>
          <w:rFonts w:ascii="Times New Roman" w:hAnsi="Times New Roman"/>
          <w:szCs w:val="22"/>
        </w:rPr>
      </w:pPr>
    </w:p>
    <w:p w:rsidR="00BE3741" w:rsidRPr="00EB33CC" w:rsidP="00BE3741">
      <w:pPr>
        <w:pStyle w:val="BodyTextIndent2"/>
        <w:tabs>
          <w:tab w:val="left" w:pos="0"/>
        </w:tabs>
        <w:bidi w:val="0"/>
        <w:spacing w:after="0" w:line="240" w:lineRule="auto"/>
        <w:ind w:left="0"/>
        <w:jc w:val="both"/>
        <w:rPr>
          <w:rFonts w:ascii="Times New Roman" w:hAnsi="Times New Roman"/>
          <w:szCs w:val="22"/>
        </w:rPr>
      </w:pPr>
      <w:r w:rsidRPr="00EB33CC">
        <w:rPr>
          <w:rFonts w:ascii="Times New Roman" w:hAnsi="Times New Roman"/>
          <w:szCs w:val="22"/>
        </w:rPr>
        <w:tab/>
        <w:t>Celkový hotovostný prebytok úradu sa v rok</w:t>
      </w:r>
      <w:r>
        <w:rPr>
          <w:rFonts w:ascii="Times New Roman" w:hAnsi="Times New Roman"/>
          <w:szCs w:val="22"/>
        </w:rPr>
        <w:t>u 2012 predpokladá vo výške 15,3 </w:t>
      </w:r>
      <w:r w:rsidRPr="00EB33CC">
        <w:rPr>
          <w:rFonts w:ascii="Times New Roman" w:hAnsi="Times New Roman"/>
          <w:szCs w:val="22"/>
        </w:rPr>
        <w:t>mil.</w:t>
      </w:r>
      <w:r>
        <w:rPr>
          <w:rFonts w:ascii="Times New Roman" w:hAnsi="Times New Roman"/>
          <w:szCs w:val="22"/>
        </w:rPr>
        <w:t> eur, v roku 2013 15,8</w:t>
      </w:r>
      <w:r w:rsidRPr="00EB33CC">
        <w:rPr>
          <w:rFonts w:ascii="Times New Roman" w:hAnsi="Times New Roman"/>
          <w:szCs w:val="22"/>
        </w:rPr>
        <w:t xml:space="preserve"> mil. eur a v roku 2014 16,2 mil. eur. V rámci hotovostného prebytku sa predpokladá každoročne zostatok prostriedkov z hospodárenia úradu z predchádzajúcich rokov vo výške 10 tis. eur.  V metodike ESA 95 je rozpočtovaný schodok hospodáreni</w:t>
      </w:r>
      <w:r>
        <w:rPr>
          <w:rFonts w:ascii="Times New Roman" w:hAnsi="Times New Roman"/>
          <w:szCs w:val="22"/>
        </w:rPr>
        <w:t>a úradu v roku 2012 vo výške 236</w:t>
      </w:r>
      <w:r w:rsidRPr="00EB33CC">
        <w:rPr>
          <w:rFonts w:ascii="Times New Roman" w:hAnsi="Times New Roman"/>
          <w:szCs w:val="22"/>
        </w:rPr>
        <w:t xml:space="preserve"> tis. eur, v roku 2013 sa p</w:t>
      </w:r>
      <w:r>
        <w:rPr>
          <w:rFonts w:ascii="Times New Roman" w:hAnsi="Times New Roman"/>
          <w:szCs w:val="22"/>
        </w:rPr>
        <w:t>redpokladá prebytok vo výške 426</w:t>
      </w:r>
      <w:r w:rsidRPr="00EB33CC">
        <w:rPr>
          <w:rFonts w:ascii="Times New Roman" w:hAnsi="Times New Roman"/>
          <w:szCs w:val="22"/>
        </w:rPr>
        <w:t xml:space="preserve"> tis. eur a v roku 2014 vo výške </w:t>
      </w:r>
      <w:r>
        <w:rPr>
          <w:rFonts w:ascii="Times New Roman" w:hAnsi="Times New Roman"/>
          <w:szCs w:val="22"/>
        </w:rPr>
        <w:t>419</w:t>
      </w:r>
      <w:r w:rsidRPr="00EB33CC">
        <w:rPr>
          <w:rFonts w:ascii="Times New Roman" w:hAnsi="Times New Roman"/>
          <w:szCs w:val="22"/>
        </w:rPr>
        <w:t xml:space="preserve"> tis. eur.</w:t>
      </w:r>
    </w:p>
    <w:p w:rsidR="005B211D" w:rsidP="005B211D">
      <w:pPr>
        <w:bidi w:val="0"/>
        <w:jc w:val="both"/>
        <w:rPr>
          <w:rFonts w:ascii="Times New Roman" w:hAnsi="Times New Roman"/>
          <w:sz w:val="22"/>
          <w:szCs w:val="22"/>
          <w:shd w:val="clear" w:color="auto" w:fill="FFFF00"/>
        </w:rPr>
      </w:pPr>
    </w:p>
    <w:p w:rsidR="002A66DD" w:rsidP="005B211D">
      <w:pPr>
        <w:bidi w:val="0"/>
        <w:jc w:val="both"/>
        <w:rPr>
          <w:rFonts w:ascii="Times New Roman" w:hAnsi="Times New Roman"/>
          <w:b/>
        </w:rPr>
      </w:pPr>
      <w:r w:rsidR="005B211D">
        <w:rPr>
          <w:rFonts w:ascii="Times New Roman" w:hAnsi="Times New Roman"/>
          <w:b/>
        </w:rPr>
        <w:t xml:space="preserve"> </w:t>
      </w:r>
      <w:r>
        <w:rPr>
          <w:rFonts w:ascii="Times New Roman" w:hAnsi="Times New Roman"/>
          <w:b/>
        </w:rPr>
        <w:t>9. Verejné vysoké školy</w:t>
      </w:r>
    </w:p>
    <w:p w:rsidR="002A66DD" w:rsidP="002A66DD">
      <w:pPr>
        <w:bidi w:val="0"/>
        <w:rPr>
          <w:rFonts w:ascii="Times New Roman" w:hAnsi="Times New Roman"/>
          <w:b/>
        </w:rPr>
      </w:pPr>
    </w:p>
    <w:p w:rsidR="002A66DD" w:rsidP="002A66DD">
      <w:pPr>
        <w:bidi w:val="0"/>
        <w:ind w:firstLine="708"/>
        <w:jc w:val="both"/>
        <w:rPr>
          <w:rFonts w:ascii="Times New Roman" w:hAnsi="Times New Roman"/>
        </w:rPr>
      </w:pPr>
      <w:r>
        <w:rPr>
          <w:rFonts w:ascii="Times New Roman" w:hAnsi="Times New Roman"/>
        </w:rPr>
        <w:t xml:space="preserve">Z prostriedkov štátneho rozpočtu budú financované študijné programy a prevádzka verejných vysokých škôl (ďalej len „VVŠ“), vysokoškolská veda a technika, rozvoj vysokých škôl, ich transformácia, sociálne a </w:t>
      </w:r>
      <w:r w:rsidR="008B5A66">
        <w:rPr>
          <w:rFonts w:ascii="Times New Roman" w:hAnsi="Times New Roman"/>
        </w:rPr>
        <w:t>motivačné</w:t>
      </w:r>
      <w:r>
        <w:rPr>
          <w:rFonts w:ascii="Times New Roman" w:hAnsi="Times New Roman"/>
        </w:rPr>
        <w:t xml:space="preserve"> štipendiá, podpora stravovania, ubytovania, športových a kultúrnych aktivít študentov a pastoračných centier. V celkovom objeme finančných prostriedkov na roky 2012 až 2014 sú zohľadnené výdavky, ktoré pozostávajú z vlastných výdavkov VVŠ a výdavkov štátneho rozpočtu.  </w:t>
      </w:r>
    </w:p>
    <w:p w:rsidR="002A66DD" w:rsidP="002A66DD">
      <w:pPr>
        <w:bidi w:val="0"/>
        <w:ind w:firstLine="708"/>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Vývoj príjmovej a výdavkovej časti rozpočtu verejné vysoké školy na roky 2012 až 2014 je nasledovný:</w:t>
      </w:r>
    </w:p>
    <w:tbl>
      <w:tblPr>
        <w:tblStyle w:val="TableNormal"/>
        <w:tblpPr w:leftFromText="141" w:rightFromText="141" w:vertAnchor="text" w:horzAnchor="margin" w:tblpXSpec="center" w:tblpY="153"/>
        <w:tblW w:w="5000" w:type="pct"/>
        <w:tblCellMar>
          <w:left w:w="70" w:type="dxa"/>
          <w:right w:w="70" w:type="dxa"/>
        </w:tblCellMar>
        <w:tblLook w:val="04A0"/>
      </w:tblPr>
      <w:tblGrid>
        <w:gridCol w:w="2976"/>
        <w:gridCol w:w="892"/>
        <w:gridCol w:w="892"/>
        <w:gridCol w:w="890"/>
        <w:gridCol w:w="890"/>
        <w:gridCol w:w="890"/>
        <w:gridCol w:w="890"/>
        <w:gridCol w:w="890"/>
      </w:tblGrid>
      <w:tr>
        <w:tblPrEx>
          <w:tblW w:w="5000" w:type="pct"/>
          <w:tblCellMar>
            <w:left w:w="70" w:type="dxa"/>
            <w:right w:w="70" w:type="dxa"/>
          </w:tblCellMar>
          <w:tblLook w:val="04A0"/>
        </w:tblPrEx>
        <w:trPr>
          <w:trHeight w:val="227"/>
        </w:trPr>
        <w:tc>
          <w:tcPr>
            <w:tcW w:w="161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A66DD">
            <w:pPr>
              <w:bidi w:val="0"/>
              <w:rPr>
                <w:rFonts w:ascii="Times New Roman" w:hAnsi="Times New Roman"/>
                <w:b/>
                <w:sz w:val="16"/>
                <w:szCs w:val="16"/>
              </w:rPr>
            </w:pPr>
            <w:r>
              <w:rPr>
                <w:rFonts w:ascii="Times New Roman" w:hAnsi="Times New Roman"/>
                <w:b/>
                <w:sz w:val="16"/>
                <w:szCs w:val="16"/>
              </w:rPr>
              <w:t>v tis. eur</w:t>
            </w:r>
          </w:p>
        </w:tc>
        <w:tc>
          <w:tcPr>
            <w:tcW w:w="484"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2A66DD">
            <w:pPr>
              <w:bidi w:val="0"/>
              <w:jc w:val="center"/>
              <w:rPr>
                <w:rFonts w:ascii="Times New Roman" w:hAnsi="Times New Roman"/>
                <w:b/>
                <w:sz w:val="16"/>
                <w:szCs w:val="16"/>
              </w:rPr>
            </w:pPr>
            <w:r>
              <w:rPr>
                <w:rFonts w:ascii="Times New Roman" w:hAnsi="Times New Roman"/>
                <w:b/>
                <w:sz w:val="16"/>
                <w:szCs w:val="16"/>
              </w:rPr>
              <w:t>2009 S</w:t>
            </w:r>
          </w:p>
        </w:tc>
        <w:tc>
          <w:tcPr>
            <w:tcW w:w="484"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2A66DD">
            <w:pPr>
              <w:bidi w:val="0"/>
              <w:jc w:val="center"/>
              <w:rPr>
                <w:rFonts w:ascii="Times New Roman" w:hAnsi="Times New Roman"/>
                <w:b/>
                <w:sz w:val="16"/>
                <w:szCs w:val="16"/>
              </w:rPr>
            </w:pPr>
            <w:r>
              <w:rPr>
                <w:rFonts w:ascii="Times New Roman" w:hAnsi="Times New Roman"/>
                <w:b/>
                <w:sz w:val="16"/>
                <w:szCs w:val="16"/>
              </w:rPr>
              <w:t>2010 S</w:t>
            </w:r>
          </w:p>
        </w:tc>
        <w:tc>
          <w:tcPr>
            <w:tcW w:w="48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2A66DD">
            <w:pPr>
              <w:bidi w:val="0"/>
              <w:jc w:val="center"/>
              <w:rPr>
                <w:rFonts w:ascii="Times New Roman" w:hAnsi="Times New Roman"/>
                <w:b/>
                <w:sz w:val="16"/>
                <w:szCs w:val="16"/>
              </w:rPr>
            </w:pPr>
            <w:r>
              <w:rPr>
                <w:rFonts w:ascii="Times New Roman" w:hAnsi="Times New Roman"/>
                <w:b/>
                <w:sz w:val="16"/>
                <w:szCs w:val="16"/>
              </w:rPr>
              <w:t>2011 R</w:t>
            </w:r>
          </w:p>
        </w:tc>
        <w:tc>
          <w:tcPr>
            <w:tcW w:w="48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2A66DD">
            <w:pPr>
              <w:bidi w:val="0"/>
              <w:jc w:val="center"/>
              <w:rPr>
                <w:rFonts w:ascii="Times New Roman" w:hAnsi="Times New Roman"/>
                <w:b/>
                <w:sz w:val="16"/>
                <w:szCs w:val="16"/>
              </w:rPr>
            </w:pPr>
            <w:r>
              <w:rPr>
                <w:rFonts w:ascii="Times New Roman" w:hAnsi="Times New Roman"/>
                <w:b/>
                <w:sz w:val="16"/>
                <w:szCs w:val="16"/>
              </w:rPr>
              <w:t>2011 OS</w:t>
            </w:r>
          </w:p>
        </w:tc>
        <w:tc>
          <w:tcPr>
            <w:tcW w:w="48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2A66DD">
            <w:pPr>
              <w:bidi w:val="0"/>
              <w:jc w:val="center"/>
              <w:rPr>
                <w:rFonts w:ascii="Times New Roman" w:hAnsi="Times New Roman"/>
                <w:b/>
                <w:sz w:val="16"/>
                <w:szCs w:val="16"/>
              </w:rPr>
            </w:pPr>
            <w:r>
              <w:rPr>
                <w:rFonts w:ascii="Times New Roman" w:hAnsi="Times New Roman"/>
                <w:b/>
                <w:sz w:val="16"/>
                <w:szCs w:val="16"/>
              </w:rPr>
              <w:t>2012 N</w:t>
            </w:r>
          </w:p>
        </w:tc>
        <w:tc>
          <w:tcPr>
            <w:tcW w:w="48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2A66DD">
            <w:pPr>
              <w:bidi w:val="0"/>
              <w:jc w:val="center"/>
              <w:rPr>
                <w:rFonts w:ascii="Times New Roman" w:hAnsi="Times New Roman"/>
                <w:b/>
                <w:sz w:val="16"/>
                <w:szCs w:val="16"/>
              </w:rPr>
            </w:pPr>
            <w:r>
              <w:rPr>
                <w:rFonts w:ascii="Times New Roman" w:hAnsi="Times New Roman"/>
                <w:b/>
                <w:sz w:val="16"/>
                <w:szCs w:val="16"/>
              </w:rPr>
              <w:t>2013 N</w:t>
            </w:r>
          </w:p>
        </w:tc>
        <w:tc>
          <w:tcPr>
            <w:tcW w:w="48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2A66DD">
            <w:pPr>
              <w:bidi w:val="0"/>
              <w:jc w:val="center"/>
              <w:rPr>
                <w:rFonts w:ascii="Times New Roman" w:hAnsi="Times New Roman"/>
                <w:b/>
                <w:sz w:val="16"/>
                <w:szCs w:val="16"/>
              </w:rPr>
            </w:pPr>
            <w:r>
              <w:rPr>
                <w:rFonts w:ascii="Times New Roman" w:hAnsi="Times New Roman"/>
                <w:b/>
                <w:sz w:val="16"/>
                <w:szCs w:val="16"/>
              </w:rPr>
              <w:t>2014 N</w:t>
            </w:r>
          </w:p>
        </w:tc>
      </w:tr>
      <w:tr>
        <w:tblPrEx>
          <w:tblW w:w="5000" w:type="pct"/>
          <w:tblCellMar>
            <w:left w:w="70" w:type="dxa"/>
            <w:right w:w="70" w:type="dxa"/>
          </w:tblCellMar>
          <w:tblLook w:val="04A0"/>
        </w:tblPrEx>
        <w:trPr>
          <w:trHeight w:val="227"/>
        </w:trPr>
        <w:tc>
          <w:tcPr>
            <w:tcW w:w="161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2A66DD">
            <w:pPr>
              <w:bidi w:val="0"/>
              <w:rPr>
                <w:rFonts w:ascii="Times New Roman" w:hAnsi="Times New Roman"/>
                <w:b/>
                <w:bCs/>
                <w:iCs/>
                <w:sz w:val="16"/>
                <w:szCs w:val="16"/>
              </w:rPr>
            </w:pPr>
            <w:r>
              <w:rPr>
                <w:rFonts w:ascii="Times New Roman" w:hAnsi="Times New Roman"/>
                <w:b/>
                <w:bCs/>
                <w:iCs/>
                <w:sz w:val="16"/>
                <w:szCs w:val="16"/>
              </w:rPr>
              <w:t>Príjmy VVŠ spolu</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794 722</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891 685</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741 829</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835 543</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774 133</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780 545</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781 997</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príjmy z podnikania a vlast. majetku</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922</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805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922</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829</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1 000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1 000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1 000</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admin. poplatky a iné popl. a platby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90 888</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101 432</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91 308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102 065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107 301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108 766</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109 466</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kapitálové príjmy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1 915</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3 978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2 915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3 215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3 915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3 915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3 915</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úroky z tuz. úverov, pôžičiek, NFV</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346</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355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430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430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430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430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451</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iné nedaňové príjmy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18 750</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26 631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14 933</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25 355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22 474</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24 976</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23 774</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transfery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504 621</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563 517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446 814</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520 273</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455 925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458 021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459 674</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ostatné fin. operácií (FO)</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177 280</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194 967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184 507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183 376</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183 088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183 437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183 717</w:t>
            </w:r>
          </w:p>
        </w:tc>
      </w:tr>
      <w:tr>
        <w:tblPrEx>
          <w:tblW w:w="5000" w:type="pct"/>
          <w:tblCellMar>
            <w:left w:w="70" w:type="dxa"/>
            <w:right w:w="70" w:type="dxa"/>
          </w:tblCellMar>
          <w:tblLook w:val="04A0"/>
        </w:tblPrEx>
        <w:trPr>
          <w:trHeight w:val="227"/>
        </w:trPr>
        <w:tc>
          <w:tcPr>
            <w:tcW w:w="161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2A66DD">
            <w:pPr>
              <w:bidi w:val="0"/>
              <w:rPr>
                <w:rFonts w:ascii="Times New Roman" w:hAnsi="Times New Roman"/>
                <w:b/>
                <w:bCs/>
                <w:iCs/>
                <w:sz w:val="16"/>
                <w:szCs w:val="16"/>
              </w:rPr>
            </w:pPr>
            <w:r>
              <w:rPr>
                <w:rFonts w:ascii="Times New Roman" w:hAnsi="Times New Roman"/>
                <w:b/>
                <w:bCs/>
                <w:iCs/>
                <w:sz w:val="16"/>
                <w:szCs w:val="16"/>
              </w:rPr>
              <w:t>Výdavky VVŠ spolu</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597 257</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708 309</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557 050</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652 455</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590 696</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596 828</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597 987</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xml:space="preserve">▪ mzdy </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213 248</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229 155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217 771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226 073</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227 551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230 477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231 700</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xml:space="preserve">▪ poistné </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72 885</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78 092</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75 342</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79 578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80 097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81 128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81 558</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tovary a služby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171 513</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183 453</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171 928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184 523</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182 338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183 625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184 637</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bežné transfery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65 508</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75 076</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69 500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78 325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77 001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77 001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77 001</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splácanie úrokov a ostat. platby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15</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kapitálové výdavky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74 021</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color w:val="000000"/>
                <w:sz w:val="16"/>
                <w:szCs w:val="16"/>
              </w:rPr>
            </w:pPr>
            <w:r>
              <w:rPr>
                <w:rFonts w:ascii="Times New Roman" w:hAnsi="Times New Roman"/>
                <w:color w:val="000000"/>
                <w:sz w:val="16"/>
                <w:szCs w:val="16"/>
              </w:rPr>
              <w:t>142 448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22 460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83 638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23 682</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24 570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23 064</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splácanie istín (FO)</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75</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80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34</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318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27</w:t>
            </w:r>
          </w:p>
        </w:tc>
      </w:tr>
      <w:tr>
        <w:tblPrEx>
          <w:tblW w:w="5000" w:type="pct"/>
          <w:tblCellMar>
            <w:left w:w="70" w:type="dxa"/>
            <w:right w:w="70" w:type="dxa"/>
          </w:tblCellMar>
          <w:tblLook w:val="04A0"/>
        </w:tblPrEx>
        <w:trPr>
          <w:trHeight w:val="227"/>
        </w:trPr>
        <w:tc>
          <w:tcPr>
            <w:tcW w:w="161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2A66DD">
            <w:pPr>
              <w:bidi w:val="0"/>
              <w:rPr>
                <w:rFonts w:ascii="Times New Roman" w:hAnsi="Times New Roman"/>
                <w:b/>
                <w:bCs/>
                <w:iCs/>
                <w:sz w:val="16"/>
                <w:szCs w:val="16"/>
              </w:rPr>
            </w:pPr>
            <w:r>
              <w:rPr>
                <w:rFonts w:ascii="Times New Roman" w:hAnsi="Times New Roman"/>
                <w:b/>
                <w:bCs/>
                <w:iCs/>
                <w:sz w:val="16"/>
                <w:szCs w:val="16"/>
              </w:rPr>
              <w:t>Celkový prebytok VVŠ</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197 465</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183 376</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184 779</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183 088</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183 437</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183 717</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184 010</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b/>
                <w:bCs/>
                <w:i/>
                <w:iCs/>
                <w:sz w:val="16"/>
                <w:szCs w:val="16"/>
              </w:rPr>
            </w:pPr>
            <w:r>
              <w:rPr>
                <w:rFonts w:ascii="Times New Roman" w:hAnsi="Times New Roman"/>
                <w:b/>
                <w:bCs/>
                <w:i/>
                <w:iCs/>
                <w:sz w:val="16"/>
                <w:szCs w:val="16"/>
              </w:rPr>
              <w:t>▪ vylúčenie finančných operácií</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-177 205</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-194 887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-184 473</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-183 058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-183 061</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-183 410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-183 690</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vylúčenie príjmových FO</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-177 280</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-194 967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-184 507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-183 376</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-183 088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-183 437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-183 717</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sz w:val="16"/>
                <w:szCs w:val="16"/>
              </w:rPr>
            </w:pPr>
            <w:r>
              <w:rPr>
                <w:rFonts w:ascii="Times New Roman" w:hAnsi="Times New Roman"/>
                <w:sz w:val="16"/>
                <w:szCs w:val="16"/>
              </w:rPr>
              <w:t>▪ vylúčenie výdavkových FO</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75</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80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34</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318</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27</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27</w:t>
            </w:r>
          </w:p>
        </w:tc>
      </w:tr>
      <w:tr>
        <w:tblPrEx>
          <w:tblW w:w="5000" w:type="pct"/>
          <w:tblCellMar>
            <w:left w:w="70" w:type="dxa"/>
            <w:right w:w="70" w:type="dxa"/>
          </w:tblCellMar>
          <w:tblLook w:val="04A0"/>
        </w:tblPrEx>
        <w:trPr>
          <w:trHeight w:val="227"/>
        </w:trPr>
        <w:tc>
          <w:tcPr>
            <w:tcW w:w="1616" w:type="pct"/>
            <w:tcBorders>
              <w:top w:val="nil"/>
              <w:left w:val="single" w:sz="4" w:space="0" w:color="auto"/>
              <w:bottom w:val="single" w:sz="4" w:space="0" w:color="auto"/>
              <w:right w:val="single" w:sz="4" w:space="0" w:color="auto"/>
            </w:tcBorders>
            <w:noWrap/>
            <w:textDirection w:val="lrTb"/>
            <w:vAlign w:val="bottom"/>
            <w:hideMark/>
          </w:tcPr>
          <w:p w:rsidR="002A66DD">
            <w:pPr>
              <w:bidi w:val="0"/>
              <w:rPr>
                <w:rFonts w:ascii="Times New Roman" w:hAnsi="Times New Roman"/>
                <w:b/>
                <w:bCs/>
                <w:sz w:val="16"/>
                <w:szCs w:val="16"/>
              </w:rPr>
            </w:pPr>
            <w:r>
              <w:rPr>
                <w:rFonts w:ascii="Times New Roman" w:hAnsi="Times New Roman"/>
                <w:b/>
                <w:bCs/>
                <w:sz w:val="16"/>
                <w:szCs w:val="16"/>
              </w:rPr>
              <w:t>ostatné úpravy</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sz w:val="16"/>
                <w:szCs w:val="16"/>
              </w:rPr>
            </w:pPr>
            <w:r>
              <w:rPr>
                <w:rFonts w:ascii="Times New Roman" w:hAnsi="Times New Roman"/>
                <w:b/>
                <w:sz w:val="16"/>
                <w:szCs w:val="16"/>
              </w:rPr>
              <w:t>-77 824</w:t>
            </w:r>
          </w:p>
        </w:tc>
        <w:tc>
          <w:tcPr>
            <w:tcW w:w="484"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sz w:val="16"/>
                <w:szCs w:val="16"/>
              </w:rPr>
            </w:pPr>
            <w:r>
              <w:rPr>
                <w:rFonts w:ascii="Times New Roman" w:hAnsi="Times New Roman"/>
                <w:b/>
                <w:sz w:val="16"/>
                <w:szCs w:val="16"/>
              </w:rPr>
              <w:t>-12 606</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b/>
                <w:sz w:val="16"/>
                <w:szCs w:val="16"/>
              </w:rPr>
            </w:pPr>
            <w:r>
              <w:rPr>
                <w:rFonts w:ascii="Times New Roman" w:hAnsi="Times New Roman"/>
                <w:b/>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11 179</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2A66DD">
            <w:pPr>
              <w:bidi w:val="0"/>
              <w:jc w:val="right"/>
              <w:rPr>
                <w:rFonts w:ascii="Times New Roman" w:hAnsi="Times New Roman"/>
                <w:sz w:val="16"/>
                <w:szCs w:val="16"/>
              </w:rPr>
            </w:pPr>
            <w:r>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161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2A66DD">
            <w:pPr>
              <w:bidi w:val="0"/>
              <w:rPr>
                <w:rFonts w:ascii="Times New Roman" w:hAnsi="Times New Roman"/>
                <w:b/>
                <w:bCs/>
                <w:iCs/>
                <w:sz w:val="16"/>
                <w:szCs w:val="16"/>
              </w:rPr>
            </w:pPr>
            <w:r>
              <w:rPr>
                <w:rFonts w:ascii="Times New Roman" w:hAnsi="Times New Roman"/>
                <w:b/>
                <w:bCs/>
                <w:iCs/>
                <w:sz w:val="16"/>
                <w:szCs w:val="16"/>
              </w:rPr>
              <w:t>Prebytok VVŠ (ESA 95)</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-57 564</w:t>
            </w:r>
          </w:p>
        </w:tc>
        <w:tc>
          <w:tcPr>
            <w:tcW w:w="48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-24 117</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bCs/>
                <w:sz w:val="16"/>
                <w:szCs w:val="16"/>
              </w:rPr>
            </w:pPr>
            <w:r>
              <w:rPr>
                <w:rFonts w:ascii="Times New Roman" w:hAnsi="Times New Roman"/>
                <w:b/>
                <w:bCs/>
                <w:sz w:val="16"/>
                <w:szCs w:val="16"/>
              </w:rPr>
              <w:t>306</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sz w:val="16"/>
                <w:szCs w:val="16"/>
              </w:rPr>
            </w:pPr>
            <w:r>
              <w:rPr>
                <w:rFonts w:ascii="Times New Roman" w:hAnsi="Times New Roman"/>
                <w:b/>
                <w:sz w:val="16"/>
                <w:szCs w:val="16"/>
              </w:rPr>
              <w:t>11 209</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sz w:val="16"/>
                <w:szCs w:val="16"/>
              </w:rPr>
            </w:pPr>
            <w:r>
              <w:rPr>
                <w:rFonts w:ascii="Times New Roman" w:hAnsi="Times New Roman"/>
                <w:b/>
                <w:sz w:val="16"/>
                <w:szCs w:val="16"/>
              </w:rPr>
              <w:t>376</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sz w:val="16"/>
                <w:szCs w:val="16"/>
              </w:rPr>
            </w:pPr>
            <w:r>
              <w:rPr>
                <w:rFonts w:ascii="Times New Roman" w:hAnsi="Times New Roman"/>
                <w:b/>
                <w:sz w:val="16"/>
                <w:szCs w:val="16"/>
              </w:rPr>
              <w:t>307</w:t>
            </w:r>
          </w:p>
        </w:tc>
        <w:tc>
          <w:tcPr>
            <w:tcW w:w="48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2A66DD">
            <w:pPr>
              <w:bidi w:val="0"/>
              <w:jc w:val="right"/>
              <w:rPr>
                <w:rFonts w:ascii="Times New Roman" w:hAnsi="Times New Roman"/>
                <w:b/>
                <w:sz w:val="16"/>
                <w:szCs w:val="16"/>
              </w:rPr>
            </w:pPr>
            <w:r>
              <w:rPr>
                <w:rFonts w:ascii="Times New Roman" w:hAnsi="Times New Roman"/>
                <w:b/>
                <w:sz w:val="16"/>
                <w:szCs w:val="16"/>
              </w:rPr>
              <w:t>320</w:t>
            </w:r>
          </w:p>
        </w:tc>
      </w:tr>
    </w:tbl>
    <w:p w:rsidR="002A66DD" w:rsidP="002A66DD">
      <w:pPr>
        <w:bidi w:val="0"/>
        <w:jc w:val="both"/>
        <w:rPr>
          <w:rFonts w:ascii="Times New Roman" w:hAnsi="Times New Roman"/>
          <w:b/>
          <w:sz w:val="22"/>
          <w:szCs w:val="22"/>
          <w:u w:val="single"/>
        </w:rPr>
      </w:pPr>
    </w:p>
    <w:p w:rsidR="002A66DD" w:rsidP="002A66DD">
      <w:pPr>
        <w:bidi w:val="0"/>
        <w:ind w:firstLine="708"/>
        <w:jc w:val="both"/>
        <w:rPr>
          <w:rFonts w:ascii="Times New Roman" w:hAnsi="Times New Roman"/>
        </w:rPr>
      </w:pPr>
      <w:r>
        <w:rPr>
          <w:rFonts w:ascii="Times New Roman" w:hAnsi="Times New Roman"/>
        </w:rPr>
        <w:t>Celkové príjmy VVŠ navrhované na rok 2012 rastú oproti schválenému rozpočtu roku 2011 o 32,3 mil. eur, čo predstavuje 4,35 %. Celkové transfery oproti schválenému rozpočtu roku 2011 rastú o 9,1 mil. eur, pričom transfer zo štátneho rozpočtu vrátane zdrojov zo štrukturálnych fondov a spolufinancovania rastie o 8,9 mil. eur.</w:t>
      </w:r>
    </w:p>
    <w:p w:rsidR="002A66DD" w:rsidP="002A66DD">
      <w:pPr>
        <w:bidi w:val="0"/>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 xml:space="preserve">Vlastné zdroje VVŠ, pozostávajúce najmä z výnosov zo školného od zahraničných študentov, z poplatkov spojených so štúdiom, z kontraktačného výskumu, z ďalšieho vzdelávania a zo zabezpečenia ubytovania a stravovania, sa predpokladajú dosiahnuť v objeme 135 mil. eur v roku 2012, v objeme 139 mil. eur v roku 2013 a 139 mil. eur v roku 2014. </w:t>
      </w:r>
    </w:p>
    <w:p w:rsidR="002A66DD" w:rsidP="002A66DD">
      <w:pPr>
        <w:bidi w:val="0"/>
        <w:ind w:firstLine="708"/>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 xml:space="preserve">Celkový nárast  nedaňových príjmov v roku 2012 oproti schválenému rozpočtu roku  2011 predstavuje sumu 24,6 mil. eur, t. j. 22,27 %.   </w:t>
      </w:r>
    </w:p>
    <w:p w:rsidR="002A66DD" w:rsidP="002A66DD">
      <w:pPr>
        <w:bidi w:val="0"/>
        <w:ind w:firstLine="708"/>
        <w:jc w:val="both"/>
        <w:rPr>
          <w:rFonts w:ascii="Times New Roman" w:hAnsi="Times New Roman"/>
        </w:rPr>
      </w:pPr>
    </w:p>
    <w:p w:rsidR="002A66DD" w:rsidP="002A66DD">
      <w:pPr>
        <w:bidi w:val="0"/>
        <w:ind w:firstLine="709"/>
        <w:jc w:val="both"/>
        <w:rPr>
          <w:rFonts w:ascii="Times New Roman" w:hAnsi="Times New Roman"/>
        </w:rPr>
      </w:pPr>
      <w:r>
        <w:rPr>
          <w:rFonts w:ascii="Times New Roman" w:hAnsi="Times New Roman"/>
        </w:rPr>
        <w:t>V nedaňových príjmoch je zaznamenaný nárast v príjmoch z podnikania a vlastného majetku o 78,0 tis. eur, v administratívnych poplatkoch a iných poplatkoch a platb</w:t>
      </w:r>
      <w:r w:rsidR="002B2749">
        <w:rPr>
          <w:rFonts w:ascii="Times New Roman" w:hAnsi="Times New Roman"/>
        </w:rPr>
        <w:t>ách</w:t>
      </w:r>
      <w:r>
        <w:rPr>
          <w:rFonts w:ascii="Times New Roman" w:hAnsi="Times New Roman"/>
        </w:rPr>
        <w:t xml:space="preserve"> o 16,0 mil. eur (školné od externých študentov), v kapitálových príjmoch o 1,00 mil. eur a iných nedaňových príjmov o 7,54 mil. eur oproti schválenému rozpočtu roku 2011. </w:t>
      </w:r>
    </w:p>
    <w:p w:rsidR="002A66DD" w:rsidP="002A66DD">
      <w:pPr>
        <w:bidi w:val="0"/>
        <w:ind w:firstLine="709"/>
        <w:jc w:val="both"/>
        <w:rPr>
          <w:rFonts w:ascii="Times New Roman" w:hAnsi="Times New Roman"/>
        </w:rPr>
      </w:pPr>
    </w:p>
    <w:p w:rsidR="002A66DD" w:rsidP="002A66DD">
      <w:pPr>
        <w:bidi w:val="0"/>
        <w:ind w:firstLine="709"/>
        <w:jc w:val="both"/>
        <w:rPr>
          <w:rFonts w:ascii="Times New Roman" w:hAnsi="Times New Roman"/>
        </w:rPr>
      </w:pPr>
      <w:r>
        <w:rPr>
          <w:rFonts w:ascii="Times New Roman" w:hAnsi="Times New Roman"/>
        </w:rPr>
        <w:t>MŠ</w:t>
      </w:r>
      <w:r w:rsidR="002D7EEC">
        <w:rPr>
          <w:rFonts w:ascii="Times New Roman" w:hAnsi="Times New Roman"/>
        </w:rPr>
        <w:t>VVaŠ</w:t>
      </w:r>
      <w:r>
        <w:rPr>
          <w:rFonts w:ascii="Times New Roman" w:hAnsi="Times New Roman"/>
        </w:rPr>
        <w:t xml:space="preserve"> SR zvýšilo bežný transfer zo štátneho rozpočtu pre VVŠ na rok 2012 oproti schválenému rozpočtu roku 2011 o 16,</w:t>
      </w:r>
      <w:r w:rsidR="008B5A66">
        <w:rPr>
          <w:rFonts w:ascii="Times New Roman" w:hAnsi="Times New Roman"/>
        </w:rPr>
        <w:t>1</w:t>
      </w:r>
      <w:r>
        <w:rPr>
          <w:rFonts w:ascii="Times New Roman" w:hAnsi="Times New Roman"/>
        </w:rPr>
        <w:t xml:space="preserve"> mil. eur, transfery z OP Výskum a vývoj a OP Vzdelávanie klesajú o 7,13 mil. eur (zmenou alokácie výdavkov) a kapitálový transfer je na úrovni roku 2011.</w:t>
      </w:r>
    </w:p>
    <w:p w:rsidR="002A66DD" w:rsidP="002A66DD">
      <w:pPr>
        <w:bidi w:val="0"/>
        <w:ind w:firstLine="709"/>
        <w:jc w:val="both"/>
        <w:rPr>
          <w:rFonts w:ascii="Times New Roman" w:hAnsi="Times New Roman"/>
        </w:rPr>
      </w:pPr>
    </w:p>
    <w:p w:rsidR="002A66DD" w:rsidP="002A66DD">
      <w:pPr>
        <w:bidi w:val="0"/>
        <w:ind w:firstLine="709"/>
        <w:jc w:val="both"/>
        <w:rPr>
          <w:rFonts w:ascii="Times New Roman" w:hAnsi="Times New Roman"/>
        </w:rPr>
      </w:pPr>
      <w:r>
        <w:rPr>
          <w:rFonts w:ascii="Times New Roman" w:hAnsi="Times New Roman"/>
        </w:rPr>
        <w:t xml:space="preserve">VVŠ budú mať k dispozícii aj transfer od Audiovizuálneho fondu každoročne v rovnakej výške 150 tis. eur. Finančné prostriedky fondu sa poskytujú na produkciu školských filmov, ktoré sú neoddeliteľnou súčasťou vysokoškolského vzdelávania v študijnom odbore filmové umenie. </w:t>
      </w:r>
    </w:p>
    <w:p w:rsidR="002A66DD" w:rsidP="002A66DD">
      <w:pPr>
        <w:bidi w:val="0"/>
        <w:ind w:firstLine="709"/>
        <w:jc w:val="both"/>
        <w:rPr>
          <w:rFonts w:ascii="Times New Roman" w:hAnsi="Times New Roman"/>
        </w:rPr>
      </w:pPr>
    </w:p>
    <w:p w:rsidR="002A66DD" w:rsidP="002A66DD">
      <w:pPr>
        <w:bidi w:val="0"/>
        <w:ind w:firstLine="709"/>
        <w:jc w:val="both"/>
        <w:rPr>
          <w:rFonts w:ascii="Times New Roman" w:hAnsi="Times New Roman"/>
        </w:rPr>
      </w:pPr>
      <w:r w:rsidR="00D041AB">
        <w:rPr>
          <w:rFonts w:ascii="Times New Roman" w:hAnsi="Times New Roman"/>
        </w:rPr>
        <w:t>Zdroje</w:t>
      </w:r>
      <w:r>
        <w:rPr>
          <w:rFonts w:ascii="Times New Roman" w:hAnsi="Times New Roman"/>
        </w:rPr>
        <w:t xml:space="preserve"> na projekty financované z APVV sú zatiaľ rozpísané mimo transferov určených pre verejné vysoké školy, ale na základe úspešnosti v súťažiach budú  zohľadnené v upravenom rozpočte VVŠ. </w:t>
      </w:r>
    </w:p>
    <w:p w:rsidR="002A66DD" w:rsidP="002A66DD">
      <w:pPr>
        <w:bidi w:val="0"/>
        <w:ind w:firstLine="709"/>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 xml:space="preserve">Návrh rozdelenia výdavkov do jednotlivých kategórií je len orientačný, keďže v zmysle § 89 zákona č. 131/2002 Z. z. o vysokých školách v znení neskorších predpisov je použitie dotácie zo štátneho rozpočtu priamo v kompetencii vysokej školy. </w:t>
      </w:r>
    </w:p>
    <w:p w:rsidR="002A66DD" w:rsidP="002A66DD">
      <w:pPr>
        <w:bidi w:val="0"/>
        <w:ind w:firstLine="708"/>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Výdavky na rok 2012 celkovo rastú oproti schválenému rozpočtu roku 2011 o  33,6 mil. eur, čo predstavuje 6,04 %.</w:t>
      </w:r>
    </w:p>
    <w:p w:rsidR="002A66DD" w:rsidP="002A66DD">
      <w:pPr>
        <w:bidi w:val="0"/>
        <w:ind w:firstLine="708"/>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 xml:space="preserve">Bežné výdavky na rok 2012 rastú oproti schválenému rozpočtu roku 2011 o 32,4 mil. eur. Osobné výdavky sú rozpočtované pre vysokoškolských pedagógov, výskumných a umeleckých pracovníkov, ako aj ostatných pracovníkov VVŠ v počte 21 529 osôb. Celkové osobné výdavky zaznamenávajú nárast v roku 2012 oproti roku 2011 o 14,5 mil. eur, t. j. 4,96 %. Priemerný mzdový výdavok na rok 2012 v sume 881 eur predstavuje nárast o 38 eur oproti  rozpočtovanej úrovni roku 2011. </w:t>
      </w:r>
    </w:p>
    <w:p w:rsidR="002A66DD" w:rsidP="002A66DD">
      <w:pPr>
        <w:bidi w:val="0"/>
        <w:ind w:firstLine="708"/>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Výdavky na tovary a služby sú rozpočtované na financovanie študijných programov a prevádzku VVŠ, na riešenie projektov vedy a výskumu (vrátane prostriedkov zo štrukturálnych fondov a spolufinancovania zo štátneho rozpočtu) a rozvoj vysokých škôl. Výdavky na tovary a služby rozpočtované na rok 2012 oproti schválenému rozpočtu roku 2011 rastú o 10,4 mil. eur, t.</w:t>
      </w:r>
      <w:r w:rsidR="002B2749">
        <w:rPr>
          <w:rFonts w:ascii="Times New Roman" w:hAnsi="Times New Roman"/>
        </w:rPr>
        <w:t xml:space="preserve"> </w:t>
      </w:r>
      <w:r>
        <w:rPr>
          <w:rFonts w:ascii="Times New Roman" w:hAnsi="Times New Roman"/>
        </w:rPr>
        <w:t xml:space="preserve">j. </w:t>
      </w:r>
      <w:r w:rsidR="008B5A66">
        <w:rPr>
          <w:rFonts w:ascii="Times New Roman" w:hAnsi="Times New Roman"/>
        </w:rPr>
        <w:t>6</w:t>
      </w:r>
      <w:r>
        <w:rPr>
          <w:rFonts w:ascii="Times New Roman" w:hAnsi="Times New Roman"/>
        </w:rPr>
        <w:t>,</w:t>
      </w:r>
      <w:r w:rsidR="008B5A66">
        <w:rPr>
          <w:rFonts w:ascii="Times New Roman" w:hAnsi="Times New Roman"/>
        </w:rPr>
        <w:t>05</w:t>
      </w:r>
      <w:r>
        <w:rPr>
          <w:rFonts w:ascii="Times New Roman" w:hAnsi="Times New Roman"/>
        </w:rPr>
        <w:t xml:space="preserve"> %.  </w:t>
      </w:r>
    </w:p>
    <w:p w:rsidR="003B6370" w:rsidP="002A66DD">
      <w:pPr>
        <w:bidi w:val="0"/>
        <w:ind w:firstLine="708"/>
        <w:jc w:val="both"/>
        <w:rPr>
          <w:rFonts w:ascii="Times New Roman" w:hAnsi="Times New Roman"/>
        </w:rPr>
      </w:pPr>
    </w:p>
    <w:p w:rsidR="002A66DD" w:rsidP="002A66DD">
      <w:pPr>
        <w:bidi w:val="0"/>
        <w:ind w:firstLine="708"/>
        <w:jc w:val="both"/>
        <w:rPr>
          <w:rFonts w:ascii="Times New Roman" w:hAnsi="Times New Roman"/>
        </w:rPr>
      </w:pPr>
      <w:r>
        <w:rPr>
          <w:rFonts w:ascii="Times New Roman" w:hAnsi="Times New Roman"/>
        </w:rPr>
        <w:t>Bežné transfery sú vyššie oproti schválenému rozpočtu roku 2011 o 7,5 mil. eur, t.</w:t>
      </w:r>
      <w:r w:rsidR="002B2749">
        <w:rPr>
          <w:rFonts w:ascii="Times New Roman" w:hAnsi="Times New Roman"/>
        </w:rPr>
        <w:t xml:space="preserve"> </w:t>
      </w:r>
      <w:r>
        <w:rPr>
          <w:rFonts w:ascii="Times New Roman" w:hAnsi="Times New Roman"/>
        </w:rPr>
        <w:t>j. 10,79 %. V limite bežných transferov je zohľadnená schválená novela vysokoškolského zákona týkajúca sa poskytovania motivačných štipendií aj externým študentom. Z bežných transferov sú financované sociálne štipendiá, motivačné štipendiá, podpora stravovania, ubytovania, kultúrnych a športových aktivít študentov a pastoračných centier, členské príspevky medzinárodným organizáciám, odchodné, odstupné, nemocenské dávky, atď.</w:t>
      </w:r>
    </w:p>
    <w:p w:rsidR="002A66DD" w:rsidP="002A66DD">
      <w:pPr>
        <w:bidi w:val="0"/>
        <w:jc w:val="both"/>
        <w:rPr>
          <w:rFonts w:ascii="Times New Roman" w:hAnsi="Times New Roman"/>
          <w:b/>
        </w:rPr>
      </w:pPr>
    </w:p>
    <w:p w:rsidR="002A66DD" w:rsidP="002A66DD">
      <w:pPr>
        <w:bidi w:val="0"/>
        <w:ind w:firstLine="708"/>
        <w:jc w:val="both"/>
        <w:rPr>
          <w:rFonts w:ascii="Times New Roman" w:hAnsi="Times New Roman"/>
        </w:rPr>
      </w:pPr>
      <w:r>
        <w:rPr>
          <w:rFonts w:ascii="Times New Roman" w:hAnsi="Times New Roman"/>
        </w:rPr>
        <w:t>Kapitálové výdavky v roku 2012 oproti schválenému rozpočtu roku 2011 rastú o 1,22 mil. eur, t.</w:t>
      </w:r>
      <w:r w:rsidR="002B2749">
        <w:rPr>
          <w:rFonts w:ascii="Times New Roman" w:hAnsi="Times New Roman"/>
        </w:rPr>
        <w:t xml:space="preserve"> </w:t>
      </w:r>
      <w:r>
        <w:rPr>
          <w:rFonts w:ascii="Times New Roman" w:hAnsi="Times New Roman"/>
        </w:rPr>
        <w:t>j. 5,44 %. Kapitálové výdavky sú určené na riešenie infraštruktúry verejných vysokých škôl vrátane rekonštrukcií budov.</w:t>
      </w:r>
    </w:p>
    <w:p w:rsidR="002A66DD" w:rsidP="002A66DD">
      <w:pPr>
        <w:bidi w:val="0"/>
        <w:jc w:val="both"/>
        <w:rPr>
          <w:rFonts w:ascii="Times New Roman" w:hAnsi="Times New Roman"/>
          <w:b/>
        </w:rPr>
      </w:pPr>
    </w:p>
    <w:p w:rsidR="002A66DD" w:rsidP="002A66DD">
      <w:pPr>
        <w:pStyle w:val="BodyTextIndent2"/>
        <w:tabs>
          <w:tab w:val="left" w:pos="0"/>
        </w:tabs>
        <w:bidi w:val="0"/>
        <w:spacing w:after="0" w:line="240" w:lineRule="auto"/>
        <w:ind w:left="0"/>
        <w:jc w:val="both"/>
        <w:rPr>
          <w:rFonts w:ascii="Times New Roman" w:hAnsi="Times New Roman"/>
          <w:sz w:val="22"/>
          <w:szCs w:val="22"/>
        </w:rPr>
      </w:pPr>
      <w:r>
        <w:rPr>
          <w:rFonts w:ascii="Times New Roman" w:hAnsi="Times New Roman"/>
        </w:rPr>
        <w:tab/>
        <w:t>Celkový hotovostný prebytok verejných vysokých škôl sa v roku 2012 predpokladá vo výške 183,</w:t>
      </w:r>
      <w:r w:rsidR="003B6370">
        <w:rPr>
          <w:rFonts w:ascii="Times New Roman" w:hAnsi="Times New Roman"/>
        </w:rPr>
        <w:t>4</w:t>
      </w:r>
      <w:r>
        <w:rPr>
          <w:rFonts w:ascii="Times New Roman" w:hAnsi="Times New Roman"/>
        </w:rPr>
        <w:t xml:space="preserve"> mil. eur.  V roku 2013 sa predpokladá celkový prebytok na  úrovni 18</w:t>
      </w:r>
      <w:r w:rsidR="003B6370">
        <w:rPr>
          <w:rFonts w:ascii="Times New Roman" w:hAnsi="Times New Roman"/>
        </w:rPr>
        <w:t>3,7</w:t>
      </w:r>
      <w:r>
        <w:rPr>
          <w:rFonts w:ascii="Times New Roman" w:hAnsi="Times New Roman"/>
        </w:rPr>
        <w:t xml:space="preserve"> mil. eur a v roku 2014 vo výške 184,</w:t>
      </w:r>
      <w:r w:rsidR="003B6370">
        <w:rPr>
          <w:rFonts w:ascii="Times New Roman" w:hAnsi="Times New Roman"/>
        </w:rPr>
        <w:t xml:space="preserve">0 </w:t>
      </w:r>
      <w:r>
        <w:rPr>
          <w:rFonts w:ascii="Times New Roman" w:hAnsi="Times New Roman"/>
        </w:rPr>
        <w:t xml:space="preserve">mil. eur. V metodike ESA 95 je rozpočtovaný prebytok hospodárenia v roku 2012 vo výške 376 tis. eur, v roku 2013 vo výške 307 tis. eur a v roku 2014 vo výške 320 tis. eur. </w:t>
      </w:r>
    </w:p>
    <w:p w:rsidR="00FA46D7" w:rsidP="007B1DFC">
      <w:pPr>
        <w:bidi w:val="0"/>
        <w:rPr>
          <w:rFonts w:ascii="Times New Roman" w:hAnsi="Times New Roman"/>
          <w:b/>
          <w:bCs/>
        </w:rPr>
      </w:pPr>
    </w:p>
    <w:p w:rsidR="00156840" w:rsidRPr="00DC10B8" w:rsidP="00156840">
      <w:pPr>
        <w:bidi w:val="0"/>
        <w:rPr>
          <w:rFonts w:ascii="Times New Roman" w:hAnsi="Times New Roman"/>
        </w:rPr>
      </w:pPr>
      <w:r w:rsidRPr="00DC10B8">
        <w:rPr>
          <w:rFonts w:ascii="Times New Roman" w:hAnsi="Times New Roman"/>
          <w:b/>
          <w:bCs/>
        </w:rPr>
        <w:t xml:space="preserve">10.  Príspevkové organizácie v pôsobnosti štátu, obcí a VÚC </w:t>
      </w:r>
    </w:p>
    <w:p w:rsidR="00156840" w:rsidRPr="00DC10B8" w:rsidP="007C26EE">
      <w:pPr>
        <w:bidi w:val="0"/>
        <w:rPr>
          <w:rFonts w:ascii="Times New Roman" w:hAnsi="Times New Roman"/>
        </w:rPr>
      </w:pPr>
      <w:r w:rsidRPr="00DC10B8">
        <w:rPr>
          <w:rFonts w:ascii="Times New Roman" w:hAnsi="Times New Roman"/>
          <w:b/>
          <w:bCs/>
        </w:rPr>
        <w:t> </w:t>
      </w:r>
    </w:p>
    <w:p w:rsidR="00156840" w:rsidRPr="00DC10B8" w:rsidP="00156840">
      <w:pPr>
        <w:bidi w:val="0"/>
        <w:ind w:firstLine="708"/>
        <w:jc w:val="both"/>
        <w:rPr>
          <w:rFonts w:ascii="Times New Roman" w:hAnsi="Times New Roman"/>
        </w:rPr>
      </w:pPr>
      <w:r w:rsidRPr="00DC10B8">
        <w:rPr>
          <w:rFonts w:ascii="Times New Roman" w:hAnsi="Times New Roman"/>
        </w:rPr>
        <w:t xml:space="preserve">Súčasťou návrhu rozpočtu verejnej správy na roky 2012 až 2014 sú aj návrhy rozpočtov príspevkových organizácií, ktoré sú v súlade s jednotnou metodikou, platnou pre Európsku úniu, zaradené do sektora verejnej správy. Ide o tie príspevkové organizácie založené štátom, obcami alebo VÚC, u ktorých menej ako 50 % výrobných nákladov je pokrytých tržbami. Zaraďovanie subjektov verejnej správy do príslušných sektorov ekonomiky, ako aj plnenie podmienok pre zaraďovanie subjektov do sektora verejnej správy, je v pôsobnosti Štatistického úradu SR v súlade so zákonom č. 540/2001 Z. z. o štátnej štatistike. </w:t>
      </w:r>
    </w:p>
    <w:p w:rsidR="00156840" w:rsidRPr="00DC10B8" w:rsidP="00156840">
      <w:pPr>
        <w:bidi w:val="0"/>
        <w:ind w:firstLine="708"/>
        <w:jc w:val="both"/>
        <w:rPr>
          <w:rFonts w:ascii="Times New Roman" w:hAnsi="Times New Roman"/>
        </w:rPr>
      </w:pPr>
      <w:r w:rsidRPr="00DC10B8">
        <w:rPr>
          <w:rFonts w:ascii="Times New Roman" w:hAnsi="Times New Roman"/>
        </w:rPr>
        <w:t> </w:t>
      </w:r>
    </w:p>
    <w:p w:rsidR="00156840" w:rsidP="00156840">
      <w:pPr>
        <w:bidi w:val="0"/>
        <w:ind w:firstLine="708"/>
        <w:jc w:val="both"/>
        <w:rPr>
          <w:rFonts w:ascii="Times New Roman" w:hAnsi="Times New Roman"/>
        </w:rPr>
      </w:pPr>
      <w:r w:rsidRPr="00DC10B8">
        <w:rPr>
          <w:rFonts w:ascii="Times New Roman" w:hAnsi="Times New Roman"/>
        </w:rPr>
        <w:t xml:space="preserve">Vývoj  príjmovej  a  výdavkovej   časti  rozpočtu  príspevkových  organizácií  sektora verejnej správy na roky 2012 až 2014 je nasledovný:        </w:t>
      </w:r>
    </w:p>
    <w:p w:rsidR="007C26EE" w:rsidRPr="00DC10B8" w:rsidP="00156840">
      <w:pPr>
        <w:bidi w:val="0"/>
        <w:ind w:firstLine="708"/>
        <w:jc w:val="both"/>
        <w:rPr>
          <w:rFonts w:ascii="Times New Roman" w:hAnsi="Times New Roman"/>
        </w:rPr>
      </w:pPr>
    </w:p>
    <w:tbl>
      <w:tblPr>
        <w:tblStyle w:val="TableNormal"/>
        <w:tblW w:w="5000" w:type="pct"/>
        <w:tblCellMar>
          <w:left w:w="0" w:type="dxa"/>
          <w:right w:w="0" w:type="dxa"/>
        </w:tblCellMar>
        <w:tblLook w:val="04A0"/>
      </w:tblPr>
      <w:tblGrid>
        <w:gridCol w:w="3156"/>
        <w:gridCol w:w="797"/>
        <w:gridCol w:w="901"/>
        <w:gridCol w:w="875"/>
        <w:gridCol w:w="932"/>
        <w:gridCol w:w="875"/>
        <w:gridCol w:w="875"/>
        <w:gridCol w:w="875"/>
      </w:tblGrid>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rPr>
                <w:rFonts w:ascii="Times New Roman" w:hAnsi="Times New Roman"/>
              </w:rPr>
            </w:pPr>
            <w:r w:rsidRPr="00DC10B8">
              <w:rPr>
                <w:rFonts w:ascii="Times New Roman" w:hAnsi="Times New Roman"/>
                <w:b/>
                <w:bCs/>
                <w:sz w:val="16"/>
                <w:szCs w:val="16"/>
              </w:rPr>
              <w:t>v tis. eur</w:t>
            </w:r>
          </w:p>
        </w:tc>
        <w:tc>
          <w:tcPr>
            <w:tcW w:w="429"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2009 S</w:t>
            </w:r>
          </w:p>
        </w:tc>
        <w:tc>
          <w:tcPr>
            <w:tcW w:w="485"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2010 S</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2011 R</w:t>
            </w:r>
          </w:p>
        </w:tc>
        <w:tc>
          <w:tcPr>
            <w:tcW w:w="502"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2011 OS</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2012 N</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2013 N</w:t>
            </w:r>
          </w:p>
        </w:tc>
        <w:tc>
          <w:tcPr>
            <w:tcW w:w="471"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2014 N</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rPr>
                <w:rFonts w:ascii="Times New Roman" w:hAnsi="Times New Roman"/>
              </w:rPr>
            </w:pPr>
            <w:r w:rsidRPr="00DC10B8">
              <w:rPr>
                <w:rFonts w:ascii="Times New Roman" w:hAnsi="Times New Roman"/>
                <w:b/>
                <w:bCs/>
                <w:sz w:val="16"/>
                <w:szCs w:val="16"/>
              </w:rPr>
              <w:t>Príjmy PO sektora VS  spolu</w:t>
            </w:r>
          </w:p>
        </w:tc>
        <w:tc>
          <w:tcPr>
            <w:tcW w:w="429"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777 344</w:t>
            </w:r>
          </w:p>
        </w:tc>
        <w:tc>
          <w:tcPr>
            <w:tcW w:w="485"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824 758</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690 324</w:t>
            </w:r>
          </w:p>
        </w:tc>
        <w:tc>
          <w:tcPr>
            <w:tcW w:w="502"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690 324</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b/>
                <w:bCs/>
                <w:sz w:val="16"/>
                <w:szCs w:val="16"/>
              </w:rPr>
              <w:t>70</w:t>
            </w:r>
            <w:r w:rsidR="00992694">
              <w:rPr>
                <w:rFonts w:ascii="Times New Roman" w:hAnsi="Times New Roman"/>
                <w:b/>
                <w:bCs/>
                <w:sz w:val="16"/>
                <w:szCs w:val="16"/>
              </w:rPr>
              <w:t>5 037</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b/>
                <w:bCs/>
                <w:sz w:val="16"/>
                <w:szCs w:val="16"/>
              </w:rPr>
              <w:t>70</w:t>
            </w:r>
            <w:r w:rsidR="00992694">
              <w:rPr>
                <w:rFonts w:ascii="Times New Roman" w:hAnsi="Times New Roman"/>
                <w:b/>
                <w:bCs/>
                <w:sz w:val="16"/>
                <w:szCs w:val="16"/>
              </w:rPr>
              <w:t>9 040</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714 188</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nedaňové príjmy</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135 727</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191 739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177 498</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177 498</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179 835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181 259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181 442</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granty a transfery</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641 617</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633 019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509 990</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509 990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sz w:val="16"/>
                <w:szCs w:val="16"/>
              </w:rPr>
              <w:t>5</w:t>
            </w:r>
            <w:r w:rsidR="00992694">
              <w:rPr>
                <w:rFonts w:ascii="Times New Roman" w:hAnsi="Times New Roman"/>
                <w:sz w:val="16"/>
                <w:szCs w:val="16"/>
              </w:rPr>
              <w:t>22 849</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sz w:val="16"/>
                <w:szCs w:val="16"/>
              </w:rPr>
              <w:t xml:space="preserve">525 </w:t>
            </w:r>
            <w:r w:rsidR="00992694">
              <w:rPr>
                <w:rFonts w:ascii="Times New Roman" w:hAnsi="Times New Roman"/>
                <w:sz w:val="16"/>
                <w:szCs w:val="16"/>
              </w:rPr>
              <w:t>433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530 335</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zo splátok úverov a pôž. (FO)</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zostat. prostr. z predch. rokov a prevod prostr. z peň. fondov (FO)</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2 836</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2 836</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2 353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2 348</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2 361</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rPr>
                <w:rFonts w:ascii="Times New Roman" w:hAnsi="Times New Roman"/>
              </w:rPr>
            </w:pPr>
            <w:r w:rsidRPr="00DC10B8">
              <w:rPr>
                <w:rFonts w:ascii="Times New Roman" w:hAnsi="Times New Roman"/>
                <w:b/>
                <w:bCs/>
                <w:sz w:val="16"/>
                <w:szCs w:val="16"/>
              </w:rPr>
              <w:t>Výdavky PO sektora VS  spolu</w:t>
            </w:r>
          </w:p>
        </w:tc>
        <w:tc>
          <w:tcPr>
            <w:tcW w:w="429"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764 679</w:t>
            </w:r>
          </w:p>
        </w:tc>
        <w:tc>
          <w:tcPr>
            <w:tcW w:w="485"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829 139</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681 276</w:t>
            </w:r>
          </w:p>
        </w:tc>
        <w:tc>
          <w:tcPr>
            <w:tcW w:w="502"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681 276</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b/>
                <w:bCs/>
                <w:sz w:val="16"/>
                <w:szCs w:val="16"/>
              </w:rPr>
              <w:t>69</w:t>
            </w:r>
            <w:r w:rsidR="00992694">
              <w:rPr>
                <w:rFonts w:ascii="Times New Roman" w:hAnsi="Times New Roman"/>
                <w:b/>
                <w:bCs/>
                <w:sz w:val="16"/>
                <w:szCs w:val="16"/>
              </w:rPr>
              <w:t>8 043</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b/>
                <w:bCs/>
                <w:sz w:val="16"/>
                <w:szCs w:val="16"/>
              </w:rPr>
              <w:t>703</w:t>
            </w:r>
            <w:r w:rsidR="00992694">
              <w:rPr>
                <w:rFonts w:ascii="Times New Roman" w:hAnsi="Times New Roman"/>
                <w:b/>
                <w:bCs/>
                <w:sz w:val="16"/>
                <w:szCs w:val="16"/>
              </w:rPr>
              <w:t xml:space="preserve"> 376</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710 956</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bežné výdavky</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678 273</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699 414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649 268</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649 268</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sz w:val="16"/>
                <w:szCs w:val="16"/>
              </w:rPr>
              <w:t>67</w:t>
            </w:r>
            <w:r w:rsidR="00992694">
              <w:rPr>
                <w:rFonts w:ascii="Times New Roman" w:hAnsi="Times New Roman"/>
                <w:sz w:val="16"/>
                <w:szCs w:val="16"/>
              </w:rPr>
              <w:t>3 303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sz w:val="16"/>
                <w:szCs w:val="16"/>
              </w:rPr>
              <w:t xml:space="preserve">680 </w:t>
            </w:r>
            <w:r w:rsidR="00992694">
              <w:rPr>
                <w:rFonts w:ascii="Times New Roman" w:hAnsi="Times New Roman"/>
                <w:sz w:val="16"/>
                <w:szCs w:val="16"/>
              </w:rPr>
              <w:t>615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687 928</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kapitálové výdavky</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86 406</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129 725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31 972</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31 972</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992694">
            <w:pPr>
              <w:bidi w:val="0"/>
              <w:spacing w:line="227" w:lineRule="atLeast"/>
              <w:jc w:val="right"/>
              <w:rPr>
                <w:rFonts w:ascii="Times New Roman" w:hAnsi="Times New Roman"/>
              </w:rPr>
            </w:pPr>
            <w:r w:rsidRPr="00DC10B8">
              <w:rPr>
                <w:rFonts w:ascii="Times New Roman" w:hAnsi="Times New Roman"/>
                <w:sz w:val="16"/>
                <w:szCs w:val="16"/>
              </w:rPr>
              <w:t xml:space="preserve">24 </w:t>
            </w:r>
            <w:r w:rsidR="00992694">
              <w:rPr>
                <w:rFonts w:ascii="Times New Roman" w:hAnsi="Times New Roman"/>
                <w:sz w:val="16"/>
                <w:szCs w:val="16"/>
              </w:rPr>
              <w:t>717</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22 738</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23 005</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poskytovanie úverov a pôžičiek a splácanie istín (FO)</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36</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36</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23</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rPr>
                <w:rFonts w:ascii="Times New Roman" w:hAnsi="Times New Roman"/>
              </w:rPr>
            </w:pPr>
            <w:r w:rsidRPr="00DC10B8">
              <w:rPr>
                <w:rFonts w:ascii="Times New Roman" w:hAnsi="Times New Roman"/>
                <w:b/>
                <w:bCs/>
                <w:sz w:val="16"/>
                <w:szCs w:val="16"/>
              </w:rPr>
              <w:t>Celkový prebytok PO sektora VS</w:t>
            </w:r>
          </w:p>
        </w:tc>
        <w:tc>
          <w:tcPr>
            <w:tcW w:w="429"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12 665</w:t>
            </w:r>
          </w:p>
        </w:tc>
        <w:tc>
          <w:tcPr>
            <w:tcW w:w="485"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-4 381</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9 048</w:t>
            </w:r>
          </w:p>
        </w:tc>
        <w:tc>
          <w:tcPr>
            <w:tcW w:w="502"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9 048</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6 994</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5 664</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3 232</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rPr>
                <w:rFonts w:ascii="Times New Roman" w:hAnsi="Times New Roman"/>
              </w:rPr>
            </w:pPr>
            <w:r w:rsidRPr="00DC10B8">
              <w:rPr>
                <w:rFonts w:ascii="Times New Roman" w:hAnsi="Times New Roman"/>
                <w:b/>
                <w:bCs/>
                <w:i/>
                <w:iCs/>
                <w:sz w:val="16"/>
                <w:szCs w:val="16"/>
              </w:rPr>
              <w:t>vylúčenie finančných operácií</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65"/>
              <w:jc w:val="right"/>
              <w:rPr>
                <w:rFonts w:ascii="Times New Roman" w:hAnsi="Times New Roman"/>
              </w:rPr>
            </w:pPr>
            <w:r w:rsidRPr="00DC10B8">
              <w:rPr>
                <w:rFonts w:ascii="Times New Roman" w:hAnsi="Times New Roman"/>
                <w:b/>
                <w:bCs/>
                <w:i/>
                <w:iCs/>
                <w:sz w:val="16"/>
                <w:szCs w:val="16"/>
              </w:rPr>
              <w:t>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65"/>
              <w:jc w:val="right"/>
              <w:rPr>
                <w:rFonts w:ascii="Times New Roman" w:hAnsi="Times New Roman"/>
              </w:rPr>
            </w:pPr>
            <w:r w:rsidRPr="00DC10B8">
              <w:rPr>
                <w:rFonts w:ascii="Times New Roman" w:hAnsi="Times New Roman"/>
                <w:b/>
                <w:bCs/>
                <w:i/>
                <w:iCs/>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-2 800</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-2 800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-2 330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-2 325</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-2 338</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vylúčenie príjmových FO</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- 2 836</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- 2 836</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-2 353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-2 348</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-2 361</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ind w:left="360" w:hanging="360"/>
              <w:rPr>
                <w:rFonts w:ascii="Times New Roman" w:hAnsi="Times New Roman"/>
              </w:rPr>
            </w:pPr>
            <w:r w:rsidRPr="00DC10B8">
              <w:rPr>
                <w:rFonts w:ascii="Wingdings" w:hAnsi="Wingdings"/>
                <w:sz w:val="16"/>
                <w:szCs w:val="16"/>
              </w:rPr>
              <w:t>§</w:t>
            </w:r>
            <w:r w:rsidRPr="00DC10B8">
              <w:rPr>
                <w:rFonts w:ascii="Times New Roman" w:hAnsi="Times New Roman"/>
                <w:sz w:val="14"/>
                <w:szCs w:val="14"/>
              </w:rPr>
              <w:t xml:space="preserve">          </w:t>
            </w:r>
            <w:r w:rsidRPr="00DC10B8">
              <w:rPr>
                <w:rFonts w:ascii="Times New Roman" w:hAnsi="Times New Roman"/>
                <w:sz w:val="16"/>
                <w:szCs w:val="16"/>
              </w:rPr>
              <w:t>vylúčenie výdavkových FO</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36</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36</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23</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sz w:val="16"/>
                <w:szCs w:val="16"/>
              </w:rPr>
              <w:t>23</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rPr>
                <w:rFonts w:ascii="Times New Roman" w:hAnsi="Times New Roman"/>
              </w:rPr>
            </w:pPr>
            <w:r w:rsidRPr="00DC10B8">
              <w:rPr>
                <w:rFonts w:ascii="Times New Roman" w:hAnsi="Times New Roman"/>
                <w:b/>
                <w:bCs/>
                <w:i/>
                <w:iCs/>
                <w:sz w:val="16"/>
                <w:szCs w:val="16"/>
              </w:rPr>
              <w:t>ostatné úpravy</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1 938</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-21 768</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0</w:t>
            </w:r>
          </w:p>
        </w:tc>
        <w:tc>
          <w:tcPr>
            <w:tcW w:w="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0</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i/>
                <w:iCs/>
                <w:sz w:val="16"/>
                <w:szCs w:val="16"/>
              </w:rPr>
              <w:t>0</w:t>
            </w:r>
          </w:p>
        </w:tc>
      </w:tr>
      <w:tr>
        <w:tblPrEx>
          <w:tblW w:w="5000" w:type="pct"/>
          <w:tblCellMar>
            <w:left w:w="0" w:type="dxa"/>
            <w:right w:w="0" w:type="dxa"/>
          </w:tblCellMar>
          <w:tblLook w:val="04A0"/>
        </w:tblPrEx>
        <w:trPr>
          <w:trHeight w:val="227"/>
        </w:trPr>
        <w:tc>
          <w:tcPr>
            <w:tcW w:w="1700"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rPr>
                <w:rFonts w:ascii="Times New Roman" w:hAnsi="Times New Roman"/>
              </w:rPr>
            </w:pPr>
            <w:r w:rsidRPr="00DC10B8">
              <w:rPr>
                <w:rFonts w:ascii="Times New Roman" w:hAnsi="Times New Roman"/>
                <w:b/>
                <w:bCs/>
                <w:sz w:val="16"/>
                <w:szCs w:val="16"/>
              </w:rPr>
              <w:t>Prebytok  PO sektora VS (ESA 95)</w:t>
            </w:r>
          </w:p>
        </w:tc>
        <w:tc>
          <w:tcPr>
            <w:tcW w:w="429"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ind w:left="50"/>
              <w:jc w:val="right"/>
              <w:rPr>
                <w:rFonts w:ascii="Times New Roman" w:hAnsi="Times New Roman"/>
              </w:rPr>
            </w:pPr>
            <w:r w:rsidRPr="00DC10B8">
              <w:rPr>
                <w:rFonts w:ascii="Times New Roman" w:hAnsi="Times New Roman"/>
                <w:b/>
                <w:bCs/>
                <w:sz w:val="16"/>
                <w:szCs w:val="16"/>
              </w:rPr>
              <w:t>14 603</w:t>
            </w:r>
          </w:p>
        </w:tc>
        <w:tc>
          <w:tcPr>
            <w:tcW w:w="485"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ind w:left="50"/>
              <w:jc w:val="right"/>
              <w:rPr>
                <w:rFonts w:ascii="Times New Roman" w:hAnsi="Times New Roman"/>
              </w:rPr>
            </w:pPr>
            <w:r w:rsidRPr="00DC10B8">
              <w:rPr>
                <w:rFonts w:ascii="Times New Roman" w:hAnsi="Times New Roman"/>
                <w:b/>
                <w:bCs/>
                <w:sz w:val="16"/>
                <w:szCs w:val="16"/>
              </w:rPr>
              <w:t>-26 149</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ind w:left="50"/>
              <w:jc w:val="right"/>
              <w:rPr>
                <w:rFonts w:ascii="Times New Roman" w:hAnsi="Times New Roman"/>
              </w:rPr>
            </w:pPr>
            <w:r w:rsidRPr="00DC10B8">
              <w:rPr>
                <w:rFonts w:ascii="Times New Roman" w:hAnsi="Times New Roman"/>
                <w:b/>
                <w:bCs/>
                <w:sz w:val="16"/>
                <w:szCs w:val="16"/>
              </w:rPr>
              <w:t>6 248</w:t>
            </w:r>
          </w:p>
        </w:tc>
        <w:tc>
          <w:tcPr>
            <w:tcW w:w="502"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6 248</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4 664</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3 339</w:t>
            </w:r>
          </w:p>
        </w:tc>
        <w:tc>
          <w:tcPr>
            <w:tcW w:w="471" w:type="pc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extDirection w:val="lrTb"/>
            <w:vAlign w:val="bottom"/>
            <w:hideMark/>
          </w:tcPr>
          <w:p w:rsidR="00156840" w:rsidRPr="00DC10B8" w:rsidP="00215C1B">
            <w:pPr>
              <w:bidi w:val="0"/>
              <w:spacing w:line="227" w:lineRule="atLeast"/>
              <w:jc w:val="right"/>
              <w:rPr>
                <w:rFonts w:ascii="Times New Roman" w:hAnsi="Times New Roman"/>
              </w:rPr>
            </w:pPr>
            <w:r w:rsidRPr="00DC10B8">
              <w:rPr>
                <w:rFonts w:ascii="Times New Roman" w:hAnsi="Times New Roman"/>
                <w:b/>
                <w:bCs/>
                <w:sz w:val="16"/>
                <w:szCs w:val="16"/>
              </w:rPr>
              <w:t>894</w:t>
            </w:r>
          </w:p>
        </w:tc>
      </w:tr>
    </w:tbl>
    <w:p w:rsidR="00156840" w:rsidRPr="00DC10B8" w:rsidP="00156840">
      <w:pPr>
        <w:bidi w:val="0"/>
        <w:ind w:left="7788"/>
        <w:jc w:val="both"/>
        <w:rPr>
          <w:rFonts w:ascii="Times New Roman" w:hAnsi="Times New Roman"/>
        </w:rPr>
      </w:pPr>
      <w:r w:rsidRPr="00DC10B8">
        <w:rPr>
          <w:rFonts w:ascii="Times New Roman" w:hAnsi="Times New Roman"/>
          <w:sz w:val="22"/>
          <w:szCs w:val="22"/>
        </w:rPr>
        <w:t xml:space="preserve">             </w:t>
      </w:r>
    </w:p>
    <w:p w:rsidR="00156840" w:rsidRPr="00DC10B8" w:rsidP="00156840">
      <w:pPr>
        <w:bidi w:val="0"/>
        <w:ind w:firstLine="708"/>
        <w:jc w:val="both"/>
        <w:rPr>
          <w:rFonts w:ascii="Times New Roman" w:hAnsi="Times New Roman"/>
        </w:rPr>
      </w:pPr>
      <w:r w:rsidRPr="00DC10B8">
        <w:rPr>
          <w:rFonts w:ascii="Times New Roman" w:hAnsi="Times New Roman"/>
        </w:rPr>
        <w:t xml:space="preserve">Návrh rozpočtu príspevkových organizácií v pôsobnosti štátu, obcí a VÚC je spracovaný za tie príspevkové organizácie, ktoré sú zapísané v aktualizovanom štatistickom registri organizácií, vedenom Štatistickým úradom SR a zaradené do sektora verejnej správy v súlade s metodikou ESA 95. </w:t>
      </w:r>
    </w:p>
    <w:p w:rsidR="00156840" w:rsidRPr="00DC10B8" w:rsidP="00156840">
      <w:pPr>
        <w:bidi w:val="0"/>
        <w:ind w:firstLine="708"/>
        <w:jc w:val="both"/>
        <w:rPr>
          <w:rFonts w:ascii="Times New Roman" w:hAnsi="Times New Roman"/>
        </w:rPr>
      </w:pPr>
      <w:r w:rsidRPr="00DC10B8">
        <w:rPr>
          <w:rFonts w:ascii="Times New Roman" w:hAnsi="Times New Roman"/>
        </w:rPr>
        <w:t> </w:t>
      </w:r>
    </w:p>
    <w:p w:rsidR="00156840" w:rsidRPr="00DC10B8" w:rsidP="00156840">
      <w:pPr>
        <w:bidi w:val="0"/>
        <w:ind w:firstLine="708"/>
        <w:jc w:val="both"/>
        <w:rPr>
          <w:rFonts w:ascii="Times New Roman" w:hAnsi="Times New Roman"/>
        </w:rPr>
      </w:pPr>
      <w:r w:rsidRPr="00DC10B8">
        <w:rPr>
          <w:rFonts w:ascii="Times New Roman" w:hAnsi="Times New Roman"/>
        </w:rPr>
        <w:t xml:space="preserve">Do sektora verejnej správy je zaradených 97 príspevkových organizácií v pôsobnosti štátu a 593 príspevkových organizácií v pôsobnosti obcí a VÚC.  </w:t>
      </w:r>
    </w:p>
    <w:p w:rsidR="00156840" w:rsidRPr="00DC10B8" w:rsidP="00156840">
      <w:pPr>
        <w:bidi w:val="0"/>
        <w:ind w:firstLine="708"/>
        <w:jc w:val="both"/>
        <w:rPr>
          <w:rFonts w:ascii="Times New Roman" w:hAnsi="Times New Roman"/>
        </w:rPr>
      </w:pPr>
      <w:r w:rsidRPr="00DC10B8">
        <w:rPr>
          <w:rFonts w:ascii="Times New Roman" w:hAnsi="Times New Roman"/>
        </w:rPr>
        <w:t> </w:t>
      </w:r>
    </w:p>
    <w:p w:rsidR="00156840" w:rsidRPr="00DC10B8" w:rsidP="00156840">
      <w:pPr>
        <w:bidi w:val="0"/>
        <w:ind w:firstLine="708"/>
        <w:jc w:val="both"/>
        <w:rPr>
          <w:rFonts w:ascii="Times New Roman" w:hAnsi="Times New Roman"/>
        </w:rPr>
      </w:pPr>
      <w:r w:rsidRPr="00DC10B8">
        <w:rPr>
          <w:rFonts w:ascii="Times New Roman" w:hAnsi="Times New Roman"/>
        </w:rPr>
        <w:t xml:space="preserve">Príspevkové organizácie v pôsobnosti štátu zabezpečujú činnosti najmä v oblasti kultúry, školstva, životného prostredia, pôdohospodárstva, výskumu, služieb a informatiky. Najviac príspevkových organizácií je v pôsobnosti ministerstva kultúry (24), v pôsobnosti SAV (22) a v pôsobnosti ministerstva pôdohospodárstva a rozvoja vidieka (13) príspevkových organizácií. </w:t>
      </w:r>
    </w:p>
    <w:p w:rsidR="00156840" w:rsidRPr="00DC10B8" w:rsidP="00156840">
      <w:pPr>
        <w:bidi w:val="0"/>
        <w:spacing w:before="120"/>
        <w:ind w:firstLine="709"/>
        <w:jc w:val="both"/>
        <w:rPr>
          <w:rFonts w:ascii="Times New Roman" w:hAnsi="Times New Roman"/>
        </w:rPr>
      </w:pPr>
      <w:r w:rsidRPr="00DC10B8">
        <w:rPr>
          <w:rFonts w:ascii="Times New Roman" w:hAnsi="Times New Roman"/>
        </w:rPr>
        <w:t>Príspevkové organizácie v pôsobnosti obcí zabezpečujú najmä činnosti na úseku verejnoprospešných prác (technické služby), kultúry (miestne osvetové strediská, miestne kultúrne strediská, knižnice, galérie), sociálnych vecí, športu (plavárne, správy športových zariadení) a v ďalších oblastiach. Príspevkové organizácie zriadené VÚC zabezpečujú hlavne činnosti na úseku dopravy (organizácie zabezpečujúce správu a údržbu ciest II. a III. triedy), kultúry (divadlá, múzeá, galérie, knižnice, hvezdárne a pod.) a na úseku školstva (školy v prírode, stredné odborné učilištia, stredné odborné školy a pod.).</w:t>
      </w: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C26EE" w:rsidP="007C26EE">
      <w:pPr>
        <w:bidi w:val="0"/>
        <w:rPr>
          <w:rFonts w:ascii="Times New Roman" w:hAnsi="Times New Roman"/>
          <w:b/>
          <w:bCs/>
        </w:rPr>
      </w:pPr>
    </w:p>
    <w:p w:rsidR="007B1DFC" w:rsidRPr="007B1DFC" w:rsidP="007C26EE">
      <w:pPr>
        <w:bidi w:val="0"/>
        <w:rPr>
          <w:rFonts w:ascii="Times New Roman" w:hAnsi="Times New Roman"/>
        </w:rPr>
      </w:pPr>
      <w:r w:rsidRPr="007B1DFC">
        <w:rPr>
          <w:rFonts w:ascii="Times New Roman" w:hAnsi="Times New Roman"/>
          <w:b/>
          <w:bCs/>
        </w:rPr>
        <w:t>  </w:t>
      </w:r>
    </w:p>
    <w:p w:rsidR="007B1DFC" w:rsidRPr="007B1DFC" w:rsidP="007B1DFC">
      <w:pPr>
        <w:bidi w:val="0"/>
        <w:jc w:val="both"/>
        <w:rPr>
          <w:rFonts w:ascii="Times New Roman" w:hAnsi="Times New Roman"/>
        </w:rPr>
      </w:pPr>
      <w:r w:rsidRPr="007B1DFC">
        <w:rPr>
          <w:rFonts w:ascii="Times New Roman" w:hAnsi="Times New Roman"/>
          <w:b/>
          <w:bCs/>
        </w:rPr>
        <w:t>11.</w:t>
      </w:r>
      <w:r w:rsidRPr="007B1DFC">
        <w:rPr>
          <w:rFonts w:ascii="Times New Roman" w:hAnsi="Times New Roman"/>
        </w:rPr>
        <w:t xml:space="preserve"> </w:t>
      </w:r>
      <w:r w:rsidRPr="007B1DFC">
        <w:rPr>
          <w:rFonts w:ascii="Times New Roman" w:hAnsi="Times New Roman"/>
          <w:b/>
          <w:bCs/>
        </w:rPr>
        <w:t>Rozhlas a televízia Slovenska</w:t>
      </w:r>
      <w:r w:rsidRPr="007B1DFC">
        <w:rPr>
          <w:rFonts w:ascii="Times New Roman" w:hAnsi="Times New Roman"/>
        </w:rPr>
        <w:t xml:space="preserve"> </w:t>
      </w:r>
    </w:p>
    <w:p w:rsidR="005B211D" w:rsidP="007C26EE">
      <w:pPr>
        <w:bidi w:val="0"/>
        <w:ind w:firstLine="709"/>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Rozhlas a televízia Slovenska (ďalej len „RTVS“) je verejnoprávna inštitúcia, ktorá poskytuje službu verejnosti v oblasti rozhlasového vysielania a televízneho vysielania. RTVS bola zriadená 1. januára 2011 zákonom č. 532/2010 Z. z. Jej hlavnou činnosťou je vysielanie televíznych programových služieb a rozhlasových programových služieb, tvorba, výroba a nákup programov a ich šírenie.</w:t>
      </w:r>
    </w:p>
    <w:p w:rsidR="00FA46D7" w:rsidRPr="00EB33CC" w:rsidP="00FA46D7">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Vývoj príjmovej a výdavkovej časti rozpočtu RTVS na roky 2012 až 2014 je nasledovný:</w:t>
      </w:r>
    </w:p>
    <w:p w:rsidR="00FA46D7" w:rsidP="00FA46D7">
      <w:pPr>
        <w:bidi w:val="0"/>
        <w:jc w:val="both"/>
        <w:rPr>
          <w:rFonts w:ascii="Arial Narrow" w:eastAsia="Calibri" w:hAnsi="Arial Narrow"/>
          <w:sz w:val="22"/>
          <w:szCs w:val="36"/>
          <w:lang w:eastAsia="en-US"/>
        </w:rPr>
      </w:pPr>
    </w:p>
    <w:tbl>
      <w:tblPr>
        <w:tblStyle w:val="TableNormal"/>
        <w:tblW w:w="5000" w:type="pct"/>
        <w:tblCellMar>
          <w:left w:w="70" w:type="dxa"/>
          <w:right w:w="70" w:type="dxa"/>
        </w:tblCellMar>
        <w:tblLook w:val="04A0"/>
      </w:tblPr>
      <w:tblGrid>
        <w:gridCol w:w="4234"/>
        <w:gridCol w:w="703"/>
        <w:gridCol w:w="704"/>
        <w:gridCol w:w="704"/>
        <w:gridCol w:w="759"/>
        <w:gridCol w:w="704"/>
        <w:gridCol w:w="704"/>
        <w:gridCol w:w="698"/>
      </w:tblGrid>
      <w:tr>
        <w:tblPrEx>
          <w:tblW w:w="5000" w:type="pct"/>
          <w:tblCellMar>
            <w:left w:w="70" w:type="dxa"/>
            <w:right w:w="70" w:type="dxa"/>
          </w:tblCellMar>
          <w:tblLook w:val="04A0"/>
        </w:tblPrEx>
        <w:trPr>
          <w:trHeight w:val="240"/>
        </w:trPr>
        <w:tc>
          <w:tcPr>
            <w:tcW w:w="229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A46D7" w:rsidRPr="00E03ADA" w:rsidP="00FA46D7">
            <w:pPr>
              <w:bidi w:val="0"/>
              <w:rPr>
                <w:rFonts w:ascii="Times New Roman" w:hAnsi="Times New Roman"/>
                <w:b/>
                <w:bCs/>
                <w:sz w:val="16"/>
                <w:szCs w:val="16"/>
              </w:rPr>
            </w:pPr>
            <w:r w:rsidRPr="00E03ADA">
              <w:rPr>
                <w:rFonts w:ascii="Times New Roman" w:hAnsi="Times New Roman"/>
                <w:b/>
                <w:bCs/>
                <w:sz w:val="16"/>
                <w:szCs w:val="16"/>
              </w:rPr>
              <w:t>(v tis. eur)</w:t>
            </w:r>
          </w:p>
        </w:tc>
        <w:tc>
          <w:tcPr>
            <w:tcW w:w="3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E03ADA" w:rsidP="00FA46D7">
            <w:pPr>
              <w:bidi w:val="0"/>
              <w:jc w:val="center"/>
              <w:rPr>
                <w:rFonts w:ascii="Times New Roman" w:hAnsi="Times New Roman"/>
                <w:b/>
                <w:bCs/>
                <w:sz w:val="16"/>
                <w:szCs w:val="16"/>
              </w:rPr>
            </w:pPr>
            <w:r w:rsidRPr="00E03ADA">
              <w:rPr>
                <w:rFonts w:ascii="Times New Roman" w:hAnsi="Times New Roman"/>
                <w:b/>
                <w:bCs/>
                <w:sz w:val="16"/>
                <w:szCs w:val="16"/>
              </w:rPr>
              <w:t>2009 S</w:t>
            </w:r>
          </w:p>
        </w:tc>
        <w:tc>
          <w:tcPr>
            <w:tcW w:w="3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E03ADA" w:rsidP="00FA46D7">
            <w:pPr>
              <w:bidi w:val="0"/>
              <w:jc w:val="center"/>
              <w:rPr>
                <w:rFonts w:ascii="Times New Roman" w:hAnsi="Times New Roman"/>
                <w:b/>
                <w:bCs/>
                <w:sz w:val="16"/>
                <w:szCs w:val="16"/>
              </w:rPr>
            </w:pPr>
            <w:r w:rsidRPr="00E03ADA">
              <w:rPr>
                <w:rFonts w:ascii="Times New Roman" w:hAnsi="Times New Roman"/>
                <w:b/>
                <w:bCs/>
                <w:sz w:val="16"/>
                <w:szCs w:val="16"/>
              </w:rPr>
              <w:t>2010 S</w:t>
            </w:r>
          </w:p>
        </w:tc>
        <w:tc>
          <w:tcPr>
            <w:tcW w:w="3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E03ADA" w:rsidP="00FA46D7">
            <w:pPr>
              <w:bidi w:val="0"/>
              <w:jc w:val="center"/>
              <w:rPr>
                <w:rFonts w:ascii="Times New Roman" w:hAnsi="Times New Roman"/>
                <w:b/>
                <w:bCs/>
                <w:sz w:val="16"/>
                <w:szCs w:val="16"/>
              </w:rPr>
            </w:pPr>
            <w:r w:rsidRPr="00E03ADA">
              <w:rPr>
                <w:rFonts w:ascii="Times New Roman" w:hAnsi="Times New Roman"/>
                <w:b/>
                <w:bCs/>
                <w:sz w:val="16"/>
                <w:szCs w:val="16"/>
              </w:rPr>
              <w:t>2011 R</w:t>
            </w:r>
          </w:p>
        </w:tc>
        <w:tc>
          <w:tcPr>
            <w:tcW w:w="41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E03ADA" w:rsidP="00FA46D7">
            <w:pPr>
              <w:bidi w:val="0"/>
              <w:jc w:val="center"/>
              <w:rPr>
                <w:rFonts w:ascii="Times New Roman" w:hAnsi="Times New Roman"/>
                <w:b/>
                <w:bCs/>
                <w:sz w:val="16"/>
                <w:szCs w:val="16"/>
              </w:rPr>
            </w:pPr>
            <w:r w:rsidRPr="00E03ADA">
              <w:rPr>
                <w:rFonts w:ascii="Times New Roman" w:hAnsi="Times New Roman"/>
                <w:b/>
                <w:bCs/>
                <w:sz w:val="16"/>
                <w:szCs w:val="16"/>
              </w:rPr>
              <w:t>2011 OS</w:t>
            </w:r>
          </w:p>
        </w:tc>
        <w:tc>
          <w:tcPr>
            <w:tcW w:w="3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E03ADA" w:rsidP="00FA46D7">
            <w:pPr>
              <w:bidi w:val="0"/>
              <w:jc w:val="center"/>
              <w:rPr>
                <w:rFonts w:ascii="Times New Roman" w:hAnsi="Times New Roman"/>
                <w:b/>
                <w:bCs/>
                <w:sz w:val="16"/>
                <w:szCs w:val="16"/>
              </w:rPr>
            </w:pPr>
            <w:r w:rsidRPr="00E03ADA">
              <w:rPr>
                <w:rFonts w:ascii="Times New Roman" w:hAnsi="Times New Roman"/>
                <w:b/>
                <w:bCs/>
                <w:sz w:val="16"/>
                <w:szCs w:val="16"/>
              </w:rPr>
              <w:t>2012 N</w:t>
            </w:r>
          </w:p>
        </w:tc>
        <w:tc>
          <w:tcPr>
            <w:tcW w:w="3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E03ADA" w:rsidP="00FA46D7">
            <w:pPr>
              <w:bidi w:val="0"/>
              <w:jc w:val="center"/>
              <w:rPr>
                <w:rFonts w:ascii="Times New Roman" w:hAnsi="Times New Roman"/>
                <w:b/>
                <w:bCs/>
                <w:sz w:val="16"/>
                <w:szCs w:val="16"/>
              </w:rPr>
            </w:pPr>
            <w:r w:rsidRPr="00E03ADA">
              <w:rPr>
                <w:rFonts w:ascii="Times New Roman" w:hAnsi="Times New Roman"/>
                <w:b/>
                <w:bCs/>
                <w:sz w:val="16"/>
                <w:szCs w:val="16"/>
              </w:rPr>
              <w:t>2013 N</w:t>
            </w:r>
          </w:p>
        </w:tc>
        <w:tc>
          <w:tcPr>
            <w:tcW w:w="3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E03ADA" w:rsidP="00FA46D7">
            <w:pPr>
              <w:bidi w:val="0"/>
              <w:jc w:val="center"/>
              <w:rPr>
                <w:rFonts w:ascii="Times New Roman" w:hAnsi="Times New Roman"/>
                <w:b/>
                <w:bCs/>
                <w:sz w:val="16"/>
                <w:szCs w:val="16"/>
              </w:rPr>
            </w:pPr>
            <w:r w:rsidRPr="00E03ADA">
              <w:rPr>
                <w:rFonts w:ascii="Times New Roman" w:hAnsi="Times New Roman"/>
                <w:b/>
                <w:bCs/>
                <w:sz w:val="16"/>
                <w:szCs w:val="16"/>
              </w:rPr>
              <w:t>2014 N</w:t>
            </w:r>
          </w:p>
        </w:tc>
      </w:tr>
      <w:tr>
        <w:tblPrEx>
          <w:tblW w:w="5000" w:type="pct"/>
          <w:tblCellMar>
            <w:left w:w="70" w:type="dxa"/>
            <w:right w:w="70" w:type="dxa"/>
          </w:tblCellMar>
          <w:tblLook w:val="04A0"/>
        </w:tblPrEx>
        <w:trPr>
          <w:trHeight w:val="225"/>
        </w:trPr>
        <w:tc>
          <w:tcPr>
            <w:tcW w:w="22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E03ADA" w:rsidP="00FA46D7">
            <w:pPr>
              <w:bidi w:val="0"/>
              <w:rPr>
                <w:rFonts w:ascii="Times New Roman" w:hAnsi="Times New Roman"/>
                <w:b/>
                <w:bCs/>
                <w:sz w:val="16"/>
                <w:szCs w:val="16"/>
              </w:rPr>
            </w:pPr>
            <w:r w:rsidRPr="00E03ADA">
              <w:rPr>
                <w:rFonts w:ascii="Times New Roman" w:hAnsi="Times New Roman"/>
                <w:b/>
                <w:bCs/>
                <w:sz w:val="16"/>
                <w:szCs w:val="16"/>
              </w:rPr>
              <w:t>Príjmy RTVS  spolu</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105 593</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105 993</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99 072</w:t>
            </w:r>
          </w:p>
        </w:tc>
        <w:tc>
          <w:tcPr>
            <w:tcW w:w="41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103 444</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102 873</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103 267</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103 932</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xml:space="preserve">▪ daňové príjmy </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77 348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76 098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75 821</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75 869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76 278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76 469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76 684</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nedaňové príjmy, z toho: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8 970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9 048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8 176</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6 629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7 786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7 777</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7 777</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príjmy z podnikania a z vlastníctva majetku</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608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530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576</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423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433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430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430</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administratívne a iné poplatky</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8 024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8 197</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7 497</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5 829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7 246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7 246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7 246</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kapitálové príjmy</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201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úroky z tuzemských úverov, pôžičiek, vkladov ...</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ostatné nedaňové príjmy</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128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317</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100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371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106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100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100</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granty a transfery, z toho: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15 391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17 075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16 116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transfer zo štátneho rozpočtu</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15 351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17 000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16 067</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14 000</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z prostriedkov EU</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prevod prostriedkov z predchádzajúcich rokov (FO)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3 884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3 771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1 076</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4 830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4 809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5 021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5 471</w:t>
            </w:r>
          </w:p>
        </w:tc>
      </w:tr>
      <w:tr>
        <w:tblPrEx>
          <w:tblW w:w="5000" w:type="pct"/>
          <w:tblCellMar>
            <w:left w:w="70" w:type="dxa"/>
            <w:right w:w="70" w:type="dxa"/>
          </w:tblCellMar>
          <w:tblLook w:val="04A0"/>
        </w:tblPrEx>
        <w:trPr>
          <w:trHeight w:val="225"/>
        </w:trPr>
        <w:tc>
          <w:tcPr>
            <w:tcW w:w="22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E03ADA" w:rsidP="00FA46D7">
            <w:pPr>
              <w:bidi w:val="0"/>
              <w:rPr>
                <w:rFonts w:ascii="Times New Roman" w:hAnsi="Times New Roman"/>
                <w:b/>
                <w:bCs/>
                <w:sz w:val="16"/>
                <w:szCs w:val="16"/>
              </w:rPr>
            </w:pPr>
            <w:r w:rsidRPr="00E03ADA">
              <w:rPr>
                <w:rFonts w:ascii="Times New Roman" w:hAnsi="Times New Roman"/>
                <w:b/>
                <w:bCs/>
                <w:sz w:val="16"/>
                <w:szCs w:val="16"/>
              </w:rPr>
              <w:t>Výdavky RTVS spolu</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101 822</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101 163</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99 072</w:t>
            </w:r>
          </w:p>
        </w:tc>
        <w:tc>
          <w:tcPr>
            <w:tcW w:w="41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98 635</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97 852</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97 796</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97 745</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bežné výdavky, z toho: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97 886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98 131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95 349</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91 412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93 609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95 122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95 863</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 xml:space="preserve">mzdy </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20 258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20 394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19 543</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19 182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17 485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18 126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18 667</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odvody</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6 982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7 074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6 988</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6 903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6 268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6 523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6 714</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tovary a služby</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64 911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66 370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64 487</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60 323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65 511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66 200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66 200</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bežné transfery, z toho: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5 735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4 290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4 331</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4 996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4 341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4 272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4 282</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480" w:firstLineChars="300"/>
              <w:rPr>
                <w:rFonts w:ascii="Times New Roman" w:hAnsi="Times New Roman"/>
                <w:sz w:val="16"/>
                <w:szCs w:val="16"/>
              </w:rPr>
            </w:pPr>
            <w:r w:rsidRPr="00E03ADA">
              <w:rPr>
                <w:rFonts w:ascii="Times New Roman" w:hAnsi="Times New Roman"/>
                <w:sz w:val="16"/>
                <w:szCs w:val="16"/>
              </w:rPr>
              <w:t>ostatným subjektom VS (RTVS, s.r.o.)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3 679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3 609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3 609</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3 609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3 661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3 671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3 681</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ind w:firstLine="480" w:firstLineChars="300"/>
              <w:rPr>
                <w:rFonts w:ascii="Times New Roman" w:hAnsi="Times New Roman"/>
                <w:sz w:val="16"/>
                <w:szCs w:val="16"/>
              </w:rPr>
            </w:pPr>
            <w:r w:rsidRPr="00E03ADA">
              <w:rPr>
                <w:rFonts w:ascii="Times New Roman" w:hAnsi="Times New Roman"/>
                <w:sz w:val="16"/>
                <w:szCs w:val="16"/>
              </w:rPr>
              <w:t>ostatným subjektom VS (AVF)</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251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275</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182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185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185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185</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kapitálové výdavky</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3 643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2 777</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3 323</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6 760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3 775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2 239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1 482</w:t>
            </w:r>
          </w:p>
        </w:tc>
      </w:tr>
      <w:tr>
        <w:tblPrEx>
          <w:tblW w:w="5000" w:type="pct"/>
          <w:tblCellMar>
            <w:left w:w="70" w:type="dxa"/>
            <w:right w:w="70" w:type="dxa"/>
          </w:tblCellMar>
          <w:tblLook w:val="04A0"/>
        </w:tblPrEx>
        <w:trPr>
          <w:trHeight w:val="225"/>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vklad do základného imania (FO)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293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255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400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366624">
            <w:pPr>
              <w:bidi w:val="0"/>
              <w:jc w:val="right"/>
              <w:rPr>
                <w:rFonts w:ascii="Times New Roman" w:hAnsi="Times New Roman"/>
                <w:sz w:val="16"/>
                <w:szCs w:val="16"/>
              </w:rPr>
            </w:pPr>
            <w:r w:rsidRPr="00E03ADA">
              <w:rPr>
                <w:rFonts w:ascii="Times New Roman" w:hAnsi="Times New Roman"/>
                <w:sz w:val="16"/>
                <w:szCs w:val="16"/>
              </w:rPr>
              <w:t>46</w:t>
            </w:r>
            <w:r w:rsidR="00366624">
              <w:rPr>
                <w:rFonts w:ascii="Times New Roman" w:hAnsi="Times New Roman"/>
                <w:sz w:val="16"/>
                <w:szCs w:val="16"/>
              </w:rPr>
              <w:t>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468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436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400</w:t>
            </w:r>
          </w:p>
        </w:tc>
      </w:tr>
      <w:tr>
        <w:tblPrEx>
          <w:tblW w:w="5000" w:type="pct"/>
          <w:tblCellMar>
            <w:left w:w="70" w:type="dxa"/>
            <w:right w:w="70" w:type="dxa"/>
          </w:tblCellMar>
          <w:tblLook w:val="04A0"/>
        </w:tblPrEx>
        <w:trPr>
          <w:trHeight w:val="225"/>
        </w:trPr>
        <w:tc>
          <w:tcPr>
            <w:tcW w:w="22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E03ADA" w:rsidP="00FA46D7">
            <w:pPr>
              <w:bidi w:val="0"/>
              <w:rPr>
                <w:rFonts w:ascii="Times New Roman" w:hAnsi="Times New Roman"/>
                <w:b/>
                <w:bCs/>
                <w:sz w:val="16"/>
                <w:szCs w:val="16"/>
              </w:rPr>
            </w:pPr>
            <w:r w:rsidRPr="00E03ADA">
              <w:rPr>
                <w:rFonts w:ascii="Times New Roman" w:hAnsi="Times New Roman"/>
                <w:b/>
                <w:bCs/>
                <w:sz w:val="16"/>
                <w:szCs w:val="16"/>
              </w:rPr>
              <w:t>Celková bilancia RTVS</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3 771</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4 830</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0</w:t>
            </w:r>
          </w:p>
        </w:tc>
        <w:tc>
          <w:tcPr>
            <w:tcW w:w="41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4 809</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5 021</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5 471</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116B5F">
            <w:pPr>
              <w:bidi w:val="0"/>
              <w:jc w:val="right"/>
              <w:rPr>
                <w:rFonts w:ascii="Times New Roman" w:hAnsi="Times New Roman"/>
                <w:b/>
                <w:bCs/>
                <w:sz w:val="16"/>
                <w:szCs w:val="16"/>
              </w:rPr>
            </w:pPr>
            <w:r w:rsidRPr="00E03ADA">
              <w:rPr>
                <w:rFonts w:ascii="Times New Roman" w:hAnsi="Times New Roman"/>
                <w:b/>
                <w:bCs/>
                <w:sz w:val="16"/>
                <w:szCs w:val="16"/>
              </w:rPr>
              <w:t>6 18</w:t>
            </w:r>
            <w:r w:rsidR="00116B5F">
              <w:rPr>
                <w:rFonts w:ascii="Times New Roman" w:hAnsi="Times New Roman"/>
                <w:b/>
                <w:bCs/>
                <w:sz w:val="16"/>
                <w:szCs w:val="16"/>
              </w:rPr>
              <w:t>7</w:t>
            </w:r>
          </w:p>
        </w:tc>
      </w:tr>
      <w:tr>
        <w:tblPrEx>
          <w:tblW w:w="5000" w:type="pct"/>
          <w:tblCellMar>
            <w:left w:w="70" w:type="dxa"/>
            <w:right w:w="70" w:type="dxa"/>
          </w:tblCellMar>
          <w:tblLook w:val="04A0"/>
        </w:tblPrEx>
        <w:trPr>
          <w:trHeight w:val="240"/>
        </w:trPr>
        <w:tc>
          <w:tcPr>
            <w:tcW w:w="2299" w:type="pct"/>
            <w:tcBorders>
              <w:top w:val="nil"/>
              <w:left w:val="single" w:sz="4" w:space="0" w:color="auto"/>
              <w:bottom w:val="single" w:sz="4" w:space="0" w:color="auto"/>
              <w:right w:val="single" w:sz="4" w:space="0" w:color="auto"/>
            </w:tcBorders>
            <w:noWrap/>
            <w:textDirection w:val="lrTb"/>
            <w:vAlign w:val="center"/>
            <w:hideMark/>
          </w:tcPr>
          <w:p w:rsidR="00FA46D7" w:rsidRPr="00E03ADA" w:rsidP="00FA46D7">
            <w:pPr>
              <w:bidi w:val="0"/>
              <w:rPr>
                <w:rFonts w:ascii="Times New Roman" w:hAnsi="Times New Roman"/>
                <w:sz w:val="16"/>
                <w:szCs w:val="16"/>
              </w:rPr>
            </w:pPr>
            <w:r w:rsidRPr="00E03ADA">
              <w:rPr>
                <w:rFonts w:ascii="Times New Roman" w:hAnsi="Times New Roman"/>
                <w:sz w:val="16"/>
                <w:szCs w:val="16"/>
              </w:rPr>
              <w:t>▪ vylúčenie finančných operácií, v tom:</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-3 591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-3 516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-676</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366624">
            <w:pPr>
              <w:bidi w:val="0"/>
              <w:jc w:val="right"/>
              <w:rPr>
                <w:rFonts w:ascii="Times New Roman" w:hAnsi="Times New Roman"/>
                <w:sz w:val="16"/>
                <w:szCs w:val="16"/>
              </w:rPr>
            </w:pPr>
            <w:r w:rsidRPr="00E03ADA">
              <w:rPr>
                <w:rFonts w:ascii="Times New Roman" w:hAnsi="Times New Roman"/>
                <w:sz w:val="16"/>
                <w:szCs w:val="16"/>
              </w:rPr>
              <w:t>-4 36</w:t>
            </w:r>
            <w:r w:rsidR="00366624">
              <w:rPr>
                <w:rFonts w:ascii="Times New Roman" w:hAnsi="Times New Roman"/>
                <w:sz w:val="16"/>
                <w:szCs w:val="16"/>
              </w:rPr>
              <w:t>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-4 341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-4 585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-5 071</w:t>
            </w:r>
          </w:p>
        </w:tc>
      </w:tr>
      <w:tr>
        <w:tblPrEx>
          <w:tblW w:w="5000" w:type="pct"/>
          <w:tblCellMar>
            <w:left w:w="70" w:type="dxa"/>
            <w:right w:w="70" w:type="dxa"/>
          </w:tblCellMar>
          <w:tblLook w:val="04A0"/>
        </w:tblPrEx>
        <w:trPr>
          <w:trHeight w:val="240"/>
        </w:trPr>
        <w:tc>
          <w:tcPr>
            <w:tcW w:w="2299" w:type="pct"/>
            <w:tcBorders>
              <w:top w:val="nil"/>
              <w:left w:val="single" w:sz="4" w:space="0" w:color="auto"/>
              <w:bottom w:val="single" w:sz="4" w:space="0" w:color="auto"/>
              <w:right w:val="single" w:sz="4" w:space="0" w:color="auto"/>
            </w:tcBorders>
            <w:noWrap/>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vylúčenie príjmových FO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-3 884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-3 771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-1 076</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-4 830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-4 809</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-5 021</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-5 471</w:t>
            </w:r>
          </w:p>
        </w:tc>
      </w:tr>
      <w:tr>
        <w:tblPrEx>
          <w:tblW w:w="5000" w:type="pct"/>
          <w:tblCellMar>
            <w:left w:w="70" w:type="dxa"/>
            <w:right w:w="70" w:type="dxa"/>
          </w:tblCellMar>
          <w:tblLook w:val="04A0"/>
        </w:tblPrEx>
        <w:trPr>
          <w:trHeight w:val="240"/>
        </w:trPr>
        <w:tc>
          <w:tcPr>
            <w:tcW w:w="2299" w:type="pct"/>
            <w:tcBorders>
              <w:top w:val="nil"/>
              <w:left w:val="single" w:sz="4" w:space="0" w:color="auto"/>
              <w:bottom w:val="single" w:sz="4" w:space="0" w:color="auto"/>
              <w:right w:val="single" w:sz="4" w:space="0" w:color="auto"/>
            </w:tcBorders>
            <w:noWrap/>
            <w:textDirection w:val="lrTb"/>
            <w:vAlign w:val="center"/>
            <w:hideMark/>
          </w:tcPr>
          <w:p w:rsidR="00FA46D7" w:rsidRPr="00E03ADA" w:rsidP="00FA46D7">
            <w:pPr>
              <w:bidi w:val="0"/>
              <w:ind w:firstLine="320" w:firstLineChars="200"/>
              <w:rPr>
                <w:rFonts w:ascii="Times New Roman" w:hAnsi="Times New Roman"/>
                <w:sz w:val="16"/>
                <w:szCs w:val="16"/>
              </w:rPr>
            </w:pPr>
            <w:r w:rsidRPr="00E03ADA">
              <w:rPr>
                <w:rFonts w:ascii="Times New Roman" w:hAnsi="Times New Roman"/>
                <w:sz w:val="16"/>
                <w:szCs w:val="16"/>
              </w:rPr>
              <w:t>vylúčenie výdavkových FO</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293</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255</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400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366624">
            <w:pPr>
              <w:bidi w:val="0"/>
              <w:jc w:val="right"/>
              <w:rPr>
                <w:rFonts w:ascii="Times New Roman" w:hAnsi="Times New Roman"/>
                <w:sz w:val="16"/>
                <w:szCs w:val="16"/>
              </w:rPr>
            </w:pPr>
            <w:r w:rsidRPr="00E03ADA">
              <w:rPr>
                <w:rFonts w:ascii="Times New Roman" w:hAnsi="Times New Roman"/>
                <w:sz w:val="16"/>
                <w:szCs w:val="16"/>
              </w:rPr>
              <w:t>46</w:t>
            </w:r>
            <w:r w:rsidR="00366624">
              <w:rPr>
                <w:rFonts w:ascii="Times New Roman" w:hAnsi="Times New Roman"/>
                <w:sz w:val="16"/>
                <w:szCs w:val="16"/>
              </w:rPr>
              <w:t>4</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468</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436</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sz w:val="16"/>
                <w:szCs w:val="16"/>
              </w:rPr>
            </w:pPr>
            <w:r w:rsidRPr="00E03ADA">
              <w:rPr>
                <w:rFonts w:ascii="Times New Roman" w:hAnsi="Times New Roman"/>
                <w:sz w:val="16"/>
                <w:szCs w:val="16"/>
              </w:rPr>
              <w:t>400</w:t>
            </w:r>
          </w:p>
        </w:tc>
      </w:tr>
      <w:tr>
        <w:tblPrEx>
          <w:tblW w:w="5000" w:type="pct"/>
          <w:tblCellMar>
            <w:left w:w="70" w:type="dxa"/>
            <w:right w:w="70" w:type="dxa"/>
          </w:tblCellMar>
          <w:tblLook w:val="04A0"/>
        </w:tblPrEx>
        <w:trPr>
          <w:trHeight w:val="240"/>
        </w:trPr>
        <w:tc>
          <w:tcPr>
            <w:tcW w:w="2299" w:type="pct"/>
            <w:tcBorders>
              <w:top w:val="nil"/>
              <w:left w:val="single" w:sz="4" w:space="0" w:color="auto"/>
              <w:bottom w:val="single" w:sz="4" w:space="0" w:color="auto"/>
              <w:right w:val="single" w:sz="4" w:space="0" w:color="auto"/>
            </w:tcBorders>
            <w:textDirection w:val="lrTb"/>
            <w:vAlign w:val="center"/>
            <w:hideMark/>
          </w:tcPr>
          <w:p w:rsidR="00FA46D7" w:rsidRPr="00E03ADA" w:rsidP="00FA46D7">
            <w:pPr>
              <w:bidi w:val="0"/>
              <w:rPr>
                <w:rFonts w:ascii="Times New Roman" w:hAnsi="Times New Roman"/>
                <w:b/>
                <w:bCs/>
                <w:sz w:val="16"/>
                <w:szCs w:val="16"/>
              </w:rPr>
            </w:pPr>
            <w:r w:rsidRPr="00E03ADA">
              <w:rPr>
                <w:rFonts w:ascii="Times New Roman" w:hAnsi="Times New Roman"/>
                <w:b/>
                <w:bCs/>
                <w:sz w:val="16"/>
                <w:szCs w:val="16"/>
              </w:rPr>
              <w:t>ostatné úpravy</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110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-15 382</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0</w:t>
            </w:r>
          </w:p>
        </w:tc>
        <w:tc>
          <w:tcPr>
            <w:tcW w:w="41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0</w:t>
            </w:r>
          </w:p>
        </w:tc>
        <w:tc>
          <w:tcPr>
            <w:tcW w:w="382" w:type="pct"/>
            <w:tcBorders>
              <w:top w:val="nil"/>
              <w:left w:val="nil"/>
              <w:bottom w:val="single" w:sz="4" w:space="0" w:color="auto"/>
              <w:right w:val="single" w:sz="4" w:space="0" w:color="auto"/>
            </w:tcBorders>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0</w:t>
            </w:r>
          </w:p>
        </w:tc>
      </w:tr>
      <w:tr>
        <w:tblPrEx>
          <w:tblW w:w="5000" w:type="pct"/>
          <w:tblCellMar>
            <w:left w:w="70" w:type="dxa"/>
            <w:right w:w="70" w:type="dxa"/>
          </w:tblCellMar>
          <w:tblLook w:val="04A0"/>
        </w:tblPrEx>
        <w:trPr>
          <w:trHeight w:val="240"/>
        </w:trPr>
        <w:tc>
          <w:tcPr>
            <w:tcW w:w="22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E03ADA" w:rsidP="00FA46D7">
            <w:pPr>
              <w:bidi w:val="0"/>
              <w:rPr>
                <w:rFonts w:ascii="Times New Roman" w:hAnsi="Times New Roman"/>
                <w:b/>
                <w:bCs/>
                <w:sz w:val="16"/>
                <w:szCs w:val="16"/>
              </w:rPr>
            </w:pPr>
            <w:r w:rsidRPr="00E03ADA">
              <w:rPr>
                <w:rFonts w:ascii="Times New Roman" w:hAnsi="Times New Roman"/>
                <w:b/>
                <w:bCs/>
                <w:sz w:val="16"/>
                <w:szCs w:val="16"/>
              </w:rPr>
              <w:t>Prebytok (+) /schodok (-) RTVS (ESA 95)</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290</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-14 068</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-676</w:t>
            </w:r>
          </w:p>
        </w:tc>
        <w:tc>
          <w:tcPr>
            <w:tcW w:w="41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443</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680</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886</w:t>
            </w:r>
          </w:p>
        </w:tc>
        <w:tc>
          <w:tcPr>
            <w:tcW w:w="38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E03ADA" w:rsidP="00FA46D7">
            <w:pPr>
              <w:bidi w:val="0"/>
              <w:jc w:val="right"/>
              <w:rPr>
                <w:rFonts w:ascii="Times New Roman" w:hAnsi="Times New Roman"/>
                <w:b/>
                <w:bCs/>
                <w:sz w:val="16"/>
                <w:szCs w:val="16"/>
              </w:rPr>
            </w:pPr>
            <w:r w:rsidRPr="00E03ADA">
              <w:rPr>
                <w:rFonts w:ascii="Times New Roman" w:hAnsi="Times New Roman"/>
                <w:b/>
                <w:bCs/>
                <w:sz w:val="16"/>
                <w:szCs w:val="16"/>
              </w:rPr>
              <w:t>1 116</w:t>
            </w:r>
          </w:p>
        </w:tc>
      </w:tr>
    </w:tbl>
    <w:p w:rsidR="00FA46D7" w:rsidRPr="00F27ABF" w:rsidP="00FA46D7">
      <w:pPr>
        <w:bidi w:val="0"/>
        <w:jc w:val="both"/>
        <w:rPr>
          <w:rFonts w:ascii="Times New Roman" w:eastAsia="Calibri" w:hAnsi="Times New Roman"/>
          <w:color w:val="000000"/>
          <w:sz w:val="22"/>
          <w:szCs w:val="22"/>
        </w:rPr>
      </w:pPr>
    </w:p>
    <w:p w:rsidR="00FA46D7" w:rsidRPr="00EB33CC" w:rsidP="00FA46D7">
      <w:pPr>
        <w:bidi w:val="0"/>
        <w:ind w:firstLine="708"/>
        <w:jc w:val="both"/>
        <w:rPr>
          <w:rFonts w:ascii="Times New Roman" w:eastAsia="Calibri" w:hAnsi="Times New Roman" w:hint="default"/>
          <w:color w:val="000000"/>
        </w:rPr>
      </w:pPr>
      <w:r w:rsidRPr="00EB33CC">
        <w:rPr>
          <w:rFonts w:ascii="Times New Roman" w:eastAsia="Calibri" w:hAnsi="Times New Roman" w:hint="default"/>
          <w:color w:val="000000"/>
        </w:rPr>
        <w:t>Prí</w:t>
      </w:r>
      <w:r w:rsidRPr="00EB33CC">
        <w:rPr>
          <w:rFonts w:ascii="Times New Roman" w:eastAsia="Calibri" w:hAnsi="Times New Roman" w:hint="default"/>
          <w:color w:val="000000"/>
        </w:rPr>
        <w:t>jmy RTVS sa v roku 2012 navrhujú</w:t>
      </w:r>
      <w:r w:rsidRPr="00EB33CC">
        <w:rPr>
          <w:rFonts w:ascii="Times New Roman" w:eastAsia="Calibri" w:hAnsi="Times New Roman" w:hint="default"/>
          <w:color w:val="000000"/>
        </w:rPr>
        <w:t xml:space="preserve"> v celkovej výš</w:t>
      </w:r>
      <w:r w:rsidRPr="00EB33CC">
        <w:rPr>
          <w:rFonts w:ascii="Times New Roman" w:eastAsia="Calibri" w:hAnsi="Times New Roman" w:hint="default"/>
          <w:color w:val="000000"/>
        </w:rPr>
        <w:t xml:space="preserve">ke </w:t>
      </w:r>
      <w:r>
        <w:rPr>
          <w:rFonts w:ascii="Times New Roman" w:eastAsia="Calibri" w:hAnsi="Times New Roman"/>
          <w:color w:val="000000"/>
        </w:rPr>
        <w:t>102,9</w:t>
      </w:r>
      <w:r w:rsidRPr="00EB33CC">
        <w:rPr>
          <w:rFonts w:ascii="Times New Roman" w:eastAsia="Calibri" w:hAnsi="Times New Roman" w:hint="default"/>
          <w:color w:val="000000"/>
        </w:rPr>
        <w:t xml:space="preserve"> mil. eur, č</w:t>
      </w:r>
      <w:r w:rsidRPr="00EB33CC">
        <w:rPr>
          <w:rFonts w:ascii="Times New Roman" w:eastAsia="Calibri" w:hAnsi="Times New Roman" w:hint="default"/>
          <w:color w:val="000000"/>
        </w:rPr>
        <w:t>o oproti schvá</w:t>
      </w:r>
      <w:r w:rsidRPr="00EB33CC">
        <w:rPr>
          <w:rFonts w:ascii="Times New Roman" w:eastAsia="Calibri" w:hAnsi="Times New Roman" w:hint="default"/>
          <w:color w:val="000000"/>
        </w:rPr>
        <w:t>lené</w:t>
      </w:r>
      <w:r w:rsidRPr="00EB33CC">
        <w:rPr>
          <w:rFonts w:ascii="Times New Roman" w:eastAsia="Calibri" w:hAnsi="Times New Roman" w:hint="default"/>
          <w:color w:val="000000"/>
        </w:rPr>
        <w:t>mu rozpoč</w:t>
      </w:r>
      <w:r w:rsidRPr="00EB33CC">
        <w:rPr>
          <w:rFonts w:ascii="Times New Roman" w:eastAsia="Calibri" w:hAnsi="Times New Roman" w:hint="default"/>
          <w:color w:val="000000"/>
        </w:rPr>
        <w:t>tu pre</w:t>
      </w:r>
      <w:r w:rsidRPr="00EB33CC">
        <w:rPr>
          <w:rFonts w:ascii="Times New Roman" w:eastAsia="Calibri" w:hAnsi="Times New Roman" w:hint="default"/>
          <w:color w:val="000000"/>
        </w:rPr>
        <w:t xml:space="preserve"> rok 2011 predstavuje rast o</w:t>
      </w:r>
      <w:r>
        <w:rPr>
          <w:rFonts w:ascii="Times New Roman" w:eastAsia="Calibri" w:hAnsi="Times New Roman"/>
          <w:color w:val="000000"/>
        </w:rPr>
        <w:t> </w:t>
      </w:r>
      <w:r>
        <w:rPr>
          <w:rFonts w:ascii="Times New Roman" w:eastAsia="Calibri" w:hAnsi="Times New Roman"/>
          <w:color w:val="000000"/>
        </w:rPr>
        <w:t>3,84</w:t>
      </w:r>
      <w:r w:rsidRPr="00EB33CC">
        <w:rPr>
          <w:rFonts w:ascii="Times New Roman" w:eastAsia="Calibri" w:hAnsi="Times New Roman" w:hint="default"/>
          <w:color w:val="000000"/>
        </w:rPr>
        <w:t xml:space="preserve"> %. Vyšš</w:t>
      </w:r>
      <w:r w:rsidRPr="00EB33CC">
        <w:rPr>
          <w:rFonts w:ascii="Times New Roman" w:eastAsia="Calibri" w:hAnsi="Times New Roman" w:hint="default"/>
          <w:color w:val="000000"/>
        </w:rPr>
        <w:t>ie plnenie sa predpokladá</w:t>
      </w:r>
      <w:r w:rsidRPr="00EB33CC">
        <w:rPr>
          <w:rFonts w:ascii="Times New Roman" w:eastAsia="Calibri" w:hAnsi="Times New Roman" w:hint="default"/>
          <w:color w:val="000000"/>
        </w:rPr>
        <w:t xml:space="preserve"> najmä</w:t>
      </w:r>
      <w:r w:rsidRPr="00EB33CC">
        <w:rPr>
          <w:rFonts w:ascii="Times New Roman" w:eastAsia="Calibri" w:hAnsi="Times New Roman" w:hint="default"/>
          <w:color w:val="000000"/>
        </w:rPr>
        <w:t xml:space="preserve"> v </w:t>
      </w:r>
      <w:r w:rsidRPr="00EB33CC">
        <w:rPr>
          <w:rFonts w:ascii="Times New Roman" w:eastAsia="Calibri" w:hAnsi="Times New Roman" w:hint="default"/>
          <w:color w:val="000000"/>
        </w:rPr>
        <w:t>oblasti daň</w:t>
      </w:r>
      <w:r w:rsidRPr="00EB33CC">
        <w:rPr>
          <w:rFonts w:ascii="Times New Roman" w:eastAsia="Calibri" w:hAnsi="Times New Roman" w:hint="default"/>
          <w:color w:val="000000"/>
        </w:rPr>
        <w:t>ový</w:t>
      </w:r>
      <w:r w:rsidRPr="00EB33CC">
        <w:rPr>
          <w:rFonts w:ascii="Times New Roman" w:eastAsia="Calibri" w:hAnsi="Times New Roman" w:hint="default"/>
          <w:color w:val="000000"/>
        </w:rPr>
        <w:t>ch prí</w:t>
      </w:r>
      <w:r w:rsidRPr="00EB33CC">
        <w:rPr>
          <w:rFonts w:ascii="Times New Roman" w:eastAsia="Calibri" w:hAnsi="Times New Roman" w:hint="default"/>
          <w:color w:val="000000"/>
        </w:rPr>
        <w:t>jmov, ktoré</w:t>
      </w:r>
      <w:r w:rsidRPr="00EB33CC">
        <w:rPr>
          <w:rFonts w:ascii="Times New Roman" w:eastAsia="Calibri" w:hAnsi="Times New Roman" w:hint="default"/>
          <w:color w:val="000000"/>
        </w:rPr>
        <w:t xml:space="preserve"> tvoria poplatky za služ</w:t>
      </w:r>
      <w:r w:rsidRPr="00EB33CC">
        <w:rPr>
          <w:rFonts w:ascii="Times New Roman" w:eastAsia="Calibri" w:hAnsi="Times New Roman" w:hint="default"/>
          <w:color w:val="000000"/>
        </w:rPr>
        <w:t>bu verejnosti podľ</w:t>
      </w:r>
      <w:r w:rsidRPr="00EB33CC">
        <w:rPr>
          <w:rFonts w:ascii="Times New Roman" w:eastAsia="Calibri" w:hAnsi="Times New Roman" w:hint="default"/>
          <w:color w:val="000000"/>
        </w:rPr>
        <w:t>a zá</w:t>
      </w:r>
      <w:r w:rsidRPr="00EB33CC">
        <w:rPr>
          <w:rFonts w:ascii="Times New Roman" w:eastAsia="Calibri" w:hAnsi="Times New Roman" w:hint="default"/>
          <w:color w:val="000000"/>
        </w:rPr>
        <w:t>kona  č</w:t>
      </w:r>
      <w:r w:rsidRPr="00EB33CC">
        <w:rPr>
          <w:rFonts w:ascii="Times New Roman" w:eastAsia="Calibri" w:hAnsi="Times New Roman" w:hint="default"/>
          <w:color w:val="000000"/>
        </w:rPr>
        <w:t>.68/2008 Z.z. o </w:t>
      </w:r>
      <w:r w:rsidRPr="00EB33CC">
        <w:rPr>
          <w:rFonts w:ascii="Times New Roman" w:eastAsia="Calibri" w:hAnsi="Times New Roman" w:hint="default"/>
          <w:color w:val="000000"/>
        </w:rPr>
        <w:t>ú</w:t>
      </w:r>
      <w:r w:rsidRPr="00EB33CC">
        <w:rPr>
          <w:rFonts w:ascii="Times New Roman" w:eastAsia="Calibri" w:hAnsi="Times New Roman" w:hint="default"/>
          <w:color w:val="000000"/>
        </w:rPr>
        <w:t>hrade za služ</w:t>
      </w:r>
      <w:r w:rsidRPr="00EB33CC">
        <w:rPr>
          <w:rFonts w:ascii="Times New Roman" w:eastAsia="Calibri" w:hAnsi="Times New Roman" w:hint="default"/>
          <w:color w:val="000000"/>
        </w:rPr>
        <w:t>by verejnosti a o zmene a </w:t>
      </w:r>
      <w:r w:rsidRPr="00EB33CC">
        <w:rPr>
          <w:rFonts w:ascii="Times New Roman" w:eastAsia="Calibri" w:hAnsi="Times New Roman" w:hint="default"/>
          <w:color w:val="000000"/>
        </w:rPr>
        <w:t>doplnení</w:t>
      </w:r>
      <w:r w:rsidRPr="00EB33CC">
        <w:rPr>
          <w:rFonts w:ascii="Times New Roman" w:eastAsia="Calibri" w:hAnsi="Times New Roman" w:hint="default"/>
          <w:color w:val="000000"/>
        </w:rPr>
        <w:t xml:space="preserve"> niektorý</w:t>
      </w:r>
      <w:r w:rsidRPr="00EB33CC">
        <w:rPr>
          <w:rFonts w:ascii="Times New Roman" w:eastAsia="Calibri" w:hAnsi="Times New Roman" w:hint="default"/>
          <w:color w:val="000000"/>
        </w:rPr>
        <w:t>ch zá</w:t>
      </w:r>
      <w:r w:rsidRPr="00EB33CC">
        <w:rPr>
          <w:rFonts w:ascii="Times New Roman" w:eastAsia="Calibri" w:hAnsi="Times New Roman" w:hint="default"/>
          <w:color w:val="000000"/>
        </w:rPr>
        <w:t xml:space="preserve">konov. Na rok 2012 </w:t>
      </w:r>
      <w:r w:rsidRPr="00EB33CC">
        <w:rPr>
          <w:rFonts w:ascii="Times New Roman" w:eastAsia="Calibri" w:hAnsi="Times New Roman" w:hint="default"/>
          <w:color w:val="000000"/>
        </w:rPr>
        <w:t>sa rozpoč</w:t>
      </w:r>
      <w:r w:rsidRPr="00EB33CC">
        <w:rPr>
          <w:rFonts w:ascii="Times New Roman" w:eastAsia="Calibri" w:hAnsi="Times New Roman" w:hint="default"/>
          <w:color w:val="000000"/>
        </w:rPr>
        <w:t>tujú</w:t>
      </w:r>
      <w:r w:rsidRPr="00EB33CC">
        <w:rPr>
          <w:rFonts w:ascii="Times New Roman" w:eastAsia="Calibri" w:hAnsi="Times New Roman" w:hint="default"/>
          <w:color w:val="000000"/>
        </w:rPr>
        <w:t xml:space="preserve"> poplatky za služ</w:t>
      </w:r>
      <w:r w:rsidRPr="00EB33CC">
        <w:rPr>
          <w:rFonts w:ascii="Times New Roman" w:eastAsia="Calibri" w:hAnsi="Times New Roman" w:hint="default"/>
          <w:color w:val="000000"/>
        </w:rPr>
        <w:t>bu verejnosti vo výš</w:t>
      </w:r>
      <w:r w:rsidRPr="00EB33CC">
        <w:rPr>
          <w:rFonts w:ascii="Times New Roman" w:eastAsia="Calibri" w:hAnsi="Times New Roman" w:hint="default"/>
          <w:color w:val="000000"/>
        </w:rPr>
        <w:t>ke 76,3 mil.  eur, č</w:t>
      </w:r>
      <w:r w:rsidRPr="00EB33CC">
        <w:rPr>
          <w:rFonts w:ascii="Times New Roman" w:eastAsia="Calibri" w:hAnsi="Times New Roman" w:hint="default"/>
          <w:color w:val="000000"/>
        </w:rPr>
        <w:t>o je mierne nad</w:t>
      </w:r>
      <w:r>
        <w:rPr>
          <w:rFonts w:ascii="Times New Roman" w:eastAsia="Calibri" w:hAnsi="Times New Roman" w:hint="default"/>
          <w:color w:val="000000"/>
        </w:rPr>
        <w:t xml:space="preserve"> ú</w:t>
      </w:r>
      <w:r>
        <w:rPr>
          <w:rFonts w:ascii="Times New Roman" w:eastAsia="Calibri" w:hAnsi="Times New Roman" w:hint="default"/>
          <w:color w:val="000000"/>
        </w:rPr>
        <w:t>rovň</w:t>
      </w:r>
      <w:r>
        <w:rPr>
          <w:rFonts w:ascii="Times New Roman" w:eastAsia="Calibri" w:hAnsi="Times New Roman" w:hint="default"/>
          <w:color w:val="000000"/>
        </w:rPr>
        <w:t xml:space="preserve">ou </w:t>
      </w:r>
      <w:r w:rsidRPr="00EB33CC">
        <w:rPr>
          <w:rFonts w:ascii="Times New Roman" w:eastAsia="Calibri" w:hAnsi="Times New Roman" w:hint="default"/>
          <w:color w:val="000000"/>
        </w:rPr>
        <w:t>schvá</w:t>
      </w:r>
      <w:r w:rsidRPr="00EB33CC">
        <w:rPr>
          <w:rFonts w:ascii="Times New Roman" w:eastAsia="Calibri" w:hAnsi="Times New Roman" w:hint="default"/>
          <w:color w:val="000000"/>
        </w:rPr>
        <w:t>len</w:t>
      </w:r>
      <w:r>
        <w:rPr>
          <w:rFonts w:ascii="Times New Roman" w:eastAsia="Calibri" w:hAnsi="Times New Roman" w:hint="default"/>
          <w:color w:val="000000"/>
        </w:rPr>
        <w:t>é</w:t>
      </w:r>
      <w:r>
        <w:rPr>
          <w:rFonts w:ascii="Times New Roman" w:eastAsia="Calibri" w:hAnsi="Times New Roman" w:hint="default"/>
          <w:color w:val="000000"/>
        </w:rPr>
        <w:t>ho</w:t>
      </w:r>
      <w:r w:rsidRPr="00EB33CC">
        <w:rPr>
          <w:rFonts w:ascii="Times New Roman" w:eastAsia="Calibri" w:hAnsi="Times New Roman" w:hint="default"/>
          <w:color w:val="000000"/>
        </w:rPr>
        <w:t xml:space="preserve"> rozpoč</w:t>
      </w:r>
      <w:r w:rsidRPr="00EB33CC">
        <w:rPr>
          <w:rFonts w:ascii="Times New Roman" w:eastAsia="Calibri" w:hAnsi="Times New Roman" w:hint="default"/>
          <w:color w:val="000000"/>
        </w:rPr>
        <w:t>t</w:t>
      </w:r>
      <w:r>
        <w:rPr>
          <w:rFonts w:ascii="Times New Roman" w:eastAsia="Calibri" w:hAnsi="Times New Roman"/>
          <w:color w:val="000000"/>
        </w:rPr>
        <w:t>u</w:t>
      </w:r>
      <w:r w:rsidRPr="00EB33CC">
        <w:rPr>
          <w:rFonts w:ascii="Times New Roman" w:eastAsia="Calibri" w:hAnsi="Times New Roman" w:hint="default"/>
          <w:color w:val="000000"/>
        </w:rPr>
        <w:t xml:space="preserve"> roku 2011. Kvantifiká</w:t>
      </w:r>
      <w:r w:rsidRPr="00EB33CC">
        <w:rPr>
          <w:rFonts w:ascii="Times New Roman" w:eastAsia="Calibri" w:hAnsi="Times New Roman" w:hint="default"/>
          <w:color w:val="000000"/>
        </w:rPr>
        <w:t>cia zohľ</w:t>
      </w:r>
      <w:r w:rsidRPr="00EB33CC">
        <w:rPr>
          <w:rFonts w:ascii="Times New Roman" w:eastAsia="Calibri" w:hAnsi="Times New Roman" w:hint="default"/>
          <w:color w:val="000000"/>
        </w:rPr>
        <w:t>adň</w:t>
      </w:r>
      <w:r w:rsidRPr="00EB33CC">
        <w:rPr>
          <w:rFonts w:ascii="Times New Roman" w:eastAsia="Calibri" w:hAnsi="Times New Roman" w:hint="default"/>
          <w:color w:val="000000"/>
        </w:rPr>
        <w:t>uje zlepš</w:t>
      </w:r>
      <w:r w:rsidRPr="00EB33CC">
        <w:rPr>
          <w:rFonts w:ascii="Times New Roman" w:eastAsia="Calibri" w:hAnsi="Times New Roman" w:hint="default"/>
          <w:color w:val="000000"/>
        </w:rPr>
        <w:t>enie platobnej schopnosti povinný</w:t>
      </w:r>
      <w:r w:rsidRPr="00EB33CC">
        <w:rPr>
          <w:rFonts w:ascii="Times New Roman" w:eastAsia="Calibri" w:hAnsi="Times New Roman" w:hint="default"/>
          <w:color w:val="000000"/>
        </w:rPr>
        <w:t>ch platiteľ</w:t>
      </w:r>
      <w:r w:rsidRPr="00EB33CC">
        <w:rPr>
          <w:rFonts w:ascii="Times New Roman" w:eastAsia="Calibri" w:hAnsi="Times New Roman" w:hint="default"/>
          <w:color w:val="000000"/>
        </w:rPr>
        <w:t xml:space="preserve">ov. </w:t>
      </w:r>
    </w:p>
    <w:p w:rsidR="00FA46D7" w:rsidRPr="00EB33CC" w:rsidP="00FA46D7">
      <w:pPr>
        <w:bidi w:val="0"/>
        <w:ind w:firstLine="708"/>
        <w:jc w:val="both"/>
        <w:rPr>
          <w:rFonts w:ascii="Times New Roman" w:eastAsia="Calibri" w:hAnsi="Times New Roman" w:hint="default"/>
          <w:color w:val="000000"/>
        </w:rPr>
      </w:pPr>
    </w:p>
    <w:p w:rsidR="00FA46D7" w:rsidRPr="00EB33CC" w:rsidP="00FA46D7">
      <w:pPr>
        <w:bidi w:val="0"/>
        <w:ind w:firstLine="708"/>
        <w:jc w:val="both"/>
        <w:rPr>
          <w:rFonts w:ascii="Times New Roman" w:eastAsia="Calibri" w:hAnsi="Times New Roman" w:hint="default"/>
          <w:color w:val="000000"/>
        </w:rPr>
      </w:pPr>
      <w:r w:rsidRPr="00EB33CC">
        <w:rPr>
          <w:rFonts w:ascii="Times New Roman" w:eastAsia="Calibri" w:hAnsi="Times New Roman" w:hint="default"/>
          <w:color w:val="000000"/>
        </w:rPr>
        <w:t>V </w:t>
      </w:r>
      <w:r w:rsidRPr="00EB33CC">
        <w:rPr>
          <w:rFonts w:ascii="Times New Roman" w:eastAsia="Calibri" w:hAnsi="Times New Roman" w:hint="default"/>
          <w:color w:val="000000"/>
        </w:rPr>
        <w:t>rá</w:t>
      </w:r>
      <w:r w:rsidRPr="00EB33CC">
        <w:rPr>
          <w:rFonts w:ascii="Times New Roman" w:eastAsia="Calibri" w:hAnsi="Times New Roman" w:hint="default"/>
          <w:color w:val="000000"/>
        </w:rPr>
        <w:t>mci nedaň</w:t>
      </w:r>
      <w:r w:rsidRPr="00EB33CC">
        <w:rPr>
          <w:rFonts w:ascii="Times New Roman" w:eastAsia="Calibri" w:hAnsi="Times New Roman" w:hint="default"/>
          <w:color w:val="000000"/>
        </w:rPr>
        <w:t>ový</w:t>
      </w:r>
      <w:r w:rsidRPr="00EB33CC">
        <w:rPr>
          <w:rFonts w:ascii="Times New Roman" w:eastAsia="Calibri" w:hAnsi="Times New Roman" w:hint="default"/>
          <w:color w:val="000000"/>
        </w:rPr>
        <w:t>ch prí</w:t>
      </w:r>
      <w:r w:rsidRPr="00EB33CC">
        <w:rPr>
          <w:rFonts w:ascii="Times New Roman" w:eastAsia="Calibri" w:hAnsi="Times New Roman" w:hint="default"/>
          <w:color w:val="000000"/>
        </w:rPr>
        <w:t>jmov objemovo najvyšš</w:t>
      </w:r>
      <w:r w:rsidRPr="00EB33CC">
        <w:rPr>
          <w:rFonts w:ascii="Times New Roman" w:eastAsia="Calibri" w:hAnsi="Times New Roman" w:hint="default"/>
          <w:color w:val="000000"/>
        </w:rPr>
        <w:t>iu polo</w:t>
      </w:r>
      <w:r w:rsidRPr="00EB33CC">
        <w:rPr>
          <w:rFonts w:ascii="Times New Roman" w:eastAsia="Calibri" w:hAnsi="Times New Roman" w:hint="default"/>
          <w:color w:val="000000"/>
        </w:rPr>
        <w:t>ž</w:t>
      </w:r>
      <w:r w:rsidRPr="00EB33CC">
        <w:rPr>
          <w:rFonts w:ascii="Times New Roman" w:eastAsia="Calibri" w:hAnsi="Times New Roman" w:hint="default"/>
          <w:color w:val="000000"/>
        </w:rPr>
        <w:t>ku tvoria prí</w:t>
      </w:r>
      <w:r w:rsidRPr="00EB33CC">
        <w:rPr>
          <w:rFonts w:ascii="Times New Roman" w:eastAsia="Calibri" w:hAnsi="Times New Roman" w:hint="default"/>
          <w:color w:val="000000"/>
        </w:rPr>
        <w:t>jmy z </w:t>
      </w:r>
      <w:r w:rsidRPr="00EB33CC">
        <w:rPr>
          <w:rFonts w:ascii="Times New Roman" w:eastAsia="Calibri" w:hAnsi="Times New Roman" w:hint="default"/>
          <w:color w:val="000000"/>
        </w:rPr>
        <w:t>reklamy, ktoré</w:t>
      </w:r>
      <w:r w:rsidRPr="00EB33CC">
        <w:rPr>
          <w:rFonts w:ascii="Times New Roman" w:eastAsia="Calibri" w:hAnsi="Times New Roman" w:hint="default"/>
          <w:color w:val="000000"/>
        </w:rPr>
        <w:t xml:space="preserve"> sa </w:t>
      </w:r>
      <w:r w:rsidR="002B2749">
        <w:rPr>
          <w:rFonts w:ascii="Times New Roman" w:eastAsia="Calibri" w:hAnsi="Times New Roman"/>
          <w:color w:val="000000"/>
        </w:rPr>
        <w:t>na</w:t>
      </w:r>
      <w:r w:rsidRPr="00EB33CC">
        <w:rPr>
          <w:rFonts w:ascii="Times New Roman" w:eastAsia="Calibri" w:hAnsi="Times New Roman" w:hint="default"/>
          <w:color w:val="000000"/>
        </w:rPr>
        <w:t xml:space="preserve"> rok 2012 rozpoč</w:t>
      </w:r>
      <w:r w:rsidRPr="00EB33CC">
        <w:rPr>
          <w:rFonts w:ascii="Times New Roman" w:eastAsia="Calibri" w:hAnsi="Times New Roman" w:hint="default"/>
          <w:color w:val="000000"/>
        </w:rPr>
        <w:t>tujú</w:t>
      </w:r>
      <w:r w:rsidRPr="00EB33CC">
        <w:rPr>
          <w:rFonts w:ascii="Times New Roman" w:eastAsia="Calibri" w:hAnsi="Times New Roman" w:hint="default"/>
          <w:color w:val="000000"/>
        </w:rPr>
        <w:t xml:space="preserve"> vo výš</w:t>
      </w:r>
      <w:r w:rsidRPr="00EB33CC">
        <w:rPr>
          <w:rFonts w:ascii="Times New Roman" w:eastAsia="Calibri" w:hAnsi="Times New Roman" w:hint="default"/>
          <w:color w:val="000000"/>
        </w:rPr>
        <w:t>ke 5,</w:t>
      </w:r>
      <w:r>
        <w:rPr>
          <w:rFonts w:ascii="Times New Roman" w:eastAsia="Calibri" w:hAnsi="Times New Roman"/>
          <w:color w:val="000000"/>
        </w:rPr>
        <w:t>8</w:t>
      </w:r>
      <w:r w:rsidRPr="00EB33CC">
        <w:rPr>
          <w:rFonts w:ascii="Times New Roman" w:eastAsia="Calibri" w:hAnsi="Times New Roman" w:hint="default"/>
          <w:color w:val="000000"/>
        </w:rPr>
        <w:t>9 mil. eur, rozpoč</w:t>
      </w:r>
      <w:r w:rsidRPr="00EB33CC">
        <w:rPr>
          <w:rFonts w:ascii="Times New Roman" w:eastAsia="Calibri" w:hAnsi="Times New Roman" w:hint="default"/>
          <w:color w:val="000000"/>
        </w:rPr>
        <w:t>tovaná</w:t>
      </w:r>
      <w:r w:rsidRPr="00EB33CC">
        <w:rPr>
          <w:rFonts w:ascii="Times New Roman" w:eastAsia="Calibri" w:hAnsi="Times New Roman" w:hint="default"/>
          <w:color w:val="000000"/>
        </w:rPr>
        <w:t xml:space="preserve"> ú</w:t>
      </w:r>
      <w:r w:rsidRPr="00EB33CC">
        <w:rPr>
          <w:rFonts w:ascii="Times New Roman" w:eastAsia="Calibri" w:hAnsi="Times New Roman" w:hint="default"/>
          <w:color w:val="000000"/>
        </w:rPr>
        <w:t>roveň</w:t>
      </w:r>
      <w:r w:rsidRPr="00EB33CC">
        <w:rPr>
          <w:rFonts w:ascii="Times New Roman" w:eastAsia="Calibri" w:hAnsi="Times New Roman" w:hint="default"/>
          <w:color w:val="000000"/>
        </w:rPr>
        <w:t xml:space="preserve"> zohľ</w:t>
      </w:r>
      <w:r w:rsidRPr="00EB33CC">
        <w:rPr>
          <w:rFonts w:ascii="Times New Roman" w:eastAsia="Calibri" w:hAnsi="Times New Roman" w:hint="default"/>
          <w:color w:val="000000"/>
        </w:rPr>
        <w:t>adň</w:t>
      </w:r>
      <w:r w:rsidRPr="00EB33CC">
        <w:rPr>
          <w:rFonts w:ascii="Times New Roman" w:eastAsia="Calibri" w:hAnsi="Times New Roman" w:hint="default"/>
          <w:color w:val="000000"/>
        </w:rPr>
        <w:t>uje zachovanie č</w:t>
      </w:r>
      <w:r w:rsidRPr="00EB33CC">
        <w:rPr>
          <w:rFonts w:ascii="Times New Roman" w:eastAsia="Calibri" w:hAnsi="Times New Roman" w:hint="default"/>
          <w:color w:val="000000"/>
        </w:rPr>
        <w:t>asové</w:t>
      </w:r>
      <w:r w:rsidRPr="00EB33CC">
        <w:rPr>
          <w:rFonts w:ascii="Times New Roman" w:eastAsia="Calibri" w:hAnsi="Times New Roman" w:hint="default"/>
          <w:color w:val="000000"/>
        </w:rPr>
        <w:t>ho rozsahu reklamy vo vysielaní</w:t>
      </w:r>
      <w:r w:rsidRPr="00EB33CC">
        <w:rPr>
          <w:rFonts w:ascii="Times New Roman" w:eastAsia="Calibri" w:hAnsi="Times New Roman" w:hint="default"/>
          <w:color w:val="000000"/>
        </w:rPr>
        <w:t xml:space="preserve"> vo výš</w:t>
      </w:r>
      <w:r w:rsidRPr="00EB33CC">
        <w:rPr>
          <w:rFonts w:ascii="Times New Roman" w:eastAsia="Calibri" w:hAnsi="Times New Roman" w:hint="default"/>
          <w:color w:val="000000"/>
        </w:rPr>
        <w:t>ke 1% denné</w:t>
      </w:r>
      <w:r w:rsidRPr="00EB33CC">
        <w:rPr>
          <w:rFonts w:ascii="Times New Roman" w:eastAsia="Calibri" w:hAnsi="Times New Roman" w:hint="default"/>
          <w:color w:val="000000"/>
        </w:rPr>
        <w:t>ho vysielacieho č</w:t>
      </w:r>
      <w:r w:rsidRPr="00EB33CC">
        <w:rPr>
          <w:rFonts w:ascii="Times New Roman" w:eastAsia="Calibri" w:hAnsi="Times New Roman" w:hint="default"/>
          <w:color w:val="000000"/>
        </w:rPr>
        <w:t xml:space="preserve">asu. </w:t>
      </w:r>
    </w:p>
    <w:p w:rsidR="00FA46D7" w:rsidRPr="00EB33CC" w:rsidP="00FA46D7">
      <w:pPr>
        <w:pStyle w:val="Default"/>
        <w:bidi w:val="0"/>
        <w:jc w:val="both"/>
        <w:rPr>
          <w:rFonts w:ascii="Times New Roman" w:hAnsi="Times New Roman" w:cs="Times New Roman"/>
        </w:rPr>
      </w:pPr>
    </w:p>
    <w:p w:rsidR="00FA46D7" w:rsidRPr="00EB33CC" w:rsidP="00FA46D7">
      <w:pPr>
        <w:pStyle w:val="Default"/>
        <w:bidi w:val="0"/>
        <w:ind w:firstLine="708"/>
        <w:jc w:val="both"/>
        <w:rPr>
          <w:rFonts w:ascii="Times New Roman" w:hAnsi="Times New Roman" w:cs="Times New Roman" w:hint="default"/>
        </w:rPr>
      </w:pPr>
      <w:r w:rsidRPr="00EB33CC">
        <w:rPr>
          <w:rFonts w:ascii="Times New Roman" w:hAnsi="Times New Roman" w:cs="Times New Roman" w:hint="default"/>
        </w:rPr>
        <w:t>Transfer zo š</w:t>
      </w:r>
      <w:r w:rsidRPr="00EB33CC">
        <w:rPr>
          <w:rFonts w:ascii="Times New Roman" w:hAnsi="Times New Roman" w:cs="Times New Roman" w:hint="default"/>
        </w:rPr>
        <w:t>tá</w:t>
      </w:r>
      <w:r w:rsidRPr="00EB33CC">
        <w:rPr>
          <w:rFonts w:ascii="Times New Roman" w:hAnsi="Times New Roman" w:cs="Times New Roman" w:hint="default"/>
        </w:rPr>
        <w:t>tneho rozpoč</w:t>
      </w:r>
      <w:r w:rsidRPr="00EB33CC">
        <w:rPr>
          <w:rFonts w:ascii="Times New Roman" w:hAnsi="Times New Roman" w:cs="Times New Roman" w:hint="default"/>
        </w:rPr>
        <w:t>tu sa v rá</w:t>
      </w:r>
      <w:r w:rsidRPr="00EB33CC">
        <w:rPr>
          <w:rFonts w:ascii="Times New Roman" w:hAnsi="Times New Roman" w:cs="Times New Roman" w:hint="default"/>
        </w:rPr>
        <w:t>mci schvá</w:t>
      </w:r>
      <w:r w:rsidRPr="00EB33CC">
        <w:rPr>
          <w:rFonts w:ascii="Times New Roman" w:hAnsi="Times New Roman" w:cs="Times New Roman" w:hint="default"/>
        </w:rPr>
        <w:t>lený</w:t>
      </w:r>
      <w:r w:rsidRPr="00EB33CC">
        <w:rPr>
          <w:rFonts w:ascii="Times New Roman" w:hAnsi="Times New Roman" w:cs="Times New Roman" w:hint="default"/>
        </w:rPr>
        <w:t>ch limitov Ministerstva kultú</w:t>
      </w:r>
      <w:r w:rsidRPr="00EB33CC">
        <w:rPr>
          <w:rFonts w:ascii="Times New Roman" w:hAnsi="Times New Roman" w:cs="Times New Roman" w:hint="default"/>
        </w:rPr>
        <w:t>ry SR poskytuje RTVS na zá</w:t>
      </w:r>
      <w:r w:rsidRPr="00EB33CC">
        <w:rPr>
          <w:rFonts w:ascii="Times New Roman" w:hAnsi="Times New Roman" w:cs="Times New Roman" w:hint="default"/>
        </w:rPr>
        <w:t>klade zmluvy so š</w:t>
      </w:r>
      <w:r w:rsidRPr="00EB33CC">
        <w:rPr>
          <w:rFonts w:ascii="Times New Roman" w:hAnsi="Times New Roman" w:cs="Times New Roman" w:hint="default"/>
        </w:rPr>
        <w:t>tá</w:t>
      </w:r>
      <w:r w:rsidRPr="00EB33CC">
        <w:rPr>
          <w:rFonts w:ascii="Times New Roman" w:hAnsi="Times New Roman" w:cs="Times New Roman" w:hint="default"/>
        </w:rPr>
        <w:t>tom. V roku 2012 až</w:t>
      </w:r>
      <w:r w:rsidRPr="00EB33CC">
        <w:rPr>
          <w:rFonts w:ascii="Times New Roman" w:hAnsi="Times New Roman" w:cs="Times New Roman" w:hint="default"/>
        </w:rPr>
        <w:t xml:space="preserve"> 2014 sa transfer navrhuje poskytnúť</w:t>
      </w:r>
      <w:r w:rsidRPr="00EB33CC">
        <w:rPr>
          <w:rFonts w:ascii="Times New Roman" w:hAnsi="Times New Roman" w:cs="Times New Roman" w:hint="default"/>
        </w:rPr>
        <w:t xml:space="preserve"> v sume 14,0 mil. eur, č</w:t>
      </w:r>
      <w:r w:rsidRPr="00EB33CC">
        <w:rPr>
          <w:rFonts w:ascii="Times New Roman" w:hAnsi="Times New Roman" w:cs="Times New Roman" w:hint="default"/>
        </w:rPr>
        <w:t>o zodpovedá</w:t>
      </w:r>
      <w:r w:rsidRPr="00EB33CC">
        <w:rPr>
          <w:rFonts w:ascii="Times New Roman" w:hAnsi="Times New Roman" w:cs="Times New Roman" w:hint="default"/>
        </w:rPr>
        <w:t xml:space="preserve"> schvá</w:t>
      </w:r>
      <w:r w:rsidRPr="00EB33CC">
        <w:rPr>
          <w:rFonts w:ascii="Times New Roman" w:hAnsi="Times New Roman" w:cs="Times New Roman" w:hint="default"/>
        </w:rPr>
        <w:t>lené</w:t>
      </w:r>
      <w:r w:rsidRPr="00EB33CC">
        <w:rPr>
          <w:rFonts w:ascii="Times New Roman" w:hAnsi="Times New Roman" w:cs="Times New Roman" w:hint="default"/>
        </w:rPr>
        <w:t>mu rozpoč</w:t>
      </w:r>
      <w:r w:rsidRPr="00EB33CC">
        <w:rPr>
          <w:rFonts w:ascii="Times New Roman" w:hAnsi="Times New Roman" w:cs="Times New Roman" w:hint="default"/>
        </w:rPr>
        <w:t xml:space="preserve">tu na rok 2011. </w:t>
      </w:r>
    </w:p>
    <w:p w:rsidR="00FA46D7" w:rsidRPr="00EB33CC" w:rsidP="00FA46D7">
      <w:pPr>
        <w:bidi w:val="0"/>
        <w:jc w:val="both"/>
        <w:rPr>
          <w:rFonts w:ascii="Times New Roman" w:eastAsia="Calibri" w:hAnsi="Times New Roman"/>
          <w:color w:val="000000"/>
        </w:rPr>
      </w:pPr>
    </w:p>
    <w:p w:rsidR="00FA46D7" w:rsidRPr="00EB33CC" w:rsidP="00FA46D7">
      <w:pPr>
        <w:pStyle w:val="Default"/>
        <w:bidi w:val="0"/>
        <w:ind w:firstLine="708"/>
        <w:jc w:val="both"/>
        <w:rPr>
          <w:rFonts w:ascii="Times New Roman" w:hAnsi="Times New Roman" w:cs="Times New Roman" w:hint="default"/>
        </w:rPr>
      </w:pPr>
      <w:r w:rsidRPr="00EB33CC">
        <w:rPr>
          <w:rFonts w:ascii="Times New Roman" w:hAnsi="Times New Roman" w:cs="Times New Roman" w:hint="default"/>
        </w:rPr>
        <w:t>Vý</w:t>
      </w:r>
      <w:r w:rsidRPr="00EB33CC">
        <w:rPr>
          <w:rFonts w:ascii="Times New Roman" w:hAnsi="Times New Roman" w:cs="Times New Roman" w:hint="default"/>
        </w:rPr>
        <w:t>davky subjektu sa v roku 2012 rozpoč</w:t>
      </w:r>
      <w:r w:rsidRPr="00EB33CC">
        <w:rPr>
          <w:rFonts w:ascii="Times New Roman" w:hAnsi="Times New Roman" w:cs="Times New Roman" w:hint="default"/>
        </w:rPr>
        <w:t>tujú</w:t>
      </w:r>
      <w:r w:rsidRPr="00EB33CC">
        <w:rPr>
          <w:rFonts w:ascii="Times New Roman" w:hAnsi="Times New Roman" w:cs="Times New Roman" w:hint="default"/>
        </w:rPr>
        <w:t xml:space="preserve"> v celkovej v</w:t>
      </w:r>
      <w:r w:rsidRPr="00EB33CC">
        <w:rPr>
          <w:rFonts w:ascii="Times New Roman" w:hAnsi="Times New Roman" w:cs="Times New Roman" w:hint="default"/>
        </w:rPr>
        <w:t>ýš</w:t>
      </w:r>
      <w:r w:rsidRPr="00EB33CC">
        <w:rPr>
          <w:rFonts w:ascii="Times New Roman" w:hAnsi="Times New Roman" w:cs="Times New Roman" w:hint="default"/>
        </w:rPr>
        <w:t>ke 97,9 mil. eur. Pokles oproti schvá</w:t>
      </w:r>
      <w:r w:rsidRPr="00EB33CC">
        <w:rPr>
          <w:rFonts w:ascii="Times New Roman" w:hAnsi="Times New Roman" w:cs="Times New Roman" w:hint="default"/>
        </w:rPr>
        <w:t>lené</w:t>
      </w:r>
      <w:r w:rsidRPr="00EB33CC">
        <w:rPr>
          <w:rFonts w:ascii="Times New Roman" w:hAnsi="Times New Roman" w:cs="Times New Roman" w:hint="default"/>
        </w:rPr>
        <w:t>mu rozpoč</w:t>
      </w:r>
      <w:r w:rsidRPr="00EB33CC">
        <w:rPr>
          <w:rFonts w:ascii="Times New Roman" w:hAnsi="Times New Roman" w:cs="Times New Roman" w:hint="default"/>
        </w:rPr>
        <w:t>tu na rok 2011 o</w:t>
      </w:r>
      <w:r w:rsidR="008B5A66">
        <w:rPr>
          <w:rFonts w:ascii="Times New Roman" w:hAnsi="Times New Roman" w:cs="Times New Roman"/>
        </w:rPr>
        <w:t> </w:t>
      </w:r>
      <w:r w:rsidRPr="00EB33CC">
        <w:rPr>
          <w:rFonts w:ascii="Times New Roman" w:hAnsi="Times New Roman" w:cs="Times New Roman"/>
        </w:rPr>
        <w:t>1</w:t>
      </w:r>
      <w:r w:rsidR="008B5A66">
        <w:rPr>
          <w:rFonts w:ascii="Times New Roman" w:hAnsi="Times New Roman" w:cs="Times New Roman"/>
        </w:rPr>
        <w:t>,</w:t>
      </w:r>
      <w:r w:rsidRPr="00EB33CC">
        <w:rPr>
          <w:rFonts w:ascii="Times New Roman" w:hAnsi="Times New Roman" w:cs="Times New Roman"/>
        </w:rPr>
        <w:t>22 mil. eur, t.</w:t>
      </w:r>
      <w:r w:rsidR="002B2749">
        <w:rPr>
          <w:rFonts w:ascii="Times New Roman" w:hAnsi="Times New Roman" w:cs="Times New Roman"/>
        </w:rPr>
        <w:t xml:space="preserve"> </w:t>
      </w:r>
      <w:r w:rsidRPr="00EB33CC">
        <w:rPr>
          <w:rFonts w:ascii="Times New Roman" w:hAnsi="Times New Roman" w:cs="Times New Roman"/>
        </w:rPr>
        <w:t>j. o 1,23</w:t>
      </w:r>
      <w:r w:rsidR="002B2749">
        <w:rPr>
          <w:rFonts w:ascii="Times New Roman" w:hAnsi="Times New Roman" w:cs="Times New Roman"/>
        </w:rPr>
        <w:t xml:space="preserve"> </w:t>
      </w:r>
      <w:r w:rsidRPr="00EB33CC">
        <w:rPr>
          <w:rFonts w:ascii="Times New Roman" w:hAnsi="Times New Roman" w:cs="Times New Roman" w:hint="default"/>
        </w:rPr>
        <w:t>% zohľ</w:t>
      </w:r>
      <w:r w:rsidRPr="00EB33CC">
        <w:rPr>
          <w:rFonts w:ascii="Times New Roman" w:hAnsi="Times New Roman" w:cs="Times New Roman" w:hint="default"/>
        </w:rPr>
        <w:t>adň</w:t>
      </w:r>
      <w:r w:rsidRPr="00EB33CC">
        <w:rPr>
          <w:rFonts w:ascii="Times New Roman" w:hAnsi="Times New Roman" w:cs="Times New Roman" w:hint="default"/>
        </w:rPr>
        <w:t>uje prijatie racionalizač</w:t>
      </w:r>
      <w:r w:rsidRPr="00EB33CC">
        <w:rPr>
          <w:rFonts w:ascii="Times New Roman" w:hAnsi="Times New Roman" w:cs="Times New Roman" w:hint="default"/>
        </w:rPr>
        <w:t>ný</w:t>
      </w:r>
      <w:r w:rsidRPr="00EB33CC">
        <w:rPr>
          <w:rFonts w:ascii="Times New Roman" w:hAnsi="Times New Roman" w:cs="Times New Roman" w:hint="default"/>
        </w:rPr>
        <w:t>ch opatrení</w:t>
      </w:r>
      <w:r w:rsidRPr="00EB33CC">
        <w:rPr>
          <w:rFonts w:ascii="Times New Roman" w:hAnsi="Times New Roman" w:cs="Times New Roman" w:hint="default"/>
        </w:rPr>
        <w:t xml:space="preserve">. </w:t>
      </w:r>
    </w:p>
    <w:p w:rsidR="00FA46D7" w:rsidRPr="00EB33CC" w:rsidP="00FA46D7">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V porovnaní so schváleným rozpočtom roku 2011 osobné výdavky klesajú o 10,5</w:t>
      </w:r>
      <w:r w:rsidR="002B2749">
        <w:rPr>
          <w:rFonts w:ascii="Times New Roman" w:hAnsi="Times New Roman"/>
        </w:rPr>
        <w:t xml:space="preserve"> </w:t>
      </w:r>
      <w:r w:rsidRPr="00EB33CC">
        <w:rPr>
          <w:rFonts w:ascii="Times New Roman" w:hAnsi="Times New Roman"/>
        </w:rPr>
        <w:t>%. Priemerný mzdový výdavok na rok 2012 medziročne rastie o</w:t>
      </w:r>
      <w:r w:rsidR="002B2749">
        <w:rPr>
          <w:rFonts w:ascii="Times New Roman" w:hAnsi="Times New Roman"/>
        </w:rPr>
        <w:t> </w:t>
      </w:r>
      <w:r w:rsidRPr="00EB33CC">
        <w:rPr>
          <w:rFonts w:ascii="Times New Roman" w:hAnsi="Times New Roman"/>
        </w:rPr>
        <w:t>4</w:t>
      </w:r>
      <w:r w:rsidR="002B2749">
        <w:rPr>
          <w:rFonts w:ascii="Times New Roman" w:hAnsi="Times New Roman"/>
        </w:rPr>
        <w:t xml:space="preserve"> </w:t>
      </w:r>
      <w:r w:rsidRPr="00EB33CC">
        <w:rPr>
          <w:rFonts w:ascii="Times New Roman" w:hAnsi="Times New Roman"/>
        </w:rPr>
        <w:t>%, v absolútnom vyjadrení o 43 eur, predpokladaný rast priemerného mzdového výdavku je podmienený postupným znižovaním stavu zamestnancov z</w:t>
      </w:r>
      <w:r w:rsidR="008B5A66">
        <w:rPr>
          <w:rFonts w:ascii="Times New Roman" w:hAnsi="Times New Roman"/>
        </w:rPr>
        <w:t> </w:t>
      </w:r>
      <w:r w:rsidRPr="00EB33CC">
        <w:rPr>
          <w:rFonts w:ascii="Times New Roman" w:hAnsi="Times New Roman"/>
        </w:rPr>
        <w:t>1</w:t>
      </w:r>
      <w:r w:rsidR="008B5A66">
        <w:rPr>
          <w:rFonts w:ascii="Times New Roman" w:hAnsi="Times New Roman"/>
        </w:rPr>
        <w:t xml:space="preserve"> </w:t>
      </w:r>
      <w:r w:rsidRPr="00EB33CC">
        <w:rPr>
          <w:rFonts w:ascii="Times New Roman" w:hAnsi="Times New Roman"/>
        </w:rPr>
        <w:t xml:space="preserve">493 osôb v roku 2011 na 1 277 osôb v roku 2013. </w:t>
      </w:r>
      <w:r w:rsidR="002B2749">
        <w:rPr>
          <w:rFonts w:ascii="Times New Roman" w:hAnsi="Times New Roman"/>
        </w:rPr>
        <w:t>Na</w:t>
      </w:r>
      <w:r w:rsidRPr="00EB33CC">
        <w:rPr>
          <w:rFonts w:ascii="Times New Roman" w:hAnsi="Times New Roman"/>
        </w:rPr>
        <w:t xml:space="preserve"> rok 2014 sa navrhuje stabilizovať počet pracovníkov na úrovni roka 2013.</w:t>
      </w:r>
    </w:p>
    <w:p w:rsidR="00FA46D7" w:rsidRPr="00EB33CC" w:rsidP="00FA46D7">
      <w:pPr>
        <w:pStyle w:val="Default"/>
        <w:bidi w:val="0"/>
        <w:jc w:val="both"/>
        <w:rPr>
          <w:rFonts w:ascii="Times New Roman" w:hAnsi="Times New Roman" w:cs="Times New Roman"/>
        </w:rPr>
      </w:pPr>
    </w:p>
    <w:p w:rsidR="00FA46D7" w:rsidRPr="00EB33CC" w:rsidP="00FA46D7">
      <w:pPr>
        <w:pStyle w:val="Default"/>
        <w:bidi w:val="0"/>
        <w:ind w:firstLine="708"/>
        <w:jc w:val="both"/>
        <w:rPr>
          <w:rFonts w:ascii="Times New Roman" w:hAnsi="Times New Roman" w:cs="Times New Roman" w:hint="default"/>
        </w:rPr>
      </w:pPr>
      <w:r w:rsidRPr="00EB33CC">
        <w:rPr>
          <w:rFonts w:ascii="Times New Roman" w:hAnsi="Times New Roman" w:cs="Times New Roman"/>
        </w:rPr>
        <w:t>V </w:t>
      </w:r>
      <w:r w:rsidRPr="00EB33CC">
        <w:rPr>
          <w:rFonts w:ascii="Times New Roman" w:hAnsi="Times New Roman" w:cs="Times New Roman" w:hint="default"/>
        </w:rPr>
        <w:t>roku 2012 sa predpokladá</w:t>
      </w:r>
      <w:r w:rsidRPr="00EB33CC">
        <w:rPr>
          <w:rFonts w:ascii="Times New Roman" w:hAnsi="Times New Roman" w:cs="Times New Roman" w:hint="default"/>
        </w:rPr>
        <w:t xml:space="preserve"> na tovary a služ</w:t>
      </w:r>
      <w:r w:rsidRPr="00EB33CC">
        <w:rPr>
          <w:rFonts w:ascii="Times New Roman" w:hAnsi="Times New Roman" w:cs="Times New Roman" w:hint="default"/>
        </w:rPr>
        <w:t>by vynalož</w:t>
      </w:r>
      <w:r w:rsidRPr="00EB33CC">
        <w:rPr>
          <w:rFonts w:ascii="Times New Roman" w:hAnsi="Times New Roman" w:cs="Times New Roman" w:hint="default"/>
        </w:rPr>
        <w:t>iť</w:t>
      </w:r>
      <w:r w:rsidRPr="00EB33CC">
        <w:rPr>
          <w:rFonts w:ascii="Times New Roman" w:hAnsi="Times New Roman" w:cs="Times New Roman" w:hint="default"/>
        </w:rPr>
        <w:t xml:space="preserve"> zdroje v objeme </w:t>
      </w:r>
      <w:r w:rsidR="002B2749">
        <w:rPr>
          <w:rFonts w:ascii="Times New Roman" w:hAnsi="Times New Roman" w:cs="Times New Roman"/>
        </w:rPr>
        <w:br/>
      </w:r>
      <w:r w:rsidRPr="00EB33CC">
        <w:rPr>
          <w:rFonts w:ascii="Times New Roman" w:hAnsi="Times New Roman" w:cs="Times New Roman" w:hint="default"/>
        </w:rPr>
        <w:t>65,5 mil. eur, č</w:t>
      </w:r>
      <w:r w:rsidRPr="00EB33CC">
        <w:rPr>
          <w:rFonts w:ascii="Times New Roman" w:hAnsi="Times New Roman" w:cs="Times New Roman" w:hint="default"/>
        </w:rPr>
        <w:t>o  predstavuje zvýš</w:t>
      </w:r>
      <w:r w:rsidRPr="00EB33CC">
        <w:rPr>
          <w:rFonts w:ascii="Times New Roman" w:hAnsi="Times New Roman" w:cs="Times New Roman" w:hint="default"/>
        </w:rPr>
        <w:t>enie o 1,59</w:t>
      </w:r>
      <w:r w:rsidR="002B2749">
        <w:rPr>
          <w:rFonts w:ascii="Times New Roman" w:hAnsi="Times New Roman" w:cs="Times New Roman"/>
        </w:rPr>
        <w:t xml:space="preserve"> </w:t>
      </w:r>
      <w:r w:rsidRPr="00EB33CC">
        <w:rPr>
          <w:rFonts w:ascii="Times New Roman" w:hAnsi="Times New Roman" w:cs="Times New Roman"/>
        </w:rPr>
        <w:t>%, v </w:t>
      </w:r>
      <w:r w:rsidRPr="00EB33CC">
        <w:rPr>
          <w:rFonts w:ascii="Times New Roman" w:hAnsi="Times New Roman" w:cs="Times New Roman" w:hint="default"/>
        </w:rPr>
        <w:t>absolú</w:t>
      </w:r>
      <w:r w:rsidRPr="00EB33CC">
        <w:rPr>
          <w:rFonts w:ascii="Times New Roman" w:hAnsi="Times New Roman" w:cs="Times New Roman" w:hint="default"/>
        </w:rPr>
        <w:t>tnom vyjadrení</w:t>
      </w:r>
      <w:r w:rsidRPr="00EB33CC">
        <w:rPr>
          <w:rFonts w:ascii="Times New Roman" w:hAnsi="Times New Roman" w:cs="Times New Roman" w:hint="default"/>
        </w:rPr>
        <w:t xml:space="preserve"> o </w:t>
      </w:r>
      <w:r>
        <w:rPr>
          <w:rFonts w:ascii="Times New Roman" w:hAnsi="Times New Roman" w:cs="Times New Roman"/>
        </w:rPr>
        <w:t xml:space="preserve">1,02 </w:t>
      </w:r>
      <w:r w:rsidRPr="00EB33CC">
        <w:rPr>
          <w:rFonts w:ascii="Times New Roman" w:hAnsi="Times New Roman" w:cs="Times New Roman" w:hint="default"/>
        </w:rPr>
        <w:t>mil. eur oproti schvá</w:t>
      </w:r>
      <w:r w:rsidRPr="00EB33CC">
        <w:rPr>
          <w:rFonts w:ascii="Times New Roman" w:hAnsi="Times New Roman" w:cs="Times New Roman" w:hint="default"/>
        </w:rPr>
        <w:t>lené</w:t>
      </w:r>
      <w:r w:rsidRPr="00EB33CC">
        <w:rPr>
          <w:rFonts w:ascii="Times New Roman" w:hAnsi="Times New Roman" w:cs="Times New Roman" w:hint="default"/>
        </w:rPr>
        <w:t>mu rozpoč</w:t>
      </w:r>
      <w:r w:rsidRPr="00EB33CC">
        <w:rPr>
          <w:rFonts w:ascii="Times New Roman" w:hAnsi="Times New Roman" w:cs="Times New Roman" w:hint="default"/>
        </w:rPr>
        <w:t>tu roku 2011, v </w:t>
      </w:r>
      <w:r w:rsidRPr="00EB33CC">
        <w:rPr>
          <w:rFonts w:ascii="Times New Roman" w:hAnsi="Times New Roman" w:cs="Times New Roman" w:hint="default"/>
        </w:rPr>
        <w:t>rá</w:t>
      </w:r>
      <w:r w:rsidRPr="00EB33CC">
        <w:rPr>
          <w:rFonts w:ascii="Times New Roman" w:hAnsi="Times New Roman" w:cs="Times New Roman" w:hint="default"/>
        </w:rPr>
        <w:t>mci ktoré</w:t>
      </w:r>
      <w:r w:rsidRPr="00EB33CC">
        <w:rPr>
          <w:rFonts w:ascii="Times New Roman" w:hAnsi="Times New Roman" w:cs="Times New Roman" w:hint="default"/>
        </w:rPr>
        <w:t>h</w:t>
      </w:r>
      <w:r w:rsidRPr="00EB33CC">
        <w:rPr>
          <w:rFonts w:ascii="Times New Roman" w:hAnsi="Times New Roman" w:cs="Times New Roman" w:hint="default"/>
        </w:rPr>
        <w:t>o sa uvaž</w:t>
      </w:r>
      <w:r w:rsidRPr="00EB33CC">
        <w:rPr>
          <w:rFonts w:ascii="Times New Roman" w:hAnsi="Times New Roman" w:cs="Times New Roman" w:hint="default"/>
        </w:rPr>
        <w:t>uje s </w:t>
      </w:r>
      <w:r w:rsidRPr="00EB33CC">
        <w:rPr>
          <w:rFonts w:ascii="Times New Roman" w:hAnsi="Times New Roman" w:cs="Times New Roman" w:hint="default"/>
        </w:rPr>
        <w:t>finanč</w:t>
      </w:r>
      <w:r w:rsidRPr="00EB33CC">
        <w:rPr>
          <w:rFonts w:ascii="Times New Roman" w:hAnsi="Times New Roman" w:cs="Times New Roman" w:hint="default"/>
        </w:rPr>
        <w:t>ný</w:t>
      </w:r>
      <w:r w:rsidRPr="00EB33CC">
        <w:rPr>
          <w:rFonts w:ascii="Times New Roman" w:hAnsi="Times New Roman" w:cs="Times New Roman" w:hint="default"/>
        </w:rPr>
        <w:t>m posilnení</w:t>
      </w:r>
      <w:r w:rsidRPr="00EB33CC">
        <w:rPr>
          <w:rFonts w:ascii="Times New Roman" w:hAnsi="Times New Roman" w:cs="Times New Roman" w:hint="default"/>
        </w:rPr>
        <w:t>m oblasti vý</w:t>
      </w:r>
      <w:r w:rsidRPr="00EB33CC">
        <w:rPr>
          <w:rFonts w:ascii="Times New Roman" w:hAnsi="Times New Roman" w:cs="Times New Roman" w:hint="default"/>
        </w:rPr>
        <w:t>roby programov, presunom z </w:t>
      </w:r>
      <w:r w:rsidRPr="00EB33CC">
        <w:rPr>
          <w:rFonts w:ascii="Times New Roman" w:hAnsi="Times New Roman" w:cs="Times New Roman" w:hint="default"/>
        </w:rPr>
        <w:t>kategó</w:t>
      </w:r>
      <w:r w:rsidRPr="00EB33CC">
        <w:rPr>
          <w:rFonts w:ascii="Times New Roman" w:hAnsi="Times New Roman" w:cs="Times New Roman" w:hint="default"/>
        </w:rPr>
        <w:t>rie miezd a </w:t>
      </w:r>
      <w:r w:rsidRPr="00EB33CC">
        <w:rPr>
          <w:rFonts w:ascii="Times New Roman" w:hAnsi="Times New Roman" w:cs="Times New Roman" w:hint="default"/>
        </w:rPr>
        <w:t>odvodov. Zvýš</w:t>
      </w:r>
      <w:r w:rsidRPr="00EB33CC">
        <w:rPr>
          <w:rFonts w:ascii="Times New Roman" w:hAnsi="Times New Roman" w:cs="Times New Roman" w:hint="default"/>
        </w:rPr>
        <w:t>enie vý</w:t>
      </w:r>
      <w:r w:rsidRPr="00EB33CC">
        <w:rPr>
          <w:rFonts w:ascii="Times New Roman" w:hAnsi="Times New Roman" w:cs="Times New Roman" w:hint="default"/>
        </w:rPr>
        <w:t>davkov na tovary a </w:t>
      </w:r>
      <w:r w:rsidRPr="00EB33CC">
        <w:rPr>
          <w:rFonts w:ascii="Times New Roman" w:hAnsi="Times New Roman" w:cs="Times New Roman" w:hint="default"/>
        </w:rPr>
        <w:t>služ</w:t>
      </w:r>
      <w:r w:rsidRPr="00EB33CC">
        <w:rPr>
          <w:rFonts w:ascii="Times New Roman" w:hAnsi="Times New Roman" w:cs="Times New Roman" w:hint="default"/>
        </w:rPr>
        <w:t>by ď</w:t>
      </w:r>
      <w:r w:rsidRPr="00EB33CC">
        <w:rPr>
          <w:rFonts w:ascii="Times New Roman" w:hAnsi="Times New Roman" w:cs="Times New Roman" w:hint="default"/>
        </w:rPr>
        <w:t>alej zohľ</w:t>
      </w:r>
      <w:r w:rsidRPr="00EB33CC">
        <w:rPr>
          <w:rFonts w:ascii="Times New Roman" w:hAnsi="Times New Roman" w:cs="Times New Roman" w:hint="default"/>
        </w:rPr>
        <w:t>adň</w:t>
      </w:r>
      <w:r w:rsidRPr="00EB33CC">
        <w:rPr>
          <w:rFonts w:ascii="Times New Roman" w:hAnsi="Times New Roman" w:cs="Times New Roman" w:hint="default"/>
        </w:rPr>
        <w:t>uje cenový</w:t>
      </w:r>
      <w:r w:rsidRPr="00EB33CC">
        <w:rPr>
          <w:rFonts w:ascii="Times New Roman" w:hAnsi="Times New Roman" w:cs="Times New Roman" w:hint="default"/>
        </w:rPr>
        <w:t xml:space="preserve"> ná</w:t>
      </w:r>
      <w:r w:rsidRPr="00EB33CC">
        <w:rPr>
          <w:rFonts w:ascii="Times New Roman" w:hAnsi="Times New Roman" w:cs="Times New Roman" w:hint="default"/>
        </w:rPr>
        <w:t>rast energií</w:t>
      </w:r>
      <w:r w:rsidRPr="00EB33CC">
        <w:rPr>
          <w:rFonts w:ascii="Times New Roman" w:hAnsi="Times New Roman" w:cs="Times New Roman" w:hint="default"/>
        </w:rPr>
        <w:t>, dopravné</w:t>
      </w:r>
      <w:r w:rsidRPr="00EB33CC">
        <w:rPr>
          <w:rFonts w:ascii="Times New Roman" w:hAnsi="Times New Roman" w:cs="Times New Roman" w:hint="default"/>
        </w:rPr>
        <w:t>ho a </w:t>
      </w:r>
      <w:r w:rsidRPr="00EB33CC">
        <w:rPr>
          <w:rFonts w:ascii="Times New Roman" w:hAnsi="Times New Roman" w:cs="Times New Roman" w:hint="default"/>
        </w:rPr>
        <w:t>materiá</w:t>
      </w:r>
      <w:r w:rsidRPr="00EB33CC">
        <w:rPr>
          <w:rFonts w:ascii="Times New Roman" w:hAnsi="Times New Roman" w:cs="Times New Roman" w:hint="default"/>
        </w:rPr>
        <w:t xml:space="preserve">lu. </w:t>
      </w:r>
    </w:p>
    <w:p w:rsidR="00FA46D7" w:rsidRPr="00EB33CC" w:rsidP="00FA46D7">
      <w:pPr>
        <w:pStyle w:val="Default"/>
        <w:bidi w:val="0"/>
        <w:jc w:val="both"/>
        <w:rPr>
          <w:rFonts w:ascii="Times New Roman" w:hAnsi="Times New Roman" w:cs="Times New Roman"/>
        </w:rPr>
      </w:pPr>
    </w:p>
    <w:p w:rsidR="00FA46D7" w:rsidRPr="00EB33CC" w:rsidP="00FA46D7">
      <w:pPr>
        <w:pStyle w:val="Default"/>
        <w:bidi w:val="0"/>
        <w:ind w:firstLine="708"/>
        <w:jc w:val="both"/>
        <w:rPr>
          <w:rFonts w:ascii="Times New Roman" w:hAnsi="Times New Roman" w:cs="Times New Roman"/>
        </w:rPr>
      </w:pPr>
      <w:r w:rsidRPr="00EB33CC">
        <w:rPr>
          <w:rFonts w:ascii="Times New Roman" w:hAnsi="Times New Roman" w:cs="Times New Roman"/>
        </w:rPr>
        <w:t>V </w:t>
      </w:r>
      <w:r w:rsidRPr="00EB33CC">
        <w:rPr>
          <w:rFonts w:ascii="Times New Roman" w:hAnsi="Times New Roman" w:cs="Times New Roman" w:hint="default"/>
        </w:rPr>
        <w:t>rá</w:t>
      </w:r>
      <w:r w:rsidRPr="00EB33CC">
        <w:rPr>
          <w:rFonts w:ascii="Times New Roman" w:hAnsi="Times New Roman" w:cs="Times New Roman" w:hint="default"/>
        </w:rPr>
        <w:t>mci bež</w:t>
      </w:r>
      <w:r w:rsidRPr="00EB33CC">
        <w:rPr>
          <w:rFonts w:ascii="Times New Roman" w:hAnsi="Times New Roman" w:cs="Times New Roman" w:hint="default"/>
        </w:rPr>
        <w:t>ný</w:t>
      </w:r>
      <w:r w:rsidRPr="00EB33CC">
        <w:rPr>
          <w:rFonts w:ascii="Times New Roman" w:hAnsi="Times New Roman" w:cs="Times New Roman" w:hint="default"/>
        </w:rPr>
        <w:t>ch transferov sa v </w:t>
      </w:r>
      <w:r w:rsidRPr="00EB33CC">
        <w:rPr>
          <w:rFonts w:ascii="Times New Roman" w:hAnsi="Times New Roman" w:cs="Times New Roman" w:hint="default"/>
        </w:rPr>
        <w:t>roku 2012 rozpoč</w:t>
      </w:r>
      <w:r w:rsidRPr="00EB33CC">
        <w:rPr>
          <w:rFonts w:ascii="Times New Roman" w:hAnsi="Times New Roman" w:cs="Times New Roman" w:hint="default"/>
        </w:rPr>
        <w:t>tujú</w:t>
      </w:r>
      <w:r w:rsidRPr="00EB33CC">
        <w:rPr>
          <w:rFonts w:ascii="Times New Roman" w:hAnsi="Times New Roman" w:cs="Times New Roman" w:hint="default"/>
        </w:rPr>
        <w:t xml:space="preserve"> </w:t>
      </w:r>
      <w:r w:rsidRPr="00EB33CC">
        <w:rPr>
          <w:rFonts w:ascii="Times New Roman" w:hAnsi="Times New Roman" w:cs="Times New Roman" w:hint="default"/>
        </w:rPr>
        <w:t>povinné</w:t>
      </w:r>
      <w:r w:rsidRPr="00EB33CC">
        <w:rPr>
          <w:rFonts w:ascii="Times New Roman" w:hAnsi="Times New Roman" w:cs="Times New Roman" w:hint="default"/>
        </w:rPr>
        <w:t xml:space="preserve"> transfery vyplý</w:t>
      </w:r>
      <w:r w:rsidRPr="00EB33CC">
        <w:rPr>
          <w:rFonts w:ascii="Times New Roman" w:hAnsi="Times New Roman" w:cs="Times New Roman" w:hint="default"/>
        </w:rPr>
        <w:t>vajú</w:t>
      </w:r>
      <w:r w:rsidRPr="00EB33CC">
        <w:rPr>
          <w:rFonts w:ascii="Times New Roman" w:hAnsi="Times New Roman" w:cs="Times New Roman" w:hint="default"/>
        </w:rPr>
        <w:t>ce z </w:t>
      </w:r>
      <w:r w:rsidRPr="00EB33CC">
        <w:rPr>
          <w:rFonts w:ascii="Times New Roman" w:hAnsi="Times New Roman" w:cs="Times New Roman" w:hint="default"/>
        </w:rPr>
        <w:t>platnej legislatí</w:t>
      </w:r>
      <w:r w:rsidRPr="00EB33CC">
        <w:rPr>
          <w:rFonts w:ascii="Times New Roman" w:hAnsi="Times New Roman" w:cs="Times New Roman" w:hint="default"/>
        </w:rPr>
        <w:t>vy, a to transfer pre RTVS s.r.o. predstavuje objem 3,</w:t>
      </w:r>
      <w:r>
        <w:rPr>
          <w:rFonts w:ascii="Times New Roman" w:hAnsi="Times New Roman" w:cs="Times New Roman"/>
        </w:rPr>
        <w:t>66</w:t>
      </w:r>
      <w:r w:rsidRPr="00EB33CC">
        <w:rPr>
          <w:rFonts w:ascii="Times New Roman" w:hAnsi="Times New Roman" w:cs="Times New Roman" w:hint="default"/>
        </w:rPr>
        <w:t xml:space="preserve"> mil. eur, transfer pre Audiovizuá</w:t>
      </w:r>
      <w:r w:rsidRPr="00EB33CC">
        <w:rPr>
          <w:rFonts w:ascii="Times New Roman" w:hAnsi="Times New Roman" w:cs="Times New Roman" w:hint="default"/>
        </w:rPr>
        <w:t>lny fond predstavuje objem 185 tis. eur. Rozpoč</w:t>
      </w:r>
      <w:r w:rsidRPr="00EB33CC">
        <w:rPr>
          <w:rFonts w:ascii="Times New Roman" w:hAnsi="Times New Roman" w:cs="Times New Roman" w:hint="default"/>
        </w:rPr>
        <w:t>tovaná</w:t>
      </w:r>
      <w:r w:rsidRPr="00EB33CC">
        <w:rPr>
          <w:rFonts w:ascii="Times New Roman" w:hAnsi="Times New Roman" w:cs="Times New Roman" w:hint="default"/>
        </w:rPr>
        <w:t xml:space="preserve"> výš</w:t>
      </w:r>
      <w:r w:rsidRPr="00EB33CC">
        <w:rPr>
          <w:rFonts w:ascii="Times New Roman" w:hAnsi="Times New Roman" w:cs="Times New Roman" w:hint="default"/>
        </w:rPr>
        <w:t>ka je zosú</w:t>
      </w:r>
      <w:r w:rsidRPr="00EB33CC">
        <w:rPr>
          <w:rFonts w:ascii="Times New Roman" w:hAnsi="Times New Roman" w:cs="Times New Roman" w:hint="default"/>
        </w:rPr>
        <w:t>ladená</w:t>
      </w:r>
      <w:r w:rsidRPr="00EB33CC">
        <w:rPr>
          <w:rFonts w:ascii="Times New Roman" w:hAnsi="Times New Roman" w:cs="Times New Roman" w:hint="default"/>
        </w:rPr>
        <w:t xml:space="preserve"> s </w:t>
      </w:r>
      <w:r w:rsidRPr="00EB33CC">
        <w:rPr>
          <w:rFonts w:ascii="Times New Roman" w:hAnsi="Times New Roman" w:cs="Times New Roman" w:hint="default"/>
        </w:rPr>
        <w:t>ná</w:t>
      </w:r>
      <w:r w:rsidRPr="00EB33CC">
        <w:rPr>
          <w:rFonts w:ascii="Times New Roman" w:hAnsi="Times New Roman" w:cs="Times New Roman" w:hint="default"/>
        </w:rPr>
        <w:t>vrhmi rozpoč</w:t>
      </w:r>
      <w:r w:rsidRPr="00EB33CC">
        <w:rPr>
          <w:rFonts w:ascii="Times New Roman" w:hAnsi="Times New Roman" w:cs="Times New Roman" w:hint="default"/>
        </w:rPr>
        <w:t>tov dotknutý</w:t>
      </w:r>
      <w:r w:rsidRPr="00EB33CC">
        <w:rPr>
          <w:rFonts w:ascii="Times New Roman" w:hAnsi="Times New Roman" w:cs="Times New Roman" w:hint="default"/>
        </w:rPr>
        <w:t>ch subjektov. K</w:t>
      </w:r>
      <w:r w:rsidRPr="00EB33CC">
        <w:rPr>
          <w:rFonts w:ascii="Times New Roman" w:hAnsi="Times New Roman" w:cs="Times New Roman" w:hint="default"/>
        </w:rPr>
        <w:t>apitá</w:t>
      </w:r>
      <w:r w:rsidRPr="00EB33CC">
        <w:rPr>
          <w:rFonts w:ascii="Times New Roman" w:hAnsi="Times New Roman" w:cs="Times New Roman" w:hint="default"/>
        </w:rPr>
        <w:t>lové</w:t>
      </w:r>
      <w:r w:rsidRPr="00EB33CC">
        <w:rPr>
          <w:rFonts w:ascii="Times New Roman" w:hAnsi="Times New Roman" w:cs="Times New Roman" w:hint="default"/>
        </w:rPr>
        <w:t xml:space="preserve"> vý</w:t>
      </w:r>
      <w:r w:rsidRPr="00EB33CC">
        <w:rPr>
          <w:rFonts w:ascii="Times New Roman" w:hAnsi="Times New Roman" w:cs="Times New Roman" w:hint="default"/>
        </w:rPr>
        <w:t>davky medziroč</w:t>
      </w:r>
      <w:r w:rsidRPr="00EB33CC">
        <w:rPr>
          <w:rFonts w:ascii="Times New Roman" w:hAnsi="Times New Roman" w:cs="Times New Roman" w:hint="default"/>
        </w:rPr>
        <w:t>ne rastú</w:t>
      </w:r>
      <w:r w:rsidRPr="00EB33CC">
        <w:rPr>
          <w:rFonts w:ascii="Times New Roman" w:hAnsi="Times New Roman" w:cs="Times New Roman" w:hint="default"/>
        </w:rPr>
        <w:t xml:space="preserve"> v </w:t>
      </w:r>
      <w:r w:rsidRPr="00EB33CC">
        <w:rPr>
          <w:rFonts w:ascii="Times New Roman" w:hAnsi="Times New Roman" w:cs="Times New Roman" w:hint="default"/>
        </w:rPr>
        <w:t>porovnaní</w:t>
      </w:r>
      <w:r w:rsidRPr="00EB33CC">
        <w:rPr>
          <w:rFonts w:ascii="Times New Roman" w:hAnsi="Times New Roman" w:cs="Times New Roman" w:hint="default"/>
        </w:rPr>
        <w:t xml:space="preserve"> so schvá</w:t>
      </w:r>
      <w:r w:rsidRPr="00EB33CC">
        <w:rPr>
          <w:rFonts w:ascii="Times New Roman" w:hAnsi="Times New Roman" w:cs="Times New Roman" w:hint="default"/>
        </w:rPr>
        <w:t>lený</w:t>
      </w:r>
      <w:r w:rsidRPr="00EB33CC">
        <w:rPr>
          <w:rFonts w:ascii="Times New Roman" w:hAnsi="Times New Roman" w:cs="Times New Roman" w:hint="default"/>
        </w:rPr>
        <w:t>m rozpoč</w:t>
      </w:r>
      <w:r w:rsidRPr="00EB33CC">
        <w:rPr>
          <w:rFonts w:ascii="Times New Roman" w:hAnsi="Times New Roman" w:cs="Times New Roman" w:hint="default"/>
        </w:rPr>
        <w:t>tom na rok 2011 o 13,6</w:t>
      </w:r>
      <w:r w:rsidR="002B2749">
        <w:rPr>
          <w:rFonts w:ascii="Times New Roman" w:hAnsi="Times New Roman" w:cs="Times New Roman"/>
        </w:rPr>
        <w:t xml:space="preserve"> </w:t>
      </w:r>
      <w:r w:rsidRPr="00EB33CC">
        <w:rPr>
          <w:rFonts w:ascii="Times New Roman" w:hAnsi="Times New Roman" w:cs="Times New Roman"/>
        </w:rPr>
        <w:t>%, v </w:t>
      </w:r>
      <w:r w:rsidRPr="00EB33CC">
        <w:rPr>
          <w:rFonts w:ascii="Times New Roman" w:hAnsi="Times New Roman" w:cs="Times New Roman" w:hint="default"/>
        </w:rPr>
        <w:t>absolú</w:t>
      </w:r>
      <w:r w:rsidRPr="00EB33CC">
        <w:rPr>
          <w:rFonts w:ascii="Times New Roman" w:hAnsi="Times New Roman" w:cs="Times New Roman" w:hint="default"/>
        </w:rPr>
        <w:t>tnom vyjadrení</w:t>
      </w:r>
      <w:r w:rsidRPr="00EB33CC">
        <w:rPr>
          <w:rFonts w:ascii="Times New Roman" w:hAnsi="Times New Roman" w:cs="Times New Roman" w:hint="default"/>
        </w:rPr>
        <w:t xml:space="preserve"> </w:t>
      </w:r>
      <w:r w:rsidR="002B2749">
        <w:rPr>
          <w:rFonts w:ascii="Times New Roman" w:hAnsi="Times New Roman" w:cs="Times New Roman"/>
        </w:rPr>
        <w:br/>
      </w:r>
      <w:r w:rsidRPr="00EB33CC">
        <w:rPr>
          <w:rFonts w:ascii="Times New Roman" w:hAnsi="Times New Roman" w:cs="Times New Roman"/>
        </w:rPr>
        <w:t>o 452  tis. eur.</w:t>
      </w:r>
    </w:p>
    <w:p w:rsidR="00FA46D7" w:rsidRPr="00EB33CC" w:rsidP="00FA46D7">
      <w:pPr>
        <w:pStyle w:val="Default"/>
        <w:bidi w:val="0"/>
        <w:jc w:val="both"/>
        <w:rPr>
          <w:rFonts w:ascii="Times New Roman" w:hAnsi="Times New Roman" w:cs="Times New Roman"/>
        </w:rPr>
      </w:pPr>
    </w:p>
    <w:p w:rsidR="00FA46D7" w:rsidRPr="00EB33CC" w:rsidP="00FA46D7">
      <w:pPr>
        <w:bidi w:val="0"/>
        <w:ind w:firstLine="708"/>
        <w:jc w:val="both"/>
        <w:rPr>
          <w:rFonts w:ascii="Times New Roman" w:hAnsi="Times New Roman"/>
        </w:rPr>
      </w:pPr>
      <w:r w:rsidRPr="00EB33CC">
        <w:rPr>
          <w:rFonts w:ascii="Times New Roman" w:hAnsi="Times New Roman"/>
        </w:rPr>
        <w:t xml:space="preserve">Celkový hotovostný prebytok sa v roku 2012 predpokladá vo výške </w:t>
      </w:r>
      <w:r>
        <w:rPr>
          <w:rFonts w:ascii="Times New Roman" w:hAnsi="Times New Roman"/>
        </w:rPr>
        <w:t>5,02</w:t>
      </w:r>
      <w:r w:rsidRPr="00EB33CC">
        <w:rPr>
          <w:rFonts w:ascii="Times New Roman" w:hAnsi="Times New Roman"/>
        </w:rPr>
        <w:t xml:space="preserve"> mil. eur, čo predstavuje</w:t>
      </w:r>
      <w:r>
        <w:rPr>
          <w:rFonts w:ascii="Times New Roman" w:hAnsi="Times New Roman"/>
        </w:rPr>
        <w:t xml:space="preserve"> výrazné</w:t>
      </w:r>
      <w:r w:rsidRPr="00EB33CC">
        <w:rPr>
          <w:rFonts w:ascii="Times New Roman" w:hAnsi="Times New Roman"/>
        </w:rPr>
        <w:t xml:space="preserve"> zvýšenie oproti vyrovnanému hospodáreniu v roku 2011. V rokoch 2012 sa predpokladá, že RTVS dosiahne</w:t>
      </w:r>
      <w:r>
        <w:rPr>
          <w:rFonts w:ascii="Times New Roman" w:hAnsi="Times New Roman"/>
        </w:rPr>
        <w:t xml:space="preserve"> podľa metodiky ESA 95</w:t>
      </w:r>
      <w:r w:rsidRPr="00EB33CC">
        <w:rPr>
          <w:rFonts w:ascii="Times New Roman" w:hAnsi="Times New Roman"/>
        </w:rPr>
        <w:t> prebytok  680  tis. eur, v ďalších rokoch sa mierne zvyšuje, v roku 2014 má dosiahnuť hodnotu 1,1</w:t>
      </w:r>
      <w:r>
        <w:rPr>
          <w:rFonts w:ascii="Times New Roman" w:hAnsi="Times New Roman"/>
        </w:rPr>
        <w:t>2</w:t>
      </w:r>
      <w:r w:rsidRPr="00EB33CC">
        <w:rPr>
          <w:rFonts w:ascii="Times New Roman" w:hAnsi="Times New Roman"/>
        </w:rPr>
        <w:t xml:space="preserve"> mil. eur.</w:t>
      </w:r>
    </w:p>
    <w:p w:rsidR="007B1DFC" w:rsidRPr="007B1DFC" w:rsidP="007B1DFC">
      <w:pPr>
        <w:bidi w:val="0"/>
        <w:jc w:val="both"/>
        <w:rPr>
          <w:rFonts w:ascii="Times New Roman" w:hAnsi="Times New Roman"/>
        </w:rPr>
      </w:pPr>
    </w:p>
    <w:p w:rsidR="007B1DFC" w:rsidRPr="007B1DFC" w:rsidP="007B1DFC">
      <w:pPr>
        <w:bidi w:val="0"/>
        <w:jc w:val="both"/>
        <w:rPr>
          <w:rFonts w:ascii="Times New Roman" w:hAnsi="Times New Roman"/>
        </w:rPr>
      </w:pPr>
      <w:r w:rsidRPr="007B1DFC">
        <w:rPr>
          <w:rFonts w:ascii="Times New Roman" w:hAnsi="Times New Roman"/>
          <w:b/>
          <w:bCs/>
        </w:rPr>
        <w:t>12.</w:t>
      </w:r>
      <w:r w:rsidRPr="007B1DFC">
        <w:rPr>
          <w:rFonts w:ascii="Times New Roman" w:hAnsi="Times New Roman"/>
        </w:rPr>
        <w:t xml:space="preserve">  </w:t>
      </w:r>
      <w:r w:rsidRPr="007B1DFC">
        <w:rPr>
          <w:rFonts w:ascii="Times New Roman" w:hAnsi="Times New Roman"/>
          <w:b/>
          <w:bCs/>
        </w:rPr>
        <w:t>Rozhlasová a televízna spoločnosť, s. r. o.</w:t>
      </w:r>
    </w:p>
    <w:p w:rsidR="007B1DFC" w:rsidRPr="007B1DFC" w:rsidP="007B1DFC">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Rozhlasová a televízna spoločnosť, s.r.o. (ďalej len „RTVS, s.r.o.“) vznikla na základe zákona č. 68/2008 Z.</w:t>
      </w:r>
      <w:r>
        <w:rPr>
          <w:rFonts w:ascii="Times New Roman" w:hAnsi="Times New Roman"/>
        </w:rPr>
        <w:t xml:space="preserve"> </w:t>
      </w:r>
      <w:r w:rsidRPr="00EB33CC">
        <w:rPr>
          <w:rFonts w:ascii="Times New Roman" w:hAnsi="Times New Roman"/>
        </w:rPr>
        <w:t>z. o úhrade za služby verejnosti poskytované Slovenskou televíziou a Slovenským rozhlasom a o zmene a doplnení niektorých zákonov. Spoločnosť bola založená spoločenskou zmluvou medzi Slovenskou televíziou a Slovenským rozhlasom s rovnakým podielom spoločníkov a jej hlavným predmetom činnosti je výber úhrady za služby verejnosti poskytované Rozhlasom a televíziou Slovenska.</w:t>
      </w:r>
    </w:p>
    <w:p w:rsidR="00FA46D7" w:rsidP="00FA46D7">
      <w:pPr>
        <w:bidi w:val="0"/>
        <w:jc w:val="both"/>
        <w:rPr>
          <w:rFonts w:ascii="Times New Roman" w:hAnsi="Times New Roman"/>
          <w:b/>
          <w:u w:val="single"/>
        </w:rPr>
      </w:pPr>
    </w:p>
    <w:p w:rsidR="007C26EE" w:rsidP="00FA46D7">
      <w:pPr>
        <w:bidi w:val="0"/>
        <w:jc w:val="both"/>
        <w:rPr>
          <w:rFonts w:ascii="Times New Roman" w:hAnsi="Times New Roman"/>
          <w:b/>
          <w:u w:val="single"/>
        </w:rPr>
      </w:pPr>
    </w:p>
    <w:p w:rsidR="007C26EE" w:rsidP="00FA46D7">
      <w:pPr>
        <w:bidi w:val="0"/>
        <w:jc w:val="both"/>
        <w:rPr>
          <w:rFonts w:ascii="Times New Roman" w:hAnsi="Times New Roman"/>
          <w:b/>
          <w:u w:val="single"/>
        </w:rPr>
      </w:pPr>
    </w:p>
    <w:p w:rsidR="007C26EE" w:rsidP="00FA46D7">
      <w:pPr>
        <w:bidi w:val="0"/>
        <w:jc w:val="both"/>
        <w:rPr>
          <w:rFonts w:ascii="Times New Roman" w:hAnsi="Times New Roman"/>
          <w:b/>
          <w:u w:val="single"/>
        </w:rPr>
      </w:pPr>
    </w:p>
    <w:p w:rsidR="007C26EE" w:rsidP="00FA46D7">
      <w:pPr>
        <w:bidi w:val="0"/>
        <w:jc w:val="both"/>
        <w:rPr>
          <w:rFonts w:ascii="Times New Roman" w:hAnsi="Times New Roman"/>
          <w:b/>
          <w:u w:val="single"/>
        </w:rPr>
      </w:pPr>
    </w:p>
    <w:p w:rsidR="007C26EE" w:rsidP="00FA46D7">
      <w:pPr>
        <w:bidi w:val="0"/>
        <w:jc w:val="both"/>
        <w:rPr>
          <w:rFonts w:ascii="Times New Roman" w:hAnsi="Times New Roman"/>
          <w:b/>
          <w:u w:val="single"/>
        </w:rPr>
      </w:pPr>
    </w:p>
    <w:p w:rsidR="007C26EE" w:rsidP="00FA46D7">
      <w:pPr>
        <w:bidi w:val="0"/>
        <w:jc w:val="both"/>
        <w:rPr>
          <w:rFonts w:ascii="Times New Roman" w:hAnsi="Times New Roman"/>
          <w:b/>
          <w:u w:val="single"/>
        </w:rPr>
      </w:pPr>
    </w:p>
    <w:p w:rsidR="007C26EE" w:rsidP="00FA46D7">
      <w:pPr>
        <w:bidi w:val="0"/>
        <w:jc w:val="both"/>
        <w:rPr>
          <w:rFonts w:ascii="Times New Roman" w:hAnsi="Times New Roman"/>
          <w:b/>
          <w:u w:val="single"/>
        </w:rPr>
      </w:pPr>
    </w:p>
    <w:p w:rsidR="007C26EE" w:rsidRPr="00EB33CC" w:rsidP="00FA46D7">
      <w:pPr>
        <w:bidi w:val="0"/>
        <w:jc w:val="both"/>
        <w:rPr>
          <w:rFonts w:ascii="Times New Roman" w:hAnsi="Times New Roman"/>
          <w:b/>
          <w:u w:val="single"/>
        </w:rPr>
      </w:pPr>
    </w:p>
    <w:p w:rsidR="00FA46D7" w:rsidP="00FA46D7">
      <w:pPr>
        <w:bidi w:val="0"/>
        <w:ind w:firstLine="708"/>
        <w:jc w:val="both"/>
        <w:rPr>
          <w:rFonts w:ascii="Times New Roman" w:hAnsi="Times New Roman"/>
        </w:rPr>
      </w:pPr>
      <w:r w:rsidRPr="00EB33CC">
        <w:rPr>
          <w:rFonts w:ascii="Times New Roman" w:hAnsi="Times New Roman"/>
        </w:rPr>
        <w:t>Vývoj príjmovej a výdavkovej časti rozpočtu Rozhlasovej a televíznej spoločnosti, s.r.o. na roky 2012 až 2014 je nasledovný:</w:t>
      </w:r>
    </w:p>
    <w:p w:rsidR="00FA46D7" w:rsidRPr="00F27ABF" w:rsidP="00FA46D7">
      <w:pPr>
        <w:bidi w:val="0"/>
        <w:ind w:firstLine="708"/>
        <w:jc w:val="both"/>
        <w:rPr>
          <w:rFonts w:ascii="Times New Roman" w:hAnsi="Times New Roman"/>
          <w:sz w:val="22"/>
          <w:szCs w:val="22"/>
        </w:rPr>
      </w:pPr>
    </w:p>
    <w:tbl>
      <w:tblPr>
        <w:tblStyle w:val="TableNormal"/>
        <w:tblW w:w="5000" w:type="pct"/>
        <w:tblCellMar>
          <w:left w:w="70" w:type="dxa"/>
          <w:right w:w="70" w:type="dxa"/>
        </w:tblCellMar>
        <w:tblLook w:val="04A0"/>
      </w:tblPr>
      <w:tblGrid>
        <w:gridCol w:w="4057"/>
        <w:gridCol w:w="702"/>
        <w:gridCol w:w="702"/>
        <w:gridCol w:w="729"/>
        <w:gridCol w:w="833"/>
        <w:gridCol w:w="729"/>
        <w:gridCol w:w="729"/>
        <w:gridCol w:w="729"/>
      </w:tblGrid>
      <w:tr>
        <w:tblPrEx>
          <w:tblW w:w="5000" w:type="pct"/>
          <w:tblCellMar>
            <w:left w:w="70" w:type="dxa"/>
            <w:right w:w="70" w:type="dxa"/>
          </w:tblCellMar>
          <w:tblLook w:val="04A0"/>
        </w:tblPrEx>
        <w:trPr>
          <w:trHeight w:val="227"/>
        </w:trPr>
        <w:tc>
          <w:tcPr>
            <w:tcW w:w="2202"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A46D7" w:rsidRPr="00F27ABF" w:rsidP="00FA46D7">
            <w:pPr>
              <w:bidi w:val="0"/>
              <w:rPr>
                <w:rFonts w:ascii="Times New Roman" w:hAnsi="Times New Roman"/>
                <w:b/>
                <w:bCs/>
                <w:sz w:val="16"/>
                <w:szCs w:val="16"/>
              </w:rPr>
            </w:pPr>
            <w:r>
              <w:rPr>
                <w:rFonts w:ascii="Times New Roman" w:hAnsi="Times New Roman"/>
                <w:b/>
                <w:bCs/>
                <w:sz w:val="16"/>
                <w:szCs w:val="16"/>
              </w:rPr>
              <w:t>v tis. eur</w:t>
            </w:r>
          </w:p>
        </w:tc>
        <w:tc>
          <w:tcPr>
            <w:tcW w:w="381"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2009 S</w:t>
            </w:r>
          </w:p>
        </w:tc>
        <w:tc>
          <w:tcPr>
            <w:tcW w:w="381"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2010 S</w:t>
            </w:r>
          </w:p>
        </w:tc>
        <w:tc>
          <w:tcPr>
            <w:tcW w:w="396"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R</w:t>
            </w:r>
          </w:p>
        </w:tc>
        <w:tc>
          <w:tcPr>
            <w:tcW w:w="45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OS</w:t>
            </w:r>
          </w:p>
        </w:tc>
        <w:tc>
          <w:tcPr>
            <w:tcW w:w="396"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2012 N</w:t>
            </w:r>
          </w:p>
        </w:tc>
        <w:tc>
          <w:tcPr>
            <w:tcW w:w="396"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2013 N</w:t>
            </w:r>
          </w:p>
        </w:tc>
        <w:tc>
          <w:tcPr>
            <w:tcW w:w="396"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2014 N</w:t>
            </w:r>
          </w:p>
        </w:tc>
      </w:tr>
      <w:tr>
        <w:tblPrEx>
          <w:tblW w:w="5000" w:type="pct"/>
          <w:tblCellMar>
            <w:left w:w="70" w:type="dxa"/>
            <w:right w:w="70" w:type="dxa"/>
          </w:tblCellMar>
          <w:tblLook w:val="04A0"/>
        </w:tblPrEx>
        <w:trPr>
          <w:trHeight w:val="227"/>
        </w:trPr>
        <w:tc>
          <w:tcPr>
            <w:tcW w:w="220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Príjmy RTVS, s.r.o. spolu</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4 004</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4 000</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4 010</w:t>
            </w:r>
          </w:p>
        </w:tc>
        <w:tc>
          <w:tcPr>
            <w:tcW w:w="45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4 216</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4 237</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4 246</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4 257</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úroky z účtov z finančného hospodárenia</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transfer od ostatných subjektov VS (RTVS)</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3 669</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3 613</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3 609</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3 609</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3 661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3 671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3 681</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príjmové finančné operácie, z toho:</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334</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386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400</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575</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575</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prevod prostriedkov z predchádzajúcich rokov (FO)</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41</w:t>
            </w:r>
          </w:p>
        </w:tc>
        <w:tc>
          <w:tcPr>
            <w:tcW w:w="381"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127</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206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206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206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206</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vklad do základného imania (FO)</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293</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259</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400</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400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369</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369</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369</w:t>
            </w:r>
          </w:p>
        </w:tc>
      </w:tr>
      <w:tr>
        <w:tblPrEx>
          <w:tblW w:w="5000" w:type="pct"/>
          <w:tblCellMar>
            <w:left w:w="70" w:type="dxa"/>
            <w:right w:w="70" w:type="dxa"/>
          </w:tblCellMar>
          <w:tblLook w:val="04A0"/>
        </w:tblPrEx>
        <w:trPr>
          <w:trHeight w:val="227"/>
        </w:trPr>
        <w:tc>
          <w:tcPr>
            <w:tcW w:w="220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Výdavky RTVS, s.r.o. spolu</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3 832</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3 794</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4 010</w:t>
            </w:r>
          </w:p>
        </w:tc>
        <w:tc>
          <w:tcPr>
            <w:tcW w:w="45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4 010</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4 031</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4 040</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4 051</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bežné výdavky, z toho:</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3 832</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3 794</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4 010</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4 010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4 031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4 040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4 051</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 xml:space="preserve">mzdy </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282</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278</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311</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311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311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311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311</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odvody</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82</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92</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109</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109</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109</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109</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109</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tovary a služby</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3 468</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3 423</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3 543</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3 543</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3 612</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3 621</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3 631</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bežné transfery</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220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 xml:space="preserve">Celková bilancia RTVS, s.r.o. </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9877CC" w:rsidP="00FA46D7">
            <w:pPr>
              <w:bidi w:val="0"/>
              <w:jc w:val="right"/>
              <w:rPr>
                <w:rFonts w:ascii="Times New Roman" w:hAnsi="Times New Roman"/>
                <w:b/>
                <w:sz w:val="16"/>
                <w:szCs w:val="16"/>
              </w:rPr>
            </w:pPr>
            <w:r w:rsidRPr="009877CC">
              <w:rPr>
                <w:rFonts w:ascii="Times New Roman" w:hAnsi="Times New Roman"/>
                <w:b/>
                <w:sz w:val="16"/>
                <w:szCs w:val="16"/>
              </w:rPr>
              <w:t>172</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9877CC" w:rsidP="00FA46D7">
            <w:pPr>
              <w:bidi w:val="0"/>
              <w:jc w:val="right"/>
              <w:rPr>
                <w:rFonts w:ascii="Times New Roman" w:hAnsi="Times New Roman"/>
                <w:b/>
                <w:sz w:val="16"/>
                <w:szCs w:val="16"/>
              </w:rPr>
            </w:pPr>
            <w:r w:rsidRPr="009877CC">
              <w:rPr>
                <w:rFonts w:ascii="Times New Roman" w:hAnsi="Times New Roman"/>
                <w:b/>
                <w:sz w:val="16"/>
                <w:szCs w:val="16"/>
              </w:rPr>
              <w:t>206</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9877CC" w:rsidP="00FA46D7">
            <w:pPr>
              <w:bidi w:val="0"/>
              <w:jc w:val="right"/>
              <w:rPr>
                <w:rFonts w:ascii="Times New Roman" w:hAnsi="Times New Roman"/>
                <w:b/>
                <w:sz w:val="16"/>
                <w:szCs w:val="16"/>
              </w:rPr>
            </w:pPr>
            <w:r w:rsidRPr="009877CC">
              <w:rPr>
                <w:rFonts w:ascii="Times New Roman" w:hAnsi="Times New Roman"/>
                <w:b/>
                <w:sz w:val="16"/>
                <w:szCs w:val="16"/>
              </w:rPr>
              <w:t>0</w:t>
            </w:r>
          </w:p>
        </w:tc>
        <w:tc>
          <w:tcPr>
            <w:tcW w:w="45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9877CC" w:rsidP="00FA46D7">
            <w:pPr>
              <w:bidi w:val="0"/>
              <w:jc w:val="right"/>
              <w:rPr>
                <w:rFonts w:ascii="Times New Roman" w:hAnsi="Times New Roman"/>
                <w:b/>
                <w:sz w:val="16"/>
                <w:szCs w:val="16"/>
              </w:rPr>
            </w:pPr>
            <w:r w:rsidRPr="009877CC">
              <w:rPr>
                <w:rFonts w:ascii="Times New Roman" w:hAnsi="Times New Roman"/>
                <w:b/>
                <w:sz w:val="16"/>
                <w:szCs w:val="16"/>
              </w:rPr>
              <w:t>206</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9877CC" w:rsidP="00FA46D7">
            <w:pPr>
              <w:bidi w:val="0"/>
              <w:jc w:val="right"/>
              <w:rPr>
                <w:rFonts w:ascii="Times New Roman" w:hAnsi="Times New Roman"/>
                <w:b/>
                <w:sz w:val="16"/>
                <w:szCs w:val="16"/>
              </w:rPr>
            </w:pPr>
            <w:r w:rsidRPr="009877CC">
              <w:rPr>
                <w:rFonts w:ascii="Times New Roman" w:hAnsi="Times New Roman"/>
                <w:b/>
                <w:sz w:val="16"/>
                <w:szCs w:val="16"/>
              </w:rPr>
              <w:t>206</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9877CC" w:rsidP="00FA46D7">
            <w:pPr>
              <w:bidi w:val="0"/>
              <w:jc w:val="right"/>
              <w:rPr>
                <w:rFonts w:ascii="Times New Roman" w:hAnsi="Times New Roman"/>
                <w:b/>
                <w:sz w:val="16"/>
                <w:szCs w:val="16"/>
              </w:rPr>
            </w:pPr>
            <w:r w:rsidRPr="009877CC">
              <w:rPr>
                <w:rFonts w:ascii="Times New Roman" w:hAnsi="Times New Roman"/>
                <w:b/>
                <w:sz w:val="16"/>
                <w:szCs w:val="16"/>
              </w:rPr>
              <w:t>206</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9877CC" w:rsidP="00FA46D7">
            <w:pPr>
              <w:bidi w:val="0"/>
              <w:jc w:val="right"/>
              <w:rPr>
                <w:rFonts w:ascii="Times New Roman" w:hAnsi="Times New Roman"/>
                <w:b/>
                <w:sz w:val="16"/>
                <w:szCs w:val="16"/>
              </w:rPr>
            </w:pPr>
            <w:r w:rsidRPr="009877CC">
              <w:rPr>
                <w:rFonts w:ascii="Times New Roman" w:hAnsi="Times New Roman"/>
                <w:b/>
                <w:sz w:val="16"/>
                <w:szCs w:val="16"/>
              </w:rPr>
              <w:t>206</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vylúčenie finančných operácií, z toho:</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-334</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-386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-400</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-575</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-575</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vylúčenie príjmových FO</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-334</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-386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-400</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-576</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-575</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-575</w:t>
            </w:r>
          </w:p>
        </w:tc>
      </w:tr>
      <w:tr>
        <w:tblPrEx>
          <w:tblW w:w="5000" w:type="pct"/>
          <w:tblCellMar>
            <w:left w:w="70" w:type="dxa"/>
            <w:right w:w="70" w:type="dxa"/>
          </w:tblCellMar>
          <w:tblLook w:val="04A0"/>
        </w:tblPrEx>
        <w:trPr>
          <w:trHeight w:val="227"/>
        </w:trPr>
        <w:tc>
          <w:tcPr>
            <w:tcW w:w="2202"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ostatné úpravy</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376</w:t>
            </w:r>
          </w:p>
        </w:tc>
        <w:tc>
          <w:tcPr>
            <w:tcW w:w="38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158</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b/>
                <w:bCs/>
                <w:sz w:val="16"/>
                <w:szCs w:val="16"/>
              </w:rPr>
            </w:pPr>
            <w:r>
              <w:rPr>
                <w:rFonts w:ascii="Times New Roman" w:hAnsi="Times New Roman"/>
                <w:b/>
                <w:bCs/>
                <w:sz w:val="16"/>
                <w:szCs w:val="16"/>
              </w:rPr>
              <w:t>0</w:t>
            </w:r>
          </w:p>
        </w:tc>
        <w:tc>
          <w:tcPr>
            <w:tcW w:w="45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b/>
                <w:bCs/>
                <w:sz w:val="16"/>
                <w:szCs w:val="16"/>
              </w:rPr>
            </w:pPr>
            <w:r>
              <w:rPr>
                <w:rFonts w:ascii="Times New Roman" w:hAnsi="Times New Roman"/>
                <w:b/>
                <w:bCs/>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b/>
                <w:bCs/>
                <w:sz w:val="16"/>
                <w:szCs w:val="16"/>
              </w:rPr>
            </w:pPr>
            <w:r>
              <w:rPr>
                <w:rFonts w:ascii="Times New Roman" w:hAnsi="Times New Roman"/>
                <w:b/>
                <w:bCs/>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b/>
                <w:bCs/>
                <w:sz w:val="16"/>
                <w:szCs w:val="16"/>
              </w:rPr>
            </w:pPr>
            <w:r>
              <w:rPr>
                <w:rFonts w:ascii="Times New Roman" w:hAnsi="Times New Roman"/>
                <w:b/>
                <w:bCs/>
                <w:sz w:val="16"/>
                <w:szCs w:val="16"/>
              </w:rPr>
              <w:t>0</w:t>
            </w:r>
          </w:p>
        </w:tc>
        <w:tc>
          <w:tcPr>
            <w:tcW w:w="396"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b/>
                <w:bCs/>
                <w:sz w:val="16"/>
                <w:szCs w:val="16"/>
              </w:rPr>
            </w:pPr>
            <w:r>
              <w:rPr>
                <w:rFonts w:ascii="Times New Roman" w:hAnsi="Times New Roman"/>
                <w:b/>
                <w:bCs/>
                <w:sz w:val="16"/>
                <w:szCs w:val="16"/>
              </w:rPr>
              <w:t>0</w:t>
            </w:r>
          </w:p>
        </w:tc>
      </w:tr>
      <w:tr>
        <w:tblPrEx>
          <w:tblW w:w="5000" w:type="pct"/>
          <w:tblCellMar>
            <w:left w:w="70" w:type="dxa"/>
            <w:right w:w="70" w:type="dxa"/>
          </w:tblCellMar>
          <w:tblLook w:val="04A0"/>
        </w:tblPrEx>
        <w:trPr>
          <w:trHeight w:val="227"/>
        </w:trPr>
        <w:tc>
          <w:tcPr>
            <w:tcW w:w="22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Prebytok (+) /schodok (-) RTVS, s.r.o.(ESA 95)</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214</w:t>
            </w:r>
          </w:p>
        </w:tc>
        <w:tc>
          <w:tcPr>
            <w:tcW w:w="3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-23</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-400</w:t>
            </w:r>
          </w:p>
        </w:tc>
        <w:tc>
          <w:tcPr>
            <w:tcW w:w="45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-400</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-369</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-369</w:t>
            </w:r>
          </w:p>
        </w:tc>
        <w:tc>
          <w:tcPr>
            <w:tcW w:w="39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-369</w:t>
            </w:r>
          </w:p>
        </w:tc>
      </w:tr>
    </w:tbl>
    <w:p w:rsidR="00FA46D7" w:rsidRPr="00F27ABF" w:rsidP="00FA46D7">
      <w:pPr>
        <w:bidi w:val="0"/>
        <w:jc w:val="both"/>
        <w:rPr>
          <w:rFonts w:ascii="Times New Roman" w:eastAsia="Calibri" w:hAnsi="Times New Roman"/>
          <w:sz w:val="20"/>
          <w:szCs w:val="20"/>
        </w:rPr>
      </w:pPr>
    </w:p>
    <w:p w:rsidR="00FA46D7" w:rsidRPr="00EB33CC" w:rsidP="00FA46D7">
      <w:pPr>
        <w:bidi w:val="0"/>
        <w:ind w:firstLine="708"/>
        <w:jc w:val="both"/>
        <w:rPr>
          <w:rFonts w:ascii="Times New Roman" w:hAnsi="Times New Roman"/>
        </w:rPr>
      </w:pPr>
      <w:r w:rsidRPr="00EB33CC">
        <w:rPr>
          <w:rFonts w:ascii="Times New Roman" w:hAnsi="Times New Roman"/>
        </w:rPr>
        <w:t>Príjmy RTVS s.r.o. na rok 2012 sú rozpočtované vo výške 4,24 mil. eur. V porovnaní so schváleným rozpočtom na rok 2011 celko</w:t>
      </w:r>
      <w:r>
        <w:rPr>
          <w:rFonts w:ascii="Times New Roman" w:hAnsi="Times New Roman"/>
        </w:rPr>
        <w:t xml:space="preserve">vé príjmy medziročne rastú o 5,68 </w:t>
      </w:r>
      <w:r w:rsidRPr="00EB33CC">
        <w:rPr>
          <w:rFonts w:ascii="Times New Roman" w:hAnsi="Times New Roman"/>
        </w:rPr>
        <w:t xml:space="preserve">%, zvýšenie je spôsobené najmä prevodom prostriedkov z roku 2011 v objeme 206 tis. eur, ktoré sa v schválenom rozpočte na rok 2011 nerozpočtovali. </w:t>
      </w:r>
    </w:p>
    <w:p w:rsidR="00FA46D7" w:rsidRPr="00EB33CC" w:rsidP="00FA46D7">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 xml:space="preserve">Rozhodujúcim príjmom spoločnosti je transfer od Rozhlasu a televízie Slovenska, v súlade </w:t>
      </w:r>
      <w:r>
        <w:rPr>
          <w:rFonts w:ascii="Times New Roman" w:hAnsi="Times New Roman"/>
        </w:rPr>
        <w:t xml:space="preserve">so </w:t>
      </w:r>
      <w:r w:rsidRPr="00EB33CC">
        <w:rPr>
          <w:rFonts w:ascii="Times New Roman" w:hAnsi="Times New Roman"/>
        </w:rPr>
        <w:t>zákonom č. 68/2008 Z. z. o úhrade za služby verejnosti</w:t>
      </w:r>
      <w:r>
        <w:rPr>
          <w:rFonts w:ascii="Times New Roman" w:hAnsi="Times New Roman"/>
        </w:rPr>
        <w:t xml:space="preserve"> a </w:t>
      </w:r>
      <w:r w:rsidRPr="00EB33CC">
        <w:rPr>
          <w:rFonts w:ascii="Times New Roman" w:hAnsi="Times New Roman"/>
        </w:rPr>
        <w:t>predstavuje najviac 4</w:t>
      </w:r>
      <w:r>
        <w:rPr>
          <w:rFonts w:ascii="Times New Roman" w:hAnsi="Times New Roman"/>
        </w:rPr>
        <w:t> </w:t>
      </w:r>
      <w:r w:rsidRPr="00EB33CC">
        <w:rPr>
          <w:rFonts w:ascii="Times New Roman" w:hAnsi="Times New Roman"/>
        </w:rPr>
        <w:t>% z príjmov z úhrad a pokút. V roku 2012 sa rozpočtuje suma 3,</w:t>
      </w:r>
      <w:r>
        <w:rPr>
          <w:rFonts w:ascii="Times New Roman" w:hAnsi="Times New Roman"/>
        </w:rPr>
        <w:t>66</w:t>
      </w:r>
      <w:r w:rsidRPr="00EB33CC">
        <w:rPr>
          <w:rFonts w:ascii="Times New Roman" w:hAnsi="Times New Roman"/>
        </w:rPr>
        <w:t xml:space="preserve"> mil. eur s medziročným rastom o 1,</w:t>
      </w:r>
      <w:r>
        <w:rPr>
          <w:rFonts w:ascii="Times New Roman" w:hAnsi="Times New Roman"/>
        </w:rPr>
        <w:t>4</w:t>
      </w:r>
      <w:r w:rsidRPr="00EB33CC">
        <w:rPr>
          <w:rFonts w:ascii="Times New Roman" w:hAnsi="Times New Roman"/>
        </w:rPr>
        <w:t>5</w:t>
      </w:r>
      <w:r>
        <w:rPr>
          <w:rFonts w:ascii="Times New Roman" w:hAnsi="Times New Roman"/>
        </w:rPr>
        <w:t xml:space="preserve"> </w:t>
      </w:r>
      <w:r w:rsidRPr="00EB33CC">
        <w:rPr>
          <w:rFonts w:ascii="Times New Roman" w:hAnsi="Times New Roman"/>
        </w:rPr>
        <w:t>%, v ktorom je premietnuté predpokladané zlepšenie platobnej disciplíny povinných platiteľov. Súčasťou príjmov spoločnosti je aj vklad do základného imania v sume 369 tis. eur od spoločníka RTVS, ktorý slúži na vykrytie straty spoločnosti, keďže skutočné náklady na výber úhrady a pokút  prevyšujú ich príjmy.</w:t>
      </w:r>
    </w:p>
    <w:p w:rsidR="00FA46D7" w:rsidRPr="00EB33CC" w:rsidP="00FA46D7">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Výdavky RTVS</w:t>
      </w:r>
      <w:r>
        <w:rPr>
          <w:rFonts w:ascii="Times New Roman" w:hAnsi="Times New Roman"/>
        </w:rPr>
        <w:t>,</w:t>
      </w:r>
      <w:r w:rsidRPr="00EB33CC">
        <w:rPr>
          <w:rFonts w:ascii="Times New Roman" w:hAnsi="Times New Roman"/>
        </w:rPr>
        <w:t xml:space="preserve"> s.r.o.</w:t>
      </w:r>
      <w:r>
        <w:rPr>
          <w:rFonts w:ascii="Times New Roman" w:hAnsi="Times New Roman"/>
        </w:rPr>
        <w:t>,</w:t>
      </w:r>
      <w:r w:rsidRPr="00EB33CC">
        <w:rPr>
          <w:rFonts w:ascii="Times New Roman" w:hAnsi="Times New Roman"/>
        </w:rPr>
        <w:t xml:space="preserve"> sa rozpočtujú v objeme 4,03 mil. eur, čo je mierne nad úrovňou schváleného rozpočtu na rok 2011, a to o 0,5</w:t>
      </w:r>
      <w:r>
        <w:rPr>
          <w:rFonts w:ascii="Times New Roman" w:hAnsi="Times New Roman"/>
        </w:rPr>
        <w:t xml:space="preserve">4 </w:t>
      </w:r>
      <w:r w:rsidRPr="00EB33CC">
        <w:rPr>
          <w:rFonts w:ascii="Times New Roman" w:hAnsi="Times New Roman"/>
        </w:rPr>
        <w:t>%.</w:t>
      </w:r>
    </w:p>
    <w:p w:rsidR="00FA46D7" w:rsidRPr="00EB33CC" w:rsidP="00FA46D7">
      <w:pPr>
        <w:bidi w:val="0"/>
        <w:jc w:val="both"/>
        <w:rPr>
          <w:rFonts w:ascii="Times New Roman" w:hAnsi="Times New Roman"/>
        </w:rPr>
      </w:pPr>
    </w:p>
    <w:p w:rsidR="00FA46D7" w:rsidRPr="00EB33CC" w:rsidP="00FA46D7">
      <w:pPr>
        <w:bidi w:val="0"/>
        <w:ind w:firstLine="708"/>
        <w:jc w:val="both"/>
        <w:rPr>
          <w:rFonts w:ascii="Times New Roman" w:hAnsi="Times New Roman"/>
          <w:i/>
        </w:rPr>
      </w:pPr>
      <w:r w:rsidRPr="00EB33CC">
        <w:rPr>
          <w:rFonts w:ascii="Times New Roman" w:hAnsi="Times New Roman"/>
        </w:rPr>
        <w:t>Osobné výdavky sa rozpočtujú na úrovni schváleného rozpočtu na rok 2011, a to v sume 419 tis. eur. Priemerný mesačný mzdový výdavok na rok 2012 je vo výške rozpočtovanej úrovne roku 2011 a jeho hodnota 863 eur zostáva nezmenená aj v ďalších rokoch 2013</w:t>
      </w:r>
      <w:r>
        <w:rPr>
          <w:rFonts w:ascii="Times New Roman" w:hAnsi="Times New Roman"/>
        </w:rPr>
        <w:t xml:space="preserve"> až </w:t>
      </w:r>
      <w:r w:rsidRPr="00EB33CC">
        <w:rPr>
          <w:rFonts w:ascii="Times New Roman" w:hAnsi="Times New Roman"/>
        </w:rPr>
        <w:t>2014 pri stabilnom počte zamestnancov.</w:t>
      </w:r>
    </w:p>
    <w:p w:rsidR="00FA46D7" w:rsidRPr="00EB33CC" w:rsidP="00FA46D7">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Objemovo najvýznamnejšiu kategóriu výdavkov tvoria výdavky na zabezpečenie činnosti RTVS, s.r.o., ktoré zahŕňajú najmä poštové a telekomunikačné služby, dane, nájomné za kancelárske priestory a údržbu výpočtovej techniky. V porovnaní so schváleným rozpočtom roku 2011 výdavky na tovary a služby rastú o 69 tis. eur, t.j. o 1,9</w:t>
      </w:r>
      <w:r>
        <w:rPr>
          <w:rFonts w:ascii="Times New Roman" w:hAnsi="Times New Roman"/>
        </w:rPr>
        <w:t xml:space="preserve">5 </w:t>
      </w:r>
      <w:r w:rsidRPr="00EB33CC">
        <w:rPr>
          <w:rFonts w:ascii="Times New Roman" w:hAnsi="Times New Roman"/>
        </w:rPr>
        <w:t>%, čo korešponduje s rastom celkových príjmov spoločnosti.</w:t>
      </w:r>
    </w:p>
    <w:p w:rsidR="00FA46D7" w:rsidRPr="00EB33CC" w:rsidP="00FA46D7">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Celková bilancia RTVS, s.r.o. v roku 2012 sa predpokladá na úrovni očakávanej skutočnosti roku 2011. Po vylúčení finančných operácií schodok ESA 95 sa rozpočtuje vo výške 369 tis eur.</w:t>
      </w:r>
    </w:p>
    <w:p w:rsidR="00FA46D7" w:rsidP="00FA46D7">
      <w:pPr>
        <w:bidi w:val="0"/>
        <w:rPr>
          <w:rFonts w:ascii="Times New Roman" w:hAnsi="Times New Roman"/>
        </w:rPr>
      </w:pPr>
    </w:p>
    <w:p w:rsidR="007B1DFC" w:rsidRPr="007B1DFC" w:rsidP="007B1DFC">
      <w:pPr>
        <w:bidi w:val="0"/>
        <w:jc w:val="both"/>
        <w:rPr>
          <w:rFonts w:ascii="Times New Roman" w:hAnsi="Times New Roman"/>
        </w:rPr>
      </w:pPr>
      <w:r w:rsidRPr="007B1DFC">
        <w:rPr>
          <w:rFonts w:ascii="Times New Roman" w:hAnsi="Times New Roman"/>
          <w:b/>
          <w:bCs/>
        </w:rPr>
        <w:t>13. Tlačová agentúra SR</w:t>
      </w:r>
    </w:p>
    <w:p w:rsidR="007B1DFC" w:rsidRPr="007B1DFC" w:rsidP="007C26EE">
      <w:pPr>
        <w:bidi w:val="0"/>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 xml:space="preserve">Tlačová agentúra Slovenskej republiky (ďalej len „TASR“) je zriadená zákonom č. 385/2008 Z. z. o Tlačovej agentúre Slovenskej republiky z 23. septembra 2008 ako verejnoprávna, národná, nezávislá, informačná inštitúcia, ktorá poskytuje službu verejnosti v oblasti spravodajstva od 1. januára 2009.  </w:t>
      </w:r>
    </w:p>
    <w:p w:rsidR="00FA46D7" w:rsidP="00FA46D7">
      <w:pPr>
        <w:bidi w:val="0"/>
        <w:jc w:val="both"/>
        <w:rPr>
          <w:rFonts w:ascii="Times New Roman" w:hAnsi="Times New Roman"/>
        </w:rPr>
      </w:pPr>
      <w:r>
        <w:rPr>
          <w:rFonts w:ascii="Times New Roman" w:hAnsi="Times New Roman"/>
        </w:rPr>
        <w:t xml:space="preserve"> </w:t>
      </w:r>
    </w:p>
    <w:p w:rsidR="00FA46D7" w:rsidP="00FA46D7">
      <w:pPr>
        <w:bidi w:val="0"/>
        <w:ind w:firstLine="708"/>
        <w:jc w:val="both"/>
        <w:rPr>
          <w:rFonts w:ascii="Times New Roman" w:hAnsi="Times New Roman"/>
        </w:rPr>
      </w:pPr>
      <w:r w:rsidRPr="00EB33CC">
        <w:rPr>
          <w:rFonts w:ascii="Times New Roman" w:hAnsi="Times New Roman"/>
        </w:rPr>
        <w:t>Vývoj príjmovej a výdavkovej časti rozpočtu TASR na roky 2012 až 2014 je nasledovný:</w:t>
      </w:r>
    </w:p>
    <w:p w:rsidR="00FA46D7" w:rsidP="00FA46D7">
      <w:pPr>
        <w:bidi w:val="0"/>
        <w:jc w:val="both"/>
        <w:rPr>
          <w:rFonts w:ascii="Times New Roman" w:hAnsi="Times New Roman"/>
        </w:rPr>
      </w:pPr>
    </w:p>
    <w:tbl>
      <w:tblPr>
        <w:tblStyle w:val="TableNormal"/>
        <w:tblW w:w="5000" w:type="pct"/>
        <w:jc w:val="center"/>
        <w:tblCellMar>
          <w:left w:w="70" w:type="dxa"/>
          <w:right w:w="70" w:type="dxa"/>
        </w:tblCellMar>
        <w:tblLook w:val="04A0"/>
      </w:tblPr>
      <w:tblGrid>
        <w:gridCol w:w="3888"/>
        <w:gridCol w:w="725"/>
        <w:gridCol w:w="725"/>
        <w:gridCol w:w="753"/>
        <w:gridCol w:w="860"/>
        <w:gridCol w:w="753"/>
        <w:gridCol w:w="753"/>
        <w:gridCol w:w="753"/>
      </w:tblGrid>
      <w:tr>
        <w:tblPrEx>
          <w:tblW w:w="5000" w:type="pct"/>
          <w:jc w:val="center"/>
          <w:tblCellMar>
            <w:left w:w="70" w:type="dxa"/>
            <w:right w:w="70" w:type="dxa"/>
          </w:tblCellMar>
          <w:tblLook w:val="04A0"/>
        </w:tblPrEx>
        <w:trPr>
          <w:trHeight w:val="227"/>
          <w:jc w:val="center"/>
        </w:trPr>
        <w:tc>
          <w:tcPr>
            <w:tcW w:w="2110"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A46D7" w:rsidRPr="00F27ABF" w:rsidP="00FA46D7">
            <w:pPr>
              <w:bidi w:val="0"/>
              <w:rPr>
                <w:rFonts w:ascii="Times New Roman" w:hAnsi="Times New Roman"/>
                <w:b/>
                <w:bCs/>
                <w:sz w:val="16"/>
                <w:szCs w:val="16"/>
              </w:rPr>
            </w:pPr>
            <w:r>
              <w:rPr>
                <w:rFonts w:ascii="Times New Roman" w:hAnsi="Times New Roman"/>
                <w:b/>
                <w:bCs/>
                <w:sz w:val="16"/>
                <w:szCs w:val="16"/>
              </w:rPr>
              <w:t>v tis. eur</w:t>
            </w:r>
          </w:p>
        </w:tc>
        <w:tc>
          <w:tcPr>
            <w:tcW w:w="39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2009 S</w:t>
            </w:r>
          </w:p>
        </w:tc>
        <w:tc>
          <w:tcPr>
            <w:tcW w:w="39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2010 S</w:t>
            </w:r>
          </w:p>
        </w:tc>
        <w:tc>
          <w:tcPr>
            <w:tcW w:w="40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R</w:t>
            </w:r>
          </w:p>
        </w:tc>
        <w:tc>
          <w:tcPr>
            <w:tcW w:w="46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OS</w:t>
            </w:r>
          </w:p>
        </w:tc>
        <w:tc>
          <w:tcPr>
            <w:tcW w:w="40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2012 N</w:t>
            </w:r>
          </w:p>
        </w:tc>
        <w:tc>
          <w:tcPr>
            <w:tcW w:w="40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2013 N</w:t>
            </w:r>
          </w:p>
        </w:tc>
        <w:tc>
          <w:tcPr>
            <w:tcW w:w="40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2014 N</w:t>
            </w:r>
          </w:p>
        </w:tc>
      </w:tr>
      <w:tr>
        <w:tblPrEx>
          <w:tblW w:w="5000" w:type="pct"/>
          <w:jc w:val="center"/>
          <w:tblCellMar>
            <w:left w:w="70" w:type="dxa"/>
            <w:right w:w="70" w:type="dxa"/>
          </w:tblCellMar>
          <w:tblLook w:val="04A0"/>
        </w:tblPrEx>
        <w:trPr>
          <w:trHeight w:val="227"/>
          <w:jc w:val="center"/>
        </w:trPr>
        <w:tc>
          <w:tcPr>
            <w:tcW w:w="211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Príjmy TASR spolu</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4 619</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4 905</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3 403</w:t>
            </w:r>
          </w:p>
        </w:tc>
        <w:tc>
          <w:tcPr>
            <w:tcW w:w="46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3 636</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2 90</w:t>
            </w:r>
            <w:r>
              <w:rPr>
                <w:rFonts w:ascii="Times New Roman" w:hAnsi="Times New Roman"/>
                <w:b/>
                <w:bCs/>
                <w:sz w:val="16"/>
                <w:szCs w:val="16"/>
              </w:rPr>
              <w:t>7</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2 40</w:t>
            </w:r>
            <w:r>
              <w:rPr>
                <w:rFonts w:ascii="Times New Roman" w:hAnsi="Times New Roman"/>
                <w:b/>
                <w:bCs/>
                <w:sz w:val="16"/>
                <w:szCs w:val="16"/>
              </w:rPr>
              <w:t>7</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2 40</w:t>
            </w:r>
            <w:r>
              <w:rPr>
                <w:rFonts w:ascii="Times New Roman" w:hAnsi="Times New Roman"/>
                <w:b/>
                <w:bCs/>
                <w:sz w:val="16"/>
                <w:szCs w:val="16"/>
              </w:rPr>
              <w:t>7</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color w:val="000000"/>
                <w:sz w:val="16"/>
                <w:szCs w:val="16"/>
              </w:rPr>
            </w:pPr>
            <w:r w:rsidRPr="00F27ABF">
              <w:rPr>
                <w:rFonts w:ascii="Times New Roman" w:hAnsi="Times New Roman"/>
                <w:color w:val="000000"/>
                <w:sz w:val="16"/>
                <w:szCs w:val="16"/>
              </w:rPr>
              <w:t>▪ daňové príjmy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color w:val="000000"/>
                <w:sz w:val="16"/>
                <w:szCs w:val="16"/>
              </w:rPr>
            </w:pPr>
            <w:r w:rsidRPr="00F27ABF">
              <w:rPr>
                <w:rFonts w:ascii="Times New Roman" w:hAnsi="Times New Roman"/>
                <w:color w:val="000000"/>
                <w:sz w:val="16"/>
                <w:szCs w:val="16"/>
              </w:rPr>
              <w:t>▪ nedaňové príjmy, z toho:</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2 276</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2 322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2 351</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2 309</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2 351</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2 351</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2 351</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príjmy z podnikania a z vlastníctva majetku</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administratívne a iné poplatky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2 247</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2 312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2 343</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2 200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2 343</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2 343</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2 343</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kapitálové príjmy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17</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ostatné nedaňové príjmy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color w:val="000000"/>
                <w:sz w:val="16"/>
                <w:szCs w:val="16"/>
              </w:rPr>
            </w:pPr>
            <w:r w:rsidRPr="00F27ABF">
              <w:rPr>
                <w:rFonts w:ascii="Times New Roman" w:hAnsi="Times New Roman"/>
                <w:color w:val="000000"/>
                <w:sz w:val="16"/>
                <w:szCs w:val="16"/>
              </w:rPr>
              <w:t>▪ granty a transfery, z toho:</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2 105</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2 343</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1 000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tuzemské bežné transfery a granty, z toho:</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1 809</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2 200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1 000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granty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transfery zo štátneho rozpočtu</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1 804</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2 200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1 000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500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prevod prostriedkov z predchádzajúcich rokov (FO</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238</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240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52</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328</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r>
      <w:tr>
        <w:tblPrEx>
          <w:tblW w:w="5000" w:type="pct"/>
          <w:jc w:val="center"/>
          <w:tblCellMar>
            <w:left w:w="70" w:type="dxa"/>
            <w:right w:w="70" w:type="dxa"/>
          </w:tblCellMar>
          <w:tblLook w:val="04A0"/>
        </w:tblPrEx>
        <w:trPr>
          <w:trHeight w:val="227"/>
          <w:jc w:val="center"/>
        </w:trPr>
        <w:tc>
          <w:tcPr>
            <w:tcW w:w="211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Výdavky TASR spolu</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4 379</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4 577</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3 351</w:t>
            </w:r>
          </w:p>
        </w:tc>
        <w:tc>
          <w:tcPr>
            <w:tcW w:w="46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3 580</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2 851</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2 351</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2 351</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bežné výdavky, z toho:</w:t>
            </w:r>
          </w:p>
        </w:tc>
        <w:tc>
          <w:tcPr>
            <w:tcW w:w="393"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3 896</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4 429</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3 291</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3 580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2 791</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2 291</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2 291</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mzdy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1 723</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1 811</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1 432</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1 520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1 184</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937</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937</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odvody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599</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623</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504</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535</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417</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330</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tovary a služby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1 554</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1 916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1 353</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1 510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1 188</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1 022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1 022</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bežné transfery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20</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79</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15</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kapitálové výdavky</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483</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148</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w:t>
            </w:r>
          </w:p>
        </w:tc>
      </w:tr>
      <w:tr>
        <w:tblPrEx>
          <w:tblW w:w="5000" w:type="pct"/>
          <w:jc w:val="center"/>
          <w:tblCellMar>
            <w:left w:w="70" w:type="dxa"/>
            <w:right w:w="70" w:type="dxa"/>
          </w:tblCellMar>
          <w:tblLook w:val="04A0"/>
        </w:tblPrEx>
        <w:trPr>
          <w:trHeight w:val="227"/>
          <w:jc w:val="center"/>
        </w:trPr>
        <w:tc>
          <w:tcPr>
            <w:tcW w:w="211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Celková bilancia TASR</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240</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328</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52</w:t>
            </w:r>
          </w:p>
        </w:tc>
        <w:tc>
          <w:tcPr>
            <w:tcW w:w="46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56</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56</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56</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56</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color w:val="000000"/>
                <w:sz w:val="16"/>
                <w:szCs w:val="16"/>
              </w:rPr>
            </w:pPr>
            <w:r w:rsidRPr="00F27ABF">
              <w:rPr>
                <w:rFonts w:ascii="Times New Roman" w:hAnsi="Times New Roman"/>
                <w:color w:val="000000"/>
                <w:sz w:val="16"/>
                <w:szCs w:val="16"/>
              </w:rPr>
              <w:t>▪ vylúčenie finančných operácií</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-238</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-240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-52</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-328</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color w:val="000000"/>
                <w:sz w:val="16"/>
                <w:szCs w:val="16"/>
              </w:rPr>
            </w:pPr>
            <w:r w:rsidRPr="00F27ABF">
              <w:rPr>
                <w:rFonts w:ascii="Times New Roman" w:hAnsi="Times New Roman"/>
                <w:color w:val="000000"/>
                <w:sz w:val="16"/>
                <w:szCs w:val="16"/>
              </w:rPr>
              <w:t>vylúčenie príjmových FO</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-238</w:t>
            </w:r>
          </w:p>
        </w:tc>
        <w:tc>
          <w:tcPr>
            <w:tcW w:w="393"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-240</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-52</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-328</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c>
          <w:tcPr>
            <w:tcW w:w="409"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-56</w:t>
            </w:r>
          </w:p>
        </w:tc>
      </w:tr>
      <w:tr>
        <w:tblPrEx>
          <w:tblW w:w="5000" w:type="pct"/>
          <w:jc w:val="center"/>
          <w:tblCellMar>
            <w:left w:w="70" w:type="dxa"/>
            <w:right w:w="70" w:type="dxa"/>
          </w:tblCellMar>
          <w:tblLook w:val="04A0"/>
        </w:tblPrEx>
        <w:trPr>
          <w:trHeight w:val="227"/>
          <w:jc w:val="center"/>
        </w:trPr>
        <w:tc>
          <w:tcPr>
            <w:tcW w:w="2110"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ostatné úpravy</w:t>
            </w:r>
          </w:p>
        </w:tc>
        <w:tc>
          <w:tcPr>
            <w:tcW w:w="393"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-399</w:t>
            </w:r>
          </w:p>
        </w:tc>
        <w:tc>
          <w:tcPr>
            <w:tcW w:w="393"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42</w:t>
            </w:r>
          </w:p>
        </w:tc>
        <w:tc>
          <w:tcPr>
            <w:tcW w:w="409"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67"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09"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09"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09" w:type="pct"/>
            <w:tcBorders>
              <w:top w:val="nil"/>
              <w:left w:val="nil"/>
              <w:bottom w:val="single" w:sz="4" w:space="0" w:color="auto"/>
              <w:right w:val="single" w:sz="4" w:space="0" w:color="auto"/>
            </w:tcBorders>
            <w:shd w:val="clear" w:color="000000" w:fill="FFFFF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r>
      <w:tr>
        <w:tblPrEx>
          <w:tblW w:w="5000" w:type="pct"/>
          <w:jc w:val="center"/>
          <w:tblCellMar>
            <w:left w:w="70" w:type="dxa"/>
            <w:right w:w="70" w:type="dxa"/>
          </w:tblCellMar>
          <w:tblLook w:val="04A0"/>
        </w:tblPrEx>
        <w:trPr>
          <w:trHeight w:val="227"/>
          <w:jc w:val="center"/>
        </w:trPr>
        <w:tc>
          <w:tcPr>
            <w:tcW w:w="211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Prebytok (+) /schodok (-) TASR (ESA 95)</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-397</w:t>
            </w:r>
          </w:p>
        </w:tc>
        <w:tc>
          <w:tcPr>
            <w:tcW w:w="39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130</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6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-271</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r>
    </w:tbl>
    <w:p w:rsidR="00FA46D7" w:rsidRPr="00F27ABF" w:rsidP="00FA46D7">
      <w:pPr>
        <w:pStyle w:val="Default"/>
        <w:bidi w:val="0"/>
        <w:jc w:val="both"/>
        <w:rPr>
          <w:rFonts w:ascii="Times New Roman" w:hAnsi="Times New Roman" w:cs="Times New Roman"/>
          <w:color w:val="auto"/>
          <w:sz w:val="22"/>
          <w:szCs w:val="22"/>
          <w:lang w:eastAsia="cs-CZ"/>
        </w:rPr>
      </w:pPr>
    </w:p>
    <w:p w:rsidR="00FA46D7" w:rsidRPr="00EB33CC" w:rsidP="00FA46D7">
      <w:pPr>
        <w:pStyle w:val="Default"/>
        <w:bidi w:val="0"/>
        <w:ind w:firstLine="708"/>
        <w:jc w:val="both"/>
        <w:rPr>
          <w:rFonts w:ascii="Times New Roman" w:hAnsi="Times New Roman" w:cs="Times New Roman"/>
          <w:color w:val="auto"/>
          <w:lang w:eastAsia="cs-CZ"/>
        </w:rPr>
      </w:pPr>
      <w:r w:rsidRPr="00EB33CC">
        <w:rPr>
          <w:rFonts w:ascii="Times New Roman" w:hAnsi="Times New Roman" w:cs="Times New Roman"/>
          <w:color w:val="auto"/>
          <w:lang w:eastAsia="cs-CZ"/>
        </w:rPr>
        <w:t>Objem celkových príjmov TASR na rok 2012 rozpočtovaný v sume 2,9</w:t>
      </w:r>
      <w:r>
        <w:rPr>
          <w:rFonts w:ascii="Times New Roman" w:hAnsi="Times New Roman" w:cs="Times New Roman"/>
          <w:color w:val="auto"/>
          <w:lang w:eastAsia="cs-CZ"/>
        </w:rPr>
        <w:t>1</w:t>
      </w:r>
      <w:r w:rsidRPr="00EB33CC">
        <w:rPr>
          <w:rFonts w:ascii="Times New Roman" w:hAnsi="Times New Roman" w:cs="Times New Roman"/>
          <w:color w:val="auto"/>
          <w:lang w:eastAsia="cs-CZ"/>
        </w:rPr>
        <w:t xml:space="preserve"> mil. eur je pod úrovňou schváleného rozpočtu 2011 o 14,6</w:t>
      </w:r>
      <w:r>
        <w:rPr>
          <w:rFonts w:ascii="Times New Roman" w:hAnsi="Times New Roman" w:cs="Times New Roman"/>
          <w:color w:val="auto"/>
          <w:lang w:eastAsia="cs-CZ"/>
        </w:rPr>
        <w:t xml:space="preserve"> </w:t>
      </w:r>
      <w:r w:rsidRPr="00EB33CC">
        <w:rPr>
          <w:rFonts w:ascii="Times New Roman" w:hAnsi="Times New Roman" w:cs="Times New Roman"/>
          <w:color w:val="auto"/>
          <w:lang w:eastAsia="cs-CZ"/>
        </w:rPr>
        <w:t>%. Pokles finančných zdrojov je koncipovaný s cieľom minimalizovať príspevok zo štátneho rozpočtu tak, aby podpora štátu bola len v segmente uchovávania, správy a sprístupňovania archívov.</w:t>
      </w:r>
    </w:p>
    <w:p w:rsidR="00FA46D7" w:rsidRPr="00EB33CC" w:rsidP="00FA46D7">
      <w:pPr>
        <w:pStyle w:val="Default"/>
        <w:bidi w:val="0"/>
        <w:jc w:val="both"/>
        <w:rPr>
          <w:rFonts w:ascii="Times New Roman" w:hAnsi="Times New Roman" w:cs="Times New Roman"/>
          <w:color w:val="auto"/>
          <w:lang w:eastAsia="cs-CZ"/>
        </w:rPr>
      </w:pPr>
    </w:p>
    <w:p w:rsidR="00FA46D7" w:rsidRPr="00EB33CC" w:rsidP="00FA46D7">
      <w:pPr>
        <w:pStyle w:val="Default"/>
        <w:bidi w:val="0"/>
        <w:ind w:firstLine="708"/>
        <w:jc w:val="both"/>
        <w:rPr>
          <w:rFonts w:ascii="Times New Roman" w:hAnsi="Times New Roman" w:cs="Times New Roman"/>
          <w:color w:val="auto"/>
          <w:lang w:eastAsia="cs-CZ"/>
        </w:rPr>
      </w:pPr>
      <w:r w:rsidRPr="00EB33CC">
        <w:rPr>
          <w:rFonts w:ascii="Times New Roman" w:hAnsi="Times New Roman" w:cs="Times New Roman"/>
          <w:color w:val="auto"/>
          <w:lang w:eastAsia="cs-CZ"/>
        </w:rPr>
        <w:t>Príjmovú časť rozpočtu na rok 2012 predstavujú najmä príjmy z administratívnych poplatkov (predaj spravodajského servisu) vo výške 2,3</w:t>
      </w:r>
      <w:r>
        <w:rPr>
          <w:rFonts w:ascii="Times New Roman" w:hAnsi="Times New Roman" w:cs="Times New Roman"/>
          <w:color w:val="auto"/>
          <w:lang w:eastAsia="cs-CZ"/>
        </w:rPr>
        <w:t>4</w:t>
      </w:r>
      <w:r w:rsidRPr="00EB33CC">
        <w:rPr>
          <w:rFonts w:ascii="Times New Roman" w:hAnsi="Times New Roman" w:cs="Times New Roman"/>
          <w:color w:val="auto"/>
          <w:lang w:eastAsia="cs-CZ"/>
        </w:rPr>
        <w:t xml:space="preserve"> mil. eur a transfer zo štátneho rozpočtu vo výške 500 tis. eur poskytovaný </w:t>
      </w:r>
      <w:r w:rsidRPr="00EB33CC">
        <w:rPr>
          <w:rFonts w:ascii="Times New Roman" w:hAnsi="Times New Roman" w:cs="Times New Roman" w:hint="default"/>
        </w:rPr>
        <w:t>na zá</w:t>
      </w:r>
      <w:r w:rsidRPr="00EB33CC">
        <w:rPr>
          <w:rFonts w:ascii="Times New Roman" w:hAnsi="Times New Roman" w:cs="Times New Roman" w:hint="default"/>
        </w:rPr>
        <w:t>klade zmluvy s </w:t>
      </w:r>
      <w:r w:rsidRPr="00EB33CC">
        <w:rPr>
          <w:rFonts w:ascii="Times New Roman" w:hAnsi="Times New Roman" w:cs="Times New Roman" w:hint="default"/>
        </w:rPr>
        <w:t>Ministerstvom kultú</w:t>
      </w:r>
      <w:r w:rsidRPr="00EB33CC">
        <w:rPr>
          <w:rFonts w:ascii="Times New Roman" w:hAnsi="Times New Roman" w:cs="Times New Roman" w:hint="default"/>
        </w:rPr>
        <w:t>ry SR o </w:t>
      </w:r>
      <w:r w:rsidRPr="00EB33CC">
        <w:rPr>
          <w:rFonts w:ascii="Times New Roman" w:hAnsi="Times New Roman" w:cs="Times New Roman" w:hint="default"/>
        </w:rPr>
        <w:t>zabezpeč</w:t>
      </w:r>
      <w:r w:rsidRPr="00EB33CC">
        <w:rPr>
          <w:rFonts w:ascii="Times New Roman" w:hAnsi="Times New Roman" w:cs="Times New Roman" w:hint="default"/>
        </w:rPr>
        <w:t>ení</w:t>
      </w:r>
      <w:r w:rsidRPr="00EB33CC">
        <w:rPr>
          <w:rFonts w:ascii="Times New Roman" w:hAnsi="Times New Roman" w:cs="Times New Roman" w:hint="default"/>
        </w:rPr>
        <w:t xml:space="preserve"> služ</w:t>
      </w:r>
      <w:r w:rsidRPr="00EB33CC">
        <w:rPr>
          <w:rFonts w:ascii="Times New Roman" w:hAnsi="Times New Roman" w:cs="Times New Roman" w:hint="default"/>
        </w:rPr>
        <w:t>ieb vo verejnom zá</w:t>
      </w:r>
      <w:r w:rsidRPr="00EB33CC">
        <w:rPr>
          <w:rFonts w:ascii="Times New Roman" w:hAnsi="Times New Roman" w:cs="Times New Roman" w:hint="default"/>
        </w:rPr>
        <w:t>ujme.</w:t>
      </w:r>
    </w:p>
    <w:p w:rsidR="00FA46D7" w:rsidRPr="00EB33CC" w:rsidP="00FA46D7">
      <w:pPr>
        <w:bidi w:val="0"/>
        <w:jc w:val="both"/>
        <w:rPr>
          <w:rFonts w:ascii="Times New Roman" w:hAnsi="Times New Roman"/>
          <w:b/>
          <w:u w:val="single"/>
        </w:rPr>
      </w:pPr>
    </w:p>
    <w:p w:rsidR="00FA46D7" w:rsidP="00FA46D7">
      <w:pPr>
        <w:pStyle w:val="Default"/>
        <w:bidi w:val="0"/>
        <w:ind w:firstLine="708"/>
        <w:jc w:val="both"/>
        <w:rPr>
          <w:rFonts w:ascii="Times New Roman" w:hAnsi="Times New Roman" w:cs="Times New Roman"/>
        </w:rPr>
      </w:pPr>
      <w:r w:rsidRPr="00EB33CC">
        <w:rPr>
          <w:rFonts w:ascii="Times New Roman" w:hAnsi="Times New Roman" w:cs="Times New Roman"/>
        </w:rPr>
        <w:t xml:space="preserve">V nadväznosti na pokles celkových príjmov dochádza aj vo výdavkovej časti k zníženiu  finančných prostriedkov. </w:t>
      </w:r>
      <w:r w:rsidRPr="00EB33CC">
        <w:rPr>
          <w:rFonts w:ascii="Times New Roman" w:hAnsi="Times New Roman" w:cs="Times New Roman" w:hint="default"/>
        </w:rPr>
        <w:t>Vý</w:t>
      </w:r>
      <w:r w:rsidRPr="00EB33CC">
        <w:rPr>
          <w:rFonts w:ascii="Times New Roman" w:hAnsi="Times New Roman" w:cs="Times New Roman" w:hint="default"/>
        </w:rPr>
        <w:t>sledkom prijatý</w:t>
      </w:r>
      <w:r w:rsidRPr="00EB33CC">
        <w:rPr>
          <w:rFonts w:ascii="Times New Roman" w:hAnsi="Times New Roman" w:cs="Times New Roman" w:hint="default"/>
        </w:rPr>
        <w:t>ch ú</w:t>
      </w:r>
      <w:r w:rsidRPr="00EB33CC">
        <w:rPr>
          <w:rFonts w:ascii="Times New Roman" w:hAnsi="Times New Roman" w:cs="Times New Roman" w:hint="default"/>
        </w:rPr>
        <w:t>sporný</w:t>
      </w:r>
      <w:r w:rsidRPr="00EB33CC">
        <w:rPr>
          <w:rFonts w:ascii="Times New Roman" w:hAnsi="Times New Roman" w:cs="Times New Roman" w:hint="default"/>
        </w:rPr>
        <w:t>ch  opatrení</w:t>
      </w:r>
      <w:r w:rsidRPr="00EB33CC">
        <w:rPr>
          <w:rFonts w:ascii="Times New Roman" w:hAnsi="Times New Roman" w:cs="Times New Roman" w:hint="default"/>
        </w:rPr>
        <w:t xml:space="preserve">  je zníž</w:t>
      </w:r>
      <w:r w:rsidRPr="00EB33CC">
        <w:rPr>
          <w:rFonts w:ascii="Times New Roman" w:hAnsi="Times New Roman" w:cs="Times New Roman" w:hint="default"/>
        </w:rPr>
        <w:t xml:space="preserve">enie </w:t>
      </w:r>
      <w:r w:rsidRPr="00EB33CC">
        <w:rPr>
          <w:rFonts w:ascii="Times New Roman" w:hAnsi="Times New Roman" w:cs="Times New Roman" w:hint="default"/>
        </w:rPr>
        <w:t xml:space="preserve"> celkový</w:t>
      </w:r>
      <w:r w:rsidRPr="00EB33CC">
        <w:rPr>
          <w:rFonts w:ascii="Times New Roman" w:hAnsi="Times New Roman" w:cs="Times New Roman" w:hint="default"/>
        </w:rPr>
        <w:t>ch vý</w:t>
      </w:r>
      <w:r w:rsidRPr="00EB33CC">
        <w:rPr>
          <w:rFonts w:ascii="Times New Roman" w:hAnsi="Times New Roman" w:cs="Times New Roman" w:hint="default"/>
        </w:rPr>
        <w:t xml:space="preserve">davkov o </w:t>
      </w:r>
      <w:r w:rsidRPr="00EB33CC">
        <w:rPr>
          <w:rFonts w:ascii="Times New Roman" w:hAnsi="Times New Roman" w:cs="Times New Roman"/>
        </w:rPr>
        <w:t>14,9</w:t>
      </w:r>
      <w:r>
        <w:rPr>
          <w:rFonts w:ascii="Times New Roman" w:hAnsi="Times New Roman" w:cs="Times New Roman"/>
        </w:rPr>
        <w:t xml:space="preserve"> </w:t>
      </w:r>
      <w:r w:rsidRPr="00EB33CC">
        <w:rPr>
          <w:rFonts w:ascii="Times New Roman" w:hAnsi="Times New Roman" w:cs="Times New Roman"/>
        </w:rPr>
        <w:t>% oproti schválenému rozpočtu roku 2011, ich objem predstavuje 2,85 mil. eur. R</w:t>
      </w:r>
      <w:r w:rsidRPr="00EB33CC">
        <w:rPr>
          <w:rFonts w:ascii="Times New Roman" w:hAnsi="Times New Roman" w:cs="Times New Roman" w:hint="default"/>
        </w:rPr>
        <w:t>ozpoč</w:t>
      </w:r>
      <w:r w:rsidRPr="00EB33CC">
        <w:rPr>
          <w:rFonts w:ascii="Times New Roman" w:hAnsi="Times New Roman" w:cs="Times New Roman" w:hint="default"/>
        </w:rPr>
        <w:t>tovaná</w:t>
      </w:r>
      <w:r w:rsidRPr="00EB33CC">
        <w:rPr>
          <w:rFonts w:ascii="Times New Roman" w:hAnsi="Times New Roman" w:cs="Times New Roman" w:hint="default"/>
        </w:rPr>
        <w:t xml:space="preserve"> výš</w:t>
      </w:r>
      <w:r w:rsidRPr="00EB33CC">
        <w:rPr>
          <w:rFonts w:ascii="Times New Roman" w:hAnsi="Times New Roman" w:cs="Times New Roman" w:hint="default"/>
        </w:rPr>
        <w:t>ka osobný</w:t>
      </w:r>
      <w:r w:rsidRPr="00EB33CC">
        <w:rPr>
          <w:rFonts w:ascii="Times New Roman" w:hAnsi="Times New Roman" w:cs="Times New Roman" w:hint="default"/>
        </w:rPr>
        <w:t>ch vý</w:t>
      </w:r>
      <w:r w:rsidRPr="00EB33CC">
        <w:rPr>
          <w:rFonts w:ascii="Times New Roman" w:hAnsi="Times New Roman" w:cs="Times New Roman" w:hint="default"/>
        </w:rPr>
        <w:t>davkov na rok 2012 v sume 1,6</w:t>
      </w:r>
      <w:r>
        <w:rPr>
          <w:rFonts w:ascii="Times New Roman" w:hAnsi="Times New Roman" w:cs="Times New Roman"/>
        </w:rPr>
        <w:t>0</w:t>
      </w:r>
      <w:r w:rsidRPr="00EB33CC">
        <w:rPr>
          <w:rFonts w:ascii="Times New Roman" w:hAnsi="Times New Roman" w:cs="Times New Roman" w:hint="default"/>
        </w:rPr>
        <w:t xml:space="preserve"> mil. eur je pod ú</w:t>
      </w:r>
      <w:r w:rsidRPr="00EB33CC">
        <w:rPr>
          <w:rFonts w:ascii="Times New Roman" w:hAnsi="Times New Roman" w:cs="Times New Roman" w:hint="default"/>
        </w:rPr>
        <w:t>rovň</w:t>
      </w:r>
      <w:r w:rsidRPr="00EB33CC">
        <w:rPr>
          <w:rFonts w:ascii="Times New Roman" w:hAnsi="Times New Roman" w:cs="Times New Roman" w:hint="default"/>
        </w:rPr>
        <w:t>ou schvá</w:t>
      </w:r>
      <w:r w:rsidRPr="00EB33CC">
        <w:rPr>
          <w:rFonts w:ascii="Times New Roman" w:hAnsi="Times New Roman" w:cs="Times New Roman" w:hint="default"/>
        </w:rPr>
        <w:t>lené</w:t>
      </w:r>
      <w:r w:rsidRPr="00EB33CC">
        <w:rPr>
          <w:rFonts w:ascii="Times New Roman" w:hAnsi="Times New Roman" w:cs="Times New Roman" w:hint="default"/>
        </w:rPr>
        <w:t>ho rozpoč</w:t>
      </w:r>
      <w:r w:rsidRPr="00EB33CC">
        <w:rPr>
          <w:rFonts w:ascii="Times New Roman" w:hAnsi="Times New Roman" w:cs="Times New Roman" w:hint="default"/>
        </w:rPr>
        <w:t>tu roku 2011.</w:t>
      </w:r>
      <w:r>
        <w:rPr>
          <w:rFonts w:ascii="Times New Roman" w:hAnsi="Times New Roman" w:cs="Times New Roman"/>
        </w:rPr>
        <w:t xml:space="preserve"> </w:t>
      </w:r>
      <w:r w:rsidRPr="00EB33CC">
        <w:rPr>
          <w:rFonts w:ascii="Times New Roman" w:hAnsi="Times New Roman" w:cs="Times New Roman"/>
        </w:rPr>
        <w:t>T</w:t>
      </w:r>
      <w:r w:rsidRPr="00EB33CC">
        <w:rPr>
          <w:rFonts w:ascii="Times New Roman" w:hAnsi="Times New Roman" w:cs="Times New Roman"/>
        </w:rPr>
        <w:t>ovary a služby medziročne klesajú oproti schválenému rozpočtu v roku 2011 o 12,2</w:t>
      </w:r>
      <w:r>
        <w:rPr>
          <w:rFonts w:ascii="Times New Roman" w:hAnsi="Times New Roman" w:cs="Times New Roman"/>
        </w:rPr>
        <w:t xml:space="preserve"> </w:t>
      </w:r>
      <w:r w:rsidRPr="00EB33CC">
        <w:rPr>
          <w:rFonts w:ascii="Times New Roman" w:hAnsi="Times New Roman" w:cs="Times New Roman"/>
        </w:rPr>
        <w:t xml:space="preserve">%, </w:t>
      </w:r>
      <w:r w:rsidRPr="00EB33CC">
        <w:rPr>
          <w:rFonts w:ascii="Times New Roman" w:hAnsi="Times New Roman" w:cs="Times New Roman" w:hint="default"/>
        </w:rPr>
        <w:t>rozpoč</w:t>
      </w:r>
      <w:r w:rsidRPr="00EB33CC">
        <w:rPr>
          <w:rFonts w:ascii="Times New Roman" w:hAnsi="Times New Roman" w:cs="Times New Roman" w:hint="default"/>
        </w:rPr>
        <w:t>tovaná</w:t>
      </w:r>
      <w:r w:rsidRPr="00EB33CC">
        <w:rPr>
          <w:rFonts w:ascii="Times New Roman" w:hAnsi="Times New Roman" w:cs="Times New Roman" w:hint="default"/>
        </w:rPr>
        <w:t xml:space="preserve"> výš</w:t>
      </w:r>
      <w:r w:rsidRPr="00EB33CC">
        <w:rPr>
          <w:rFonts w:ascii="Times New Roman" w:hAnsi="Times New Roman" w:cs="Times New Roman" w:hint="default"/>
        </w:rPr>
        <w:t>ka na rok 2012 v sume 1,</w:t>
      </w:r>
      <w:r w:rsidR="00265B14">
        <w:rPr>
          <w:rFonts w:ascii="Times New Roman" w:hAnsi="Times New Roman" w:cs="Times New Roman"/>
        </w:rPr>
        <w:t>19</w:t>
      </w:r>
      <w:r>
        <w:rPr>
          <w:rFonts w:ascii="Times New Roman" w:hAnsi="Times New Roman" w:cs="Times New Roman"/>
        </w:rPr>
        <w:t> </w:t>
      </w:r>
      <w:r w:rsidRPr="00EB33CC">
        <w:rPr>
          <w:rFonts w:ascii="Times New Roman" w:hAnsi="Times New Roman" w:cs="Times New Roman" w:hint="default"/>
        </w:rPr>
        <w:t>mil. eur zohľ</w:t>
      </w:r>
      <w:r w:rsidRPr="00EB33CC">
        <w:rPr>
          <w:rFonts w:ascii="Times New Roman" w:hAnsi="Times New Roman" w:cs="Times New Roman" w:hint="default"/>
        </w:rPr>
        <w:t>adň</w:t>
      </w:r>
      <w:r w:rsidRPr="00EB33CC">
        <w:rPr>
          <w:rFonts w:ascii="Times New Roman" w:hAnsi="Times New Roman" w:cs="Times New Roman" w:hint="default"/>
        </w:rPr>
        <w:t>uje pokles celkový</w:t>
      </w:r>
      <w:r w:rsidRPr="00EB33CC">
        <w:rPr>
          <w:rFonts w:ascii="Times New Roman" w:hAnsi="Times New Roman" w:cs="Times New Roman" w:hint="default"/>
        </w:rPr>
        <w:t>ch prí</w:t>
      </w:r>
      <w:r w:rsidRPr="00EB33CC">
        <w:rPr>
          <w:rFonts w:ascii="Times New Roman" w:hAnsi="Times New Roman" w:cs="Times New Roman" w:hint="default"/>
        </w:rPr>
        <w:t>jmov.</w:t>
      </w:r>
      <w:r w:rsidRPr="00EB33CC">
        <w:rPr>
          <w:rFonts w:ascii="Times New Roman" w:hAnsi="Times New Roman" w:cs="Times New Roman"/>
        </w:rPr>
        <w:t xml:space="preserve"> Kapitálové výdavky sa rozpočtujú na úrovni schváleného rozpočtu 2011 vo výške 60 tis. eur.</w:t>
      </w:r>
    </w:p>
    <w:p w:rsidR="00FA46D7" w:rsidRPr="00EB33CC" w:rsidP="00FA46D7">
      <w:pPr>
        <w:bidi w:val="0"/>
        <w:ind w:firstLine="708"/>
        <w:jc w:val="both"/>
        <w:rPr>
          <w:rFonts w:ascii="Times New Roman" w:hAnsi="Times New Roman"/>
          <w:color w:val="000000"/>
        </w:rPr>
      </w:pPr>
      <w:r w:rsidRPr="00EB33CC">
        <w:rPr>
          <w:rFonts w:ascii="Times New Roman" w:hAnsi="Times New Roman"/>
          <w:color w:val="000000"/>
        </w:rPr>
        <w:t>Celkový hotovostný prebytok TASR sa v roku 2012 predpokladá vo výške 56 tis. eur. Saldo hospodárenia vyjadrené v metodike ESA 95 sa predpokladá vyrovnané.</w:t>
      </w:r>
    </w:p>
    <w:p w:rsidR="007B1DFC" w:rsidRPr="007B1DFC" w:rsidP="007B1DFC">
      <w:pPr>
        <w:bidi w:val="0"/>
        <w:jc w:val="both"/>
        <w:rPr>
          <w:rFonts w:ascii="Times New Roman" w:hAnsi="Times New Roman"/>
        </w:rPr>
      </w:pPr>
    </w:p>
    <w:p w:rsidR="007B1DFC" w:rsidRPr="007B1DFC" w:rsidP="007B1DFC">
      <w:pPr>
        <w:bidi w:val="0"/>
        <w:rPr>
          <w:rFonts w:ascii="Times New Roman" w:hAnsi="Times New Roman"/>
        </w:rPr>
      </w:pPr>
      <w:r w:rsidRPr="007B1DFC">
        <w:rPr>
          <w:rFonts w:ascii="Times New Roman" w:hAnsi="Times New Roman"/>
          <w:b/>
          <w:bCs/>
        </w:rPr>
        <w:t>14. Úrad pre dohľad nad výkonom auditu</w:t>
      </w:r>
    </w:p>
    <w:p w:rsidR="00FA46D7" w:rsidRPr="00EB33CC" w:rsidP="00FA46D7">
      <w:pPr>
        <w:bidi w:val="0"/>
        <w:ind w:firstLine="708"/>
        <w:jc w:val="both"/>
        <w:rPr>
          <w:rFonts w:ascii="Times New Roman" w:hAnsi="Times New Roman"/>
        </w:rPr>
      </w:pPr>
    </w:p>
    <w:p w:rsidR="00FA46D7" w:rsidP="00FA46D7">
      <w:pPr>
        <w:bidi w:val="0"/>
        <w:ind w:firstLine="708"/>
        <w:jc w:val="both"/>
        <w:rPr>
          <w:rFonts w:ascii="Times New Roman" w:hAnsi="Times New Roman"/>
        </w:rPr>
      </w:pPr>
      <w:r w:rsidRPr="00EB33CC">
        <w:rPr>
          <w:rFonts w:ascii="Times New Roman" w:hAnsi="Times New Roman"/>
        </w:rPr>
        <w:t>Vývoj príjmovej a výdavkovej časti rozpočtu úradu na roky 2012 až 2014 je nasledovný:</w:t>
      </w:r>
    </w:p>
    <w:p w:rsidR="00FA46D7" w:rsidRPr="00EB33CC" w:rsidP="00FA46D7">
      <w:pPr>
        <w:bidi w:val="0"/>
        <w:ind w:firstLine="708"/>
        <w:jc w:val="both"/>
        <w:rPr>
          <w:rFonts w:ascii="Times New Roman" w:hAnsi="Times New Roman"/>
        </w:rPr>
      </w:pPr>
    </w:p>
    <w:tbl>
      <w:tblPr>
        <w:tblStyle w:val="TableNormal"/>
        <w:tblW w:w="5017" w:type="pct"/>
        <w:tblCellMar>
          <w:left w:w="70" w:type="dxa"/>
          <w:right w:w="70" w:type="dxa"/>
        </w:tblCellMar>
        <w:tblLook w:val="04A0"/>
      </w:tblPr>
      <w:tblGrid>
        <w:gridCol w:w="3671"/>
        <w:gridCol w:w="863"/>
        <w:gridCol w:w="741"/>
        <w:gridCol w:w="863"/>
        <w:gridCol w:w="878"/>
        <w:gridCol w:w="741"/>
        <w:gridCol w:w="743"/>
        <w:gridCol w:w="741"/>
      </w:tblGrid>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FA46D7" w:rsidRPr="00F27ABF" w:rsidP="00FA46D7">
            <w:pPr>
              <w:bidi w:val="0"/>
              <w:jc w:val="both"/>
              <w:rPr>
                <w:rFonts w:ascii="Times New Roman" w:hAnsi="Times New Roman"/>
                <w:b/>
                <w:sz w:val="16"/>
                <w:szCs w:val="16"/>
              </w:rPr>
            </w:pPr>
            <w:r>
              <w:rPr>
                <w:rFonts w:ascii="Times New Roman" w:hAnsi="Times New Roman"/>
                <w:b/>
                <w:sz w:val="16"/>
                <w:szCs w:val="16"/>
              </w:rPr>
              <w:t>v tis. eur</w:t>
            </w:r>
          </w:p>
        </w:tc>
        <w:tc>
          <w:tcPr>
            <w:tcW w:w="46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2009 S</w:t>
            </w:r>
          </w:p>
        </w:tc>
        <w:tc>
          <w:tcPr>
            <w:tcW w:w="40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2010 S</w:t>
            </w:r>
          </w:p>
        </w:tc>
        <w:tc>
          <w:tcPr>
            <w:tcW w:w="46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R</w:t>
            </w:r>
          </w:p>
        </w:tc>
        <w:tc>
          <w:tcPr>
            <w:tcW w:w="47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OS</w:t>
            </w:r>
          </w:p>
        </w:tc>
        <w:tc>
          <w:tcPr>
            <w:tcW w:w="40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2012 N</w:t>
            </w:r>
          </w:p>
        </w:tc>
        <w:tc>
          <w:tcPr>
            <w:tcW w:w="40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2013 N</w:t>
            </w:r>
          </w:p>
        </w:tc>
        <w:tc>
          <w:tcPr>
            <w:tcW w:w="40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2014 N</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Príjmy UDVA spolu</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1 019</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1 138</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987</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P="00FA46D7">
            <w:pPr>
              <w:bidi w:val="0"/>
              <w:jc w:val="right"/>
              <w:rPr>
                <w:rFonts w:ascii="Arial Narrow" w:hAnsi="Arial Narrow" w:cs="Arial"/>
                <w:b/>
                <w:bCs/>
                <w:i/>
                <w:iCs/>
                <w:sz w:val="16"/>
                <w:szCs w:val="16"/>
              </w:rPr>
            </w:pPr>
            <w:r>
              <w:rPr>
                <w:rFonts w:ascii="Arial Narrow" w:hAnsi="Arial Narrow" w:cs="Arial"/>
                <w:b/>
                <w:bCs/>
                <w:i/>
                <w:iCs/>
                <w:sz w:val="16"/>
                <w:szCs w:val="16"/>
              </w:rPr>
              <w:t>1 324</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P="00FA46D7">
            <w:pPr>
              <w:bidi w:val="0"/>
              <w:jc w:val="right"/>
              <w:rPr>
                <w:rFonts w:ascii="Arial Narrow" w:hAnsi="Arial Narrow" w:cs="Arial"/>
                <w:b/>
                <w:bCs/>
                <w:i/>
                <w:iCs/>
                <w:sz w:val="16"/>
                <w:szCs w:val="16"/>
              </w:rPr>
            </w:pPr>
            <w:r>
              <w:rPr>
                <w:rFonts w:ascii="Arial Narrow" w:hAnsi="Arial Narrow" w:cs="Arial"/>
                <w:b/>
                <w:bCs/>
                <w:i/>
                <w:iCs/>
                <w:sz w:val="16"/>
                <w:szCs w:val="16"/>
              </w:rPr>
              <w:t>1 213</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P="00FA46D7">
            <w:pPr>
              <w:bidi w:val="0"/>
              <w:jc w:val="right"/>
              <w:rPr>
                <w:rFonts w:ascii="Arial Narrow" w:hAnsi="Arial Narrow" w:cs="Arial"/>
                <w:b/>
                <w:bCs/>
                <w:i/>
                <w:iCs/>
                <w:sz w:val="16"/>
                <w:szCs w:val="16"/>
              </w:rPr>
            </w:pPr>
            <w:r>
              <w:rPr>
                <w:rFonts w:ascii="Arial Narrow" w:hAnsi="Arial Narrow" w:cs="Arial"/>
                <w:b/>
                <w:bCs/>
                <w:i/>
                <w:iCs/>
                <w:sz w:val="16"/>
                <w:szCs w:val="16"/>
              </w:rPr>
              <w:t>1 146</w:t>
            </w:r>
          </w:p>
        </w:tc>
        <w:tc>
          <w:tcPr>
            <w:tcW w:w="401" w:type="pct"/>
            <w:tcBorders>
              <w:top w:val="nil"/>
              <w:left w:val="nil"/>
              <w:bottom w:val="single" w:sz="4" w:space="0" w:color="auto"/>
              <w:right w:val="single" w:sz="4" w:space="0" w:color="auto"/>
            </w:tcBorders>
            <w:shd w:val="clear" w:color="auto" w:fill="BFBFBF"/>
            <w:noWrap/>
            <w:textDirection w:val="lrTb"/>
            <w:vAlign w:val="center"/>
            <w:hideMark/>
          </w:tcPr>
          <w:p w:rsidR="00FA46D7" w:rsidP="00FA46D7">
            <w:pPr>
              <w:bidi w:val="0"/>
              <w:jc w:val="right"/>
              <w:rPr>
                <w:rFonts w:ascii="Arial Narrow" w:hAnsi="Arial Narrow" w:cs="Arial"/>
                <w:b/>
                <w:bCs/>
                <w:i/>
                <w:iCs/>
                <w:sz w:val="16"/>
                <w:szCs w:val="16"/>
              </w:rPr>
            </w:pPr>
            <w:r>
              <w:rPr>
                <w:rFonts w:ascii="Arial Narrow" w:hAnsi="Arial Narrow" w:cs="Arial"/>
                <w:b/>
                <w:bCs/>
                <w:i/>
                <w:iCs/>
                <w:sz w:val="16"/>
                <w:szCs w:val="16"/>
              </w:rPr>
              <w:t>1 089</w:t>
            </w:r>
          </w:p>
        </w:tc>
      </w:tr>
      <w:tr>
        <w:tblPrEx>
          <w:tblW w:w="5017" w:type="pct"/>
          <w:tblCellMar>
            <w:left w:w="70" w:type="dxa"/>
            <w:right w:w="70" w:type="dxa"/>
          </w:tblCellMar>
          <w:tblLook w:val="04A0"/>
        </w:tblPrEx>
        <w:trPr>
          <w:trHeight w:val="227"/>
        </w:trPr>
        <w:tc>
          <w:tcPr>
            <w:tcW w:w="4599" w:type="pct"/>
            <w:gridSpan w:val="7"/>
            <w:tcBorders>
              <w:top w:val="single" w:sz="4" w:space="0" w:color="auto"/>
              <w:left w:val="single" w:sz="4" w:space="0" w:color="auto"/>
              <w:bottom w:val="single" w:sz="4" w:space="0" w:color="auto"/>
              <w:right w:val="nil"/>
            </w:tcBorders>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z toho:</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nedaňové príjmy, z toho:</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475</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526</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450</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544</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457</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468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478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administratívne a iné poplatky</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53</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47</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32</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58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38</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úroky z tuzemských úverov, pôžičiek</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 </w:t>
            </w:r>
            <w:r>
              <w:rPr>
                <w:rFonts w:ascii="Times New Roman" w:hAnsi="Times New Roman"/>
                <w:sz w:val="16"/>
                <w:szCs w:val="16"/>
              </w:rPr>
              <w:t>0</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0</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ostatné nedaňové príjmy</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422</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479</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418</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486</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419</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430</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440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granty a transfery, z toho</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249</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265</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268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tuzemské bežné transfery a granty</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249</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265</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268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 xml:space="preserve">       zo štátneho rozpočtu</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249</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265</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75" w:type="pct"/>
            <w:tcBorders>
              <w:top w:val="nil"/>
              <w:left w:val="nil"/>
              <w:bottom w:val="single" w:sz="4" w:space="0" w:color="auto"/>
              <w:right w:val="single" w:sz="4" w:space="0" w:color="auto"/>
            </w:tcBorders>
            <w:noWrap/>
            <w:textDirection w:val="lrTb"/>
            <w:vAlign w:val="bottom"/>
            <w:hideMark/>
          </w:tcPr>
          <w:p w:rsidR="00FA46D7" w:rsidP="00FA46D7">
            <w:pPr>
              <w:bidi w:val="0"/>
              <w:jc w:val="right"/>
              <w:rPr>
                <w:rFonts w:ascii="Arial Narrow" w:hAnsi="Arial Narrow" w:cs="Arial"/>
                <w:sz w:val="16"/>
                <w:szCs w:val="16"/>
              </w:rPr>
            </w:pPr>
            <w:r>
              <w:rPr>
                <w:rFonts w:ascii="Arial Narrow" w:hAnsi="Arial Narrow" w:cs="Arial"/>
                <w:sz w:val="16"/>
                <w:szCs w:val="16"/>
              </w:rPr>
              <w:t>268</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0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268</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príjmové finančné operácie, z toho:</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295</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347</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269</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512</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488</w:t>
            </w:r>
          </w:p>
        </w:tc>
        <w:tc>
          <w:tcPr>
            <w:tcW w:w="402"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410</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343</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160" w:firstLineChars="100"/>
              <w:rPr>
                <w:rFonts w:ascii="Times New Roman" w:hAnsi="Times New Roman"/>
                <w:sz w:val="16"/>
                <w:szCs w:val="16"/>
              </w:rPr>
            </w:pPr>
            <w:r w:rsidRPr="00F27ABF">
              <w:rPr>
                <w:rFonts w:ascii="Times New Roman" w:hAnsi="Times New Roman"/>
                <w:sz w:val="16"/>
                <w:szCs w:val="16"/>
              </w:rPr>
              <w:t xml:space="preserve">     prevod prostriedkov z predchádzajúcich rokov</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295</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w:t>
            </w:r>
            <w:r>
              <w:rPr>
                <w:rFonts w:ascii="Times New Roman" w:hAnsi="Times New Roman"/>
                <w:sz w:val="16"/>
                <w:szCs w:val="16"/>
              </w:rPr>
              <w:t>31</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269</w:t>
            </w:r>
          </w:p>
        </w:tc>
        <w:tc>
          <w:tcPr>
            <w:tcW w:w="475"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512</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488</w:t>
            </w:r>
          </w:p>
        </w:tc>
        <w:tc>
          <w:tcPr>
            <w:tcW w:w="402"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410</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Pr>
                <w:rFonts w:ascii="Arial Narrow" w:hAnsi="Arial Narrow" w:cs="Arial"/>
                <w:sz w:val="16"/>
                <w:szCs w:val="16"/>
              </w:rPr>
              <w:t>343</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Výdavky UDVA spolu</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688</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625</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803</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836</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803</w:t>
            </w:r>
          </w:p>
        </w:tc>
        <w:tc>
          <w:tcPr>
            <w:tcW w:w="402" w:type="pct"/>
            <w:tcBorders>
              <w:top w:val="nil"/>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803</w:t>
            </w:r>
          </w:p>
        </w:tc>
        <w:tc>
          <w:tcPr>
            <w:tcW w:w="401" w:type="pct"/>
            <w:tcBorders>
              <w:top w:val="nil"/>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803</w:t>
            </w:r>
          </w:p>
        </w:tc>
      </w:tr>
      <w:tr>
        <w:tblPrEx>
          <w:tblW w:w="5017" w:type="pct"/>
          <w:tblCellMar>
            <w:left w:w="70" w:type="dxa"/>
            <w:right w:w="70" w:type="dxa"/>
          </w:tblCellMar>
          <w:tblLook w:val="04A0"/>
        </w:tblPrEx>
        <w:trPr>
          <w:trHeight w:val="227"/>
        </w:trPr>
        <w:tc>
          <w:tcPr>
            <w:tcW w:w="4599" w:type="pct"/>
            <w:gridSpan w:val="7"/>
            <w:tcBorders>
              <w:top w:val="single" w:sz="4" w:space="0" w:color="auto"/>
              <w:left w:val="single" w:sz="4" w:space="0" w:color="auto"/>
              <w:bottom w:val="single" w:sz="4" w:space="0" w:color="auto"/>
              <w:right w:val="nil"/>
            </w:tcBorders>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z toho:</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bežné výdavky, z toho:</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670</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620</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799</w:t>
            </w:r>
          </w:p>
        </w:tc>
        <w:tc>
          <w:tcPr>
            <w:tcW w:w="475"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832</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799</w:t>
            </w:r>
          </w:p>
        </w:tc>
        <w:tc>
          <w:tcPr>
            <w:tcW w:w="402"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799</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799</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FA46D7" w:rsidRPr="00F27ABF" w:rsidP="00FA46D7">
            <w:pPr>
              <w:bidi w:val="0"/>
              <w:ind w:firstLine="160" w:firstLineChars="100"/>
              <w:rPr>
                <w:rFonts w:ascii="Times New Roman" w:hAnsi="Times New Roman"/>
                <w:sz w:val="16"/>
                <w:szCs w:val="16"/>
              </w:rPr>
            </w:pPr>
            <w:r w:rsidRPr="00F27ABF">
              <w:rPr>
                <w:rFonts w:ascii="Times New Roman" w:hAnsi="Times New Roman"/>
                <w:sz w:val="16"/>
                <w:szCs w:val="16"/>
              </w:rPr>
              <w:t xml:space="preserve">      mzdy </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327</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291</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481</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481</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481</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481</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481</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FA46D7" w:rsidRPr="00F27ABF" w:rsidP="00FA46D7">
            <w:pPr>
              <w:bidi w:val="0"/>
              <w:ind w:firstLine="160" w:firstLineChars="100"/>
              <w:rPr>
                <w:rFonts w:ascii="Times New Roman" w:hAnsi="Times New Roman"/>
                <w:sz w:val="16"/>
                <w:szCs w:val="16"/>
              </w:rPr>
            </w:pPr>
            <w:r w:rsidRPr="00F27ABF">
              <w:rPr>
                <w:rFonts w:ascii="Times New Roman" w:hAnsi="Times New Roman"/>
                <w:sz w:val="16"/>
                <w:szCs w:val="16"/>
              </w:rPr>
              <w:t xml:space="preserve">      odvody</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82</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95</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94</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94</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94</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94</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94</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FA46D7" w:rsidRPr="00F27ABF" w:rsidP="00FA46D7">
            <w:pPr>
              <w:bidi w:val="0"/>
              <w:ind w:firstLine="160" w:firstLineChars="100"/>
              <w:rPr>
                <w:rFonts w:ascii="Times New Roman" w:hAnsi="Times New Roman"/>
                <w:sz w:val="16"/>
                <w:szCs w:val="16"/>
              </w:rPr>
            </w:pPr>
            <w:r w:rsidRPr="00F27ABF">
              <w:rPr>
                <w:rFonts w:ascii="Times New Roman" w:hAnsi="Times New Roman"/>
                <w:sz w:val="16"/>
                <w:szCs w:val="16"/>
              </w:rPr>
              <w:t xml:space="preserve">      tovary a služby</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261</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234</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224</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257</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224</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224</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224</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kapitálové výdavky</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18</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výdavky z transakcií s fin. akt. a pas. (FO) </w:t>
            </w:r>
          </w:p>
        </w:tc>
        <w:tc>
          <w:tcPr>
            <w:tcW w:w="467"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r w:rsidRPr="00F27ABF">
              <w:rPr>
                <w:rFonts w:ascii="Times New Roman" w:hAnsi="Times New Roman"/>
                <w:sz w:val="16"/>
                <w:szCs w:val="16"/>
              </w:rPr>
              <w:t> </w:t>
            </w:r>
          </w:p>
        </w:tc>
        <w:tc>
          <w:tcPr>
            <w:tcW w:w="401" w:type="pct"/>
            <w:tcBorders>
              <w:top w:val="nil"/>
              <w:left w:val="nil"/>
              <w:bottom w:val="single" w:sz="4" w:space="0" w:color="auto"/>
              <w:right w:val="single" w:sz="4" w:space="0" w:color="auto"/>
            </w:tcBorders>
            <w:noWrap/>
            <w:textDirection w:val="lrTb"/>
            <w:vAlign w:val="bottom"/>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r w:rsidRPr="00F27ABF">
              <w:rPr>
                <w:rFonts w:ascii="Times New Roman" w:hAnsi="Times New Roman"/>
                <w:sz w:val="16"/>
                <w:szCs w:val="16"/>
              </w:rPr>
              <w:t> </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r w:rsidRPr="00F27ABF">
              <w:rPr>
                <w:rFonts w:ascii="Times New Roman" w:hAnsi="Times New Roman"/>
                <w:sz w:val="16"/>
                <w:szCs w:val="16"/>
              </w:rPr>
              <w:t> </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r w:rsidRPr="00F27ABF">
              <w:rPr>
                <w:rFonts w:ascii="Times New Roman" w:hAnsi="Times New Roman"/>
                <w:sz w:val="16"/>
                <w:szCs w:val="16"/>
              </w:rPr>
              <w:t> </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r w:rsidRPr="00F27ABF">
              <w:rPr>
                <w:rFonts w:ascii="Times New Roman" w:hAnsi="Times New Roman"/>
                <w:sz w:val="16"/>
                <w:szCs w:val="16"/>
              </w:rPr>
              <w:t> </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r w:rsidRPr="00F27ABF">
              <w:rPr>
                <w:rFonts w:ascii="Times New Roman" w:hAnsi="Times New Roman"/>
                <w:sz w:val="16"/>
                <w:szCs w:val="16"/>
              </w:rPr>
              <w:t> </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Pr>
                <w:rFonts w:ascii="Times New Roman" w:hAnsi="Times New Roman"/>
                <w:sz w:val="16"/>
                <w:szCs w:val="16"/>
              </w:rPr>
              <w:t>0</w:t>
            </w:r>
            <w:r w:rsidRPr="00F27ABF">
              <w:rPr>
                <w:rFonts w:ascii="Times New Roman" w:hAnsi="Times New Roman"/>
                <w:sz w:val="16"/>
                <w:szCs w:val="16"/>
              </w:rPr>
              <w:t> </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Celkový prebytok UDVA</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331</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513</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184</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Pr>
                <w:rFonts w:ascii="Times New Roman" w:hAnsi="Times New Roman"/>
                <w:b/>
                <w:bCs/>
                <w:i/>
                <w:iCs/>
                <w:sz w:val="16"/>
                <w:szCs w:val="16"/>
              </w:rPr>
              <w:t>488</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P="00FA46D7">
            <w:pPr>
              <w:bidi w:val="0"/>
              <w:jc w:val="right"/>
              <w:rPr>
                <w:rFonts w:ascii="Arial Narrow" w:hAnsi="Arial Narrow" w:cs="Arial"/>
                <w:b/>
                <w:bCs/>
                <w:i/>
                <w:iCs/>
                <w:sz w:val="16"/>
                <w:szCs w:val="16"/>
              </w:rPr>
            </w:pPr>
            <w:r>
              <w:rPr>
                <w:rFonts w:ascii="Arial Narrow" w:hAnsi="Arial Narrow" w:cs="Arial"/>
                <w:b/>
                <w:bCs/>
                <w:i/>
                <w:iCs/>
                <w:sz w:val="16"/>
                <w:szCs w:val="16"/>
              </w:rPr>
              <w:t>410</w:t>
            </w:r>
          </w:p>
        </w:tc>
        <w:tc>
          <w:tcPr>
            <w:tcW w:w="402" w:type="pct"/>
            <w:tcBorders>
              <w:top w:val="nil"/>
              <w:left w:val="nil"/>
              <w:bottom w:val="single" w:sz="4" w:space="0" w:color="auto"/>
              <w:right w:val="single" w:sz="4" w:space="0" w:color="auto"/>
            </w:tcBorders>
            <w:shd w:val="clear" w:color="auto" w:fill="BFBFBF"/>
            <w:noWrap/>
            <w:textDirection w:val="lrTb"/>
            <w:vAlign w:val="center"/>
            <w:hideMark/>
          </w:tcPr>
          <w:p w:rsidR="00FA46D7" w:rsidP="00FA46D7">
            <w:pPr>
              <w:bidi w:val="0"/>
              <w:jc w:val="right"/>
              <w:rPr>
                <w:rFonts w:ascii="Arial Narrow" w:hAnsi="Arial Narrow" w:cs="Arial"/>
                <w:b/>
                <w:bCs/>
                <w:i/>
                <w:iCs/>
                <w:sz w:val="16"/>
                <w:szCs w:val="16"/>
              </w:rPr>
            </w:pPr>
            <w:r>
              <w:rPr>
                <w:rFonts w:ascii="Arial Narrow" w:hAnsi="Arial Narrow" w:cs="Arial"/>
                <w:b/>
                <w:bCs/>
                <w:i/>
                <w:iCs/>
                <w:sz w:val="16"/>
                <w:szCs w:val="16"/>
              </w:rPr>
              <w:t>343</w:t>
            </w:r>
          </w:p>
        </w:tc>
        <w:tc>
          <w:tcPr>
            <w:tcW w:w="401" w:type="pct"/>
            <w:tcBorders>
              <w:top w:val="nil"/>
              <w:left w:val="nil"/>
              <w:bottom w:val="single" w:sz="4" w:space="0" w:color="auto"/>
              <w:right w:val="single" w:sz="4" w:space="0" w:color="auto"/>
            </w:tcBorders>
            <w:shd w:val="clear" w:color="auto" w:fill="BFBFBF"/>
            <w:noWrap/>
            <w:textDirection w:val="lrTb"/>
            <w:vAlign w:val="center"/>
            <w:hideMark/>
          </w:tcPr>
          <w:p w:rsidR="00FA46D7" w:rsidP="00FA46D7">
            <w:pPr>
              <w:bidi w:val="0"/>
              <w:jc w:val="right"/>
              <w:rPr>
                <w:rFonts w:ascii="Arial Narrow" w:hAnsi="Arial Narrow" w:cs="Arial"/>
                <w:b/>
                <w:bCs/>
                <w:i/>
                <w:iCs/>
                <w:sz w:val="16"/>
                <w:szCs w:val="16"/>
              </w:rPr>
            </w:pPr>
            <w:r>
              <w:rPr>
                <w:rFonts w:ascii="Arial Narrow" w:hAnsi="Arial Narrow" w:cs="Arial"/>
                <w:b/>
                <w:bCs/>
                <w:i/>
                <w:iCs/>
                <w:sz w:val="16"/>
                <w:szCs w:val="16"/>
              </w:rPr>
              <w:t>286</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vylúčenie finančných operácií</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b/>
                <w:bCs/>
                <w:i/>
                <w:iCs/>
                <w:sz w:val="16"/>
                <w:szCs w:val="16"/>
              </w:rPr>
            </w:pPr>
            <w:r w:rsidR="003D5D39">
              <w:rPr>
                <w:rFonts w:ascii="Times New Roman" w:hAnsi="Times New Roman"/>
                <w:b/>
                <w:bCs/>
                <w:i/>
                <w:iCs/>
                <w:sz w:val="16"/>
                <w:szCs w:val="16"/>
              </w:rPr>
              <w:t>-</w:t>
            </w:r>
            <w:r w:rsidRPr="00F27ABF">
              <w:rPr>
                <w:rFonts w:ascii="Times New Roman" w:hAnsi="Times New Roman"/>
                <w:b/>
                <w:bCs/>
                <w:i/>
                <w:iCs/>
                <w:sz w:val="16"/>
                <w:szCs w:val="16"/>
              </w:rPr>
              <w:t>295</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b/>
                <w:bCs/>
                <w:i/>
                <w:iCs/>
                <w:sz w:val="16"/>
                <w:szCs w:val="16"/>
              </w:rPr>
            </w:pPr>
            <w:r w:rsidR="003D5D39">
              <w:rPr>
                <w:rFonts w:ascii="Times New Roman" w:hAnsi="Times New Roman"/>
                <w:b/>
                <w:bCs/>
                <w:i/>
                <w:iCs/>
                <w:sz w:val="16"/>
                <w:szCs w:val="16"/>
              </w:rPr>
              <w:t>-</w:t>
            </w:r>
            <w:r w:rsidRPr="00F27ABF">
              <w:rPr>
                <w:rFonts w:ascii="Times New Roman" w:hAnsi="Times New Roman"/>
                <w:b/>
                <w:bCs/>
                <w:i/>
                <w:iCs/>
                <w:sz w:val="16"/>
                <w:szCs w:val="16"/>
              </w:rPr>
              <w:t>347</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b/>
                <w:bCs/>
                <w:i/>
                <w:iCs/>
                <w:sz w:val="16"/>
                <w:szCs w:val="16"/>
              </w:rPr>
            </w:pPr>
            <w:r w:rsidR="003D5D39">
              <w:rPr>
                <w:rFonts w:ascii="Times New Roman" w:hAnsi="Times New Roman"/>
                <w:b/>
                <w:bCs/>
                <w:i/>
                <w:iCs/>
                <w:sz w:val="16"/>
                <w:szCs w:val="16"/>
              </w:rPr>
              <w:t>-</w:t>
            </w:r>
            <w:r w:rsidRPr="00F27ABF">
              <w:rPr>
                <w:rFonts w:ascii="Times New Roman" w:hAnsi="Times New Roman"/>
                <w:b/>
                <w:bCs/>
                <w:i/>
                <w:iCs/>
                <w:sz w:val="16"/>
                <w:szCs w:val="16"/>
              </w:rPr>
              <w:t>269</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b/>
                <w:bCs/>
                <w:i/>
                <w:iCs/>
                <w:sz w:val="16"/>
                <w:szCs w:val="16"/>
              </w:rPr>
            </w:pPr>
            <w:r w:rsidR="003D5D39">
              <w:rPr>
                <w:rFonts w:ascii="Times New Roman" w:hAnsi="Times New Roman"/>
                <w:b/>
                <w:bCs/>
                <w:i/>
                <w:iCs/>
                <w:sz w:val="16"/>
                <w:szCs w:val="16"/>
              </w:rPr>
              <w:t>-</w:t>
            </w:r>
            <w:r w:rsidRPr="00F27ABF">
              <w:rPr>
                <w:rFonts w:ascii="Times New Roman" w:hAnsi="Times New Roman"/>
                <w:b/>
                <w:bCs/>
                <w:i/>
                <w:iCs/>
                <w:sz w:val="16"/>
                <w:szCs w:val="16"/>
              </w:rPr>
              <w:t>512</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b/>
                <w:bCs/>
                <w:i/>
                <w:iCs/>
                <w:sz w:val="16"/>
                <w:szCs w:val="16"/>
              </w:rPr>
            </w:pPr>
            <w:r w:rsidR="003D5D39">
              <w:rPr>
                <w:rFonts w:ascii="Arial Narrow" w:hAnsi="Arial Narrow" w:cs="Arial"/>
                <w:b/>
                <w:bCs/>
                <w:i/>
                <w:iCs/>
                <w:sz w:val="16"/>
                <w:szCs w:val="16"/>
              </w:rPr>
              <w:t>-</w:t>
            </w:r>
            <w:r>
              <w:rPr>
                <w:rFonts w:ascii="Arial Narrow" w:hAnsi="Arial Narrow" w:cs="Arial"/>
                <w:b/>
                <w:bCs/>
                <w:i/>
                <w:iCs/>
                <w:sz w:val="16"/>
                <w:szCs w:val="16"/>
              </w:rPr>
              <w:t>488</w:t>
            </w:r>
          </w:p>
        </w:tc>
        <w:tc>
          <w:tcPr>
            <w:tcW w:w="402"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b/>
                <w:bCs/>
                <w:i/>
                <w:iCs/>
                <w:sz w:val="16"/>
                <w:szCs w:val="16"/>
              </w:rPr>
            </w:pPr>
            <w:r w:rsidR="003D5D39">
              <w:rPr>
                <w:rFonts w:ascii="Arial Narrow" w:hAnsi="Arial Narrow" w:cs="Arial"/>
                <w:b/>
                <w:bCs/>
                <w:i/>
                <w:iCs/>
                <w:sz w:val="16"/>
                <w:szCs w:val="16"/>
              </w:rPr>
              <w:t>-</w:t>
            </w:r>
            <w:r>
              <w:rPr>
                <w:rFonts w:ascii="Arial Narrow" w:hAnsi="Arial Narrow" w:cs="Arial"/>
                <w:b/>
                <w:bCs/>
                <w:i/>
                <w:iCs/>
                <w:sz w:val="16"/>
                <w:szCs w:val="16"/>
              </w:rPr>
              <w:t>410</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b/>
                <w:bCs/>
                <w:i/>
                <w:iCs/>
                <w:sz w:val="16"/>
                <w:szCs w:val="16"/>
              </w:rPr>
            </w:pPr>
            <w:r w:rsidR="003D5D39">
              <w:rPr>
                <w:rFonts w:ascii="Arial Narrow" w:hAnsi="Arial Narrow" w:cs="Arial"/>
                <w:b/>
                <w:bCs/>
                <w:i/>
                <w:iCs/>
                <w:sz w:val="16"/>
                <w:szCs w:val="16"/>
              </w:rPr>
              <w:t>-</w:t>
            </w:r>
            <w:r>
              <w:rPr>
                <w:rFonts w:ascii="Arial Narrow" w:hAnsi="Arial Narrow" w:cs="Arial"/>
                <w:b/>
                <w:bCs/>
                <w:i/>
                <w:iCs/>
                <w:sz w:val="16"/>
                <w:szCs w:val="16"/>
              </w:rPr>
              <w:t>343</w:t>
            </w:r>
          </w:p>
        </w:tc>
      </w:tr>
      <w:tr>
        <w:tblPrEx>
          <w:tblW w:w="5017" w:type="pct"/>
          <w:tblCellMar>
            <w:left w:w="70" w:type="dxa"/>
            <w:right w:w="70" w:type="dxa"/>
          </w:tblCellMar>
          <w:tblLook w:val="04A0"/>
        </w:tblPrEx>
        <w:trPr>
          <w:trHeight w:val="227"/>
        </w:trPr>
        <w:tc>
          <w:tcPr>
            <w:tcW w:w="4599" w:type="pct"/>
            <w:gridSpan w:val="7"/>
            <w:tcBorders>
              <w:top w:val="single" w:sz="4" w:space="0" w:color="auto"/>
              <w:left w:val="single" w:sz="4" w:space="0" w:color="auto"/>
              <w:bottom w:val="single" w:sz="4" w:space="0" w:color="auto"/>
              <w:right w:val="nil"/>
            </w:tcBorders>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z toho:</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   vylúčenie príjmových finančných operácií</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003D5D39">
              <w:rPr>
                <w:rFonts w:ascii="Times New Roman" w:hAnsi="Times New Roman"/>
                <w:sz w:val="16"/>
                <w:szCs w:val="16"/>
              </w:rPr>
              <w:t>-</w:t>
            </w:r>
            <w:r w:rsidRPr="00F27ABF">
              <w:rPr>
                <w:rFonts w:ascii="Times New Roman" w:hAnsi="Times New Roman"/>
                <w:sz w:val="16"/>
                <w:szCs w:val="16"/>
              </w:rPr>
              <w:t>295</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003D5D39">
              <w:rPr>
                <w:rFonts w:ascii="Times New Roman" w:hAnsi="Times New Roman"/>
                <w:sz w:val="16"/>
                <w:szCs w:val="16"/>
              </w:rPr>
              <w:t>-</w:t>
            </w:r>
            <w:r w:rsidRPr="00F27ABF">
              <w:rPr>
                <w:rFonts w:ascii="Times New Roman" w:hAnsi="Times New Roman"/>
                <w:sz w:val="16"/>
                <w:szCs w:val="16"/>
              </w:rPr>
              <w:t>347</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003D5D39">
              <w:rPr>
                <w:rFonts w:ascii="Times New Roman" w:hAnsi="Times New Roman"/>
                <w:sz w:val="16"/>
                <w:szCs w:val="16"/>
              </w:rPr>
              <w:t>-</w:t>
            </w:r>
            <w:r w:rsidRPr="00F27ABF">
              <w:rPr>
                <w:rFonts w:ascii="Times New Roman" w:hAnsi="Times New Roman"/>
                <w:sz w:val="16"/>
                <w:szCs w:val="16"/>
              </w:rPr>
              <w:t>269</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003D5D39">
              <w:rPr>
                <w:rFonts w:ascii="Times New Roman" w:hAnsi="Times New Roman"/>
                <w:sz w:val="16"/>
                <w:szCs w:val="16"/>
              </w:rPr>
              <w:t>-</w:t>
            </w:r>
            <w:r w:rsidRPr="00F27ABF">
              <w:rPr>
                <w:rFonts w:ascii="Times New Roman" w:hAnsi="Times New Roman"/>
                <w:sz w:val="16"/>
                <w:szCs w:val="16"/>
              </w:rPr>
              <w:t>512</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sidR="003D5D39">
              <w:rPr>
                <w:rFonts w:ascii="Arial Narrow" w:hAnsi="Arial Narrow" w:cs="Arial"/>
                <w:sz w:val="16"/>
                <w:szCs w:val="16"/>
              </w:rPr>
              <w:t>-</w:t>
            </w:r>
            <w:r>
              <w:rPr>
                <w:rFonts w:ascii="Arial Narrow" w:hAnsi="Arial Narrow" w:cs="Arial"/>
                <w:sz w:val="16"/>
                <w:szCs w:val="16"/>
              </w:rPr>
              <w:t>488</w:t>
            </w:r>
          </w:p>
        </w:tc>
        <w:tc>
          <w:tcPr>
            <w:tcW w:w="402"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sidR="003D5D39">
              <w:rPr>
                <w:rFonts w:ascii="Arial Narrow" w:hAnsi="Arial Narrow" w:cs="Arial"/>
                <w:sz w:val="16"/>
                <w:szCs w:val="16"/>
              </w:rPr>
              <w:t>-</w:t>
            </w:r>
            <w:r>
              <w:rPr>
                <w:rFonts w:ascii="Arial Narrow" w:hAnsi="Arial Narrow" w:cs="Arial"/>
                <w:sz w:val="16"/>
                <w:szCs w:val="16"/>
              </w:rPr>
              <w:t>410</w:t>
            </w:r>
          </w:p>
        </w:tc>
        <w:tc>
          <w:tcPr>
            <w:tcW w:w="401" w:type="pct"/>
            <w:tcBorders>
              <w:top w:val="nil"/>
              <w:left w:val="nil"/>
              <w:bottom w:val="single" w:sz="4" w:space="0" w:color="auto"/>
              <w:right w:val="single" w:sz="4" w:space="0" w:color="auto"/>
            </w:tcBorders>
            <w:noWrap/>
            <w:textDirection w:val="lrTb"/>
            <w:vAlign w:val="center"/>
            <w:hideMark/>
          </w:tcPr>
          <w:p w:rsidR="00FA46D7" w:rsidP="00FA46D7">
            <w:pPr>
              <w:bidi w:val="0"/>
              <w:jc w:val="right"/>
              <w:rPr>
                <w:rFonts w:ascii="Arial Narrow" w:hAnsi="Arial Narrow" w:cs="Arial"/>
                <w:sz w:val="16"/>
                <w:szCs w:val="16"/>
              </w:rPr>
            </w:pPr>
            <w:r w:rsidR="003D5D39">
              <w:rPr>
                <w:rFonts w:ascii="Arial Narrow" w:hAnsi="Arial Narrow" w:cs="Arial"/>
                <w:sz w:val="16"/>
                <w:szCs w:val="16"/>
              </w:rPr>
              <w:t>-</w:t>
            </w:r>
            <w:r>
              <w:rPr>
                <w:rFonts w:ascii="Arial Narrow" w:hAnsi="Arial Narrow" w:cs="Arial"/>
                <w:sz w:val="16"/>
                <w:szCs w:val="16"/>
              </w:rPr>
              <w:t>343</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   vylúčenie výdavkových finančných operácií</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17" w:type="pct"/>
          <w:tblCellMar>
            <w:left w:w="70" w:type="dxa"/>
            <w:right w:w="70" w:type="dxa"/>
          </w:tblCellMar>
          <w:tblLook w:val="04A0"/>
        </w:tblPrEx>
        <w:trPr>
          <w:trHeight w:val="227"/>
        </w:trPr>
        <w:tc>
          <w:tcPr>
            <w:tcW w:w="198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Ostatné úpravy</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35</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w:t>
            </w:r>
          </w:p>
        </w:tc>
        <w:tc>
          <w:tcPr>
            <w:tcW w:w="467"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 </w:t>
            </w:r>
            <w:r>
              <w:rPr>
                <w:rFonts w:ascii="Times New Roman" w:hAnsi="Times New Roman"/>
                <w:sz w:val="16"/>
                <w:szCs w:val="16"/>
              </w:rPr>
              <w:t>0</w:t>
            </w:r>
          </w:p>
        </w:tc>
        <w:tc>
          <w:tcPr>
            <w:tcW w:w="475" w:type="pct"/>
            <w:tcBorders>
              <w:top w:val="nil"/>
              <w:left w:val="nil"/>
              <w:bottom w:val="single" w:sz="4" w:space="0" w:color="auto"/>
              <w:right w:val="single" w:sz="4" w:space="0" w:color="auto"/>
            </w:tcBorders>
            <w:noWrap/>
            <w:textDirection w:val="lrTb"/>
            <w:vAlign w:val="center"/>
            <w:hideMark/>
          </w:tcPr>
          <w:p w:rsidR="00FA46D7" w:rsidRPr="00F27ABF" w:rsidP="003D5D39">
            <w:pPr>
              <w:bidi w:val="0"/>
              <w:jc w:val="right"/>
              <w:rPr>
                <w:rFonts w:ascii="Times New Roman" w:hAnsi="Times New Roman"/>
                <w:sz w:val="16"/>
                <w:szCs w:val="16"/>
              </w:rPr>
            </w:pPr>
            <w:r>
              <w:rPr>
                <w:rFonts w:ascii="Times New Roman" w:hAnsi="Times New Roman"/>
                <w:sz w:val="16"/>
                <w:szCs w:val="16"/>
              </w:rPr>
              <w:t>2</w:t>
            </w:r>
            <w:r w:rsidR="003D5D39">
              <w:rPr>
                <w:rFonts w:ascii="Times New Roman" w:hAnsi="Times New Roman"/>
                <w:sz w:val="16"/>
                <w:szCs w:val="16"/>
              </w:rPr>
              <w:t>6</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 </w:t>
            </w:r>
            <w:r>
              <w:rPr>
                <w:rFonts w:ascii="Times New Roman" w:hAnsi="Times New Roman"/>
                <w:sz w:val="16"/>
                <w:szCs w:val="16"/>
              </w:rPr>
              <w:t>0</w:t>
            </w:r>
          </w:p>
        </w:tc>
        <w:tc>
          <w:tcPr>
            <w:tcW w:w="402"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 </w:t>
            </w:r>
            <w:r>
              <w:rPr>
                <w:rFonts w:ascii="Times New Roman" w:hAnsi="Times New Roman"/>
                <w:sz w:val="16"/>
                <w:szCs w:val="16"/>
              </w:rPr>
              <w:t>0</w:t>
            </w:r>
          </w:p>
        </w:tc>
        <w:tc>
          <w:tcPr>
            <w:tcW w:w="401"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 </w:t>
            </w:r>
            <w:r>
              <w:rPr>
                <w:rFonts w:ascii="Times New Roman" w:hAnsi="Times New Roman"/>
                <w:sz w:val="16"/>
                <w:szCs w:val="16"/>
              </w:rPr>
              <w:t>0</w:t>
            </w:r>
          </w:p>
        </w:tc>
      </w:tr>
      <w:tr>
        <w:tblPrEx>
          <w:tblW w:w="5017" w:type="pct"/>
          <w:tblCellMar>
            <w:left w:w="70" w:type="dxa"/>
            <w:right w:w="70" w:type="dxa"/>
          </w:tblCellMar>
          <w:tblLook w:val="04A0"/>
        </w:tblPrEx>
        <w:trPr>
          <w:trHeight w:val="227"/>
        </w:trPr>
        <w:tc>
          <w:tcPr>
            <w:tcW w:w="198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A46D7" w:rsidRPr="00F27ABF" w:rsidP="00FA46D7">
            <w:pPr>
              <w:bidi w:val="0"/>
              <w:rPr>
                <w:rFonts w:ascii="Times New Roman" w:hAnsi="Times New Roman"/>
                <w:b/>
                <w:bCs/>
                <w:i/>
                <w:iCs/>
                <w:sz w:val="16"/>
                <w:szCs w:val="16"/>
              </w:rPr>
            </w:pPr>
            <w:r w:rsidRPr="00F27ABF">
              <w:rPr>
                <w:rFonts w:ascii="Times New Roman" w:hAnsi="Times New Roman"/>
                <w:b/>
                <w:bCs/>
                <w:i/>
                <w:iCs/>
                <w:sz w:val="16"/>
                <w:szCs w:val="16"/>
              </w:rPr>
              <w:t>Prebytok UDVA (ESA 95)</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70</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158</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-85</w:t>
            </w:r>
          </w:p>
        </w:tc>
        <w:tc>
          <w:tcPr>
            <w:tcW w:w="475"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Pr>
                <w:rFonts w:ascii="Times New Roman" w:hAnsi="Times New Roman"/>
                <w:b/>
                <w:bCs/>
                <w:i/>
                <w:iCs/>
                <w:sz w:val="16"/>
                <w:szCs w:val="16"/>
              </w:rPr>
              <w:t>2</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-78</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-67</w:t>
            </w:r>
          </w:p>
        </w:tc>
        <w:tc>
          <w:tcPr>
            <w:tcW w:w="401"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FA46D7" w:rsidRPr="00F27ABF" w:rsidP="00FA46D7">
            <w:pPr>
              <w:bidi w:val="0"/>
              <w:jc w:val="right"/>
              <w:rPr>
                <w:rFonts w:ascii="Times New Roman" w:hAnsi="Times New Roman"/>
                <w:b/>
                <w:bCs/>
                <w:i/>
                <w:iCs/>
                <w:sz w:val="16"/>
                <w:szCs w:val="16"/>
              </w:rPr>
            </w:pPr>
            <w:r w:rsidRPr="00F27ABF">
              <w:rPr>
                <w:rFonts w:ascii="Times New Roman" w:hAnsi="Times New Roman"/>
                <w:b/>
                <w:bCs/>
                <w:i/>
                <w:iCs/>
                <w:sz w:val="16"/>
                <w:szCs w:val="16"/>
              </w:rPr>
              <w:t>-57</w:t>
            </w:r>
          </w:p>
        </w:tc>
      </w:tr>
    </w:tbl>
    <w:p w:rsidR="00FA46D7" w:rsidRPr="00F27ABF" w:rsidP="00FA46D7">
      <w:pPr>
        <w:bidi w:val="0"/>
        <w:ind w:firstLine="708"/>
        <w:jc w:val="both"/>
        <w:rPr>
          <w:rFonts w:ascii="Times New Roman" w:hAnsi="Times New Roman"/>
          <w:b/>
          <w:bCs/>
        </w:rPr>
      </w:pPr>
    </w:p>
    <w:p w:rsidR="00FA46D7" w:rsidRPr="00EB33CC" w:rsidP="00FA46D7">
      <w:pPr>
        <w:bidi w:val="0"/>
        <w:ind w:firstLine="708"/>
        <w:jc w:val="both"/>
        <w:rPr>
          <w:rFonts w:ascii="Times New Roman" w:hAnsi="Times New Roman"/>
        </w:rPr>
      </w:pPr>
      <w:r w:rsidRPr="00EB33CC">
        <w:rPr>
          <w:rFonts w:ascii="Times New Roman" w:hAnsi="Times New Roman"/>
        </w:rPr>
        <w:t>Úrad pre dohľad nad výkonom auditu (ďalej len „Úrad“) je verejnoprávna inštitúcia a je klasifikovaný ako subjekt ústrednej štátnej správy. Pri zostavovaní rozpočtu Úradu sa vychádza hlavne zo zákona č. 540/2007 Z. z. o audítoroch, audite a dohľade nad výkonom auditu a o zmene a doplnení zákona č. 431/2002 Z. z</w:t>
      </w:r>
      <w:r>
        <w:rPr>
          <w:rFonts w:ascii="Times New Roman" w:hAnsi="Times New Roman"/>
        </w:rPr>
        <w:t>.</w:t>
      </w:r>
      <w:r w:rsidRPr="00EB33CC">
        <w:rPr>
          <w:rFonts w:ascii="Times New Roman" w:hAnsi="Times New Roman"/>
        </w:rPr>
        <w:t> o účtovníctve v znení neskorších predpisov (ďalej len „zákon“). V súlade s týmto zákonom Úrad zostavuje rozpočet výnosov a nákladov na príslušný rozpočtový rok. V rozpočte Úradu sa osobitne rozpočtujú náklady na činnosť Rady, správy Úradu, Dozorného výboru a jednotlivých výborov.</w:t>
      </w:r>
    </w:p>
    <w:p w:rsidR="00FA46D7" w:rsidRPr="00EB33CC" w:rsidP="00FA46D7">
      <w:pPr>
        <w:bidi w:val="0"/>
        <w:ind w:firstLine="708"/>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 xml:space="preserve">Hlavnými cieľmi a činnosťami Úradu je prispievať k zvyšovaniu dôvery investorov a širokej verejnosti v audit účtovných závierok a v audit súladu výročných správ s účtovnými závierkami, vytvoriť efektívny systém verejného dohľadu nad výkonom auditu, pričom dohliadanými subjektmi sú Slovenská komora audítorov, audítori a audítorské spoločnosti, vykonávať tento dohľad nestranne a nezávisle od štátnych orgánov, orgánov územnej samosprávy, iných orgánov verejnej moci a od ďalších právnických alebo fyzických osôb, s osobitným dôrazom na výkon auditu v subjektoch verejného záujmu, spolupracovať s príslušnými orgánmi dohľadu členských krajín Európskej únie a tretích krajín, spolupracovať s orgánmi Európskej únie pri tvorbe medzinárodných účtovných štandardov a medzinárodných audítorských štandardov a zabezpečovať ich prístupnosť pre používateľov v Slovenskej republike v štátnom jazyku, spolupracovať s Ministerstvom financií SR na príprave právnych predpisov v oblasti účtovníctva a auditu. </w:t>
      </w:r>
    </w:p>
    <w:p w:rsidR="00FA46D7" w:rsidRPr="00EB33CC" w:rsidP="00FA46D7">
      <w:pPr>
        <w:bidi w:val="0"/>
        <w:ind w:firstLine="708"/>
        <w:jc w:val="both"/>
        <w:rPr>
          <w:rFonts w:ascii="Times New Roman" w:hAnsi="Times New Roman"/>
        </w:rPr>
      </w:pPr>
    </w:p>
    <w:p w:rsidR="00FA46D7" w:rsidRPr="00EB33CC" w:rsidP="00FA46D7">
      <w:pPr>
        <w:bidi w:val="0"/>
        <w:ind w:firstLine="708"/>
        <w:jc w:val="both"/>
        <w:rPr>
          <w:rFonts w:ascii="Times New Roman" w:hAnsi="Times New Roman"/>
        </w:rPr>
      </w:pPr>
      <w:r w:rsidRPr="00EB33CC">
        <w:rPr>
          <w:rFonts w:ascii="Times New Roman" w:hAnsi="Times New Roman"/>
        </w:rPr>
        <w:t>Príjmy Úradu na rok 20</w:t>
      </w:r>
      <w:r>
        <w:rPr>
          <w:rFonts w:ascii="Times New Roman" w:hAnsi="Times New Roman"/>
        </w:rPr>
        <w:t>12 sú rozpočtované vo výške 1,21</w:t>
      </w:r>
      <w:r w:rsidRPr="00EB33CC">
        <w:rPr>
          <w:rFonts w:ascii="Times New Roman" w:hAnsi="Times New Roman"/>
        </w:rPr>
        <w:t xml:space="preserve"> mil. eur a ich súčasťou je príspevok zo štátneho rozpočtu prostredníctvom kapitoly Ministerstva financií Slovenskej republiky vo výške 268 tis. eur. Ďalšími príjmami sú ročné príspevky subjektov verejného záujmu rozpočtované v roku 2012 vo výške 419 tis. eur a ostatné (napr. príjmy z pokút, náhrady za trovy konania, úrok</w:t>
      </w:r>
      <w:r w:rsidR="002B2749">
        <w:rPr>
          <w:rFonts w:ascii="Times New Roman" w:hAnsi="Times New Roman"/>
        </w:rPr>
        <w:t>y</w:t>
      </w:r>
      <w:r w:rsidRPr="00EB33CC">
        <w:rPr>
          <w:rFonts w:ascii="Times New Roman" w:hAnsi="Times New Roman"/>
        </w:rPr>
        <w:t xml:space="preserve"> z omeškania, poplatky za skúšky a preskúšanie, poplatky za úkony na úrade) v celkovej výške 38 tis. eur. Súčasťou príjmov Úradu sú aj prostriedky z pre</w:t>
      </w:r>
      <w:r>
        <w:rPr>
          <w:rFonts w:ascii="Times New Roman" w:hAnsi="Times New Roman"/>
        </w:rPr>
        <w:t>dchádzajúcich rokov vo výške 488</w:t>
      </w:r>
      <w:r w:rsidRPr="00EB33CC">
        <w:rPr>
          <w:rFonts w:ascii="Times New Roman" w:hAnsi="Times New Roman"/>
        </w:rPr>
        <w:t xml:space="preserve"> tis. eur, ktoré budú použité na výkon dohľadov. Príjmy Úradu v roku 2012 v porovnaní s očakávanou skutočnosťou k</w:t>
      </w:r>
      <w:r>
        <w:rPr>
          <w:rFonts w:ascii="Times New Roman" w:hAnsi="Times New Roman"/>
        </w:rPr>
        <w:t>u koncu roka 2011 klesajú o 8,37</w:t>
      </w:r>
      <w:r w:rsidRPr="00EB33CC">
        <w:rPr>
          <w:rFonts w:ascii="Times New Roman" w:hAnsi="Times New Roman"/>
        </w:rPr>
        <w:t xml:space="preserve"> % najmä z dôvodu poklesu prostriedkov z predchádzajúcich rokov.</w:t>
      </w:r>
    </w:p>
    <w:p w:rsidR="00FA46D7" w:rsidRPr="00EB33CC" w:rsidP="00FA46D7">
      <w:pPr>
        <w:bidi w:val="0"/>
        <w:ind w:firstLine="708"/>
        <w:jc w:val="both"/>
        <w:rPr>
          <w:rFonts w:ascii="Times New Roman" w:hAnsi="Times New Roman"/>
        </w:rPr>
      </w:pPr>
    </w:p>
    <w:p w:rsidR="00FA46D7" w:rsidRPr="00EB33CC" w:rsidP="00FA46D7">
      <w:pPr>
        <w:bidi w:val="0"/>
        <w:ind w:firstLine="709"/>
        <w:jc w:val="both"/>
        <w:rPr>
          <w:rFonts w:ascii="Times New Roman" w:hAnsi="Times New Roman"/>
        </w:rPr>
      </w:pPr>
      <w:r w:rsidRPr="00EB33CC">
        <w:rPr>
          <w:rFonts w:ascii="Times New Roman" w:hAnsi="Times New Roman"/>
        </w:rPr>
        <w:t>Výdavková časť rozpočtu predstavuje výdavky spojené so zabezpečením činnosti Úradu. Medzi objemovo významné časti nákladov rozpočtu patria mzdy, v ktorých sú zahrnuté aj odmeny externým spolupracovníkom zabezpečujúcich základné úlohy Úradu (hlavne dohľady) a s tým súvisiace odvody, nájomné, náklady na preklady, náklady na audítorské skúšky, cestovné, kancelárske potreby a iné. Výdavky Úradu v roku 2012 sú rozpočtované vo výške 803 tis. eur, čo predstavuje v porovnaní s očakávanou skutočnosťou ku koncu roka 2011 pokles o 3,95 %.</w:t>
      </w: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C26EE" w:rsidP="007B1DFC">
      <w:pPr>
        <w:bidi w:val="0"/>
        <w:rPr>
          <w:rFonts w:ascii="Times New Roman" w:hAnsi="Times New Roman"/>
        </w:rPr>
      </w:pPr>
    </w:p>
    <w:p w:rsidR="007B1DFC" w:rsidRPr="007B1DFC" w:rsidP="007B1DFC">
      <w:pPr>
        <w:bidi w:val="0"/>
        <w:rPr>
          <w:rFonts w:ascii="Times New Roman" w:hAnsi="Times New Roman"/>
        </w:rPr>
      </w:pPr>
      <w:r w:rsidRPr="007B1DFC">
        <w:rPr>
          <w:rFonts w:ascii="Times New Roman" w:hAnsi="Times New Roman"/>
          <w:b/>
          <w:bCs/>
        </w:rPr>
        <w:t>15. Audiovizuálny fond</w:t>
      </w:r>
    </w:p>
    <w:p w:rsidR="007B1DFC" w:rsidP="007B1DFC">
      <w:pPr>
        <w:bidi w:val="0"/>
        <w:rPr>
          <w:rFonts w:ascii="Times New Roman" w:hAnsi="Times New Roman"/>
          <w:b/>
          <w:bCs/>
          <w:shd w:val="clear" w:color="auto" w:fill="FFFF00"/>
        </w:rPr>
      </w:pPr>
    </w:p>
    <w:p w:rsidR="00FA46D7" w:rsidRPr="00EB33CC" w:rsidP="00FA46D7">
      <w:pPr>
        <w:bidi w:val="0"/>
        <w:ind w:firstLine="708"/>
        <w:jc w:val="both"/>
        <w:rPr>
          <w:rFonts w:ascii="Times New Roman" w:hAnsi="Times New Roman"/>
        </w:rPr>
      </w:pPr>
      <w:r w:rsidRPr="00EB33CC">
        <w:rPr>
          <w:rFonts w:ascii="Times New Roman" w:hAnsi="Times New Roman"/>
        </w:rPr>
        <w:t>Audiovizuálny fond (ďalej len „fond“) bol zákonom č. 516/2008 Z. z. zriadený dňa 1.</w:t>
      </w:r>
      <w:r>
        <w:rPr>
          <w:rFonts w:ascii="Times New Roman" w:hAnsi="Times New Roman"/>
        </w:rPr>
        <w:t> </w:t>
      </w:r>
      <w:r w:rsidRPr="00EB33CC">
        <w:rPr>
          <w:rFonts w:ascii="Times New Roman" w:hAnsi="Times New Roman"/>
        </w:rPr>
        <w:t>januára 2009 ako  verejnoprávna  inštitúcia  na podporu a rozvoj audiovizuálnej kultúry a priemyslu. Fond poskytuje finančné prostriedky autorom a výrobcom slovenských audiovizuálnych diel, na obnovu a rozvoj technologickej základne určenej na výrobu a šírenie audiovizuálnych diel, na uskutočňovanie verejných kultúrnych podujatí v oblasti audiovizuálnej kultúry.</w:t>
      </w:r>
    </w:p>
    <w:p w:rsidR="00FA46D7" w:rsidRPr="00EB33CC" w:rsidP="00FA46D7">
      <w:pPr>
        <w:pStyle w:val="Default"/>
        <w:bidi w:val="0"/>
        <w:jc w:val="both"/>
        <w:rPr>
          <w:rFonts w:ascii="Times New Roman" w:hAnsi="Times New Roman" w:cs="Times New Roman"/>
        </w:rPr>
      </w:pPr>
    </w:p>
    <w:p w:rsidR="00FA46D7" w:rsidRPr="00EB33CC" w:rsidP="00FA46D7">
      <w:pPr>
        <w:pStyle w:val="Default"/>
        <w:bidi w:val="0"/>
        <w:ind w:firstLine="708"/>
        <w:jc w:val="both"/>
        <w:rPr>
          <w:rFonts w:ascii="Times New Roman" w:hAnsi="Times New Roman" w:cs="Times New Roman" w:hint="default"/>
        </w:rPr>
      </w:pPr>
      <w:r w:rsidRPr="00EB33CC">
        <w:rPr>
          <w:rFonts w:ascii="Times New Roman" w:hAnsi="Times New Roman" w:cs="Times New Roman" w:hint="default"/>
        </w:rPr>
        <w:t>Vý</w:t>
      </w:r>
      <w:r w:rsidRPr="00EB33CC">
        <w:rPr>
          <w:rFonts w:ascii="Times New Roman" w:hAnsi="Times New Roman" w:cs="Times New Roman" w:hint="default"/>
        </w:rPr>
        <w:t>voj prí</w:t>
      </w:r>
      <w:r w:rsidRPr="00EB33CC">
        <w:rPr>
          <w:rFonts w:ascii="Times New Roman" w:hAnsi="Times New Roman" w:cs="Times New Roman" w:hint="default"/>
        </w:rPr>
        <w:t>jmovej a vý</w:t>
      </w:r>
      <w:r w:rsidRPr="00EB33CC">
        <w:rPr>
          <w:rFonts w:ascii="Times New Roman" w:hAnsi="Times New Roman" w:cs="Times New Roman" w:hint="default"/>
        </w:rPr>
        <w:t>davkovej</w:t>
      </w:r>
      <w:r w:rsidRPr="00EB33CC">
        <w:rPr>
          <w:rFonts w:ascii="Times New Roman" w:hAnsi="Times New Roman" w:cs="Times New Roman" w:hint="default"/>
        </w:rPr>
        <w:t xml:space="preserve"> č</w:t>
      </w:r>
      <w:r w:rsidRPr="00EB33CC">
        <w:rPr>
          <w:rFonts w:ascii="Times New Roman" w:hAnsi="Times New Roman" w:cs="Times New Roman" w:hint="default"/>
        </w:rPr>
        <w:t>asti rozpoč</w:t>
      </w:r>
      <w:r w:rsidRPr="00EB33CC">
        <w:rPr>
          <w:rFonts w:ascii="Times New Roman" w:hAnsi="Times New Roman" w:cs="Times New Roman" w:hint="default"/>
        </w:rPr>
        <w:t>tu fondu na roky 2012 až</w:t>
      </w:r>
      <w:r w:rsidRPr="00EB33CC">
        <w:rPr>
          <w:rFonts w:ascii="Times New Roman" w:hAnsi="Times New Roman" w:cs="Times New Roman" w:hint="default"/>
        </w:rPr>
        <w:t xml:space="preserve"> 2014 je v porovnaní</w:t>
      </w:r>
      <w:r w:rsidRPr="00EB33CC">
        <w:rPr>
          <w:rFonts w:ascii="Times New Roman" w:hAnsi="Times New Roman" w:cs="Times New Roman" w:hint="default"/>
        </w:rPr>
        <w:t xml:space="preserve"> s predchá</w:t>
      </w:r>
      <w:r w:rsidRPr="00EB33CC">
        <w:rPr>
          <w:rFonts w:ascii="Times New Roman" w:hAnsi="Times New Roman" w:cs="Times New Roman" w:hint="default"/>
        </w:rPr>
        <w:t>dzajú</w:t>
      </w:r>
      <w:r w:rsidRPr="00EB33CC">
        <w:rPr>
          <w:rFonts w:ascii="Times New Roman" w:hAnsi="Times New Roman" w:cs="Times New Roman" w:hint="default"/>
        </w:rPr>
        <w:t>cimi rokmi nasledovný</w:t>
      </w:r>
      <w:r w:rsidRPr="00EB33CC">
        <w:rPr>
          <w:rFonts w:ascii="Times New Roman" w:hAnsi="Times New Roman" w:cs="Times New Roman" w:hint="default"/>
        </w:rPr>
        <w:t>:</w:t>
      </w:r>
    </w:p>
    <w:p w:rsidR="00FA46D7" w:rsidRPr="00F27ABF" w:rsidP="00FA46D7">
      <w:pPr>
        <w:pStyle w:val="Default"/>
        <w:bidi w:val="0"/>
        <w:jc w:val="both"/>
        <w:rPr>
          <w:rFonts w:ascii="Times New Roman" w:hAnsi="Times New Roman" w:cs="Times New Roman"/>
          <w:sz w:val="22"/>
          <w:szCs w:val="22"/>
        </w:rPr>
      </w:pPr>
    </w:p>
    <w:tbl>
      <w:tblPr>
        <w:tblStyle w:val="TableNormal"/>
        <w:tblW w:w="5000" w:type="pct"/>
        <w:tblCellMar>
          <w:left w:w="70" w:type="dxa"/>
          <w:right w:w="70" w:type="dxa"/>
        </w:tblCellMar>
        <w:tblLook w:val="04A0"/>
      </w:tblPr>
      <w:tblGrid>
        <w:gridCol w:w="4081"/>
        <w:gridCol w:w="698"/>
        <w:gridCol w:w="698"/>
        <w:gridCol w:w="726"/>
        <w:gridCol w:w="829"/>
        <w:gridCol w:w="726"/>
        <w:gridCol w:w="726"/>
        <w:gridCol w:w="726"/>
      </w:tblGrid>
      <w:tr>
        <w:tblPrEx>
          <w:tblW w:w="5000" w:type="pct"/>
          <w:tblCellMar>
            <w:left w:w="70" w:type="dxa"/>
            <w:right w:w="70" w:type="dxa"/>
          </w:tblCellMar>
          <w:tblLook w:val="04A0"/>
        </w:tblPrEx>
        <w:trPr>
          <w:trHeight w:val="227"/>
        </w:trPr>
        <w:tc>
          <w:tcPr>
            <w:tcW w:w="2216"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A46D7" w:rsidRPr="00F27ABF" w:rsidP="00FA46D7">
            <w:pPr>
              <w:bidi w:val="0"/>
              <w:rPr>
                <w:rFonts w:ascii="Times New Roman" w:hAnsi="Times New Roman"/>
                <w:b/>
                <w:bCs/>
                <w:sz w:val="16"/>
                <w:szCs w:val="16"/>
              </w:rPr>
            </w:pPr>
            <w:r>
              <w:rPr>
                <w:rFonts w:ascii="Times New Roman" w:hAnsi="Times New Roman"/>
                <w:b/>
                <w:bCs/>
                <w:sz w:val="16"/>
                <w:szCs w:val="16"/>
              </w:rPr>
              <w:t>v tis. eur</w:t>
            </w:r>
          </w:p>
        </w:tc>
        <w:tc>
          <w:tcPr>
            <w:tcW w:w="379"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2009 S</w:t>
            </w:r>
          </w:p>
        </w:tc>
        <w:tc>
          <w:tcPr>
            <w:tcW w:w="379"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2010 S</w:t>
            </w:r>
          </w:p>
        </w:tc>
        <w:tc>
          <w:tcPr>
            <w:tcW w:w="39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R</w:t>
            </w:r>
          </w:p>
        </w:tc>
        <w:tc>
          <w:tcPr>
            <w:tcW w:w="450"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2011 OS</w:t>
            </w:r>
          </w:p>
        </w:tc>
        <w:tc>
          <w:tcPr>
            <w:tcW w:w="39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2012 N</w:t>
            </w:r>
          </w:p>
        </w:tc>
        <w:tc>
          <w:tcPr>
            <w:tcW w:w="39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2013 N</w:t>
            </w:r>
          </w:p>
        </w:tc>
        <w:tc>
          <w:tcPr>
            <w:tcW w:w="39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FA46D7" w:rsidRPr="00F27ABF" w:rsidP="00FA46D7">
            <w:pPr>
              <w:bidi w:val="0"/>
              <w:jc w:val="center"/>
              <w:rPr>
                <w:rFonts w:ascii="Times New Roman" w:hAnsi="Times New Roman"/>
                <w:b/>
                <w:bCs/>
                <w:sz w:val="16"/>
                <w:szCs w:val="16"/>
              </w:rPr>
            </w:pPr>
            <w:r w:rsidRPr="00F27ABF">
              <w:rPr>
                <w:rFonts w:ascii="Times New Roman" w:hAnsi="Times New Roman"/>
                <w:b/>
                <w:bCs/>
                <w:sz w:val="16"/>
                <w:szCs w:val="16"/>
              </w:rPr>
              <w:t>2014 N</w:t>
            </w:r>
          </w:p>
        </w:tc>
      </w:tr>
      <w:tr>
        <w:tblPrEx>
          <w:tblW w:w="5000" w:type="pct"/>
          <w:tblCellMar>
            <w:left w:w="70" w:type="dxa"/>
            <w:right w:w="70" w:type="dxa"/>
          </w:tblCellMar>
          <w:tblLook w:val="04A0"/>
        </w:tblPrEx>
        <w:trPr>
          <w:trHeight w:val="227"/>
        </w:trPr>
        <w:tc>
          <w:tcPr>
            <w:tcW w:w="221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Príjmy AVF spolu</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158</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7 405</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7 025</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A033FF">
            <w:pPr>
              <w:bidi w:val="0"/>
              <w:jc w:val="right"/>
              <w:rPr>
                <w:rFonts w:ascii="Times New Roman" w:hAnsi="Times New Roman"/>
                <w:b/>
                <w:bCs/>
                <w:sz w:val="16"/>
                <w:szCs w:val="16"/>
              </w:rPr>
            </w:pPr>
            <w:r w:rsidRPr="00F27ABF">
              <w:rPr>
                <w:rFonts w:ascii="Times New Roman" w:hAnsi="Times New Roman"/>
                <w:b/>
                <w:bCs/>
                <w:sz w:val="16"/>
                <w:szCs w:val="16"/>
              </w:rPr>
              <w:t>9</w:t>
            </w:r>
            <w:r w:rsidR="008B5A66">
              <w:rPr>
                <w:rFonts w:ascii="Times New Roman" w:hAnsi="Times New Roman"/>
                <w:b/>
                <w:bCs/>
                <w:sz w:val="16"/>
                <w:szCs w:val="16"/>
              </w:rPr>
              <w:t xml:space="preserve"> </w:t>
            </w:r>
            <w:r w:rsidR="00A033FF">
              <w:rPr>
                <w:rFonts w:ascii="Times New Roman" w:hAnsi="Times New Roman"/>
                <w:b/>
                <w:bCs/>
                <w:sz w:val="16"/>
                <w:szCs w:val="16"/>
              </w:rPr>
              <w:t>371</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9 411</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9 444</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9 444</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xml:space="preserve">▪ daňové príjmy </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nedaňové príjmy, z toho:</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2 646</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3 250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3 278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3 315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3 348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3 348</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poplatky podľa § 21 zákona 516/2008</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27</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25</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ostatné nedaňové príjmy, z toho:</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2 616</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3 225</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3 250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3 282</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3 315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3 315</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480" w:firstLineChars="300"/>
              <w:rPr>
                <w:rFonts w:ascii="Times New Roman" w:hAnsi="Times New Roman"/>
                <w:sz w:val="16"/>
                <w:szCs w:val="16"/>
              </w:rPr>
            </w:pPr>
            <w:r w:rsidRPr="00F27ABF">
              <w:rPr>
                <w:rFonts w:ascii="Times New Roman" w:hAnsi="Times New Roman"/>
                <w:sz w:val="16"/>
                <w:szCs w:val="16"/>
              </w:rPr>
              <w:t>príspevky podľa § 25-28 zákona 516/2008, v tom:</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2 616</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3 225</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3 250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3 207</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3 240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3 240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640" w:firstLineChars="400"/>
              <w:rPr>
                <w:rFonts w:ascii="Times New Roman" w:hAnsi="Times New Roman"/>
                <w:color w:val="000000"/>
                <w:sz w:val="16"/>
                <w:szCs w:val="16"/>
              </w:rPr>
            </w:pPr>
            <w:r w:rsidRPr="00F27ABF">
              <w:rPr>
                <w:rFonts w:ascii="Times New Roman" w:hAnsi="Times New Roman"/>
                <w:color w:val="000000"/>
                <w:sz w:val="16"/>
                <w:szCs w:val="16"/>
              </w:rPr>
              <w:t>§ 25 (vysielatelia s licenciou)</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1 837</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2 575</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2 400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2 372</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2 400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2 400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640" w:firstLineChars="400"/>
              <w:rPr>
                <w:rFonts w:ascii="Times New Roman" w:hAnsi="Times New Roman"/>
                <w:color w:val="000000"/>
                <w:sz w:val="16"/>
                <w:szCs w:val="16"/>
              </w:rPr>
            </w:pPr>
            <w:r w:rsidRPr="00F27ABF">
              <w:rPr>
                <w:rFonts w:ascii="Times New Roman" w:hAnsi="Times New Roman"/>
                <w:color w:val="000000"/>
                <w:sz w:val="16"/>
                <w:szCs w:val="16"/>
              </w:rPr>
              <w:t>§ 26 (kiná)</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121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100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125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135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135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135</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640" w:firstLineChars="400"/>
              <w:rPr>
                <w:rFonts w:ascii="Times New Roman" w:hAnsi="Times New Roman"/>
                <w:color w:val="000000"/>
                <w:sz w:val="16"/>
                <w:szCs w:val="16"/>
              </w:rPr>
            </w:pPr>
            <w:r w:rsidRPr="00F27ABF">
              <w:rPr>
                <w:rFonts w:ascii="Times New Roman" w:hAnsi="Times New Roman"/>
                <w:color w:val="000000"/>
                <w:sz w:val="16"/>
                <w:szCs w:val="16"/>
              </w:rPr>
              <w:t>§ 27 (retransmisia)</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614</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400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650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640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640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640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640" w:firstLineChars="400"/>
              <w:rPr>
                <w:rFonts w:ascii="Times New Roman" w:hAnsi="Times New Roman"/>
                <w:color w:val="000000"/>
                <w:sz w:val="16"/>
                <w:szCs w:val="16"/>
              </w:rPr>
            </w:pPr>
            <w:r w:rsidRPr="00F27ABF">
              <w:rPr>
                <w:rFonts w:ascii="Times New Roman" w:hAnsi="Times New Roman"/>
                <w:color w:val="000000"/>
                <w:sz w:val="16"/>
                <w:szCs w:val="16"/>
              </w:rPr>
              <w:t>§ 28 (distribúcia)</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150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65</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granty a transfery, z toho</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149</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4 751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3 775</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A033FF">
            <w:pPr>
              <w:bidi w:val="0"/>
              <w:jc w:val="right"/>
              <w:rPr>
                <w:rFonts w:ascii="Times New Roman" w:hAnsi="Times New Roman"/>
                <w:sz w:val="16"/>
                <w:szCs w:val="16"/>
              </w:rPr>
            </w:pPr>
            <w:r w:rsidRPr="00F27ABF">
              <w:rPr>
                <w:rFonts w:ascii="Times New Roman" w:hAnsi="Times New Roman"/>
                <w:sz w:val="16"/>
                <w:szCs w:val="16"/>
              </w:rPr>
              <w:t xml:space="preserve">3 </w:t>
            </w:r>
            <w:r w:rsidR="00A033FF">
              <w:rPr>
                <w:rFonts w:ascii="Times New Roman" w:hAnsi="Times New Roman"/>
                <w:sz w:val="16"/>
                <w:szCs w:val="16"/>
              </w:rPr>
              <w:t>682</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3 685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3 685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3 685</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640" w:firstLineChars="400"/>
              <w:rPr>
                <w:rFonts w:ascii="Times New Roman" w:hAnsi="Times New Roman"/>
                <w:sz w:val="16"/>
                <w:szCs w:val="16"/>
              </w:rPr>
            </w:pPr>
            <w:r w:rsidRPr="00F27ABF">
              <w:rPr>
                <w:rFonts w:ascii="Times New Roman" w:hAnsi="Times New Roman"/>
                <w:sz w:val="16"/>
                <w:szCs w:val="16"/>
              </w:rPr>
              <w:t>§ 29 - zo štátneho rozpočtu</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149</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4 500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3 500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3 500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3 500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3 500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3 500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640" w:firstLineChars="400"/>
              <w:rPr>
                <w:rFonts w:ascii="Times New Roman" w:hAnsi="Times New Roman"/>
                <w:color w:val="000000"/>
                <w:sz w:val="16"/>
                <w:szCs w:val="16"/>
              </w:rPr>
            </w:pPr>
            <w:r w:rsidRPr="00F27ABF">
              <w:rPr>
                <w:rFonts w:ascii="Times New Roman" w:hAnsi="Times New Roman"/>
                <w:color w:val="000000"/>
                <w:sz w:val="16"/>
                <w:szCs w:val="16"/>
              </w:rPr>
              <w:t>§ 24 - od ostatných subjektov VS (RTVS-STV)</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251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275</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A033FF">
            <w:pPr>
              <w:bidi w:val="0"/>
              <w:jc w:val="right"/>
              <w:rPr>
                <w:rFonts w:ascii="Times New Roman" w:hAnsi="Times New Roman"/>
                <w:sz w:val="16"/>
                <w:szCs w:val="16"/>
              </w:rPr>
            </w:pPr>
            <w:r w:rsidR="00A033FF">
              <w:rPr>
                <w:rFonts w:ascii="Times New Roman" w:hAnsi="Times New Roman"/>
                <w:sz w:val="16"/>
                <w:szCs w:val="16"/>
              </w:rPr>
              <w:t>182</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185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185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185</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prevod prostriedkov z predchádzajúcich rokov (FO)</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r>
      <w:tr>
        <w:tblPrEx>
          <w:tblW w:w="5000" w:type="pct"/>
          <w:tblCellMar>
            <w:left w:w="70" w:type="dxa"/>
            <w:right w:w="70" w:type="dxa"/>
          </w:tblCellMar>
          <w:tblLook w:val="04A0"/>
        </w:tblPrEx>
        <w:trPr>
          <w:trHeight w:val="227"/>
        </w:trPr>
        <w:tc>
          <w:tcPr>
            <w:tcW w:w="221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Výdavky AVF spolu</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150</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4 993</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7 025</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A033FF">
            <w:pPr>
              <w:bidi w:val="0"/>
              <w:jc w:val="right"/>
              <w:rPr>
                <w:rFonts w:ascii="Times New Roman" w:hAnsi="Times New Roman"/>
                <w:b/>
                <w:bCs/>
                <w:sz w:val="16"/>
                <w:szCs w:val="16"/>
              </w:rPr>
            </w:pPr>
            <w:r w:rsidR="00A033FF">
              <w:rPr>
                <w:rFonts w:ascii="Times New Roman" w:hAnsi="Times New Roman"/>
                <w:b/>
                <w:bCs/>
                <w:sz w:val="16"/>
                <w:szCs w:val="16"/>
              </w:rPr>
              <w:t>6</w:t>
            </w:r>
            <w:r w:rsidR="008B5A66">
              <w:rPr>
                <w:rFonts w:ascii="Times New Roman" w:hAnsi="Times New Roman"/>
                <w:b/>
                <w:bCs/>
                <w:sz w:val="16"/>
                <w:szCs w:val="16"/>
              </w:rPr>
              <w:t xml:space="preserve"> </w:t>
            </w:r>
            <w:r w:rsidR="00A033FF">
              <w:rPr>
                <w:rFonts w:ascii="Times New Roman" w:hAnsi="Times New Roman"/>
                <w:b/>
                <w:bCs/>
                <w:sz w:val="16"/>
                <w:szCs w:val="16"/>
              </w:rPr>
              <w:t>960</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7 000</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7 033</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7 033</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bežné výdavky, z toho:</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150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4 978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7 010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A033FF">
            <w:pPr>
              <w:bidi w:val="0"/>
              <w:jc w:val="right"/>
              <w:rPr>
                <w:rFonts w:ascii="Times New Roman" w:hAnsi="Times New Roman"/>
                <w:sz w:val="16"/>
                <w:szCs w:val="16"/>
              </w:rPr>
            </w:pPr>
            <w:r w:rsidRPr="00F27ABF">
              <w:rPr>
                <w:rFonts w:ascii="Times New Roman" w:hAnsi="Times New Roman"/>
                <w:sz w:val="16"/>
                <w:szCs w:val="16"/>
              </w:rPr>
              <w:t xml:space="preserve">6 </w:t>
            </w:r>
            <w:r w:rsidR="00A033FF">
              <w:rPr>
                <w:rFonts w:ascii="Times New Roman" w:hAnsi="Times New Roman"/>
                <w:sz w:val="16"/>
                <w:szCs w:val="16"/>
              </w:rPr>
              <w:t>785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6 665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6 698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6 698</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 xml:space="preserve">mzdy </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86</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96</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119</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123</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119</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119</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119</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odvody</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36</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49</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58</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tovary a služby</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44</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208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168</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235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264</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270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270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bežné transfery</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4 638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6 674</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A033FF">
            <w:pPr>
              <w:bidi w:val="0"/>
              <w:jc w:val="right"/>
              <w:rPr>
                <w:rFonts w:ascii="Times New Roman" w:hAnsi="Times New Roman"/>
                <w:sz w:val="16"/>
                <w:szCs w:val="16"/>
              </w:rPr>
            </w:pPr>
            <w:r w:rsidRPr="00F27ABF">
              <w:rPr>
                <w:rFonts w:ascii="Times New Roman" w:hAnsi="Times New Roman"/>
                <w:sz w:val="16"/>
                <w:szCs w:val="16"/>
              </w:rPr>
              <w:t xml:space="preserve">6 </w:t>
            </w:r>
            <w:r w:rsidR="00A033FF">
              <w:rPr>
                <w:rFonts w:ascii="Times New Roman" w:hAnsi="Times New Roman"/>
                <w:sz w:val="16"/>
                <w:szCs w:val="16"/>
              </w:rPr>
              <w:t>377</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6 224</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6 250</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6 250</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kapitálové výdavky</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15</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175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335</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335</w:t>
            </w:r>
          </w:p>
        </w:tc>
      </w:tr>
      <w:tr>
        <w:tblPrEx>
          <w:tblW w:w="5000" w:type="pct"/>
          <w:tblCellMar>
            <w:left w:w="70" w:type="dxa"/>
            <w:right w:w="70" w:type="dxa"/>
          </w:tblCellMar>
          <w:tblLook w:val="04A0"/>
        </w:tblPrEx>
        <w:trPr>
          <w:trHeight w:val="227"/>
        </w:trPr>
        <w:tc>
          <w:tcPr>
            <w:tcW w:w="221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Celková bilancia AVF</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8</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2 411</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2 411</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2 411</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2 411</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2 411</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rPr>
                <w:rFonts w:ascii="Times New Roman" w:hAnsi="Times New Roman"/>
                <w:sz w:val="16"/>
                <w:szCs w:val="16"/>
              </w:rPr>
            </w:pPr>
            <w:r w:rsidRPr="00F27ABF">
              <w:rPr>
                <w:rFonts w:ascii="Times New Roman" w:hAnsi="Times New Roman"/>
                <w:sz w:val="16"/>
                <w:szCs w:val="16"/>
              </w:rPr>
              <w:t>▪ vylúčenie finančných operácií</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noWrap/>
            <w:textDirection w:val="lrTb"/>
            <w:vAlign w:val="center"/>
            <w:hideMark/>
          </w:tcPr>
          <w:p w:rsidR="00FA46D7" w:rsidRPr="00F27ABF" w:rsidP="00FA46D7">
            <w:pPr>
              <w:bidi w:val="0"/>
              <w:ind w:firstLine="320" w:firstLineChars="200"/>
              <w:rPr>
                <w:rFonts w:ascii="Times New Roman" w:hAnsi="Times New Roman"/>
                <w:sz w:val="16"/>
                <w:szCs w:val="16"/>
              </w:rPr>
            </w:pPr>
            <w:r w:rsidRPr="00F27ABF">
              <w:rPr>
                <w:rFonts w:ascii="Times New Roman" w:hAnsi="Times New Roman"/>
                <w:sz w:val="16"/>
                <w:szCs w:val="16"/>
              </w:rPr>
              <w:t>vylúčenie príjmových FO</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379"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-8</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0</w:t>
            </w:r>
          </w:p>
        </w:tc>
        <w:tc>
          <w:tcPr>
            <w:tcW w:w="450"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c>
          <w:tcPr>
            <w:tcW w:w="394" w:type="pct"/>
            <w:tcBorders>
              <w:top w:val="nil"/>
              <w:left w:val="nil"/>
              <w:bottom w:val="single" w:sz="4" w:space="0" w:color="auto"/>
              <w:right w:val="single" w:sz="4" w:space="0" w:color="auto"/>
            </w:tcBorders>
            <w:noWrap/>
            <w:textDirection w:val="lrTb"/>
            <w:vAlign w:val="center"/>
            <w:hideMark/>
          </w:tcPr>
          <w:p w:rsidR="00FA46D7" w:rsidRPr="00F27ABF" w:rsidP="00FA46D7">
            <w:pPr>
              <w:bidi w:val="0"/>
              <w:jc w:val="right"/>
              <w:rPr>
                <w:rFonts w:ascii="Times New Roman" w:hAnsi="Times New Roman"/>
                <w:sz w:val="16"/>
                <w:szCs w:val="16"/>
              </w:rPr>
            </w:pPr>
            <w:r w:rsidRPr="00F27ABF">
              <w:rPr>
                <w:rFonts w:ascii="Times New Roman" w:hAnsi="Times New Roman"/>
                <w:sz w:val="16"/>
                <w:szCs w:val="16"/>
              </w:rPr>
              <w:t>-2 411</w:t>
            </w:r>
          </w:p>
        </w:tc>
      </w:tr>
      <w:tr>
        <w:tblPrEx>
          <w:tblW w:w="5000" w:type="pct"/>
          <w:tblCellMar>
            <w:left w:w="70" w:type="dxa"/>
            <w:right w:w="70" w:type="dxa"/>
          </w:tblCellMar>
          <w:tblLook w:val="04A0"/>
        </w:tblPrEx>
        <w:trPr>
          <w:trHeight w:val="227"/>
        </w:trPr>
        <w:tc>
          <w:tcPr>
            <w:tcW w:w="2216" w:type="pct"/>
            <w:tcBorders>
              <w:top w:val="nil"/>
              <w:left w:val="single" w:sz="4" w:space="0" w:color="auto"/>
              <w:bottom w:val="single" w:sz="4" w:space="0" w:color="auto"/>
              <w:right w:val="single" w:sz="4" w:space="0" w:color="auto"/>
            </w:tcBorders>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ostatné úpravy</w:t>
            </w:r>
          </w:p>
        </w:tc>
        <w:tc>
          <w:tcPr>
            <w:tcW w:w="379" w:type="pct"/>
            <w:tcBorders>
              <w:top w:val="nil"/>
              <w:left w:val="nil"/>
              <w:bottom w:val="single" w:sz="4" w:space="0" w:color="auto"/>
              <w:right w:val="single" w:sz="4" w:space="0" w:color="auto"/>
            </w:tcBorders>
            <w:shd w:val="clear" w:color="000000" w:fill="FFFFF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379" w:type="pct"/>
            <w:tcBorders>
              <w:top w:val="nil"/>
              <w:left w:val="nil"/>
              <w:bottom w:val="single" w:sz="4" w:space="0" w:color="auto"/>
              <w:right w:val="single" w:sz="4" w:space="0" w:color="auto"/>
            </w:tcBorders>
            <w:shd w:val="clear" w:color="000000" w:fill="FFFFF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-1 023</w:t>
            </w:r>
          </w:p>
        </w:tc>
        <w:tc>
          <w:tcPr>
            <w:tcW w:w="394" w:type="pct"/>
            <w:tcBorders>
              <w:top w:val="nil"/>
              <w:left w:val="nil"/>
              <w:bottom w:val="single" w:sz="4" w:space="0" w:color="auto"/>
              <w:right w:val="single" w:sz="4" w:space="0" w:color="auto"/>
            </w:tcBorders>
            <w:shd w:val="clear" w:color="000000" w:fill="FFFFF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50" w:type="pct"/>
            <w:tcBorders>
              <w:top w:val="nil"/>
              <w:left w:val="nil"/>
              <w:bottom w:val="single" w:sz="4" w:space="0" w:color="auto"/>
              <w:right w:val="single" w:sz="4" w:space="0" w:color="auto"/>
            </w:tcBorders>
            <w:shd w:val="clear" w:color="000000" w:fill="FFFFF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394" w:type="pct"/>
            <w:tcBorders>
              <w:top w:val="nil"/>
              <w:left w:val="nil"/>
              <w:bottom w:val="single" w:sz="4" w:space="0" w:color="auto"/>
              <w:right w:val="single" w:sz="4" w:space="0" w:color="auto"/>
            </w:tcBorders>
            <w:shd w:val="clear" w:color="000000" w:fill="FFFFF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394" w:type="pct"/>
            <w:tcBorders>
              <w:top w:val="nil"/>
              <w:left w:val="nil"/>
              <w:bottom w:val="single" w:sz="4" w:space="0" w:color="auto"/>
              <w:right w:val="single" w:sz="4" w:space="0" w:color="auto"/>
            </w:tcBorders>
            <w:shd w:val="clear" w:color="000000" w:fill="FFFFF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394" w:type="pct"/>
            <w:tcBorders>
              <w:top w:val="nil"/>
              <w:left w:val="nil"/>
              <w:bottom w:val="single" w:sz="4" w:space="0" w:color="auto"/>
              <w:right w:val="single" w:sz="4" w:space="0" w:color="auto"/>
            </w:tcBorders>
            <w:shd w:val="clear" w:color="000000" w:fill="FFFFF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r>
      <w:tr>
        <w:tblPrEx>
          <w:tblW w:w="5000" w:type="pct"/>
          <w:tblCellMar>
            <w:left w:w="70" w:type="dxa"/>
            <w:right w:w="70" w:type="dxa"/>
          </w:tblCellMar>
          <w:tblLook w:val="04A0"/>
        </w:tblPrEx>
        <w:trPr>
          <w:trHeight w:val="227"/>
        </w:trPr>
        <w:tc>
          <w:tcPr>
            <w:tcW w:w="221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A46D7" w:rsidRPr="00F27ABF" w:rsidP="00FA46D7">
            <w:pPr>
              <w:bidi w:val="0"/>
              <w:rPr>
                <w:rFonts w:ascii="Times New Roman" w:hAnsi="Times New Roman"/>
                <w:b/>
                <w:bCs/>
                <w:sz w:val="16"/>
                <w:szCs w:val="16"/>
              </w:rPr>
            </w:pPr>
            <w:r w:rsidRPr="00F27ABF">
              <w:rPr>
                <w:rFonts w:ascii="Times New Roman" w:hAnsi="Times New Roman"/>
                <w:b/>
                <w:bCs/>
                <w:sz w:val="16"/>
                <w:szCs w:val="16"/>
              </w:rPr>
              <w:t>Prebytok (+) /schodok (-) AVF (ESA 95)</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8</w:t>
            </w:r>
          </w:p>
        </w:tc>
        <w:tc>
          <w:tcPr>
            <w:tcW w:w="37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1 381</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c>
          <w:tcPr>
            <w:tcW w:w="3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FA46D7" w:rsidRPr="00F27ABF" w:rsidP="00FA46D7">
            <w:pPr>
              <w:bidi w:val="0"/>
              <w:jc w:val="right"/>
              <w:rPr>
                <w:rFonts w:ascii="Times New Roman" w:hAnsi="Times New Roman"/>
                <w:b/>
                <w:bCs/>
                <w:sz w:val="16"/>
                <w:szCs w:val="16"/>
              </w:rPr>
            </w:pPr>
            <w:r w:rsidRPr="00F27ABF">
              <w:rPr>
                <w:rFonts w:ascii="Times New Roman" w:hAnsi="Times New Roman"/>
                <w:b/>
                <w:bCs/>
                <w:sz w:val="16"/>
                <w:szCs w:val="16"/>
              </w:rPr>
              <w:t>0</w:t>
            </w:r>
          </w:p>
        </w:tc>
      </w:tr>
    </w:tbl>
    <w:p w:rsidR="00FA46D7" w:rsidRPr="00F27ABF" w:rsidP="00FA46D7">
      <w:pPr>
        <w:pStyle w:val="Default"/>
        <w:bidi w:val="0"/>
        <w:jc w:val="both"/>
        <w:rPr>
          <w:rFonts w:ascii="Times New Roman" w:hAnsi="Times New Roman" w:cs="Times New Roman"/>
        </w:rPr>
      </w:pPr>
    </w:p>
    <w:p w:rsidR="00FA46D7" w:rsidRPr="00EB33CC" w:rsidP="00FA46D7">
      <w:pPr>
        <w:pStyle w:val="Default"/>
        <w:bidi w:val="0"/>
        <w:ind w:firstLine="708"/>
        <w:jc w:val="both"/>
        <w:rPr>
          <w:rFonts w:ascii="Times New Roman" w:hAnsi="Times New Roman" w:cs="Times New Roman" w:hint="default"/>
        </w:rPr>
      </w:pPr>
      <w:r w:rsidRPr="00EB33CC">
        <w:rPr>
          <w:rFonts w:ascii="Times New Roman" w:hAnsi="Times New Roman" w:cs="Times New Roman" w:hint="default"/>
        </w:rPr>
        <w:t>Prí</w:t>
      </w:r>
      <w:r w:rsidRPr="00EB33CC">
        <w:rPr>
          <w:rFonts w:ascii="Times New Roman" w:hAnsi="Times New Roman" w:cs="Times New Roman" w:hint="default"/>
        </w:rPr>
        <w:t>jmy fondu sa v roku 2012 navrhujú</w:t>
      </w:r>
      <w:r w:rsidRPr="00EB33CC">
        <w:rPr>
          <w:rFonts w:ascii="Times New Roman" w:hAnsi="Times New Roman" w:cs="Times New Roman" w:hint="default"/>
        </w:rPr>
        <w:t xml:space="preserve"> v celkovej výš</w:t>
      </w:r>
      <w:r w:rsidRPr="00EB33CC">
        <w:rPr>
          <w:rFonts w:ascii="Times New Roman" w:hAnsi="Times New Roman" w:cs="Times New Roman" w:hint="default"/>
        </w:rPr>
        <w:t>ke 9,4</w:t>
      </w:r>
      <w:r>
        <w:rPr>
          <w:rFonts w:ascii="Times New Roman" w:hAnsi="Times New Roman" w:cs="Times New Roman"/>
        </w:rPr>
        <w:t>1</w:t>
      </w:r>
      <w:r w:rsidRPr="00EB33CC">
        <w:rPr>
          <w:rFonts w:ascii="Times New Roman" w:hAnsi="Times New Roman" w:cs="Times New Roman" w:hint="default"/>
        </w:rPr>
        <w:t xml:space="preserve"> mil. eur, č</w:t>
      </w:r>
      <w:r w:rsidRPr="00EB33CC">
        <w:rPr>
          <w:rFonts w:ascii="Times New Roman" w:hAnsi="Times New Roman" w:cs="Times New Roman" w:hint="default"/>
        </w:rPr>
        <w:t>o predstavuje oproti schvá</w:t>
      </w:r>
      <w:r w:rsidRPr="00EB33CC">
        <w:rPr>
          <w:rFonts w:ascii="Times New Roman" w:hAnsi="Times New Roman" w:cs="Times New Roman" w:hint="default"/>
        </w:rPr>
        <w:t>lené</w:t>
      </w:r>
      <w:r w:rsidRPr="00EB33CC">
        <w:rPr>
          <w:rFonts w:ascii="Times New Roman" w:hAnsi="Times New Roman" w:cs="Times New Roman" w:hint="default"/>
        </w:rPr>
        <w:t>mu rozpoč</w:t>
      </w:r>
      <w:r w:rsidRPr="00EB33CC">
        <w:rPr>
          <w:rFonts w:ascii="Times New Roman" w:hAnsi="Times New Roman" w:cs="Times New Roman" w:hint="default"/>
        </w:rPr>
        <w:t xml:space="preserve">tu </w:t>
      </w:r>
      <w:r>
        <w:rPr>
          <w:rFonts w:ascii="Times New Roman" w:hAnsi="Times New Roman" w:cs="Times New Roman"/>
        </w:rPr>
        <w:t>na</w:t>
      </w:r>
      <w:r w:rsidRPr="00EB33CC">
        <w:rPr>
          <w:rFonts w:ascii="Times New Roman" w:hAnsi="Times New Roman" w:cs="Times New Roman" w:hint="default"/>
        </w:rPr>
        <w:t xml:space="preserve"> rok 2011 ná</w:t>
      </w:r>
      <w:r w:rsidRPr="00EB33CC">
        <w:rPr>
          <w:rFonts w:ascii="Times New Roman" w:hAnsi="Times New Roman" w:cs="Times New Roman" w:hint="default"/>
        </w:rPr>
        <w:t>rast o</w:t>
      </w:r>
      <w:r>
        <w:rPr>
          <w:rFonts w:ascii="Times New Roman" w:hAnsi="Times New Roman" w:cs="Times New Roman"/>
        </w:rPr>
        <w:t> </w:t>
      </w:r>
      <w:r w:rsidRPr="00EB33CC">
        <w:rPr>
          <w:rFonts w:ascii="Times New Roman" w:hAnsi="Times New Roman" w:cs="Times New Roman"/>
        </w:rPr>
        <w:t>3</w:t>
      </w:r>
      <w:r>
        <w:rPr>
          <w:rFonts w:ascii="Times New Roman" w:hAnsi="Times New Roman" w:cs="Times New Roman"/>
        </w:rPr>
        <w:t>3,9</w:t>
      </w:r>
      <w:r w:rsidRPr="00EB33CC">
        <w:rPr>
          <w:rFonts w:ascii="Times New Roman" w:hAnsi="Times New Roman" w:cs="Times New Roman" w:hint="default"/>
        </w:rPr>
        <w:t xml:space="preserve"> %, zvýš</w:t>
      </w:r>
      <w:r w:rsidRPr="00EB33CC">
        <w:rPr>
          <w:rFonts w:ascii="Times New Roman" w:hAnsi="Times New Roman" w:cs="Times New Roman" w:hint="default"/>
        </w:rPr>
        <w:t>enie je spô</w:t>
      </w:r>
      <w:r w:rsidRPr="00EB33CC">
        <w:rPr>
          <w:rFonts w:ascii="Times New Roman" w:hAnsi="Times New Roman" w:cs="Times New Roman" w:hint="default"/>
        </w:rPr>
        <w:t>soben</w:t>
      </w:r>
      <w:r w:rsidRPr="00EB33CC">
        <w:rPr>
          <w:rFonts w:ascii="Times New Roman" w:hAnsi="Times New Roman" w:cs="Times New Roman" w:hint="default"/>
        </w:rPr>
        <w:t>é</w:t>
      </w:r>
      <w:r w:rsidRPr="00EB33CC">
        <w:rPr>
          <w:rFonts w:ascii="Times New Roman" w:hAnsi="Times New Roman" w:cs="Times New Roman" w:hint="default"/>
        </w:rPr>
        <w:t xml:space="preserve"> najmä</w:t>
      </w:r>
      <w:r w:rsidRPr="00EB33CC">
        <w:rPr>
          <w:rFonts w:ascii="Times New Roman" w:hAnsi="Times New Roman" w:cs="Times New Roman" w:hint="default"/>
        </w:rPr>
        <w:t xml:space="preserve"> prevodom prostriedkov z roku 2011 v objeme 2,4</w:t>
      </w:r>
      <w:r>
        <w:rPr>
          <w:rFonts w:ascii="Times New Roman" w:hAnsi="Times New Roman" w:cs="Times New Roman"/>
        </w:rPr>
        <w:t>1</w:t>
      </w:r>
      <w:r w:rsidRPr="00EB33CC">
        <w:rPr>
          <w:rFonts w:ascii="Times New Roman" w:hAnsi="Times New Roman" w:cs="Times New Roman" w:hint="default"/>
        </w:rPr>
        <w:t xml:space="preserve"> mil. eur, ktoré</w:t>
      </w:r>
      <w:r w:rsidRPr="00EB33CC">
        <w:rPr>
          <w:rFonts w:ascii="Times New Roman" w:hAnsi="Times New Roman" w:cs="Times New Roman" w:hint="default"/>
        </w:rPr>
        <w:t xml:space="preserve"> sa v </w:t>
      </w:r>
      <w:r w:rsidRPr="00EB33CC">
        <w:rPr>
          <w:rFonts w:ascii="Times New Roman" w:hAnsi="Times New Roman" w:cs="Times New Roman" w:hint="default"/>
        </w:rPr>
        <w:t>schvá</w:t>
      </w:r>
      <w:r w:rsidRPr="00EB33CC">
        <w:rPr>
          <w:rFonts w:ascii="Times New Roman" w:hAnsi="Times New Roman" w:cs="Times New Roman" w:hint="default"/>
        </w:rPr>
        <w:t>lenom rozpoč</w:t>
      </w:r>
      <w:r w:rsidRPr="00EB33CC">
        <w:rPr>
          <w:rFonts w:ascii="Times New Roman" w:hAnsi="Times New Roman" w:cs="Times New Roman" w:hint="default"/>
        </w:rPr>
        <w:t>te na rok 2011 nerozpoč</w:t>
      </w:r>
      <w:r w:rsidRPr="00EB33CC">
        <w:rPr>
          <w:rFonts w:ascii="Times New Roman" w:hAnsi="Times New Roman" w:cs="Times New Roman" w:hint="default"/>
        </w:rPr>
        <w:t>tovali. Vyšš</w:t>
      </w:r>
      <w:r w:rsidRPr="00EB33CC">
        <w:rPr>
          <w:rFonts w:ascii="Times New Roman" w:hAnsi="Times New Roman" w:cs="Times New Roman" w:hint="default"/>
        </w:rPr>
        <w:t>ie plnenie o</w:t>
      </w:r>
      <w:r>
        <w:rPr>
          <w:rFonts w:ascii="Times New Roman" w:hAnsi="Times New Roman" w:cs="Times New Roman"/>
        </w:rPr>
        <w:t> </w:t>
      </w:r>
      <w:r w:rsidRPr="00EB33CC">
        <w:rPr>
          <w:rFonts w:ascii="Times New Roman" w:hAnsi="Times New Roman" w:cs="Times New Roman"/>
        </w:rPr>
        <w:t>2</w:t>
      </w:r>
      <w:r>
        <w:rPr>
          <w:rFonts w:ascii="Times New Roman" w:hAnsi="Times New Roman" w:cs="Times New Roman"/>
        </w:rPr>
        <w:t xml:space="preserve"> </w:t>
      </w:r>
      <w:r w:rsidRPr="00EB33CC">
        <w:rPr>
          <w:rFonts w:ascii="Times New Roman" w:hAnsi="Times New Roman" w:cs="Times New Roman" w:hint="default"/>
        </w:rPr>
        <w:t>% sa predpokladá</w:t>
      </w:r>
      <w:r w:rsidRPr="00EB33CC">
        <w:rPr>
          <w:rFonts w:ascii="Times New Roman" w:hAnsi="Times New Roman" w:cs="Times New Roman" w:hint="default"/>
        </w:rPr>
        <w:t xml:space="preserve"> najmä</w:t>
      </w:r>
      <w:r w:rsidRPr="00EB33CC">
        <w:rPr>
          <w:rFonts w:ascii="Times New Roman" w:hAnsi="Times New Roman" w:cs="Times New Roman" w:hint="default"/>
        </w:rPr>
        <w:t xml:space="preserve"> v </w:t>
      </w:r>
      <w:r w:rsidRPr="00EB33CC">
        <w:rPr>
          <w:rFonts w:ascii="Times New Roman" w:hAnsi="Times New Roman" w:cs="Times New Roman" w:hint="default"/>
        </w:rPr>
        <w:t>oblasti nedaň</w:t>
      </w:r>
      <w:r w:rsidRPr="00EB33CC">
        <w:rPr>
          <w:rFonts w:ascii="Times New Roman" w:hAnsi="Times New Roman" w:cs="Times New Roman" w:hint="default"/>
        </w:rPr>
        <w:t>ový</w:t>
      </w:r>
      <w:r w:rsidRPr="00EB33CC">
        <w:rPr>
          <w:rFonts w:ascii="Times New Roman" w:hAnsi="Times New Roman" w:cs="Times New Roman" w:hint="default"/>
        </w:rPr>
        <w:t>ch prí</w:t>
      </w:r>
      <w:r w:rsidRPr="00EB33CC">
        <w:rPr>
          <w:rFonts w:ascii="Times New Roman" w:hAnsi="Times New Roman" w:cs="Times New Roman" w:hint="default"/>
        </w:rPr>
        <w:t>jmov, a </w:t>
      </w:r>
      <w:r w:rsidRPr="00EB33CC">
        <w:rPr>
          <w:rFonts w:ascii="Times New Roman" w:hAnsi="Times New Roman" w:cs="Times New Roman" w:hint="default"/>
        </w:rPr>
        <w:t>to z prí</w:t>
      </w:r>
      <w:r w:rsidRPr="00EB33CC">
        <w:rPr>
          <w:rFonts w:ascii="Times New Roman" w:hAnsi="Times New Roman" w:cs="Times New Roman" w:hint="default"/>
        </w:rPr>
        <w:t>spevkov od povinný</w:t>
      </w:r>
      <w:r w:rsidRPr="00EB33CC">
        <w:rPr>
          <w:rFonts w:ascii="Times New Roman" w:hAnsi="Times New Roman" w:cs="Times New Roman" w:hint="default"/>
        </w:rPr>
        <w:t>ch prispievateľ</w:t>
      </w:r>
      <w:r w:rsidRPr="00EB33CC">
        <w:rPr>
          <w:rFonts w:ascii="Times New Roman" w:hAnsi="Times New Roman" w:cs="Times New Roman" w:hint="default"/>
        </w:rPr>
        <w:t>ov, ktorý</w:t>
      </w:r>
      <w:r w:rsidRPr="00EB33CC">
        <w:rPr>
          <w:rFonts w:ascii="Times New Roman" w:hAnsi="Times New Roman" w:cs="Times New Roman" w:hint="default"/>
        </w:rPr>
        <w:t>mi v zm</w:t>
      </w:r>
      <w:r w:rsidRPr="00EB33CC">
        <w:rPr>
          <w:rFonts w:ascii="Times New Roman" w:hAnsi="Times New Roman" w:cs="Times New Roman" w:hint="default"/>
        </w:rPr>
        <w:t>ysle zá</w:t>
      </w:r>
      <w:r w:rsidRPr="00EB33CC">
        <w:rPr>
          <w:rFonts w:ascii="Times New Roman" w:hAnsi="Times New Roman" w:cs="Times New Roman" w:hint="default"/>
        </w:rPr>
        <w:t>kona sú</w:t>
      </w:r>
      <w:r w:rsidRPr="00EB33CC">
        <w:rPr>
          <w:rFonts w:ascii="Times New Roman" w:hAnsi="Times New Roman" w:cs="Times New Roman" w:hint="default"/>
        </w:rPr>
        <w:t xml:space="preserve"> vysielatelia na zá</w:t>
      </w:r>
      <w:r w:rsidRPr="00EB33CC">
        <w:rPr>
          <w:rFonts w:ascii="Times New Roman" w:hAnsi="Times New Roman" w:cs="Times New Roman" w:hint="default"/>
        </w:rPr>
        <w:t>klade licencie, prevá</w:t>
      </w:r>
      <w:r w:rsidRPr="00EB33CC">
        <w:rPr>
          <w:rFonts w:ascii="Times New Roman" w:hAnsi="Times New Roman" w:cs="Times New Roman" w:hint="default"/>
        </w:rPr>
        <w:t>dzkovatelia kí</w:t>
      </w:r>
      <w:r w:rsidRPr="00EB33CC">
        <w:rPr>
          <w:rFonts w:ascii="Times New Roman" w:hAnsi="Times New Roman" w:cs="Times New Roman" w:hint="default"/>
        </w:rPr>
        <w:t>n, prevá</w:t>
      </w:r>
      <w:r w:rsidRPr="00EB33CC">
        <w:rPr>
          <w:rFonts w:ascii="Times New Roman" w:hAnsi="Times New Roman" w:cs="Times New Roman" w:hint="default"/>
        </w:rPr>
        <w:t>dzkovatelia retransmisie a </w:t>
      </w:r>
      <w:r w:rsidRPr="00EB33CC">
        <w:rPr>
          <w:rFonts w:ascii="Times New Roman" w:hAnsi="Times New Roman" w:cs="Times New Roman" w:hint="default"/>
        </w:rPr>
        <w:t>distributé</w:t>
      </w:r>
      <w:r w:rsidRPr="00EB33CC">
        <w:rPr>
          <w:rFonts w:ascii="Times New Roman" w:hAnsi="Times New Roman" w:cs="Times New Roman" w:hint="default"/>
        </w:rPr>
        <w:t>ri audiovizuá</w:t>
      </w:r>
      <w:r w:rsidRPr="00EB33CC">
        <w:rPr>
          <w:rFonts w:ascii="Times New Roman" w:hAnsi="Times New Roman" w:cs="Times New Roman" w:hint="default"/>
        </w:rPr>
        <w:t>lnych diel. Z  </w:t>
      </w:r>
      <w:r w:rsidRPr="00EB33CC">
        <w:rPr>
          <w:rFonts w:ascii="Times New Roman" w:hAnsi="Times New Roman" w:cs="Times New Roman" w:hint="default"/>
        </w:rPr>
        <w:t>dô</w:t>
      </w:r>
      <w:r w:rsidRPr="00EB33CC">
        <w:rPr>
          <w:rFonts w:ascii="Times New Roman" w:hAnsi="Times New Roman" w:cs="Times New Roman" w:hint="default"/>
        </w:rPr>
        <w:t>vodu prechodu na digitá</w:t>
      </w:r>
      <w:r w:rsidRPr="00EB33CC">
        <w:rPr>
          <w:rFonts w:ascii="Times New Roman" w:hAnsi="Times New Roman" w:cs="Times New Roman" w:hint="default"/>
        </w:rPr>
        <w:t>lne terestriá</w:t>
      </w:r>
      <w:r w:rsidRPr="00EB33CC">
        <w:rPr>
          <w:rFonts w:ascii="Times New Roman" w:hAnsi="Times New Roman" w:cs="Times New Roman" w:hint="default"/>
        </w:rPr>
        <w:t>lne vysielanie budú</w:t>
      </w:r>
      <w:r w:rsidRPr="00EB33CC">
        <w:rPr>
          <w:rFonts w:ascii="Times New Roman" w:hAnsi="Times New Roman" w:cs="Times New Roman" w:hint="default"/>
        </w:rPr>
        <w:t xml:space="preserve"> vysielatelia s </w:t>
      </w:r>
      <w:r w:rsidRPr="00EB33CC">
        <w:rPr>
          <w:rFonts w:ascii="Times New Roman" w:hAnsi="Times New Roman" w:cs="Times New Roman" w:hint="default"/>
        </w:rPr>
        <w:t>licenciou odvá</w:t>
      </w:r>
      <w:r w:rsidRPr="00EB33CC">
        <w:rPr>
          <w:rFonts w:ascii="Times New Roman" w:hAnsi="Times New Roman" w:cs="Times New Roman" w:hint="default"/>
        </w:rPr>
        <w:t>dzať</w:t>
      </w:r>
      <w:r w:rsidRPr="00EB33CC">
        <w:rPr>
          <w:rFonts w:ascii="Times New Roman" w:hAnsi="Times New Roman" w:cs="Times New Roman" w:hint="default"/>
        </w:rPr>
        <w:t xml:space="preserve"> povinný</w:t>
      </w:r>
      <w:r w:rsidRPr="00EB33CC">
        <w:rPr>
          <w:rFonts w:ascii="Times New Roman" w:hAnsi="Times New Roman" w:cs="Times New Roman" w:hint="default"/>
        </w:rPr>
        <w:t xml:space="preserve"> odvod do fondu</w:t>
      </w:r>
      <w:r w:rsidRPr="00EB33CC">
        <w:rPr>
          <w:rFonts w:ascii="Times New Roman" w:hAnsi="Times New Roman" w:cs="Times New Roman" w:hint="default"/>
        </w:rPr>
        <w:t xml:space="preserve"> </w:t>
      </w:r>
      <w:r w:rsidRPr="00EB33CC">
        <w:rPr>
          <w:rFonts w:ascii="Times New Roman" w:hAnsi="Times New Roman" w:cs="Times New Roman" w:hint="default"/>
        </w:rPr>
        <w:t>z </w:t>
      </w:r>
      <w:r w:rsidRPr="00EB33CC">
        <w:rPr>
          <w:rFonts w:ascii="Times New Roman" w:hAnsi="Times New Roman" w:cs="Times New Roman" w:hint="default"/>
        </w:rPr>
        <w:t>vyšš</w:t>
      </w:r>
      <w:r w:rsidRPr="00EB33CC">
        <w:rPr>
          <w:rFonts w:ascii="Times New Roman" w:hAnsi="Times New Roman" w:cs="Times New Roman" w:hint="default"/>
        </w:rPr>
        <w:t>ej zá</w:t>
      </w:r>
      <w:r w:rsidRPr="00EB33CC">
        <w:rPr>
          <w:rFonts w:ascii="Times New Roman" w:hAnsi="Times New Roman" w:cs="Times New Roman" w:hint="default"/>
        </w:rPr>
        <w:t xml:space="preserve">kladne. </w:t>
      </w:r>
    </w:p>
    <w:p w:rsidR="00FA46D7" w:rsidRPr="00EB33CC" w:rsidP="00FA46D7">
      <w:pPr>
        <w:pStyle w:val="Default"/>
        <w:bidi w:val="0"/>
        <w:spacing w:before="240"/>
        <w:ind w:firstLine="709"/>
        <w:jc w:val="both"/>
        <w:rPr>
          <w:rFonts w:ascii="Times New Roman" w:hAnsi="Times New Roman" w:cs="Times New Roman" w:hint="default"/>
        </w:rPr>
      </w:pPr>
      <w:r w:rsidRPr="00EB33CC">
        <w:rPr>
          <w:rFonts w:ascii="Times New Roman" w:hAnsi="Times New Roman" w:cs="Times New Roman" w:hint="default"/>
        </w:rPr>
        <w:t>Na zá</w:t>
      </w:r>
      <w:r w:rsidRPr="00EB33CC">
        <w:rPr>
          <w:rFonts w:ascii="Times New Roman" w:hAnsi="Times New Roman" w:cs="Times New Roman" w:hint="default"/>
        </w:rPr>
        <w:t>klade zmluvy medzi Ministerstvom kultú</w:t>
      </w:r>
      <w:r w:rsidRPr="00EB33CC">
        <w:rPr>
          <w:rFonts w:ascii="Times New Roman" w:hAnsi="Times New Roman" w:cs="Times New Roman" w:hint="default"/>
        </w:rPr>
        <w:t>ry SR a fondom sa poskytuje v </w:t>
      </w:r>
      <w:r w:rsidRPr="00EB33CC">
        <w:rPr>
          <w:rFonts w:ascii="Times New Roman" w:hAnsi="Times New Roman" w:cs="Times New Roman" w:hint="default"/>
        </w:rPr>
        <w:t>roku 2012 prí</w:t>
      </w:r>
      <w:r w:rsidRPr="00EB33CC">
        <w:rPr>
          <w:rFonts w:ascii="Times New Roman" w:hAnsi="Times New Roman" w:cs="Times New Roman" w:hint="default"/>
        </w:rPr>
        <w:t>spevok zo š</w:t>
      </w:r>
      <w:r w:rsidRPr="00EB33CC">
        <w:rPr>
          <w:rFonts w:ascii="Times New Roman" w:hAnsi="Times New Roman" w:cs="Times New Roman" w:hint="default"/>
        </w:rPr>
        <w:t>tá</w:t>
      </w:r>
      <w:r w:rsidRPr="00EB33CC">
        <w:rPr>
          <w:rFonts w:ascii="Times New Roman" w:hAnsi="Times New Roman" w:cs="Times New Roman" w:hint="default"/>
        </w:rPr>
        <w:t>tneho rozpoč</w:t>
      </w:r>
      <w:r w:rsidRPr="00EB33CC">
        <w:rPr>
          <w:rFonts w:ascii="Times New Roman" w:hAnsi="Times New Roman" w:cs="Times New Roman" w:hint="default"/>
        </w:rPr>
        <w:t>tu v </w:t>
      </w:r>
      <w:r w:rsidRPr="00EB33CC">
        <w:rPr>
          <w:rFonts w:ascii="Times New Roman" w:hAnsi="Times New Roman" w:cs="Times New Roman" w:hint="default"/>
        </w:rPr>
        <w:t>sume 3,5 mil. eur, č</w:t>
      </w:r>
      <w:r w:rsidRPr="00EB33CC">
        <w:rPr>
          <w:rFonts w:ascii="Times New Roman" w:hAnsi="Times New Roman" w:cs="Times New Roman" w:hint="default"/>
        </w:rPr>
        <w:t>o zodpovedá</w:t>
      </w:r>
      <w:r w:rsidRPr="00EB33CC">
        <w:rPr>
          <w:rFonts w:ascii="Times New Roman" w:hAnsi="Times New Roman" w:cs="Times New Roman" w:hint="default"/>
        </w:rPr>
        <w:t xml:space="preserve"> schvá</w:t>
      </w:r>
      <w:r w:rsidRPr="00EB33CC">
        <w:rPr>
          <w:rFonts w:ascii="Times New Roman" w:hAnsi="Times New Roman" w:cs="Times New Roman" w:hint="default"/>
        </w:rPr>
        <w:t>lené</w:t>
      </w:r>
      <w:r w:rsidRPr="00EB33CC">
        <w:rPr>
          <w:rFonts w:ascii="Times New Roman" w:hAnsi="Times New Roman" w:cs="Times New Roman" w:hint="default"/>
        </w:rPr>
        <w:t>mu rozpoč</w:t>
      </w:r>
      <w:r w:rsidRPr="00EB33CC">
        <w:rPr>
          <w:rFonts w:ascii="Times New Roman" w:hAnsi="Times New Roman" w:cs="Times New Roman" w:hint="default"/>
        </w:rPr>
        <w:t>tu na rok 2011, ako aj oč</w:t>
      </w:r>
      <w:r w:rsidRPr="00EB33CC">
        <w:rPr>
          <w:rFonts w:ascii="Times New Roman" w:hAnsi="Times New Roman" w:cs="Times New Roman" w:hint="default"/>
        </w:rPr>
        <w:t>aká</w:t>
      </w:r>
      <w:r w:rsidRPr="00EB33CC">
        <w:rPr>
          <w:rFonts w:ascii="Times New Roman" w:hAnsi="Times New Roman" w:cs="Times New Roman" w:hint="default"/>
        </w:rPr>
        <w:t>vanej ú</w:t>
      </w:r>
      <w:r w:rsidRPr="00EB33CC">
        <w:rPr>
          <w:rFonts w:ascii="Times New Roman" w:hAnsi="Times New Roman" w:cs="Times New Roman" w:hint="default"/>
        </w:rPr>
        <w:t>rovni roku 2011. V rá</w:t>
      </w:r>
      <w:r w:rsidRPr="00EB33CC">
        <w:rPr>
          <w:rFonts w:ascii="Times New Roman" w:hAnsi="Times New Roman" w:cs="Times New Roman" w:hint="default"/>
        </w:rPr>
        <w:t>mci tuzemský</w:t>
      </w:r>
      <w:r w:rsidRPr="00EB33CC">
        <w:rPr>
          <w:rFonts w:ascii="Times New Roman" w:hAnsi="Times New Roman" w:cs="Times New Roman" w:hint="default"/>
        </w:rPr>
        <w:t>ch</w:t>
      </w:r>
      <w:r w:rsidRPr="00EB33CC">
        <w:rPr>
          <w:rFonts w:ascii="Times New Roman" w:hAnsi="Times New Roman" w:cs="Times New Roman" w:hint="default"/>
        </w:rPr>
        <w:t xml:space="preserve"> bež</w:t>
      </w:r>
      <w:r w:rsidRPr="00EB33CC">
        <w:rPr>
          <w:rFonts w:ascii="Times New Roman" w:hAnsi="Times New Roman" w:cs="Times New Roman" w:hint="default"/>
        </w:rPr>
        <w:t>ný</w:t>
      </w:r>
      <w:r w:rsidRPr="00EB33CC">
        <w:rPr>
          <w:rFonts w:ascii="Times New Roman" w:hAnsi="Times New Roman" w:cs="Times New Roman" w:hint="default"/>
        </w:rPr>
        <w:t>ch transferov sa rozpoč</w:t>
      </w:r>
      <w:r w:rsidRPr="00EB33CC">
        <w:rPr>
          <w:rFonts w:ascii="Times New Roman" w:hAnsi="Times New Roman" w:cs="Times New Roman" w:hint="default"/>
        </w:rPr>
        <w:t>tuje aj povinný</w:t>
      </w:r>
      <w:r w:rsidRPr="00EB33CC">
        <w:rPr>
          <w:rFonts w:ascii="Times New Roman" w:hAnsi="Times New Roman" w:cs="Times New Roman" w:hint="default"/>
        </w:rPr>
        <w:t xml:space="preserve"> prí</w:t>
      </w:r>
      <w:r w:rsidRPr="00EB33CC">
        <w:rPr>
          <w:rFonts w:ascii="Times New Roman" w:hAnsi="Times New Roman" w:cs="Times New Roman" w:hint="default"/>
        </w:rPr>
        <w:t>spevok od Rozhlasu a </w:t>
      </w:r>
      <w:r w:rsidRPr="00EB33CC">
        <w:rPr>
          <w:rFonts w:ascii="Times New Roman" w:hAnsi="Times New Roman" w:cs="Times New Roman" w:hint="default"/>
        </w:rPr>
        <w:t>televí</w:t>
      </w:r>
      <w:r w:rsidRPr="00EB33CC">
        <w:rPr>
          <w:rFonts w:ascii="Times New Roman" w:hAnsi="Times New Roman" w:cs="Times New Roman" w:hint="default"/>
        </w:rPr>
        <w:t>zie Slovenska v </w:t>
      </w:r>
      <w:r w:rsidRPr="00EB33CC">
        <w:rPr>
          <w:rFonts w:ascii="Times New Roman" w:hAnsi="Times New Roman" w:cs="Times New Roman" w:hint="default"/>
        </w:rPr>
        <w:t>objeme 185 tisí</w:t>
      </w:r>
      <w:r w:rsidRPr="00EB33CC">
        <w:rPr>
          <w:rFonts w:ascii="Times New Roman" w:hAnsi="Times New Roman" w:cs="Times New Roman" w:hint="default"/>
        </w:rPr>
        <w:t>c eur.</w:t>
      </w:r>
    </w:p>
    <w:p w:rsidR="00FA46D7" w:rsidRPr="00EB33CC" w:rsidP="00FA46D7">
      <w:pPr>
        <w:pStyle w:val="Default"/>
        <w:bidi w:val="0"/>
        <w:spacing w:before="240"/>
        <w:ind w:firstLine="709"/>
        <w:jc w:val="both"/>
        <w:rPr>
          <w:rFonts w:ascii="Times New Roman" w:hAnsi="Times New Roman" w:cs="Times New Roman" w:hint="default"/>
        </w:rPr>
      </w:pPr>
      <w:r w:rsidRPr="00EB33CC">
        <w:rPr>
          <w:rFonts w:ascii="Times New Roman" w:hAnsi="Times New Roman" w:cs="Times New Roman" w:hint="default"/>
        </w:rPr>
        <w:t>Vý</w:t>
      </w:r>
      <w:r w:rsidRPr="00EB33CC">
        <w:rPr>
          <w:rFonts w:ascii="Times New Roman" w:hAnsi="Times New Roman" w:cs="Times New Roman" w:hint="default"/>
        </w:rPr>
        <w:t>davky fondu sa v roku 2012 navrhujú</w:t>
      </w:r>
      <w:r w:rsidRPr="00EB33CC">
        <w:rPr>
          <w:rFonts w:ascii="Times New Roman" w:hAnsi="Times New Roman" w:cs="Times New Roman" w:hint="default"/>
        </w:rPr>
        <w:t xml:space="preserve"> v celkovej výš</w:t>
      </w:r>
      <w:r w:rsidRPr="00EB33CC">
        <w:rPr>
          <w:rFonts w:ascii="Times New Roman" w:hAnsi="Times New Roman" w:cs="Times New Roman" w:hint="default"/>
        </w:rPr>
        <w:t>ke 7,0 mil. eur, č</w:t>
      </w:r>
      <w:r w:rsidRPr="00EB33CC">
        <w:rPr>
          <w:rFonts w:ascii="Times New Roman" w:hAnsi="Times New Roman" w:cs="Times New Roman" w:hint="default"/>
        </w:rPr>
        <w:t>o predstavuje oproti schvá</w:t>
      </w:r>
      <w:r w:rsidRPr="00EB33CC">
        <w:rPr>
          <w:rFonts w:ascii="Times New Roman" w:hAnsi="Times New Roman" w:cs="Times New Roman" w:hint="default"/>
        </w:rPr>
        <w:t>lené</w:t>
      </w:r>
      <w:r w:rsidRPr="00EB33CC">
        <w:rPr>
          <w:rFonts w:ascii="Times New Roman" w:hAnsi="Times New Roman" w:cs="Times New Roman" w:hint="default"/>
        </w:rPr>
        <w:t>mu rozpoč</w:t>
      </w:r>
      <w:r w:rsidRPr="00EB33CC">
        <w:rPr>
          <w:rFonts w:ascii="Times New Roman" w:hAnsi="Times New Roman" w:cs="Times New Roman" w:hint="default"/>
        </w:rPr>
        <w:t>tu na rok 2011 pokles o 25 tis. eu</w:t>
      </w:r>
      <w:r w:rsidRPr="00EB33CC">
        <w:rPr>
          <w:rFonts w:ascii="Times New Roman" w:hAnsi="Times New Roman" w:cs="Times New Roman" w:hint="default"/>
        </w:rPr>
        <w:t>r, t. j. o 0,36 %. V </w:t>
      </w:r>
      <w:r w:rsidRPr="00EB33CC">
        <w:rPr>
          <w:rFonts w:ascii="Times New Roman" w:hAnsi="Times New Roman" w:cs="Times New Roman" w:hint="default"/>
        </w:rPr>
        <w:t>zmysle platnej legislatí</w:t>
      </w:r>
      <w:r w:rsidRPr="00EB33CC">
        <w:rPr>
          <w:rFonts w:ascii="Times New Roman" w:hAnsi="Times New Roman" w:cs="Times New Roman" w:hint="default"/>
        </w:rPr>
        <w:t>vy je fond oprá</w:t>
      </w:r>
      <w:r w:rsidRPr="00EB33CC">
        <w:rPr>
          <w:rFonts w:ascii="Times New Roman" w:hAnsi="Times New Roman" w:cs="Times New Roman" w:hint="default"/>
        </w:rPr>
        <w:t>vnený</w:t>
      </w:r>
      <w:r w:rsidRPr="00EB33CC">
        <w:rPr>
          <w:rFonts w:ascii="Times New Roman" w:hAnsi="Times New Roman" w:cs="Times New Roman" w:hint="default"/>
        </w:rPr>
        <w:t xml:space="preserve"> na vlastnú</w:t>
      </w:r>
      <w:r w:rsidRPr="00EB33CC">
        <w:rPr>
          <w:rFonts w:ascii="Times New Roman" w:hAnsi="Times New Roman" w:cs="Times New Roman" w:hint="default"/>
        </w:rPr>
        <w:t xml:space="preserve"> prevá</w:t>
      </w:r>
      <w:r w:rsidRPr="00EB33CC">
        <w:rPr>
          <w:rFonts w:ascii="Times New Roman" w:hAnsi="Times New Roman" w:cs="Times New Roman" w:hint="default"/>
        </w:rPr>
        <w:t>dzku použ</w:t>
      </w:r>
      <w:r w:rsidRPr="00EB33CC">
        <w:rPr>
          <w:rFonts w:ascii="Times New Roman" w:hAnsi="Times New Roman" w:cs="Times New Roman" w:hint="default"/>
        </w:rPr>
        <w:t>iť</w:t>
      </w:r>
      <w:r w:rsidRPr="00EB33CC">
        <w:rPr>
          <w:rFonts w:ascii="Times New Roman" w:hAnsi="Times New Roman" w:cs="Times New Roman" w:hint="default"/>
        </w:rPr>
        <w:t xml:space="preserve"> najviac 5</w:t>
      </w:r>
      <w:r>
        <w:rPr>
          <w:rFonts w:ascii="Times New Roman" w:hAnsi="Times New Roman" w:cs="Times New Roman"/>
        </w:rPr>
        <w:t xml:space="preserve"> </w:t>
      </w:r>
      <w:r w:rsidRPr="00EB33CC">
        <w:rPr>
          <w:rFonts w:ascii="Times New Roman" w:hAnsi="Times New Roman" w:cs="Times New Roman"/>
        </w:rPr>
        <w:t>% z </w:t>
      </w:r>
      <w:r w:rsidRPr="00EB33CC">
        <w:rPr>
          <w:rFonts w:ascii="Times New Roman" w:hAnsi="Times New Roman" w:cs="Times New Roman" w:hint="default"/>
        </w:rPr>
        <w:t>celkovej sumy  svojich prí</w:t>
      </w:r>
      <w:r w:rsidRPr="00EB33CC">
        <w:rPr>
          <w:rFonts w:ascii="Times New Roman" w:hAnsi="Times New Roman" w:cs="Times New Roman" w:hint="default"/>
        </w:rPr>
        <w:t>jmov.</w:t>
      </w:r>
    </w:p>
    <w:p w:rsidR="00FA46D7" w:rsidP="00FA46D7">
      <w:pPr>
        <w:pStyle w:val="Default"/>
        <w:bidi w:val="0"/>
        <w:spacing w:before="240"/>
        <w:ind w:firstLine="709"/>
        <w:jc w:val="both"/>
        <w:rPr>
          <w:rFonts w:ascii="Times New Roman" w:hAnsi="Times New Roman" w:cs="Times New Roman"/>
        </w:rPr>
      </w:pPr>
      <w:r w:rsidRPr="00EB33CC">
        <w:rPr>
          <w:rFonts w:ascii="Times New Roman" w:hAnsi="Times New Roman" w:cs="Times New Roman" w:hint="default"/>
        </w:rPr>
        <w:t>Osobné</w:t>
      </w:r>
      <w:r w:rsidRPr="00EB33CC">
        <w:rPr>
          <w:rFonts w:ascii="Times New Roman" w:hAnsi="Times New Roman" w:cs="Times New Roman" w:hint="default"/>
        </w:rPr>
        <w:t xml:space="preserve"> vý</w:t>
      </w:r>
      <w:r w:rsidRPr="00EB33CC">
        <w:rPr>
          <w:rFonts w:ascii="Times New Roman" w:hAnsi="Times New Roman" w:cs="Times New Roman" w:hint="default"/>
        </w:rPr>
        <w:t>davky medziroč</w:t>
      </w:r>
      <w:r w:rsidRPr="00EB33CC">
        <w:rPr>
          <w:rFonts w:ascii="Times New Roman" w:hAnsi="Times New Roman" w:cs="Times New Roman" w:hint="default"/>
        </w:rPr>
        <w:t>ne rastú</w:t>
      </w:r>
      <w:r w:rsidRPr="00EB33CC">
        <w:rPr>
          <w:rFonts w:ascii="Times New Roman" w:hAnsi="Times New Roman" w:cs="Times New Roman" w:hint="default"/>
        </w:rPr>
        <w:t xml:space="preserve"> o 5,54</w:t>
      </w:r>
      <w:r>
        <w:rPr>
          <w:rFonts w:ascii="Times New Roman" w:hAnsi="Times New Roman" w:cs="Times New Roman"/>
        </w:rPr>
        <w:t xml:space="preserve"> </w:t>
      </w:r>
      <w:r w:rsidRPr="00EB33CC">
        <w:rPr>
          <w:rFonts w:ascii="Times New Roman" w:hAnsi="Times New Roman" w:cs="Times New Roman" w:hint="default"/>
        </w:rPr>
        <w:t>% z dô</w:t>
      </w:r>
      <w:r w:rsidRPr="00EB33CC">
        <w:rPr>
          <w:rFonts w:ascii="Times New Roman" w:hAnsi="Times New Roman" w:cs="Times New Roman" w:hint="default"/>
        </w:rPr>
        <w:t>vodu zohľ</w:t>
      </w:r>
      <w:r w:rsidRPr="00EB33CC">
        <w:rPr>
          <w:rFonts w:ascii="Times New Roman" w:hAnsi="Times New Roman" w:cs="Times New Roman" w:hint="default"/>
        </w:rPr>
        <w:t>adnenia legislatí</w:t>
      </w:r>
      <w:r w:rsidRPr="00EB33CC">
        <w:rPr>
          <w:rFonts w:ascii="Times New Roman" w:hAnsi="Times New Roman" w:cs="Times New Roman" w:hint="default"/>
        </w:rPr>
        <w:t>vnej zmeny platnej od 1.</w:t>
      </w:r>
      <w:r>
        <w:rPr>
          <w:rFonts w:ascii="Times New Roman" w:hAnsi="Times New Roman" w:cs="Times New Roman"/>
        </w:rPr>
        <w:t xml:space="preserve"> </w:t>
      </w:r>
      <w:r w:rsidRPr="00EB33CC">
        <w:rPr>
          <w:rFonts w:ascii="Times New Roman" w:hAnsi="Times New Roman" w:cs="Times New Roman"/>
        </w:rPr>
        <w:t>1.</w:t>
      </w:r>
      <w:r>
        <w:rPr>
          <w:rFonts w:ascii="Times New Roman" w:hAnsi="Times New Roman" w:cs="Times New Roman"/>
        </w:rPr>
        <w:t xml:space="preserve"> </w:t>
      </w:r>
      <w:r w:rsidRPr="00EB33CC">
        <w:rPr>
          <w:rFonts w:ascii="Times New Roman" w:hAnsi="Times New Roman" w:cs="Times New Roman" w:hint="default"/>
        </w:rPr>
        <w:t>2011 sú</w:t>
      </w:r>
      <w:r w:rsidRPr="00EB33CC">
        <w:rPr>
          <w:rFonts w:ascii="Times New Roman" w:hAnsi="Times New Roman" w:cs="Times New Roman" w:hint="default"/>
        </w:rPr>
        <w:t>visiacej s</w:t>
      </w:r>
      <w:r w:rsidRPr="00EB33CC">
        <w:rPr>
          <w:rFonts w:ascii="Times New Roman" w:hAnsi="Times New Roman" w:cs="Times New Roman" w:hint="default"/>
        </w:rPr>
        <w:t>o zvýš</w:t>
      </w:r>
      <w:r w:rsidRPr="00EB33CC">
        <w:rPr>
          <w:rFonts w:ascii="Times New Roman" w:hAnsi="Times New Roman" w:cs="Times New Roman" w:hint="default"/>
        </w:rPr>
        <w:t>ení</w:t>
      </w:r>
      <w:r w:rsidRPr="00EB33CC">
        <w:rPr>
          <w:rFonts w:ascii="Times New Roman" w:hAnsi="Times New Roman" w:cs="Times New Roman" w:hint="default"/>
        </w:rPr>
        <w:t>m odvodov za č</w:t>
      </w:r>
      <w:r w:rsidRPr="00EB33CC">
        <w:rPr>
          <w:rFonts w:ascii="Times New Roman" w:hAnsi="Times New Roman" w:cs="Times New Roman" w:hint="default"/>
        </w:rPr>
        <w:t>lenov rady a </w:t>
      </w:r>
      <w:r w:rsidRPr="00EB33CC">
        <w:rPr>
          <w:rFonts w:ascii="Times New Roman" w:hAnsi="Times New Roman" w:cs="Times New Roman" w:hint="default"/>
        </w:rPr>
        <w:t>dozornej komisie fondu, č</w:t>
      </w:r>
      <w:r w:rsidRPr="00EB33CC">
        <w:rPr>
          <w:rFonts w:ascii="Times New Roman" w:hAnsi="Times New Roman" w:cs="Times New Roman" w:hint="default"/>
        </w:rPr>
        <w:t>o sa premietlo do vyšš</w:t>
      </w:r>
      <w:r w:rsidRPr="00EB33CC">
        <w:rPr>
          <w:rFonts w:ascii="Times New Roman" w:hAnsi="Times New Roman" w:cs="Times New Roman" w:hint="default"/>
        </w:rPr>
        <w:t>ieho rozpisu kategó</w:t>
      </w:r>
      <w:r w:rsidRPr="00EB33CC">
        <w:rPr>
          <w:rFonts w:ascii="Times New Roman" w:hAnsi="Times New Roman" w:cs="Times New Roman" w:hint="default"/>
        </w:rPr>
        <w:t>rie odvodov.</w:t>
      </w:r>
      <w:r>
        <w:rPr>
          <w:rFonts w:ascii="Times New Roman" w:hAnsi="Times New Roman" w:cs="Times New Roman"/>
        </w:rPr>
        <w:t xml:space="preserve"> </w:t>
      </w:r>
    </w:p>
    <w:p w:rsidR="00FA46D7" w:rsidRPr="00EB33CC" w:rsidP="00FA46D7">
      <w:pPr>
        <w:pStyle w:val="Default"/>
        <w:bidi w:val="0"/>
        <w:spacing w:before="240"/>
        <w:ind w:firstLine="709"/>
        <w:jc w:val="both"/>
        <w:rPr>
          <w:rFonts w:ascii="Times New Roman" w:hAnsi="Times New Roman" w:cs="Times New Roman" w:hint="default"/>
        </w:rPr>
      </w:pPr>
      <w:r w:rsidRPr="00EB33CC">
        <w:rPr>
          <w:rFonts w:ascii="Times New Roman" w:hAnsi="Times New Roman" w:cs="Times New Roman" w:hint="default"/>
        </w:rPr>
        <w:t>Priemerný</w:t>
      </w:r>
      <w:r w:rsidRPr="00EB33CC">
        <w:rPr>
          <w:rFonts w:ascii="Times New Roman" w:hAnsi="Times New Roman" w:cs="Times New Roman" w:hint="default"/>
        </w:rPr>
        <w:t xml:space="preserve"> mzdový</w:t>
      </w:r>
      <w:r w:rsidRPr="00EB33CC">
        <w:rPr>
          <w:rFonts w:ascii="Times New Roman" w:hAnsi="Times New Roman" w:cs="Times New Roman" w:hint="default"/>
        </w:rPr>
        <w:t xml:space="preserve"> vý</w:t>
      </w:r>
      <w:r w:rsidRPr="00EB33CC">
        <w:rPr>
          <w:rFonts w:ascii="Times New Roman" w:hAnsi="Times New Roman" w:cs="Times New Roman" w:hint="default"/>
        </w:rPr>
        <w:t>davok na rok 2012 je na ú</w:t>
      </w:r>
      <w:r w:rsidRPr="00EB33CC">
        <w:rPr>
          <w:rFonts w:ascii="Times New Roman" w:hAnsi="Times New Roman" w:cs="Times New Roman" w:hint="default"/>
        </w:rPr>
        <w:t>rovni rozpoč</w:t>
      </w:r>
      <w:r w:rsidRPr="00EB33CC">
        <w:rPr>
          <w:rFonts w:ascii="Times New Roman" w:hAnsi="Times New Roman" w:cs="Times New Roman" w:hint="default"/>
        </w:rPr>
        <w:t>tu roku 2011 a </w:t>
      </w:r>
      <w:r w:rsidRPr="00EB33CC">
        <w:rPr>
          <w:rFonts w:ascii="Times New Roman" w:hAnsi="Times New Roman" w:cs="Times New Roman" w:hint="default"/>
        </w:rPr>
        <w:t>jeho výš</w:t>
      </w:r>
      <w:r w:rsidRPr="00EB33CC">
        <w:rPr>
          <w:rFonts w:ascii="Times New Roman" w:hAnsi="Times New Roman" w:cs="Times New Roman" w:hint="default"/>
        </w:rPr>
        <w:t xml:space="preserve">ka </w:t>
      </w:r>
      <w:r>
        <w:rPr>
          <w:rFonts w:ascii="Times New Roman" w:hAnsi="Times New Roman" w:cs="Times New Roman"/>
        </w:rPr>
        <w:t>na</w:t>
      </w:r>
      <w:r w:rsidRPr="00EB33CC">
        <w:rPr>
          <w:rFonts w:ascii="Times New Roman" w:hAnsi="Times New Roman" w:cs="Times New Roman" w:hint="default"/>
        </w:rPr>
        <w:t xml:space="preserve"> roky 2013 až</w:t>
      </w:r>
      <w:r w:rsidRPr="00EB33CC">
        <w:rPr>
          <w:rFonts w:ascii="Times New Roman" w:hAnsi="Times New Roman" w:cs="Times New Roman" w:hint="default"/>
        </w:rPr>
        <w:t xml:space="preserve"> 2014 zostá</w:t>
      </w:r>
      <w:r w:rsidRPr="00EB33CC">
        <w:rPr>
          <w:rFonts w:ascii="Times New Roman" w:hAnsi="Times New Roman" w:cs="Times New Roman" w:hint="default"/>
        </w:rPr>
        <w:t>va zachovaná</w:t>
      </w:r>
      <w:r w:rsidRPr="00EB33CC">
        <w:rPr>
          <w:rFonts w:ascii="Times New Roman" w:hAnsi="Times New Roman" w:cs="Times New Roman" w:hint="default"/>
        </w:rPr>
        <w:t>. So zmenou poč</w:t>
      </w:r>
      <w:r w:rsidRPr="00EB33CC">
        <w:rPr>
          <w:rFonts w:ascii="Times New Roman" w:hAnsi="Times New Roman" w:cs="Times New Roman" w:hint="default"/>
        </w:rPr>
        <w:t>tu za</w:t>
      </w:r>
      <w:r w:rsidRPr="00EB33CC">
        <w:rPr>
          <w:rFonts w:ascii="Times New Roman" w:hAnsi="Times New Roman" w:cs="Times New Roman" w:hint="default"/>
        </w:rPr>
        <w:t>mestnancov sa neuvaž</w:t>
      </w:r>
      <w:r w:rsidRPr="00EB33CC">
        <w:rPr>
          <w:rFonts w:ascii="Times New Roman" w:hAnsi="Times New Roman" w:cs="Times New Roman" w:hint="default"/>
        </w:rPr>
        <w:t>uje, pre celé</w:t>
      </w:r>
      <w:r w:rsidRPr="00EB33CC">
        <w:rPr>
          <w:rFonts w:ascii="Times New Roman" w:hAnsi="Times New Roman" w:cs="Times New Roman" w:hint="default"/>
        </w:rPr>
        <w:t xml:space="preserve"> obdobie sa navrhuje zabezpeč</w:t>
      </w:r>
      <w:r w:rsidRPr="00EB33CC">
        <w:rPr>
          <w:rFonts w:ascii="Times New Roman" w:hAnsi="Times New Roman" w:cs="Times New Roman" w:hint="default"/>
        </w:rPr>
        <w:t>ovať</w:t>
      </w:r>
      <w:r w:rsidRPr="00EB33CC">
        <w:rPr>
          <w:rFonts w:ascii="Times New Roman" w:hAnsi="Times New Roman" w:cs="Times New Roman" w:hint="default"/>
        </w:rPr>
        <w:t xml:space="preserve"> administrá</w:t>
      </w:r>
      <w:r w:rsidRPr="00EB33CC">
        <w:rPr>
          <w:rFonts w:ascii="Times New Roman" w:hAnsi="Times New Roman" w:cs="Times New Roman" w:hint="default"/>
        </w:rPr>
        <w:t>ciu agendy fondu v </w:t>
      </w:r>
      <w:r w:rsidRPr="00EB33CC">
        <w:rPr>
          <w:rFonts w:ascii="Times New Roman" w:hAnsi="Times New Roman" w:cs="Times New Roman" w:hint="default"/>
        </w:rPr>
        <w:t>poč</w:t>
      </w:r>
      <w:r w:rsidRPr="00EB33CC">
        <w:rPr>
          <w:rFonts w:ascii="Times New Roman" w:hAnsi="Times New Roman" w:cs="Times New Roman" w:hint="default"/>
        </w:rPr>
        <w:t xml:space="preserve">te 10 zamestnancov. </w:t>
      </w:r>
    </w:p>
    <w:p w:rsidR="00FA46D7" w:rsidRPr="00EB33CC" w:rsidP="00FA46D7">
      <w:pPr>
        <w:pStyle w:val="ListParagraph"/>
        <w:bidi w:val="0"/>
        <w:spacing w:before="240"/>
        <w:ind w:left="0" w:firstLine="709"/>
        <w:jc w:val="both"/>
        <w:rPr>
          <w:rFonts w:ascii="Times New Roman" w:hAnsi="Times New Roman"/>
          <w:sz w:val="24"/>
          <w:szCs w:val="24"/>
          <w:highlight w:val="yellow"/>
        </w:rPr>
      </w:pPr>
      <w:r w:rsidRPr="00EB33CC">
        <w:rPr>
          <w:rFonts w:ascii="Times New Roman" w:hAnsi="Times New Roman" w:hint="default"/>
          <w:sz w:val="24"/>
          <w:szCs w:val="24"/>
        </w:rPr>
        <w:t>Ď</w:t>
      </w:r>
      <w:r w:rsidRPr="00EB33CC">
        <w:rPr>
          <w:rFonts w:ascii="Times New Roman" w:hAnsi="Times New Roman" w:hint="default"/>
          <w:sz w:val="24"/>
          <w:szCs w:val="24"/>
        </w:rPr>
        <w:t>alš</w:t>
      </w:r>
      <w:r w:rsidRPr="00EB33CC">
        <w:rPr>
          <w:rFonts w:ascii="Times New Roman" w:hAnsi="Times New Roman" w:hint="default"/>
          <w:sz w:val="24"/>
          <w:szCs w:val="24"/>
        </w:rPr>
        <w:t>ou  kategó</w:t>
      </w:r>
      <w:r w:rsidRPr="00EB33CC">
        <w:rPr>
          <w:rFonts w:ascii="Times New Roman" w:hAnsi="Times New Roman" w:hint="default"/>
          <w:sz w:val="24"/>
          <w:szCs w:val="24"/>
        </w:rPr>
        <w:t>riou, kde rozpoč</w:t>
      </w:r>
      <w:r w:rsidRPr="00EB33CC">
        <w:rPr>
          <w:rFonts w:ascii="Times New Roman" w:hAnsi="Times New Roman" w:hint="default"/>
          <w:sz w:val="24"/>
          <w:szCs w:val="24"/>
        </w:rPr>
        <w:t>tovaný</w:t>
      </w:r>
      <w:r w:rsidRPr="00EB33CC">
        <w:rPr>
          <w:rFonts w:ascii="Times New Roman" w:hAnsi="Times New Roman" w:hint="default"/>
          <w:sz w:val="24"/>
          <w:szCs w:val="24"/>
        </w:rPr>
        <w:t xml:space="preserve"> objem je vyšší</w:t>
      </w:r>
      <w:r w:rsidRPr="00EB33CC">
        <w:rPr>
          <w:rFonts w:ascii="Times New Roman" w:hAnsi="Times New Roman" w:hint="default"/>
          <w:sz w:val="24"/>
          <w:szCs w:val="24"/>
        </w:rPr>
        <w:t xml:space="preserve"> ako schvá</w:t>
      </w:r>
      <w:r w:rsidRPr="00EB33CC">
        <w:rPr>
          <w:rFonts w:ascii="Times New Roman" w:hAnsi="Times New Roman" w:hint="default"/>
          <w:sz w:val="24"/>
          <w:szCs w:val="24"/>
        </w:rPr>
        <w:t>lený</w:t>
      </w:r>
      <w:r w:rsidRPr="00EB33CC">
        <w:rPr>
          <w:rFonts w:ascii="Times New Roman" w:hAnsi="Times New Roman" w:hint="default"/>
          <w:sz w:val="24"/>
          <w:szCs w:val="24"/>
        </w:rPr>
        <w:t xml:space="preserve"> rozpoč</w:t>
      </w:r>
      <w:r w:rsidRPr="00EB33CC">
        <w:rPr>
          <w:rFonts w:ascii="Times New Roman" w:hAnsi="Times New Roman" w:hint="default"/>
          <w:sz w:val="24"/>
          <w:szCs w:val="24"/>
        </w:rPr>
        <w:t>et na rok 2011, sú</w:t>
      </w:r>
      <w:r w:rsidRPr="00EB33CC">
        <w:rPr>
          <w:rFonts w:ascii="Times New Roman" w:hAnsi="Times New Roman" w:hint="default"/>
          <w:sz w:val="24"/>
          <w:szCs w:val="24"/>
        </w:rPr>
        <w:t xml:space="preserve"> tovary a </w:t>
      </w:r>
      <w:r w:rsidRPr="00EB33CC">
        <w:rPr>
          <w:rFonts w:ascii="Times New Roman" w:hAnsi="Times New Roman" w:hint="default"/>
          <w:sz w:val="24"/>
          <w:szCs w:val="24"/>
        </w:rPr>
        <w:t>služ</w:t>
      </w:r>
      <w:r w:rsidRPr="00EB33CC">
        <w:rPr>
          <w:rFonts w:ascii="Times New Roman" w:hAnsi="Times New Roman" w:hint="default"/>
          <w:sz w:val="24"/>
          <w:szCs w:val="24"/>
        </w:rPr>
        <w:t>by. V </w:t>
      </w:r>
      <w:r w:rsidRPr="00EB33CC">
        <w:rPr>
          <w:rFonts w:ascii="Times New Roman" w:hAnsi="Times New Roman" w:hint="default"/>
          <w:sz w:val="24"/>
          <w:szCs w:val="24"/>
        </w:rPr>
        <w:t>roku 2012 sa predpokladá</w:t>
      </w:r>
      <w:r w:rsidRPr="00EB33CC">
        <w:rPr>
          <w:rFonts w:ascii="Times New Roman" w:hAnsi="Times New Roman" w:hint="default"/>
          <w:sz w:val="24"/>
          <w:szCs w:val="24"/>
        </w:rPr>
        <w:t xml:space="preserve"> v</w:t>
      </w:r>
      <w:r w:rsidRPr="00EB33CC">
        <w:rPr>
          <w:rFonts w:ascii="Times New Roman" w:hAnsi="Times New Roman" w:hint="default"/>
          <w:sz w:val="24"/>
          <w:szCs w:val="24"/>
        </w:rPr>
        <w:t>ynalož</w:t>
      </w:r>
      <w:r w:rsidRPr="00EB33CC">
        <w:rPr>
          <w:rFonts w:ascii="Times New Roman" w:hAnsi="Times New Roman" w:hint="default"/>
          <w:sz w:val="24"/>
          <w:szCs w:val="24"/>
        </w:rPr>
        <w:t>iť</w:t>
      </w:r>
      <w:r w:rsidRPr="00EB33CC">
        <w:rPr>
          <w:rFonts w:ascii="Times New Roman" w:hAnsi="Times New Roman" w:hint="default"/>
          <w:sz w:val="24"/>
          <w:szCs w:val="24"/>
        </w:rPr>
        <w:t xml:space="preserve"> finanč</w:t>
      </w:r>
      <w:r w:rsidRPr="00EB33CC">
        <w:rPr>
          <w:rFonts w:ascii="Times New Roman" w:hAnsi="Times New Roman" w:hint="default"/>
          <w:sz w:val="24"/>
          <w:szCs w:val="24"/>
        </w:rPr>
        <w:t>né</w:t>
      </w:r>
      <w:r w:rsidRPr="00EB33CC">
        <w:rPr>
          <w:rFonts w:ascii="Times New Roman" w:hAnsi="Times New Roman" w:hint="default"/>
          <w:sz w:val="24"/>
          <w:szCs w:val="24"/>
        </w:rPr>
        <w:t xml:space="preserve"> prostriedky v objeme 264 tis. eur, č</w:t>
      </w:r>
      <w:r w:rsidRPr="00EB33CC">
        <w:rPr>
          <w:rFonts w:ascii="Times New Roman" w:hAnsi="Times New Roman" w:hint="default"/>
          <w:sz w:val="24"/>
          <w:szCs w:val="24"/>
        </w:rPr>
        <w:t>o predstavuje v </w:t>
      </w:r>
      <w:r w:rsidRPr="00EB33CC">
        <w:rPr>
          <w:rFonts w:ascii="Times New Roman" w:hAnsi="Times New Roman" w:hint="default"/>
          <w:sz w:val="24"/>
          <w:szCs w:val="24"/>
        </w:rPr>
        <w:t>porovnaní</w:t>
      </w:r>
      <w:r w:rsidRPr="00EB33CC">
        <w:rPr>
          <w:rFonts w:ascii="Times New Roman" w:hAnsi="Times New Roman" w:hint="default"/>
          <w:sz w:val="24"/>
          <w:szCs w:val="24"/>
        </w:rPr>
        <w:t xml:space="preserve"> s </w:t>
      </w:r>
      <w:r w:rsidRPr="00EB33CC">
        <w:rPr>
          <w:rFonts w:ascii="Times New Roman" w:hAnsi="Times New Roman" w:hint="default"/>
          <w:sz w:val="24"/>
          <w:szCs w:val="24"/>
        </w:rPr>
        <w:t>oč</w:t>
      </w:r>
      <w:r w:rsidRPr="00EB33CC">
        <w:rPr>
          <w:rFonts w:ascii="Times New Roman" w:hAnsi="Times New Roman" w:hint="default"/>
          <w:sz w:val="24"/>
          <w:szCs w:val="24"/>
        </w:rPr>
        <w:t>aká</w:t>
      </w:r>
      <w:r w:rsidRPr="00EB33CC">
        <w:rPr>
          <w:rFonts w:ascii="Times New Roman" w:hAnsi="Times New Roman" w:hint="default"/>
          <w:sz w:val="24"/>
          <w:szCs w:val="24"/>
        </w:rPr>
        <w:t>vanou skutoč</w:t>
      </w:r>
      <w:r w:rsidRPr="00EB33CC">
        <w:rPr>
          <w:rFonts w:ascii="Times New Roman" w:hAnsi="Times New Roman" w:hint="default"/>
          <w:sz w:val="24"/>
          <w:szCs w:val="24"/>
        </w:rPr>
        <w:t>n</w:t>
      </w:r>
      <w:r>
        <w:rPr>
          <w:rFonts w:ascii="Times New Roman" w:hAnsi="Times New Roman" w:hint="default"/>
          <w:sz w:val="24"/>
          <w:szCs w:val="24"/>
        </w:rPr>
        <w:t>osť</w:t>
      </w:r>
      <w:r>
        <w:rPr>
          <w:rFonts w:ascii="Times New Roman" w:hAnsi="Times New Roman" w:hint="default"/>
          <w:sz w:val="24"/>
          <w:szCs w:val="24"/>
        </w:rPr>
        <w:t>ou roku 2011 zvýš</w:t>
      </w:r>
      <w:r>
        <w:rPr>
          <w:rFonts w:ascii="Times New Roman" w:hAnsi="Times New Roman" w:hint="default"/>
          <w:sz w:val="24"/>
          <w:szCs w:val="24"/>
        </w:rPr>
        <w:t xml:space="preserve">enie o 12,2 </w:t>
      </w:r>
      <w:r w:rsidRPr="00EB33CC">
        <w:rPr>
          <w:rFonts w:ascii="Times New Roman" w:hAnsi="Times New Roman" w:hint="default"/>
          <w:sz w:val="24"/>
          <w:szCs w:val="24"/>
        </w:rPr>
        <w:t>%. Ná</w:t>
      </w:r>
      <w:r w:rsidRPr="00EB33CC">
        <w:rPr>
          <w:rFonts w:ascii="Times New Roman" w:hAnsi="Times New Roman" w:hint="default"/>
          <w:sz w:val="24"/>
          <w:szCs w:val="24"/>
        </w:rPr>
        <w:t>rast je spô</w:t>
      </w:r>
      <w:r w:rsidRPr="00EB33CC">
        <w:rPr>
          <w:rFonts w:ascii="Times New Roman" w:hAnsi="Times New Roman" w:hint="default"/>
          <w:sz w:val="24"/>
          <w:szCs w:val="24"/>
        </w:rPr>
        <w:t>sob</w:t>
      </w:r>
      <w:r>
        <w:rPr>
          <w:rFonts w:ascii="Times New Roman" w:hAnsi="Times New Roman" w:hint="default"/>
          <w:sz w:val="24"/>
          <w:szCs w:val="24"/>
        </w:rPr>
        <w:t>ený</w:t>
      </w:r>
      <w:r>
        <w:rPr>
          <w:rFonts w:ascii="Times New Roman" w:hAnsi="Times New Roman" w:hint="default"/>
          <w:sz w:val="24"/>
          <w:szCs w:val="24"/>
        </w:rPr>
        <w:t xml:space="preserve"> najmä</w:t>
      </w:r>
      <w:r>
        <w:rPr>
          <w:rFonts w:ascii="Times New Roman" w:hAnsi="Times New Roman" w:hint="default"/>
          <w:sz w:val="24"/>
          <w:szCs w:val="24"/>
        </w:rPr>
        <w:t xml:space="preserve"> zvýš</w:t>
      </w:r>
      <w:r>
        <w:rPr>
          <w:rFonts w:ascii="Times New Roman" w:hAnsi="Times New Roman" w:hint="default"/>
          <w:sz w:val="24"/>
          <w:szCs w:val="24"/>
        </w:rPr>
        <w:t>ení</w:t>
      </w:r>
      <w:r>
        <w:rPr>
          <w:rFonts w:ascii="Times New Roman" w:hAnsi="Times New Roman" w:hint="default"/>
          <w:sz w:val="24"/>
          <w:szCs w:val="24"/>
        </w:rPr>
        <w:t>m odmien č</w:t>
      </w:r>
      <w:r>
        <w:rPr>
          <w:rFonts w:ascii="Times New Roman" w:hAnsi="Times New Roman" w:hint="default"/>
          <w:sz w:val="24"/>
          <w:szCs w:val="24"/>
        </w:rPr>
        <w:t>lenom</w:t>
      </w:r>
      <w:r w:rsidRPr="00EB33CC">
        <w:rPr>
          <w:rFonts w:ascii="Times New Roman" w:hAnsi="Times New Roman" w:hint="default"/>
          <w:sz w:val="24"/>
          <w:szCs w:val="24"/>
        </w:rPr>
        <w:t xml:space="preserve"> odborný</w:t>
      </w:r>
      <w:r w:rsidRPr="00EB33CC">
        <w:rPr>
          <w:rFonts w:ascii="Times New Roman" w:hAnsi="Times New Roman" w:hint="default"/>
          <w:sz w:val="24"/>
          <w:szCs w:val="24"/>
        </w:rPr>
        <w:t>ch komisií</w:t>
      </w:r>
      <w:r w:rsidRPr="00EB33CC">
        <w:rPr>
          <w:rFonts w:ascii="Times New Roman" w:hAnsi="Times New Roman" w:hint="default"/>
          <w:sz w:val="24"/>
          <w:szCs w:val="24"/>
        </w:rPr>
        <w:t xml:space="preserve"> a vý</w:t>
      </w:r>
      <w:r w:rsidRPr="00EB33CC">
        <w:rPr>
          <w:rFonts w:ascii="Times New Roman" w:hAnsi="Times New Roman" w:hint="default"/>
          <w:sz w:val="24"/>
          <w:szCs w:val="24"/>
        </w:rPr>
        <w:t>davkov na odborné</w:t>
      </w:r>
      <w:r w:rsidRPr="00EB33CC">
        <w:rPr>
          <w:rFonts w:ascii="Times New Roman" w:hAnsi="Times New Roman" w:hint="default"/>
          <w:sz w:val="24"/>
          <w:szCs w:val="24"/>
        </w:rPr>
        <w:t xml:space="preserve"> expertí</w:t>
      </w:r>
      <w:r w:rsidRPr="00EB33CC">
        <w:rPr>
          <w:rFonts w:ascii="Times New Roman" w:hAnsi="Times New Roman" w:hint="default"/>
          <w:sz w:val="24"/>
          <w:szCs w:val="24"/>
        </w:rPr>
        <w:t>zy predlož</w:t>
      </w:r>
      <w:r w:rsidRPr="00EB33CC">
        <w:rPr>
          <w:rFonts w:ascii="Times New Roman" w:hAnsi="Times New Roman" w:hint="default"/>
          <w:sz w:val="24"/>
          <w:szCs w:val="24"/>
        </w:rPr>
        <w:t>ený</w:t>
      </w:r>
      <w:r w:rsidRPr="00EB33CC">
        <w:rPr>
          <w:rFonts w:ascii="Times New Roman" w:hAnsi="Times New Roman" w:hint="default"/>
          <w:sz w:val="24"/>
          <w:szCs w:val="24"/>
        </w:rPr>
        <w:t>ch projektov</w:t>
      </w:r>
      <w:r w:rsidRPr="00EB33CC">
        <w:rPr>
          <w:rFonts w:ascii="Times New Roman" w:hAnsi="Times New Roman" w:hint="default"/>
          <w:sz w:val="24"/>
          <w:szCs w:val="24"/>
        </w:rPr>
        <w:t>, z </w:t>
      </w:r>
      <w:r w:rsidRPr="00EB33CC">
        <w:rPr>
          <w:rFonts w:ascii="Times New Roman" w:hAnsi="Times New Roman" w:hint="default"/>
          <w:sz w:val="24"/>
          <w:szCs w:val="24"/>
        </w:rPr>
        <w:t>dô</w:t>
      </w:r>
      <w:r w:rsidRPr="00EB33CC">
        <w:rPr>
          <w:rFonts w:ascii="Times New Roman" w:hAnsi="Times New Roman" w:hint="default"/>
          <w:sz w:val="24"/>
          <w:szCs w:val="24"/>
        </w:rPr>
        <w:t>vodu vyšš</w:t>
      </w:r>
      <w:r w:rsidRPr="00EB33CC">
        <w:rPr>
          <w:rFonts w:ascii="Times New Roman" w:hAnsi="Times New Roman" w:hint="default"/>
          <w:sz w:val="24"/>
          <w:szCs w:val="24"/>
        </w:rPr>
        <w:t>ieho poč</w:t>
      </w:r>
      <w:r w:rsidRPr="00EB33CC">
        <w:rPr>
          <w:rFonts w:ascii="Times New Roman" w:hAnsi="Times New Roman" w:hint="default"/>
          <w:sz w:val="24"/>
          <w:szCs w:val="24"/>
        </w:rPr>
        <w:t>tu podá</w:t>
      </w:r>
      <w:r w:rsidRPr="00EB33CC">
        <w:rPr>
          <w:rFonts w:ascii="Times New Roman" w:hAnsi="Times New Roman" w:hint="default"/>
          <w:sz w:val="24"/>
          <w:szCs w:val="24"/>
        </w:rPr>
        <w:t>vaný</w:t>
      </w:r>
      <w:r w:rsidRPr="00EB33CC">
        <w:rPr>
          <w:rFonts w:ascii="Times New Roman" w:hAnsi="Times New Roman" w:hint="default"/>
          <w:sz w:val="24"/>
          <w:szCs w:val="24"/>
        </w:rPr>
        <w:t>ch ž</w:t>
      </w:r>
      <w:r w:rsidRPr="00EB33CC">
        <w:rPr>
          <w:rFonts w:ascii="Times New Roman" w:hAnsi="Times New Roman" w:hint="default"/>
          <w:sz w:val="24"/>
          <w:szCs w:val="24"/>
        </w:rPr>
        <w:t>iadostí</w:t>
      </w:r>
      <w:r w:rsidRPr="00EB33CC">
        <w:rPr>
          <w:rFonts w:ascii="Times New Roman" w:hAnsi="Times New Roman" w:hint="default"/>
          <w:sz w:val="24"/>
          <w:szCs w:val="24"/>
        </w:rPr>
        <w:t xml:space="preserve"> a ich posudzovania.</w:t>
      </w:r>
    </w:p>
    <w:p w:rsidR="00FA46D7" w:rsidRPr="00EB33CC" w:rsidP="00FA46D7">
      <w:pPr>
        <w:pStyle w:val="Default"/>
        <w:bidi w:val="0"/>
        <w:spacing w:before="240"/>
        <w:ind w:firstLine="709"/>
        <w:jc w:val="both"/>
        <w:rPr>
          <w:rFonts w:ascii="Times New Roman" w:hAnsi="Times New Roman" w:cs="Times New Roman" w:hint="default"/>
        </w:rPr>
      </w:pPr>
      <w:r w:rsidRPr="00EB33CC">
        <w:rPr>
          <w:rFonts w:ascii="Times New Roman" w:hAnsi="Times New Roman" w:cs="Times New Roman" w:hint="default"/>
        </w:rPr>
        <w:t>Vý</w:t>
      </w:r>
      <w:r w:rsidRPr="00EB33CC">
        <w:rPr>
          <w:rFonts w:ascii="Times New Roman" w:hAnsi="Times New Roman" w:cs="Times New Roman" w:hint="default"/>
        </w:rPr>
        <w:t>znamná</w:t>
      </w:r>
      <w:r w:rsidRPr="00EB33CC">
        <w:rPr>
          <w:rFonts w:ascii="Times New Roman" w:hAnsi="Times New Roman" w:cs="Times New Roman" w:hint="default"/>
        </w:rPr>
        <w:t xml:space="preserve"> č</w:t>
      </w:r>
      <w:r w:rsidRPr="00EB33CC">
        <w:rPr>
          <w:rFonts w:ascii="Times New Roman" w:hAnsi="Times New Roman" w:cs="Times New Roman" w:hint="default"/>
        </w:rPr>
        <w:t>asť</w:t>
      </w:r>
      <w:r w:rsidRPr="00EB33CC">
        <w:rPr>
          <w:rFonts w:ascii="Times New Roman" w:hAnsi="Times New Roman" w:cs="Times New Roman" w:hint="default"/>
        </w:rPr>
        <w:t xml:space="preserve"> vý</w:t>
      </w:r>
      <w:r w:rsidRPr="00EB33CC">
        <w:rPr>
          <w:rFonts w:ascii="Times New Roman" w:hAnsi="Times New Roman" w:cs="Times New Roman" w:hint="default"/>
        </w:rPr>
        <w:t>davkov je urč</w:t>
      </w:r>
      <w:r w:rsidRPr="00EB33CC">
        <w:rPr>
          <w:rFonts w:ascii="Times New Roman" w:hAnsi="Times New Roman" w:cs="Times New Roman" w:hint="default"/>
        </w:rPr>
        <w:t>ená</w:t>
      </w:r>
      <w:r w:rsidRPr="00EB33CC">
        <w:rPr>
          <w:rFonts w:ascii="Times New Roman" w:hAnsi="Times New Roman" w:cs="Times New Roman" w:hint="default"/>
        </w:rPr>
        <w:t xml:space="preserve"> na podpornú</w:t>
      </w:r>
      <w:r w:rsidRPr="00EB33CC">
        <w:rPr>
          <w:rFonts w:ascii="Times New Roman" w:hAnsi="Times New Roman" w:cs="Times New Roman" w:hint="default"/>
        </w:rPr>
        <w:t xml:space="preserve"> č</w:t>
      </w:r>
      <w:r w:rsidRPr="00EB33CC">
        <w:rPr>
          <w:rFonts w:ascii="Times New Roman" w:hAnsi="Times New Roman" w:cs="Times New Roman" w:hint="default"/>
        </w:rPr>
        <w:t>innosť</w:t>
      </w:r>
      <w:r w:rsidRPr="00EB33CC">
        <w:rPr>
          <w:rFonts w:ascii="Times New Roman" w:hAnsi="Times New Roman" w:cs="Times New Roman" w:hint="default"/>
        </w:rPr>
        <w:t xml:space="preserve"> pre autorov slovenský</w:t>
      </w:r>
      <w:r w:rsidRPr="00EB33CC">
        <w:rPr>
          <w:rFonts w:ascii="Times New Roman" w:hAnsi="Times New Roman" w:cs="Times New Roman" w:hint="default"/>
        </w:rPr>
        <w:t>ch audiovizuá</w:t>
      </w:r>
      <w:r w:rsidRPr="00EB33CC">
        <w:rPr>
          <w:rFonts w:ascii="Times New Roman" w:hAnsi="Times New Roman" w:cs="Times New Roman" w:hint="default"/>
        </w:rPr>
        <w:t>lnych diel a vý</w:t>
      </w:r>
      <w:r w:rsidRPr="00EB33CC">
        <w:rPr>
          <w:rFonts w:ascii="Times New Roman" w:hAnsi="Times New Roman" w:cs="Times New Roman" w:hint="default"/>
        </w:rPr>
        <w:t>robcov audiovizuá</w:t>
      </w:r>
      <w:r w:rsidRPr="00EB33CC">
        <w:rPr>
          <w:rFonts w:ascii="Times New Roman" w:hAnsi="Times New Roman" w:cs="Times New Roman" w:hint="default"/>
        </w:rPr>
        <w:t>lnych diel, na vytvá</w:t>
      </w:r>
      <w:r w:rsidRPr="00EB33CC">
        <w:rPr>
          <w:rFonts w:ascii="Times New Roman" w:hAnsi="Times New Roman" w:cs="Times New Roman" w:hint="default"/>
        </w:rPr>
        <w:t>ranie materiá</w:t>
      </w:r>
      <w:r w:rsidRPr="00EB33CC">
        <w:rPr>
          <w:rFonts w:ascii="Times New Roman" w:hAnsi="Times New Roman" w:cs="Times New Roman" w:hint="default"/>
        </w:rPr>
        <w:t>lnych podmienok na rozvoj audiovizuá</w:t>
      </w:r>
      <w:r w:rsidRPr="00EB33CC">
        <w:rPr>
          <w:rFonts w:ascii="Times New Roman" w:hAnsi="Times New Roman" w:cs="Times New Roman" w:hint="default"/>
        </w:rPr>
        <w:t>ln</w:t>
      </w:r>
      <w:r w:rsidRPr="00EB33CC">
        <w:rPr>
          <w:rFonts w:ascii="Times New Roman" w:hAnsi="Times New Roman" w:cs="Times New Roman" w:hint="default"/>
        </w:rPr>
        <w:t>ej kultú</w:t>
      </w:r>
      <w:r w:rsidRPr="00EB33CC">
        <w:rPr>
          <w:rFonts w:ascii="Times New Roman" w:hAnsi="Times New Roman" w:cs="Times New Roman" w:hint="default"/>
        </w:rPr>
        <w:t>ry a priemyslu, na uskutočň</w:t>
      </w:r>
      <w:r w:rsidRPr="00EB33CC">
        <w:rPr>
          <w:rFonts w:ascii="Times New Roman" w:hAnsi="Times New Roman" w:cs="Times New Roman" w:hint="default"/>
        </w:rPr>
        <w:t>ovanie verejný</w:t>
      </w:r>
      <w:r w:rsidRPr="00EB33CC">
        <w:rPr>
          <w:rFonts w:ascii="Times New Roman" w:hAnsi="Times New Roman" w:cs="Times New Roman" w:hint="default"/>
        </w:rPr>
        <w:t>ch kultú</w:t>
      </w:r>
      <w:r w:rsidRPr="00EB33CC">
        <w:rPr>
          <w:rFonts w:ascii="Times New Roman" w:hAnsi="Times New Roman" w:cs="Times New Roman" w:hint="default"/>
        </w:rPr>
        <w:t>rnych podujatí</w:t>
      </w:r>
      <w:r w:rsidRPr="00EB33CC">
        <w:rPr>
          <w:rFonts w:ascii="Times New Roman" w:hAnsi="Times New Roman" w:cs="Times New Roman" w:hint="default"/>
        </w:rPr>
        <w:t xml:space="preserve"> a na poskytovanie š</w:t>
      </w:r>
      <w:r w:rsidRPr="00EB33CC">
        <w:rPr>
          <w:rFonts w:ascii="Times New Roman" w:hAnsi="Times New Roman" w:cs="Times New Roman" w:hint="default"/>
        </w:rPr>
        <w:t>tipendií</w:t>
      </w:r>
      <w:r w:rsidRPr="00EB33CC">
        <w:rPr>
          <w:rFonts w:ascii="Times New Roman" w:hAnsi="Times New Roman" w:cs="Times New Roman" w:hint="default"/>
        </w:rPr>
        <w:t xml:space="preserve"> pre fyzické</w:t>
      </w:r>
      <w:r w:rsidRPr="00EB33CC">
        <w:rPr>
          <w:rFonts w:ascii="Times New Roman" w:hAnsi="Times New Roman" w:cs="Times New Roman" w:hint="default"/>
        </w:rPr>
        <w:t xml:space="preserve"> osoby, ktoré</w:t>
      </w:r>
      <w:r w:rsidRPr="00EB33CC">
        <w:rPr>
          <w:rFonts w:ascii="Times New Roman" w:hAnsi="Times New Roman" w:cs="Times New Roman" w:hint="default"/>
        </w:rPr>
        <w:t xml:space="preserve"> sa tvorivo alebo vý</w:t>
      </w:r>
      <w:r w:rsidRPr="00EB33CC">
        <w:rPr>
          <w:rFonts w:ascii="Times New Roman" w:hAnsi="Times New Roman" w:cs="Times New Roman" w:hint="default"/>
        </w:rPr>
        <w:t>skumne podieľ</w:t>
      </w:r>
      <w:r w:rsidRPr="00EB33CC">
        <w:rPr>
          <w:rFonts w:ascii="Times New Roman" w:hAnsi="Times New Roman" w:cs="Times New Roman" w:hint="default"/>
        </w:rPr>
        <w:t>ajú</w:t>
      </w:r>
      <w:r w:rsidRPr="00EB33CC">
        <w:rPr>
          <w:rFonts w:ascii="Times New Roman" w:hAnsi="Times New Roman" w:cs="Times New Roman" w:hint="default"/>
        </w:rPr>
        <w:t xml:space="preserve"> na rozvoji audiovizuá</w:t>
      </w:r>
      <w:r w:rsidRPr="00EB33CC">
        <w:rPr>
          <w:rFonts w:ascii="Times New Roman" w:hAnsi="Times New Roman" w:cs="Times New Roman" w:hint="default"/>
        </w:rPr>
        <w:t>lnej kultú</w:t>
      </w:r>
      <w:r w:rsidRPr="00EB33CC">
        <w:rPr>
          <w:rFonts w:ascii="Times New Roman" w:hAnsi="Times New Roman" w:cs="Times New Roman" w:hint="default"/>
        </w:rPr>
        <w:t>ry a </w:t>
      </w:r>
      <w:r w:rsidRPr="00EB33CC">
        <w:rPr>
          <w:rFonts w:ascii="Times New Roman" w:hAnsi="Times New Roman" w:cs="Times New Roman" w:hint="default"/>
        </w:rPr>
        <w:t>priemyslu. Na rok 2012 sa rozpoč</w:t>
      </w:r>
      <w:r w:rsidRPr="00EB33CC">
        <w:rPr>
          <w:rFonts w:ascii="Times New Roman" w:hAnsi="Times New Roman" w:cs="Times New Roman" w:hint="default"/>
        </w:rPr>
        <w:t>tuje v </w:t>
      </w:r>
      <w:r w:rsidRPr="00EB33CC">
        <w:rPr>
          <w:rFonts w:ascii="Times New Roman" w:hAnsi="Times New Roman" w:cs="Times New Roman" w:hint="default"/>
        </w:rPr>
        <w:t>rá</w:t>
      </w:r>
      <w:r w:rsidRPr="00EB33CC">
        <w:rPr>
          <w:rFonts w:ascii="Times New Roman" w:hAnsi="Times New Roman" w:cs="Times New Roman" w:hint="default"/>
        </w:rPr>
        <w:t>mci bež</w:t>
      </w:r>
      <w:r w:rsidRPr="00EB33CC">
        <w:rPr>
          <w:rFonts w:ascii="Times New Roman" w:hAnsi="Times New Roman" w:cs="Times New Roman" w:hint="default"/>
        </w:rPr>
        <w:t>ný</w:t>
      </w:r>
      <w:r w:rsidRPr="00EB33CC">
        <w:rPr>
          <w:rFonts w:ascii="Times New Roman" w:hAnsi="Times New Roman" w:cs="Times New Roman" w:hint="default"/>
        </w:rPr>
        <w:t>ch trans</w:t>
      </w:r>
      <w:r w:rsidRPr="00EB33CC">
        <w:rPr>
          <w:rFonts w:ascii="Times New Roman" w:hAnsi="Times New Roman" w:cs="Times New Roman" w:hint="default"/>
        </w:rPr>
        <w:t>f</w:t>
      </w:r>
      <w:r w:rsidRPr="00EB33CC">
        <w:rPr>
          <w:rFonts w:ascii="Times New Roman" w:hAnsi="Times New Roman" w:cs="Times New Roman" w:hint="default"/>
        </w:rPr>
        <w:t>erov suma 6,22 mil. eur, č</w:t>
      </w:r>
      <w:r w:rsidRPr="00EB33CC">
        <w:rPr>
          <w:rFonts w:ascii="Times New Roman" w:hAnsi="Times New Roman" w:cs="Times New Roman" w:hint="default"/>
        </w:rPr>
        <w:t>o je oproti oč</w:t>
      </w:r>
      <w:r w:rsidRPr="00EB33CC">
        <w:rPr>
          <w:rFonts w:ascii="Times New Roman" w:hAnsi="Times New Roman" w:cs="Times New Roman" w:hint="default"/>
        </w:rPr>
        <w:t>aká</w:t>
      </w:r>
      <w:r w:rsidRPr="00EB33CC">
        <w:rPr>
          <w:rFonts w:ascii="Times New Roman" w:hAnsi="Times New Roman" w:cs="Times New Roman" w:hint="default"/>
        </w:rPr>
        <w:t>vanej skutoč</w:t>
      </w:r>
      <w:r w:rsidRPr="00EB33CC">
        <w:rPr>
          <w:rFonts w:ascii="Times New Roman" w:hAnsi="Times New Roman" w:cs="Times New Roman" w:hint="default"/>
        </w:rPr>
        <w:t>nosti roku 2011 pokles o</w:t>
      </w:r>
      <w:r w:rsidR="00CD23B8">
        <w:rPr>
          <w:rFonts w:ascii="Times New Roman" w:hAnsi="Times New Roman" w:cs="Times New Roman"/>
        </w:rPr>
        <w:t> </w:t>
      </w:r>
      <w:r w:rsidR="00CD23B8">
        <w:rPr>
          <w:rFonts w:ascii="Times New Roman" w:hAnsi="Times New Roman" w:cs="Times New Roman"/>
        </w:rPr>
        <w:t>2,40</w:t>
      </w:r>
      <w:r>
        <w:rPr>
          <w:rFonts w:ascii="Times New Roman" w:hAnsi="Times New Roman" w:cs="Times New Roman"/>
        </w:rPr>
        <w:t xml:space="preserve"> </w:t>
      </w:r>
      <w:r w:rsidRPr="00EB33CC">
        <w:rPr>
          <w:rFonts w:ascii="Times New Roman" w:hAnsi="Times New Roman" w:cs="Times New Roman"/>
        </w:rPr>
        <w:t>%, t.</w:t>
      </w:r>
      <w:r w:rsidR="002B2749">
        <w:rPr>
          <w:rFonts w:ascii="Times New Roman" w:hAnsi="Times New Roman" w:cs="Times New Roman"/>
        </w:rPr>
        <w:t xml:space="preserve"> </w:t>
      </w:r>
      <w:r w:rsidRPr="00EB33CC">
        <w:rPr>
          <w:rFonts w:ascii="Times New Roman" w:hAnsi="Times New Roman" w:cs="Times New Roman"/>
        </w:rPr>
        <w:t xml:space="preserve">j. </w:t>
      </w:r>
      <w:r w:rsidR="00CD23B8">
        <w:rPr>
          <w:rFonts w:ascii="Times New Roman" w:hAnsi="Times New Roman" w:cs="Times New Roman"/>
        </w:rPr>
        <w:t>153</w:t>
      </w:r>
      <w:r w:rsidRPr="00EB33CC">
        <w:rPr>
          <w:rFonts w:ascii="Times New Roman" w:hAnsi="Times New Roman" w:cs="Times New Roman"/>
        </w:rPr>
        <w:t xml:space="preserve"> tis. eur v </w:t>
      </w:r>
      <w:r w:rsidRPr="00EB33CC">
        <w:rPr>
          <w:rFonts w:ascii="Times New Roman" w:hAnsi="Times New Roman" w:cs="Times New Roman" w:hint="default"/>
        </w:rPr>
        <w:t>absolú</w:t>
      </w:r>
      <w:r w:rsidRPr="00EB33CC">
        <w:rPr>
          <w:rFonts w:ascii="Times New Roman" w:hAnsi="Times New Roman" w:cs="Times New Roman" w:hint="default"/>
        </w:rPr>
        <w:t>tnom vyjadrení</w:t>
      </w:r>
      <w:r w:rsidRPr="00EB33CC">
        <w:rPr>
          <w:rFonts w:ascii="Times New Roman" w:hAnsi="Times New Roman" w:cs="Times New Roman" w:hint="default"/>
        </w:rPr>
        <w:t>. Fond uvaž</w:t>
      </w:r>
      <w:r w:rsidRPr="00EB33CC">
        <w:rPr>
          <w:rFonts w:ascii="Times New Roman" w:hAnsi="Times New Roman" w:cs="Times New Roman" w:hint="default"/>
        </w:rPr>
        <w:t>uje kaž</w:t>
      </w:r>
      <w:r w:rsidRPr="00EB33CC">
        <w:rPr>
          <w:rFonts w:ascii="Times New Roman" w:hAnsi="Times New Roman" w:cs="Times New Roman" w:hint="default"/>
        </w:rPr>
        <w:t>doroč</w:t>
      </w:r>
      <w:r w:rsidRPr="00EB33CC">
        <w:rPr>
          <w:rFonts w:ascii="Times New Roman" w:hAnsi="Times New Roman" w:cs="Times New Roman" w:hint="default"/>
        </w:rPr>
        <w:t>ne poskytnúť</w:t>
      </w:r>
      <w:r w:rsidRPr="00EB33CC">
        <w:rPr>
          <w:rFonts w:ascii="Times New Roman" w:hAnsi="Times New Roman" w:cs="Times New Roman" w:hint="default"/>
        </w:rPr>
        <w:t xml:space="preserve"> finanč</w:t>
      </w:r>
      <w:r w:rsidRPr="00EB33CC">
        <w:rPr>
          <w:rFonts w:ascii="Times New Roman" w:hAnsi="Times New Roman" w:cs="Times New Roman" w:hint="default"/>
        </w:rPr>
        <w:t>né</w:t>
      </w:r>
      <w:r w:rsidRPr="00EB33CC">
        <w:rPr>
          <w:rFonts w:ascii="Times New Roman" w:hAnsi="Times New Roman" w:cs="Times New Roman" w:hint="default"/>
        </w:rPr>
        <w:t xml:space="preserve"> prostriedky vo výš</w:t>
      </w:r>
      <w:r w:rsidRPr="00EB33CC">
        <w:rPr>
          <w:rFonts w:ascii="Times New Roman" w:hAnsi="Times New Roman" w:cs="Times New Roman" w:hint="default"/>
        </w:rPr>
        <w:t>ke 150 tis. eur na produkciu š</w:t>
      </w:r>
      <w:r w:rsidRPr="00EB33CC">
        <w:rPr>
          <w:rFonts w:ascii="Times New Roman" w:hAnsi="Times New Roman" w:cs="Times New Roman" w:hint="default"/>
        </w:rPr>
        <w:t>kolský</w:t>
      </w:r>
      <w:r w:rsidRPr="00EB33CC">
        <w:rPr>
          <w:rFonts w:ascii="Times New Roman" w:hAnsi="Times New Roman" w:cs="Times New Roman" w:hint="default"/>
        </w:rPr>
        <w:t>ch filmov v š</w:t>
      </w:r>
      <w:r w:rsidRPr="00EB33CC">
        <w:rPr>
          <w:rFonts w:ascii="Times New Roman" w:hAnsi="Times New Roman" w:cs="Times New Roman" w:hint="default"/>
        </w:rPr>
        <w:t>tudijnom odbore</w:t>
      </w:r>
      <w:r w:rsidRPr="00EB33CC">
        <w:rPr>
          <w:rFonts w:ascii="Times New Roman" w:hAnsi="Times New Roman" w:cs="Times New Roman" w:hint="default"/>
        </w:rPr>
        <w:t xml:space="preserve"> filmové</w:t>
      </w:r>
      <w:r w:rsidRPr="00EB33CC">
        <w:rPr>
          <w:rFonts w:ascii="Times New Roman" w:hAnsi="Times New Roman" w:cs="Times New Roman" w:hint="default"/>
        </w:rPr>
        <w:t xml:space="preserve"> umenie.</w:t>
      </w:r>
    </w:p>
    <w:p w:rsidR="00FA46D7" w:rsidRPr="00EB33CC" w:rsidP="00FA46D7">
      <w:pPr>
        <w:bidi w:val="0"/>
        <w:jc w:val="both"/>
        <w:rPr>
          <w:rFonts w:ascii="Times New Roman" w:eastAsia="Calibri" w:hAnsi="Times New Roman"/>
          <w:color w:val="000000"/>
        </w:rPr>
      </w:pPr>
    </w:p>
    <w:p w:rsidR="00FA46D7" w:rsidRPr="00EB33CC" w:rsidP="00FA46D7">
      <w:pPr>
        <w:bidi w:val="0"/>
        <w:ind w:firstLine="708"/>
        <w:jc w:val="both"/>
        <w:rPr>
          <w:rFonts w:ascii="Times New Roman" w:eastAsia="Calibri" w:hAnsi="Times New Roman" w:hint="default"/>
          <w:color w:val="000000"/>
        </w:rPr>
      </w:pPr>
      <w:r w:rsidRPr="00EB33CC">
        <w:rPr>
          <w:rFonts w:ascii="Times New Roman" w:eastAsia="Calibri" w:hAnsi="Times New Roman" w:hint="default"/>
          <w:color w:val="000000"/>
        </w:rPr>
        <w:t>Zníž</w:t>
      </w:r>
      <w:r w:rsidRPr="00EB33CC">
        <w:rPr>
          <w:rFonts w:ascii="Times New Roman" w:eastAsia="Calibri" w:hAnsi="Times New Roman" w:hint="default"/>
          <w:color w:val="000000"/>
        </w:rPr>
        <w:t>enie bež</w:t>
      </w:r>
      <w:r w:rsidRPr="00EB33CC">
        <w:rPr>
          <w:rFonts w:ascii="Times New Roman" w:eastAsia="Calibri" w:hAnsi="Times New Roman" w:hint="default"/>
          <w:color w:val="000000"/>
        </w:rPr>
        <w:t>ný</w:t>
      </w:r>
      <w:r w:rsidRPr="00EB33CC">
        <w:rPr>
          <w:rFonts w:ascii="Times New Roman" w:eastAsia="Calibri" w:hAnsi="Times New Roman" w:hint="default"/>
          <w:color w:val="000000"/>
        </w:rPr>
        <w:t>ch transferov sa premietlo do rastu kapitá</w:t>
      </w:r>
      <w:r w:rsidRPr="00EB33CC">
        <w:rPr>
          <w:rFonts w:ascii="Times New Roman" w:eastAsia="Calibri" w:hAnsi="Times New Roman" w:hint="default"/>
          <w:color w:val="000000"/>
        </w:rPr>
        <w:t>lový</w:t>
      </w:r>
      <w:r w:rsidRPr="00EB33CC">
        <w:rPr>
          <w:rFonts w:ascii="Times New Roman" w:eastAsia="Calibri" w:hAnsi="Times New Roman" w:hint="default"/>
          <w:color w:val="000000"/>
        </w:rPr>
        <w:t>ch vý</w:t>
      </w:r>
      <w:r w:rsidRPr="00EB33CC">
        <w:rPr>
          <w:rFonts w:ascii="Times New Roman" w:eastAsia="Calibri" w:hAnsi="Times New Roman" w:hint="default"/>
          <w:color w:val="000000"/>
        </w:rPr>
        <w:t>davkov, ktoré</w:t>
      </w:r>
      <w:r w:rsidRPr="00EB33CC">
        <w:rPr>
          <w:rFonts w:ascii="Times New Roman" w:eastAsia="Calibri" w:hAnsi="Times New Roman" w:hint="default"/>
          <w:color w:val="000000"/>
        </w:rPr>
        <w:t xml:space="preserve"> v </w:t>
      </w:r>
      <w:r w:rsidRPr="00EB33CC">
        <w:rPr>
          <w:rFonts w:ascii="Times New Roman" w:eastAsia="Calibri" w:hAnsi="Times New Roman" w:hint="default"/>
          <w:color w:val="000000"/>
        </w:rPr>
        <w:t>porovnaní</w:t>
      </w:r>
      <w:r w:rsidRPr="00EB33CC">
        <w:rPr>
          <w:rFonts w:ascii="Times New Roman" w:eastAsia="Calibri" w:hAnsi="Times New Roman" w:hint="default"/>
          <w:color w:val="000000"/>
        </w:rPr>
        <w:t xml:space="preserve"> so schvá</w:t>
      </w:r>
      <w:r w:rsidRPr="00EB33CC">
        <w:rPr>
          <w:rFonts w:ascii="Times New Roman" w:eastAsia="Calibri" w:hAnsi="Times New Roman" w:hint="default"/>
          <w:color w:val="000000"/>
        </w:rPr>
        <w:t>lený</w:t>
      </w:r>
      <w:r w:rsidRPr="00EB33CC">
        <w:rPr>
          <w:rFonts w:ascii="Times New Roman" w:eastAsia="Calibri" w:hAnsi="Times New Roman" w:hint="default"/>
          <w:color w:val="000000"/>
        </w:rPr>
        <w:t>m rozpoč</w:t>
      </w:r>
      <w:r w:rsidRPr="00EB33CC">
        <w:rPr>
          <w:rFonts w:ascii="Times New Roman" w:eastAsia="Calibri" w:hAnsi="Times New Roman" w:hint="default"/>
          <w:color w:val="000000"/>
        </w:rPr>
        <w:t>tom na rok 2011 vzrá</w:t>
      </w:r>
      <w:r w:rsidRPr="00EB33CC">
        <w:rPr>
          <w:rFonts w:ascii="Times New Roman" w:eastAsia="Calibri" w:hAnsi="Times New Roman" w:hint="default"/>
          <w:color w:val="000000"/>
        </w:rPr>
        <w:t>stli o </w:t>
      </w:r>
      <w:r w:rsidRPr="00EB33CC">
        <w:rPr>
          <w:rFonts w:ascii="Times New Roman" w:eastAsia="Calibri" w:hAnsi="Times New Roman" w:hint="default"/>
          <w:color w:val="000000"/>
        </w:rPr>
        <w:t>320 tis. eur, prič</w:t>
      </w:r>
      <w:r w:rsidRPr="00EB33CC">
        <w:rPr>
          <w:rFonts w:ascii="Times New Roman" w:eastAsia="Calibri" w:hAnsi="Times New Roman" w:hint="default"/>
          <w:color w:val="000000"/>
        </w:rPr>
        <w:t>om zdroje sa majú</w:t>
      </w:r>
      <w:r w:rsidRPr="00EB33CC">
        <w:rPr>
          <w:rFonts w:ascii="Times New Roman" w:eastAsia="Calibri" w:hAnsi="Times New Roman" w:hint="default"/>
          <w:color w:val="000000"/>
        </w:rPr>
        <w:t xml:space="preserve"> použ</w:t>
      </w:r>
      <w:r w:rsidRPr="00EB33CC">
        <w:rPr>
          <w:rFonts w:ascii="Times New Roman" w:eastAsia="Calibri" w:hAnsi="Times New Roman" w:hint="default"/>
          <w:color w:val="000000"/>
        </w:rPr>
        <w:t>iť</w:t>
      </w:r>
      <w:r w:rsidRPr="00EB33CC">
        <w:rPr>
          <w:rFonts w:ascii="Times New Roman" w:eastAsia="Calibri" w:hAnsi="Times New Roman" w:hint="default"/>
          <w:color w:val="000000"/>
        </w:rPr>
        <w:t xml:space="preserve"> na ná</w:t>
      </w:r>
      <w:r w:rsidRPr="00EB33CC">
        <w:rPr>
          <w:rFonts w:ascii="Times New Roman" w:eastAsia="Calibri" w:hAnsi="Times New Roman" w:hint="default"/>
          <w:color w:val="000000"/>
        </w:rPr>
        <w:t>kup technologický</w:t>
      </w:r>
      <w:r w:rsidRPr="00EB33CC">
        <w:rPr>
          <w:rFonts w:ascii="Times New Roman" w:eastAsia="Calibri" w:hAnsi="Times New Roman" w:hint="default"/>
          <w:color w:val="000000"/>
        </w:rPr>
        <w:t>ch zariadení</w:t>
      </w:r>
      <w:r w:rsidRPr="00EB33CC">
        <w:rPr>
          <w:rFonts w:ascii="Times New Roman" w:eastAsia="Calibri" w:hAnsi="Times New Roman" w:hint="default"/>
          <w:color w:val="000000"/>
        </w:rPr>
        <w:t xml:space="preserve"> pre digitalizá</w:t>
      </w:r>
      <w:r w:rsidRPr="00EB33CC">
        <w:rPr>
          <w:rFonts w:ascii="Times New Roman" w:eastAsia="Calibri" w:hAnsi="Times New Roman" w:hint="default"/>
          <w:color w:val="000000"/>
        </w:rPr>
        <w:t>ciu kí</w:t>
      </w:r>
      <w:r w:rsidRPr="00EB33CC">
        <w:rPr>
          <w:rFonts w:ascii="Times New Roman" w:eastAsia="Calibri" w:hAnsi="Times New Roman" w:hint="default"/>
          <w:color w:val="000000"/>
        </w:rPr>
        <w:t>n.</w:t>
      </w:r>
    </w:p>
    <w:p w:rsidR="00FA46D7" w:rsidRPr="00EB33CC" w:rsidP="00FA46D7">
      <w:pPr>
        <w:pStyle w:val="Default"/>
        <w:bidi w:val="0"/>
        <w:jc w:val="both"/>
        <w:rPr>
          <w:rFonts w:ascii="Times New Roman" w:hAnsi="Times New Roman" w:cs="Times New Roman"/>
        </w:rPr>
      </w:pPr>
    </w:p>
    <w:p w:rsidR="00FA46D7" w:rsidP="00FA46D7">
      <w:pPr>
        <w:pStyle w:val="Default"/>
        <w:bidi w:val="0"/>
        <w:ind w:firstLine="708"/>
        <w:jc w:val="both"/>
        <w:rPr>
          <w:b/>
          <w:sz w:val="28"/>
          <w:szCs w:val="28"/>
        </w:rPr>
      </w:pPr>
      <w:r w:rsidRPr="00EB33CC">
        <w:rPr>
          <w:rFonts w:ascii="Times New Roman" w:hAnsi="Times New Roman" w:cs="Times New Roman" w:hint="default"/>
        </w:rPr>
        <w:t>Celkový</w:t>
      </w:r>
      <w:r w:rsidRPr="00EB33CC">
        <w:rPr>
          <w:rFonts w:ascii="Times New Roman" w:hAnsi="Times New Roman" w:cs="Times New Roman" w:hint="default"/>
        </w:rPr>
        <w:t xml:space="preserve"> hotovostný</w:t>
      </w:r>
      <w:r w:rsidRPr="00EB33CC">
        <w:rPr>
          <w:rFonts w:ascii="Times New Roman" w:hAnsi="Times New Roman" w:cs="Times New Roman" w:hint="default"/>
        </w:rPr>
        <w:t xml:space="preserve"> prebytok fondu sa v roku 2012 </w:t>
      </w:r>
      <w:r>
        <w:rPr>
          <w:rFonts w:ascii="Times New Roman" w:hAnsi="Times New Roman" w:cs="Times New Roman"/>
        </w:rPr>
        <w:t>navrhuje</w:t>
      </w:r>
      <w:r w:rsidRPr="00EB33CC">
        <w:rPr>
          <w:rFonts w:ascii="Times New Roman" w:hAnsi="Times New Roman" w:cs="Times New Roman" w:hint="default"/>
        </w:rPr>
        <w:t xml:space="preserve"> vo výš</w:t>
      </w:r>
      <w:r w:rsidRPr="00EB33CC">
        <w:rPr>
          <w:rFonts w:ascii="Times New Roman" w:hAnsi="Times New Roman" w:cs="Times New Roman" w:hint="default"/>
        </w:rPr>
        <w:t>ke 2,4</w:t>
      </w:r>
      <w:r>
        <w:rPr>
          <w:rFonts w:ascii="Times New Roman" w:hAnsi="Times New Roman" w:cs="Times New Roman"/>
        </w:rPr>
        <w:t>1</w:t>
      </w:r>
      <w:r w:rsidRPr="00EB33CC">
        <w:rPr>
          <w:rFonts w:ascii="Times New Roman" w:hAnsi="Times New Roman" w:cs="Times New Roman" w:hint="default"/>
        </w:rPr>
        <w:t xml:space="preserve"> mil. eur, č</w:t>
      </w:r>
      <w:r w:rsidRPr="00EB33CC">
        <w:rPr>
          <w:rFonts w:ascii="Times New Roman" w:hAnsi="Times New Roman" w:cs="Times New Roman" w:hint="default"/>
        </w:rPr>
        <w:t>o zodpovedá</w:t>
      </w:r>
      <w:r w:rsidRPr="00EB33CC">
        <w:rPr>
          <w:rFonts w:ascii="Times New Roman" w:hAnsi="Times New Roman" w:cs="Times New Roman" w:hint="default"/>
        </w:rPr>
        <w:t xml:space="preserve"> oč</w:t>
      </w:r>
      <w:r w:rsidRPr="00EB33CC">
        <w:rPr>
          <w:rFonts w:ascii="Times New Roman" w:hAnsi="Times New Roman" w:cs="Times New Roman" w:hint="default"/>
        </w:rPr>
        <w:t>aká</w:t>
      </w:r>
      <w:r w:rsidRPr="00EB33CC">
        <w:rPr>
          <w:rFonts w:ascii="Times New Roman" w:hAnsi="Times New Roman" w:cs="Times New Roman" w:hint="default"/>
        </w:rPr>
        <w:t>vanej ú</w:t>
      </w:r>
      <w:r w:rsidRPr="00EB33CC">
        <w:rPr>
          <w:rFonts w:ascii="Times New Roman" w:hAnsi="Times New Roman" w:cs="Times New Roman" w:hint="default"/>
        </w:rPr>
        <w:t>rovni roku 2011. Obdobne ako v </w:t>
      </w:r>
      <w:r w:rsidRPr="00EB33CC">
        <w:rPr>
          <w:rFonts w:ascii="Times New Roman" w:hAnsi="Times New Roman" w:cs="Times New Roman" w:hint="default"/>
        </w:rPr>
        <w:t>roku 2011 saldo hospodá</w:t>
      </w:r>
      <w:r w:rsidRPr="00EB33CC">
        <w:rPr>
          <w:rFonts w:ascii="Times New Roman" w:hAnsi="Times New Roman" w:cs="Times New Roman" w:hint="default"/>
        </w:rPr>
        <w:t>renia vyjadrené</w:t>
      </w:r>
      <w:r w:rsidRPr="00EB33CC">
        <w:rPr>
          <w:rFonts w:ascii="Times New Roman" w:hAnsi="Times New Roman" w:cs="Times New Roman" w:hint="default"/>
        </w:rPr>
        <w:t xml:space="preserve"> v </w:t>
      </w:r>
      <w:r w:rsidRPr="00EB33CC">
        <w:rPr>
          <w:rFonts w:ascii="Times New Roman" w:hAnsi="Times New Roman" w:cs="Times New Roman" w:hint="default"/>
        </w:rPr>
        <w:t>metodike ESA 95 sa predpokladá</w:t>
      </w:r>
      <w:r w:rsidRPr="00EB33CC">
        <w:rPr>
          <w:rFonts w:ascii="Times New Roman" w:hAnsi="Times New Roman" w:cs="Times New Roman" w:hint="default"/>
        </w:rPr>
        <w:t xml:space="preserve"> vyrovnané.</w:t>
      </w:r>
    </w:p>
    <w:p w:rsidR="00FA46D7" w:rsidP="00FA46D7">
      <w:pPr>
        <w:bidi w:val="0"/>
        <w:rPr>
          <w:rFonts w:ascii="Times New Roman" w:hAnsi="Times New Roman"/>
        </w:rPr>
      </w:pPr>
    </w:p>
    <w:p w:rsidR="00FA46D7" w:rsidRPr="007B1DFC" w:rsidP="007B1DFC">
      <w:pPr>
        <w:bidi w:val="0"/>
        <w:rPr>
          <w:rFonts w:ascii="Times New Roman" w:hAnsi="Times New Roman"/>
        </w:rPr>
      </w:pPr>
    </w:p>
    <w:sectPr w:rsidSect="0032357B">
      <w:footerReference w:type="even" r:id="rId5"/>
      <w:footerReference w:type="default" r:id="rId6"/>
      <w:pgSz w:w="11906" w:h="16838" w:code="9"/>
      <w:pgMar w:top="1418" w:right="1418" w:bottom="1418" w:left="1418" w:header="709" w:footer="709"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96" w:rsidP="005E7BB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6469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57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75E32">
      <w:rPr>
        <w:rFonts w:ascii="Times New Roman" w:hAnsi="Times New Roman"/>
      </w:rPr>
      <w:t>2</w:t>
    </w:r>
    <w:r>
      <w:rPr>
        <w:rFonts w:ascii="Times New Roman" w:hAnsi="Times New Roman"/>
      </w:rPr>
      <w:fldChar w:fldCharType="end"/>
    </w:r>
  </w:p>
  <w:p w:rsidR="00A6469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297B"/>
    <w:multiLevelType w:val="hybridMultilevel"/>
    <w:tmpl w:val="04905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2E901BA"/>
    <w:multiLevelType w:val="multilevel"/>
    <w:tmpl w:val="CED4420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pStyle w:val="Zkladntext"/>
      <w:lvlText w:val="%1.%2.%3."/>
      <w:lvlJc w:val="left"/>
      <w:pPr>
        <w:tabs>
          <w:tab w:val="num" w:pos="357"/>
        </w:tabs>
        <w:ind w:left="357" w:hanging="357"/>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2">
    <w:nsid w:val="579075F5"/>
    <w:multiLevelType w:val="hybridMultilevel"/>
    <w:tmpl w:val="CB342EBE"/>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67FF6A13"/>
    <w:multiLevelType w:val="hybridMultilevel"/>
    <w:tmpl w:val="B58A21FE"/>
    <w:lvl w:ilvl="0">
      <w:start w:va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4C6EC1"/>
    <w:rsid w:val="00000B27"/>
    <w:rsid w:val="0000245C"/>
    <w:rsid w:val="00002ED8"/>
    <w:rsid w:val="00004D35"/>
    <w:rsid w:val="0001677A"/>
    <w:rsid w:val="00020032"/>
    <w:rsid w:val="00021451"/>
    <w:rsid w:val="00022A0B"/>
    <w:rsid w:val="000235B4"/>
    <w:rsid w:val="00023A8E"/>
    <w:rsid w:val="0002468D"/>
    <w:rsid w:val="000252A3"/>
    <w:rsid w:val="000253A5"/>
    <w:rsid w:val="0002551D"/>
    <w:rsid w:val="00026CFA"/>
    <w:rsid w:val="00027288"/>
    <w:rsid w:val="00032810"/>
    <w:rsid w:val="000363CA"/>
    <w:rsid w:val="000428E5"/>
    <w:rsid w:val="00051E81"/>
    <w:rsid w:val="00051E87"/>
    <w:rsid w:val="00054AF4"/>
    <w:rsid w:val="000563C4"/>
    <w:rsid w:val="00060E69"/>
    <w:rsid w:val="00061EA3"/>
    <w:rsid w:val="00063A07"/>
    <w:rsid w:val="00065022"/>
    <w:rsid w:val="000715B4"/>
    <w:rsid w:val="00071675"/>
    <w:rsid w:val="0007260E"/>
    <w:rsid w:val="00072C8E"/>
    <w:rsid w:val="00076315"/>
    <w:rsid w:val="00080820"/>
    <w:rsid w:val="00080BD4"/>
    <w:rsid w:val="0008174C"/>
    <w:rsid w:val="00083EF5"/>
    <w:rsid w:val="00085BDA"/>
    <w:rsid w:val="00087508"/>
    <w:rsid w:val="00087EC9"/>
    <w:rsid w:val="0009506E"/>
    <w:rsid w:val="000A335C"/>
    <w:rsid w:val="000A5AC2"/>
    <w:rsid w:val="000A78BD"/>
    <w:rsid w:val="000A7DA6"/>
    <w:rsid w:val="000B631C"/>
    <w:rsid w:val="000C130C"/>
    <w:rsid w:val="000C1ABD"/>
    <w:rsid w:val="000C4875"/>
    <w:rsid w:val="000C7B1F"/>
    <w:rsid w:val="000D099C"/>
    <w:rsid w:val="000D2072"/>
    <w:rsid w:val="000D2D81"/>
    <w:rsid w:val="000D3AD4"/>
    <w:rsid w:val="000D6D70"/>
    <w:rsid w:val="000E06B6"/>
    <w:rsid w:val="000E4098"/>
    <w:rsid w:val="000E40B0"/>
    <w:rsid w:val="000E72EE"/>
    <w:rsid w:val="000F48A1"/>
    <w:rsid w:val="000F6321"/>
    <w:rsid w:val="000F7EAF"/>
    <w:rsid w:val="00101654"/>
    <w:rsid w:val="00102BAA"/>
    <w:rsid w:val="00104B16"/>
    <w:rsid w:val="00104FAA"/>
    <w:rsid w:val="001067A2"/>
    <w:rsid w:val="00106CAC"/>
    <w:rsid w:val="001076A6"/>
    <w:rsid w:val="0011323F"/>
    <w:rsid w:val="0011528E"/>
    <w:rsid w:val="001156CE"/>
    <w:rsid w:val="00115DF6"/>
    <w:rsid w:val="00115E82"/>
    <w:rsid w:val="00116B5F"/>
    <w:rsid w:val="00117667"/>
    <w:rsid w:val="00123AE5"/>
    <w:rsid w:val="001308BC"/>
    <w:rsid w:val="00130B88"/>
    <w:rsid w:val="00134ACF"/>
    <w:rsid w:val="001351C0"/>
    <w:rsid w:val="00136B34"/>
    <w:rsid w:val="00141A3F"/>
    <w:rsid w:val="00142227"/>
    <w:rsid w:val="0014279C"/>
    <w:rsid w:val="00146194"/>
    <w:rsid w:val="00147035"/>
    <w:rsid w:val="00147DAA"/>
    <w:rsid w:val="001501E9"/>
    <w:rsid w:val="0015032D"/>
    <w:rsid w:val="00156153"/>
    <w:rsid w:val="0015630C"/>
    <w:rsid w:val="001565A8"/>
    <w:rsid w:val="00156840"/>
    <w:rsid w:val="00156A15"/>
    <w:rsid w:val="00160B7E"/>
    <w:rsid w:val="001611BF"/>
    <w:rsid w:val="00161759"/>
    <w:rsid w:val="001617EC"/>
    <w:rsid w:val="001630C3"/>
    <w:rsid w:val="001647FD"/>
    <w:rsid w:val="00167891"/>
    <w:rsid w:val="001725C4"/>
    <w:rsid w:val="001734F4"/>
    <w:rsid w:val="00173B46"/>
    <w:rsid w:val="00175E32"/>
    <w:rsid w:val="00176BCF"/>
    <w:rsid w:val="00176F81"/>
    <w:rsid w:val="00183891"/>
    <w:rsid w:val="0018540E"/>
    <w:rsid w:val="00187782"/>
    <w:rsid w:val="00192435"/>
    <w:rsid w:val="00192A41"/>
    <w:rsid w:val="001958C5"/>
    <w:rsid w:val="001975EE"/>
    <w:rsid w:val="00197DB5"/>
    <w:rsid w:val="00197FF0"/>
    <w:rsid w:val="001A0A67"/>
    <w:rsid w:val="001A0FB6"/>
    <w:rsid w:val="001A22CE"/>
    <w:rsid w:val="001A3D80"/>
    <w:rsid w:val="001A4757"/>
    <w:rsid w:val="001A47E0"/>
    <w:rsid w:val="001A72AE"/>
    <w:rsid w:val="001A7EBA"/>
    <w:rsid w:val="001B01D6"/>
    <w:rsid w:val="001B432A"/>
    <w:rsid w:val="001B76E5"/>
    <w:rsid w:val="001C07BB"/>
    <w:rsid w:val="001C260A"/>
    <w:rsid w:val="001C3EF7"/>
    <w:rsid w:val="001C484B"/>
    <w:rsid w:val="001C4B2D"/>
    <w:rsid w:val="001C51F4"/>
    <w:rsid w:val="001D1B04"/>
    <w:rsid w:val="001D242A"/>
    <w:rsid w:val="001D2837"/>
    <w:rsid w:val="001D2CA0"/>
    <w:rsid w:val="001D4639"/>
    <w:rsid w:val="001D51F4"/>
    <w:rsid w:val="001D59F8"/>
    <w:rsid w:val="001D6DC0"/>
    <w:rsid w:val="001E0FC8"/>
    <w:rsid w:val="001E136E"/>
    <w:rsid w:val="001E1A62"/>
    <w:rsid w:val="001E1E6B"/>
    <w:rsid w:val="001E587D"/>
    <w:rsid w:val="001E6C78"/>
    <w:rsid w:val="001F20AB"/>
    <w:rsid w:val="001F40D3"/>
    <w:rsid w:val="001F57C6"/>
    <w:rsid w:val="001F695E"/>
    <w:rsid w:val="001F7F8A"/>
    <w:rsid w:val="00201C50"/>
    <w:rsid w:val="00202093"/>
    <w:rsid w:val="00203D3A"/>
    <w:rsid w:val="00204208"/>
    <w:rsid w:val="00205574"/>
    <w:rsid w:val="00205C1D"/>
    <w:rsid w:val="00211534"/>
    <w:rsid w:val="00212C11"/>
    <w:rsid w:val="0021536F"/>
    <w:rsid w:val="00215655"/>
    <w:rsid w:val="00215B51"/>
    <w:rsid w:val="00215C1B"/>
    <w:rsid w:val="0022112A"/>
    <w:rsid w:val="00222A9A"/>
    <w:rsid w:val="00222C97"/>
    <w:rsid w:val="002250AE"/>
    <w:rsid w:val="002261A0"/>
    <w:rsid w:val="002267B3"/>
    <w:rsid w:val="00231E80"/>
    <w:rsid w:val="00232C86"/>
    <w:rsid w:val="00234EB3"/>
    <w:rsid w:val="00235BE0"/>
    <w:rsid w:val="002367BC"/>
    <w:rsid w:val="00236B3B"/>
    <w:rsid w:val="00236F6B"/>
    <w:rsid w:val="00240A5A"/>
    <w:rsid w:val="002424D8"/>
    <w:rsid w:val="002429D0"/>
    <w:rsid w:val="0024348D"/>
    <w:rsid w:val="00244BD3"/>
    <w:rsid w:val="00247433"/>
    <w:rsid w:val="00251335"/>
    <w:rsid w:val="00256165"/>
    <w:rsid w:val="00260336"/>
    <w:rsid w:val="00261F5F"/>
    <w:rsid w:val="00262143"/>
    <w:rsid w:val="00263036"/>
    <w:rsid w:val="00263DC5"/>
    <w:rsid w:val="00265B14"/>
    <w:rsid w:val="00266F48"/>
    <w:rsid w:val="00273961"/>
    <w:rsid w:val="002807CD"/>
    <w:rsid w:val="00281153"/>
    <w:rsid w:val="00281E04"/>
    <w:rsid w:val="00283E4E"/>
    <w:rsid w:val="00285330"/>
    <w:rsid w:val="00285C72"/>
    <w:rsid w:val="00286AC8"/>
    <w:rsid w:val="00287A52"/>
    <w:rsid w:val="0029097F"/>
    <w:rsid w:val="00293CB8"/>
    <w:rsid w:val="00293E92"/>
    <w:rsid w:val="00296050"/>
    <w:rsid w:val="002A2F13"/>
    <w:rsid w:val="002A66DD"/>
    <w:rsid w:val="002A67BA"/>
    <w:rsid w:val="002A79D1"/>
    <w:rsid w:val="002B02A9"/>
    <w:rsid w:val="002B0FD9"/>
    <w:rsid w:val="002B15F6"/>
    <w:rsid w:val="002B2338"/>
    <w:rsid w:val="002B2749"/>
    <w:rsid w:val="002B3C15"/>
    <w:rsid w:val="002B52CC"/>
    <w:rsid w:val="002B67C4"/>
    <w:rsid w:val="002B6E6C"/>
    <w:rsid w:val="002C0E33"/>
    <w:rsid w:val="002C0E57"/>
    <w:rsid w:val="002C0EB1"/>
    <w:rsid w:val="002C2636"/>
    <w:rsid w:val="002C2AB5"/>
    <w:rsid w:val="002C5861"/>
    <w:rsid w:val="002C67EC"/>
    <w:rsid w:val="002C6F59"/>
    <w:rsid w:val="002C733D"/>
    <w:rsid w:val="002C7C19"/>
    <w:rsid w:val="002D1176"/>
    <w:rsid w:val="002D163B"/>
    <w:rsid w:val="002D2B10"/>
    <w:rsid w:val="002D300B"/>
    <w:rsid w:val="002D4C95"/>
    <w:rsid w:val="002D7EEC"/>
    <w:rsid w:val="002E03F6"/>
    <w:rsid w:val="002E0500"/>
    <w:rsid w:val="002E0A18"/>
    <w:rsid w:val="002E151C"/>
    <w:rsid w:val="002E2FA3"/>
    <w:rsid w:val="002E6DBB"/>
    <w:rsid w:val="002F13BC"/>
    <w:rsid w:val="002F33FA"/>
    <w:rsid w:val="002F355B"/>
    <w:rsid w:val="002F35B9"/>
    <w:rsid w:val="002F6A0E"/>
    <w:rsid w:val="002F7A7B"/>
    <w:rsid w:val="003024DD"/>
    <w:rsid w:val="00304059"/>
    <w:rsid w:val="003045A6"/>
    <w:rsid w:val="003045DD"/>
    <w:rsid w:val="00306B69"/>
    <w:rsid w:val="00311E53"/>
    <w:rsid w:val="00312B3C"/>
    <w:rsid w:val="00314965"/>
    <w:rsid w:val="00316375"/>
    <w:rsid w:val="0032357B"/>
    <w:rsid w:val="003245AD"/>
    <w:rsid w:val="00324910"/>
    <w:rsid w:val="003306B5"/>
    <w:rsid w:val="00330A1C"/>
    <w:rsid w:val="0033106C"/>
    <w:rsid w:val="0033170A"/>
    <w:rsid w:val="003327C5"/>
    <w:rsid w:val="00333590"/>
    <w:rsid w:val="00337B09"/>
    <w:rsid w:val="00340E10"/>
    <w:rsid w:val="0034220B"/>
    <w:rsid w:val="00342BB2"/>
    <w:rsid w:val="00342E46"/>
    <w:rsid w:val="0034425B"/>
    <w:rsid w:val="00344975"/>
    <w:rsid w:val="00344FE5"/>
    <w:rsid w:val="00346D51"/>
    <w:rsid w:val="003471EC"/>
    <w:rsid w:val="003564D0"/>
    <w:rsid w:val="003617A3"/>
    <w:rsid w:val="003633FC"/>
    <w:rsid w:val="00366624"/>
    <w:rsid w:val="00366863"/>
    <w:rsid w:val="00366B12"/>
    <w:rsid w:val="00367723"/>
    <w:rsid w:val="00367824"/>
    <w:rsid w:val="00367C19"/>
    <w:rsid w:val="0037190E"/>
    <w:rsid w:val="003719D9"/>
    <w:rsid w:val="00372431"/>
    <w:rsid w:val="003753AB"/>
    <w:rsid w:val="003769E0"/>
    <w:rsid w:val="00377BB9"/>
    <w:rsid w:val="003814E4"/>
    <w:rsid w:val="003832AC"/>
    <w:rsid w:val="00386AA0"/>
    <w:rsid w:val="00387BE8"/>
    <w:rsid w:val="003905BA"/>
    <w:rsid w:val="00391EB6"/>
    <w:rsid w:val="00392110"/>
    <w:rsid w:val="00394DAF"/>
    <w:rsid w:val="0039580C"/>
    <w:rsid w:val="00397F34"/>
    <w:rsid w:val="003A13AE"/>
    <w:rsid w:val="003A28F2"/>
    <w:rsid w:val="003A31B8"/>
    <w:rsid w:val="003A490F"/>
    <w:rsid w:val="003A4912"/>
    <w:rsid w:val="003A5E29"/>
    <w:rsid w:val="003A6895"/>
    <w:rsid w:val="003A70BC"/>
    <w:rsid w:val="003B0DB0"/>
    <w:rsid w:val="003B0F73"/>
    <w:rsid w:val="003B13FD"/>
    <w:rsid w:val="003B25D5"/>
    <w:rsid w:val="003B6370"/>
    <w:rsid w:val="003B6D24"/>
    <w:rsid w:val="003B77B5"/>
    <w:rsid w:val="003C0012"/>
    <w:rsid w:val="003C1A43"/>
    <w:rsid w:val="003C58F7"/>
    <w:rsid w:val="003C6E31"/>
    <w:rsid w:val="003D35B7"/>
    <w:rsid w:val="003D5D39"/>
    <w:rsid w:val="003D64D9"/>
    <w:rsid w:val="003E0539"/>
    <w:rsid w:val="003E0C98"/>
    <w:rsid w:val="003E1A98"/>
    <w:rsid w:val="003E3081"/>
    <w:rsid w:val="003E32DB"/>
    <w:rsid w:val="003E3DD1"/>
    <w:rsid w:val="003E4FD0"/>
    <w:rsid w:val="003E52A1"/>
    <w:rsid w:val="003E541C"/>
    <w:rsid w:val="003E5A5C"/>
    <w:rsid w:val="003E7F48"/>
    <w:rsid w:val="003F0794"/>
    <w:rsid w:val="003F36B4"/>
    <w:rsid w:val="003F6ACA"/>
    <w:rsid w:val="003F717E"/>
    <w:rsid w:val="004009EE"/>
    <w:rsid w:val="004015F8"/>
    <w:rsid w:val="00401D4B"/>
    <w:rsid w:val="004022F4"/>
    <w:rsid w:val="00402858"/>
    <w:rsid w:val="00402F26"/>
    <w:rsid w:val="0040304A"/>
    <w:rsid w:val="00403AD0"/>
    <w:rsid w:val="00410025"/>
    <w:rsid w:val="00410943"/>
    <w:rsid w:val="00411EA5"/>
    <w:rsid w:val="00420072"/>
    <w:rsid w:val="0042137D"/>
    <w:rsid w:val="00421E9F"/>
    <w:rsid w:val="00422156"/>
    <w:rsid w:val="004228FF"/>
    <w:rsid w:val="0042409A"/>
    <w:rsid w:val="00425854"/>
    <w:rsid w:val="004325BF"/>
    <w:rsid w:val="00434844"/>
    <w:rsid w:val="004367B6"/>
    <w:rsid w:val="0043729D"/>
    <w:rsid w:val="004413C7"/>
    <w:rsid w:val="00441E81"/>
    <w:rsid w:val="00443A5C"/>
    <w:rsid w:val="00445925"/>
    <w:rsid w:val="00446048"/>
    <w:rsid w:val="00451465"/>
    <w:rsid w:val="004534AE"/>
    <w:rsid w:val="0045385F"/>
    <w:rsid w:val="004612DB"/>
    <w:rsid w:val="00462481"/>
    <w:rsid w:val="00463F7C"/>
    <w:rsid w:val="00464959"/>
    <w:rsid w:val="004649D6"/>
    <w:rsid w:val="004669F6"/>
    <w:rsid w:val="00466FCB"/>
    <w:rsid w:val="00467EB3"/>
    <w:rsid w:val="00470BA8"/>
    <w:rsid w:val="00471567"/>
    <w:rsid w:val="0047160B"/>
    <w:rsid w:val="004734B7"/>
    <w:rsid w:val="00475138"/>
    <w:rsid w:val="00475145"/>
    <w:rsid w:val="00475400"/>
    <w:rsid w:val="00482970"/>
    <w:rsid w:val="00485403"/>
    <w:rsid w:val="004909D1"/>
    <w:rsid w:val="00491DDC"/>
    <w:rsid w:val="00492D90"/>
    <w:rsid w:val="00496EDA"/>
    <w:rsid w:val="004A0079"/>
    <w:rsid w:val="004A1443"/>
    <w:rsid w:val="004B3637"/>
    <w:rsid w:val="004B5A1D"/>
    <w:rsid w:val="004B6B79"/>
    <w:rsid w:val="004C2085"/>
    <w:rsid w:val="004C29AF"/>
    <w:rsid w:val="004C3EEA"/>
    <w:rsid w:val="004C4A82"/>
    <w:rsid w:val="004C4E89"/>
    <w:rsid w:val="004C6EC1"/>
    <w:rsid w:val="004D0FB6"/>
    <w:rsid w:val="004D1055"/>
    <w:rsid w:val="004D2862"/>
    <w:rsid w:val="004E26EA"/>
    <w:rsid w:val="004E3D52"/>
    <w:rsid w:val="004E5331"/>
    <w:rsid w:val="004E7867"/>
    <w:rsid w:val="004E7A67"/>
    <w:rsid w:val="004F1057"/>
    <w:rsid w:val="004F1D78"/>
    <w:rsid w:val="004F2806"/>
    <w:rsid w:val="004F4A6F"/>
    <w:rsid w:val="004F6D87"/>
    <w:rsid w:val="004F7762"/>
    <w:rsid w:val="005004EB"/>
    <w:rsid w:val="005006BF"/>
    <w:rsid w:val="0050204A"/>
    <w:rsid w:val="0050488D"/>
    <w:rsid w:val="005056E3"/>
    <w:rsid w:val="00507210"/>
    <w:rsid w:val="00507BE6"/>
    <w:rsid w:val="00512E9E"/>
    <w:rsid w:val="00513417"/>
    <w:rsid w:val="005143F3"/>
    <w:rsid w:val="00516EE3"/>
    <w:rsid w:val="00520178"/>
    <w:rsid w:val="005261AE"/>
    <w:rsid w:val="00534FF9"/>
    <w:rsid w:val="00536682"/>
    <w:rsid w:val="00542903"/>
    <w:rsid w:val="00544FE2"/>
    <w:rsid w:val="0054524E"/>
    <w:rsid w:val="00545283"/>
    <w:rsid w:val="0054681A"/>
    <w:rsid w:val="00546F27"/>
    <w:rsid w:val="005478E8"/>
    <w:rsid w:val="005561E1"/>
    <w:rsid w:val="00564735"/>
    <w:rsid w:val="005657AF"/>
    <w:rsid w:val="00566694"/>
    <w:rsid w:val="005666A0"/>
    <w:rsid w:val="00570EB8"/>
    <w:rsid w:val="005711EE"/>
    <w:rsid w:val="0057295D"/>
    <w:rsid w:val="005755D1"/>
    <w:rsid w:val="005768BF"/>
    <w:rsid w:val="00576D39"/>
    <w:rsid w:val="00577D0E"/>
    <w:rsid w:val="00577F0F"/>
    <w:rsid w:val="00584460"/>
    <w:rsid w:val="00584850"/>
    <w:rsid w:val="00584B15"/>
    <w:rsid w:val="005918A5"/>
    <w:rsid w:val="005927EC"/>
    <w:rsid w:val="0059754A"/>
    <w:rsid w:val="00597A77"/>
    <w:rsid w:val="00597D72"/>
    <w:rsid w:val="005A0E06"/>
    <w:rsid w:val="005A1B07"/>
    <w:rsid w:val="005A75B1"/>
    <w:rsid w:val="005B10D4"/>
    <w:rsid w:val="005B211D"/>
    <w:rsid w:val="005B3632"/>
    <w:rsid w:val="005B3871"/>
    <w:rsid w:val="005B454F"/>
    <w:rsid w:val="005B4D59"/>
    <w:rsid w:val="005B65F8"/>
    <w:rsid w:val="005C2444"/>
    <w:rsid w:val="005C2D28"/>
    <w:rsid w:val="005C75C9"/>
    <w:rsid w:val="005D330D"/>
    <w:rsid w:val="005D650A"/>
    <w:rsid w:val="005E0586"/>
    <w:rsid w:val="005E0D82"/>
    <w:rsid w:val="005E16CE"/>
    <w:rsid w:val="005E2FA9"/>
    <w:rsid w:val="005E3DDC"/>
    <w:rsid w:val="005E680F"/>
    <w:rsid w:val="005E7735"/>
    <w:rsid w:val="005E7BB6"/>
    <w:rsid w:val="005F0146"/>
    <w:rsid w:val="005F1F2F"/>
    <w:rsid w:val="005F2E41"/>
    <w:rsid w:val="005F4809"/>
    <w:rsid w:val="00600C59"/>
    <w:rsid w:val="00603029"/>
    <w:rsid w:val="00607654"/>
    <w:rsid w:val="006134BD"/>
    <w:rsid w:val="00613F6B"/>
    <w:rsid w:val="006214A4"/>
    <w:rsid w:val="006214E8"/>
    <w:rsid w:val="0062498E"/>
    <w:rsid w:val="00624A01"/>
    <w:rsid w:val="0062760A"/>
    <w:rsid w:val="00627FDB"/>
    <w:rsid w:val="00630B95"/>
    <w:rsid w:val="00630D5F"/>
    <w:rsid w:val="00631A42"/>
    <w:rsid w:val="00632EE6"/>
    <w:rsid w:val="00634AF3"/>
    <w:rsid w:val="00643E06"/>
    <w:rsid w:val="0064547B"/>
    <w:rsid w:val="006465AC"/>
    <w:rsid w:val="00646615"/>
    <w:rsid w:val="00646726"/>
    <w:rsid w:val="006471E8"/>
    <w:rsid w:val="006511DE"/>
    <w:rsid w:val="00651289"/>
    <w:rsid w:val="00652721"/>
    <w:rsid w:val="0065306B"/>
    <w:rsid w:val="006538C5"/>
    <w:rsid w:val="00657B6D"/>
    <w:rsid w:val="00662D77"/>
    <w:rsid w:val="00663AFB"/>
    <w:rsid w:val="006651C5"/>
    <w:rsid w:val="00665A08"/>
    <w:rsid w:val="00665B7B"/>
    <w:rsid w:val="006669EB"/>
    <w:rsid w:val="00671670"/>
    <w:rsid w:val="00671F79"/>
    <w:rsid w:val="00672C27"/>
    <w:rsid w:val="006731B4"/>
    <w:rsid w:val="00673D1A"/>
    <w:rsid w:val="006749AC"/>
    <w:rsid w:val="00674C23"/>
    <w:rsid w:val="00674F2C"/>
    <w:rsid w:val="00680277"/>
    <w:rsid w:val="00682AB0"/>
    <w:rsid w:val="00683BB2"/>
    <w:rsid w:val="0068571D"/>
    <w:rsid w:val="00690A1E"/>
    <w:rsid w:val="00692208"/>
    <w:rsid w:val="0069364F"/>
    <w:rsid w:val="00695E6F"/>
    <w:rsid w:val="006A1DF3"/>
    <w:rsid w:val="006A2362"/>
    <w:rsid w:val="006A48EC"/>
    <w:rsid w:val="006A79E7"/>
    <w:rsid w:val="006B1D7C"/>
    <w:rsid w:val="006B3F37"/>
    <w:rsid w:val="006B3FE7"/>
    <w:rsid w:val="006B5695"/>
    <w:rsid w:val="006B72E2"/>
    <w:rsid w:val="006B7A19"/>
    <w:rsid w:val="006C0CE6"/>
    <w:rsid w:val="006C135E"/>
    <w:rsid w:val="006C2589"/>
    <w:rsid w:val="006C2785"/>
    <w:rsid w:val="006C29DB"/>
    <w:rsid w:val="006C5FCE"/>
    <w:rsid w:val="006D0189"/>
    <w:rsid w:val="006D03CB"/>
    <w:rsid w:val="006D1ED6"/>
    <w:rsid w:val="006D4CA2"/>
    <w:rsid w:val="006D5548"/>
    <w:rsid w:val="006E4358"/>
    <w:rsid w:val="006E666B"/>
    <w:rsid w:val="006E6771"/>
    <w:rsid w:val="006E6E3F"/>
    <w:rsid w:val="006E6E7F"/>
    <w:rsid w:val="006F0FAC"/>
    <w:rsid w:val="006F36DA"/>
    <w:rsid w:val="006F3DC5"/>
    <w:rsid w:val="006F513F"/>
    <w:rsid w:val="006F6338"/>
    <w:rsid w:val="006F704C"/>
    <w:rsid w:val="006F74F1"/>
    <w:rsid w:val="006F750C"/>
    <w:rsid w:val="006F7EA4"/>
    <w:rsid w:val="00702219"/>
    <w:rsid w:val="007028FA"/>
    <w:rsid w:val="00703B1F"/>
    <w:rsid w:val="0070433B"/>
    <w:rsid w:val="00714B5B"/>
    <w:rsid w:val="00714F18"/>
    <w:rsid w:val="00720AF8"/>
    <w:rsid w:val="00722FCA"/>
    <w:rsid w:val="0072321E"/>
    <w:rsid w:val="00725203"/>
    <w:rsid w:val="0073018C"/>
    <w:rsid w:val="0073152E"/>
    <w:rsid w:val="00737AA5"/>
    <w:rsid w:val="0074073B"/>
    <w:rsid w:val="00741017"/>
    <w:rsid w:val="00742216"/>
    <w:rsid w:val="00744F9F"/>
    <w:rsid w:val="007466D2"/>
    <w:rsid w:val="00746E0A"/>
    <w:rsid w:val="007503A5"/>
    <w:rsid w:val="007512BC"/>
    <w:rsid w:val="0075285A"/>
    <w:rsid w:val="00756E89"/>
    <w:rsid w:val="00761CB3"/>
    <w:rsid w:val="007637D4"/>
    <w:rsid w:val="007649AB"/>
    <w:rsid w:val="007661A7"/>
    <w:rsid w:val="00766AE6"/>
    <w:rsid w:val="00766E4B"/>
    <w:rsid w:val="007711A0"/>
    <w:rsid w:val="00771864"/>
    <w:rsid w:val="007718FC"/>
    <w:rsid w:val="00771B17"/>
    <w:rsid w:val="007727D9"/>
    <w:rsid w:val="00772DE6"/>
    <w:rsid w:val="0077764F"/>
    <w:rsid w:val="007810BC"/>
    <w:rsid w:val="00781140"/>
    <w:rsid w:val="00781DFC"/>
    <w:rsid w:val="00784329"/>
    <w:rsid w:val="007851A7"/>
    <w:rsid w:val="0078555A"/>
    <w:rsid w:val="00786143"/>
    <w:rsid w:val="007902CC"/>
    <w:rsid w:val="0079128C"/>
    <w:rsid w:val="00791AF1"/>
    <w:rsid w:val="00792453"/>
    <w:rsid w:val="00792A3D"/>
    <w:rsid w:val="00793DD4"/>
    <w:rsid w:val="007940E0"/>
    <w:rsid w:val="007953DA"/>
    <w:rsid w:val="0079685B"/>
    <w:rsid w:val="00796D60"/>
    <w:rsid w:val="007973A4"/>
    <w:rsid w:val="00797FEB"/>
    <w:rsid w:val="007A113A"/>
    <w:rsid w:val="007A1BA3"/>
    <w:rsid w:val="007A1F4E"/>
    <w:rsid w:val="007A1F5A"/>
    <w:rsid w:val="007A30A3"/>
    <w:rsid w:val="007A3C63"/>
    <w:rsid w:val="007A5FA3"/>
    <w:rsid w:val="007A7FAD"/>
    <w:rsid w:val="007B1DFC"/>
    <w:rsid w:val="007B230B"/>
    <w:rsid w:val="007B36B7"/>
    <w:rsid w:val="007B64C5"/>
    <w:rsid w:val="007C085A"/>
    <w:rsid w:val="007C26EE"/>
    <w:rsid w:val="007C2E22"/>
    <w:rsid w:val="007C3018"/>
    <w:rsid w:val="007C5DDC"/>
    <w:rsid w:val="007C64CC"/>
    <w:rsid w:val="007C7087"/>
    <w:rsid w:val="007D160C"/>
    <w:rsid w:val="007D2790"/>
    <w:rsid w:val="007D3638"/>
    <w:rsid w:val="007D623A"/>
    <w:rsid w:val="007D76FF"/>
    <w:rsid w:val="007D77C0"/>
    <w:rsid w:val="007E1DA9"/>
    <w:rsid w:val="007E3EED"/>
    <w:rsid w:val="007E4443"/>
    <w:rsid w:val="007E7061"/>
    <w:rsid w:val="007F087A"/>
    <w:rsid w:val="007F1917"/>
    <w:rsid w:val="007F2B6F"/>
    <w:rsid w:val="007F2D77"/>
    <w:rsid w:val="007F34B2"/>
    <w:rsid w:val="007F60CF"/>
    <w:rsid w:val="007F66C3"/>
    <w:rsid w:val="007F79C4"/>
    <w:rsid w:val="007F7FB9"/>
    <w:rsid w:val="0080219F"/>
    <w:rsid w:val="00802B53"/>
    <w:rsid w:val="00802EE1"/>
    <w:rsid w:val="00803B78"/>
    <w:rsid w:val="00804A5D"/>
    <w:rsid w:val="0080533E"/>
    <w:rsid w:val="008062E1"/>
    <w:rsid w:val="0080645B"/>
    <w:rsid w:val="00806F52"/>
    <w:rsid w:val="00814F56"/>
    <w:rsid w:val="0081614E"/>
    <w:rsid w:val="00821B75"/>
    <w:rsid w:val="008229DC"/>
    <w:rsid w:val="0082569E"/>
    <w:rsid w:val="0082591A"/>
    <w:rsid w:val="00825B84"/>
    <w:rsid w:val="00830409"/>
    <w:rsid w:val="008308C2"/>
    <w:rsid w:val="00834350"/>
    <w:rsid w:val="00834FFB"/>
    <w:rsid w:val="008351C6"/>
    <w:rsid w:val="008363FF"/>
    <w:rsid w:val="00841FD1"/>
    <w:rsid w:val="00843341"/>
    <w:rsid w:val="00844338"/>
    <w:rsid w:val="0084460C"/>
    <w:rsid w:val="00846041"/>
    <w:rsid w:val="00846876"/>
    <w:rsid w:val="00854553"/>
    <w:rsid w:val="00855E24"/>
    <w:rsid w:val="00856AC0"/>
    <w:rsid w:val="0086076A"/>
    <w:rsid w:val="0086084B"/>
    <w:rsid w:val="008622A0"/>
    <w:rsid w:val="008626F3"/>
    <w:rsid w:val="00863DA7"/>
    <w:rsid w:val="008654DD"/>
    <w:rsid w:val="008658DA"/>
    <w:rsid w:val="008721C3"/>
    <w:rsid w:val="00872AA1"/>
    <w:rsid w:val="00873729"/>
    <w:rsid w:val="008745B4"/>
    <w:rsid w:val="00875B9A"/>
    <w:rsid w:val="00876EFC"/>
    <w:rsid w:val="008815E0"/>
    <w:rsid w:val="00882700"/>
    <w:rsid w:val="0088432E"/>
    <w:rsid w:val="00885509"/>
    <w:rsid w:val="00890D6B"/>
    <w:rsid w:val="00891C8F"/>
    <w:rsid w:val="0089285E"/>
    <w:rsid w:val="00895018"/>
    <w:rsid w:val="008A4BFE"/>
    <w:rsid w:val="008B06B6"/>
    <w:rsid w:val="008B080E"/>
    <w:rsid w:val="008B439E"/>
    <w:rsid w:val="008B465A"/>
    <w:rsid w:val="008B5A66"/>
    <w:rsid w:val="008B62E3"/>
    <w:rsid w:val="008B69CC"/>
    <w:rsid w:val="008C0DDB"/>
    <w:rsid w:val="008C22BF"/>
    <w:rsid w:val="008C3B24"/>
    <w:rsid w:val="008C4C20"/>
    <w:rsid w:val="008C5FCE"/>
    <w:rsid w:val="008C7F90"/>
    <w:rsid w:val="008D0E1D"/>
    <w:rsid w:val="008D34AD"/>
    <w:rsid w:val="008D36B8"/>
    <w:rsid w:val="008D5E87"/>
    <w:rsid w:val="008D65B8"/>
    <w:rsid w:val="008E45E2"/>
    <w:rsid w:val="008E52F4"/>
    <w:rsid w:val="008E5B45"/>
    <w:rsid w:val="008E6E47"/>
    <w:rsid w:val="008F355D"/>
    <w:rsid w:val="008F45AC"/>
    <w:rsid w:val="008F45C9"/>
    <w:rsid w:val="00900433"/>
    <w:rsid w:val="0090114D"/>
    <w:rsid w:val="009066A6"/>
    <w:rsid w:val="00907D81"/>
    <w:rsid w:val="0091170F"/>
    <w:rsid w:val="00915F2F"/>
    <w:rsid w:val="009223CF"/>
    <w:rsid w:val="00924DFC"/>
    <w:rsid w:val="00927EFD"/>
    <w:rsid w:val="00930C16"/>
    <w:rsid w:val="0093267E"/>
    <w:rsid w:val="00932774"/>
    <w:rsid w:val="0093372A"/>
    <w:rsid w:val="00933D44"/>
    <w:rsid w:val="009346CA"/>
    <w:rsid w:val="00934DFE"/>
    <w:rsid w:val="00935053"/>
    <w:rsid w:val="0093518F"/>
    <w:rsid w:val="00935FEF"/>
    <w:rsid w:val="00936139"/>
    <w:rsid w:val="009406FD"/>
    <w:rsid w:val="009411F4"/>
    <w:rsid w:val="00943BC1"/>
    <w:rsid w:val="00943D13"/>
    <w:rsid w:val="00950489"/>
    <w:rsid w:val="0095053E"/>
    <w:rsid w:val="009505BE"/>
    <w:rsid w:val="00951AD4"/>
    <w:rsid w:val="009535FF"/>
    <w:rsid w:val="009550B9"/>
    <w:rsid w:val="00955C63"/>
    <w:rsid w:val="00957F1E"/>
    <w:rsid w:val="009608A8"/>
    <w:rsid w:val="009611EE"/>
    <w:rsid w:val="00961861"/>
    <w:rsid w:val="009634E9"/>
    <w:rsid w:val="0096365B"/>
    <w:rsid w:val="00965FBB"/>
    <w:rsid w:val="00966EC8"/>
    <w:rsid w:val="00967D59"/>
    <w:rsid w:val="009703BE"/>
    <w:rsid w:val="00970819"/>
    <w:rsid w:val="00970DC0"/>
    <w:rsid w:val="009714FD"/>
    <w:rsid w:val="0097165C"/>
    <w:rsid w:val="00976A9A"/>
    <w:rsid w:val="00977D90"/>
    <w:rsid w:val="00984131"/>
    <w:rsid w:val="009877CC"/>
    <w:rsid w:val="00987C3C"/>
    <w:rsid w:val="00992694"/>
    <w:rsid w:val="00997CA8"/>
    <w:rsid w:val="009A03AC"/>
    <w:rsid w:val="009A15AE"/>
    <w:rsid w:val="009A1817"/>
    <w:rsid w:val="009A25E0"/>
    <w:rsid w:val="009A278D"/>
    <w:rsid w:val="009A391A"/>
    <w:rsid w:val="009A658A"/>
    <w:rsid w:val="009A794F"/>
    <w:rsid w:val="009B0E48"/>
    <w:rsid w:val="009B383E"/>
    <w:rsid w:val="009B58B4"/>
    <w:rsid w:val="009B6152"/>
    <w:rsid w:val="009B6CB6"/>
    <w:rsid w:val="009C026E"/>
    <w:rsid w:val="009C02D6"/>
    <w:rsid w:val="009C145A"/>
    <w:rsid w:val="009C26CF"/>
    <w:rsid w:val="009C2F4E"/>
    <w:rsid w:val="009C604B"/>
    <w:rsid w:val="009D00F7"/>
    <w:rsid w:val="009D07C2"/>
    <w:rsid w:val="009D0F83"/>
    <w:rsid w:val="009D2D0C"/>
    <w:rsid w:val="009D43B6"/>
    <w:rsid w:val="009D5025"/>
    <w:rsid w:val="009E1CA3"/>
    <w:rsid w:val="009E1F40"/>
    <w:rsid w:val="009E2972"/>
    <w:rsid w:val="009E2FC8"/>
    <w:rsid w:val="009E318D"/>
    <w:rsid w:val="009E362C"/>
    <w:rsid w:val="009E4044"/>
    <w:rsid w:val="009E4556"/>
    <w:rsid w:val="009E7009"/>
    <w:rsid w:val="009F10AA"/>
    <w:rsid w:val="009F69B7"/>
    <w:rsid w:val="00A0291B"/>
    <w:rsid w:val="00A033FF"/>
    <w:rsid w:val="00A03459"/>
    <w:rsid w:val="00A05E71"/>
    <w:rsid w:val="00A065A8"/>
    <w:rsid w:val="00A0732F"/>
    <w:rsid w:val="00A07B81"/>
    <w:rsid w:val="00A07D14"/>
    <w:rsid w:val="00A12274"/>
    <w:rsid w:val="00A154E4"/>
    <w:rsid w:val="00A17315"/>
    <w:rsid w:val="00A21A74"/>
    <w:rsid w:val="00A21AFE"/>
    <w:rsid w:val="00A22851"/>
    <w:rsid w:val="00A24C2A"/>
    <w:rsid w:val="00A2683E"/>
    <w:rsid w:val="00A27904"/>
    <w:rsid w:val="00A27CE7"/>
    <w:rsid w:val="00A3532C"/>
    <w:rsid w:val="00A37B35"/>
    <w:rsid w:val="00A44EF0"/>
    <w:rsid w:val="00A47115"/>
    <w:rsid w:val="00A51CCA"/>
    <w:rsid w:val="00A530CC"/>
    <w:rsid w:val="00A539FC"/>
    <w:rsid w:val="00A53B64"/>
    <w:rsid w:val="00A5473B"/>
    <w:rsid w:val="00A57612"/>
    <w:rsid w:val="00A61DCB"/>
    <w:rsid w:val="00A61EBE"/>
    <w:rsid w:val="00A63902"/>
    <w:rsid w:val="00A64696"/>
    <w:rsid w:val="00A66E20"/>
    <w:rsid w:val="00A6789E"/>
    <w:rsid w:val="00A67B7B"/>
    <w:rsid w:val="00A70755"/>
    <w:rsid w:val="00A70F33"/>
    <w:rsid w:val="00A72DD0"/>
    <w:rsid w:val="00A73764"/>
    <w:rsid w:val="00A752F3"/>
    <w:rsid w:val="00A7669D"/>
    <w:rsid w:val="00A76BBF"/>
    <w:rsid w:val="00A76DD4"/>
    <w:rsid w:val="00A77C1C"/>
    <w:rsid w:val="00A806B5"/>
    <w:rsid w:val="00A80DE3"/>
    <w:rsid w:val="00A846CC"/>
    <w:rsid w:val="00A85526"/>
    <w:rsid w:val="00A8696B"/>
    <w:rsid w:val="00A9210E"/>
    <w:rsid w:val="00A93158"/>
    <w:rsid w:val="00AA12CE"/>
    <w:rsid w:val="00AA1D51"/>
    <w:rsid w:val="00AA2713"/>
    <w:rsid w:val="00AA3252"/>
    <w:rsid w:val="00AA3AC3"/>
    <w:rsid w:val="00AB0158"/>
    <w:rsid w:val="00AB15D1"/>
    <w:rsid w:val="00AB1A1D"/>
    <w:rsid w:val="00AB268A"/>
    <w:rsid w:val="00AB38EA"/>
    <w:rsid w:val="00AB4C1C"/>
    <w:rsid w:val="00AB6A66"/>
    <w:rsid w:val="00AC03AA"/>
    <w:rsid w:val="00AC10CB"/>
    <w:rsid w:val="00AC1241"/>
    <w:rsid w:val="00AC19F3"/>
    <w:rsid w:val="00AC25A5"/>
    <w:rsid w:val="00AC3649"/>
    <w:rsid w:val="00AC3A5F"/>
    <w:rsid w:val="00AC63E6"/>
    <w:rsid w:val="00AC7B4D"/>
    <w:rsid w:val="00AC7E2F"/>
    <w:rsid w:val="00AD27C2"/>
    <w:rsid w:val="00AD3321"/>
    <w:rsid w:val="00AD7E3A"/>
    <w:rsid w:val="00AE470A"/>
    <w:rsid w:val="00AE4AE8"/>
    <w:rsid w:val="00AE6E54"/>
    <w:rsid w:val="00AF07FB"/>
    <w:rsid w:val="00AF0EA4"/>
    <w:rsid w:val="00AF2AF8"/>
    <w:rsid w:val="00AF6EFA"/>
    <w:rsid w:val="00AF7F7B"/>
    <w:rsid w:val="00B000D8"/>
    <w:rsid w:val="00B00A39"/>
    <w:rsid w:val="00B03BA9"/>
    <w:rsid w:val="00B04AB3"/>
    <w:rsid w:val="00B057B8"/>
    <w:rsid w:val="00B11A3A"/>
    <w:rsid w:val="00B12112"/>
    <w:rsid w:val="00B125E7"/>
    <w:rsid w:val="00B1297B"/>
    <w:rsid w:val="00B15798"/>
    <w:rsid w:val="00B15A37"/>
    <w:rsid w:val="00B15B94"/>
    <w:rsid w:val="00B16FB0"/>
    <w:rsid w:val="00B1728D"/>
    <w:rsid w:val="00B20FB1"/>
    <w:rsid w:val="00B2206D"/>
    <w:rsid w:val="00B23384"/>
    <w:rsid w:val="00B23AF9"/>
    <w:rsid w:val="00B24483"/>
    <w:rsid w:val="00B252D9"/>
    <w:rsid w:val="00B2633F"/>
    <w:rsid w:val="00B27204"/>
    <w:rsid w:val="00B34745"/>
    <w:rsid w:val="00B35409"/>
    <w:rsid w:val="00B35F68"/>
    <w:rsid w:val="00B3685C"/>
    <w:rsid w:val="00B403BC"/>
    <w:rsid w:val="00B41A5C"/>
    <w:rsid w:val="00B41FD2"/>
    <w:rsid w:val="00B42FDE"/>
    <w:rsid w:val="00B45EDF"/>
    <w:rsid w:val="00B476ED"/>
    <w:rsid w:val="00B47C50"/>
    <w:rsid w:val="00B47F45"/>
    <w:rsid w:val="00B515C0"/>
    <w:rsid w:val="00B518C7"/>
    <w:rsid w:val="00B52A8D"/>
    <w:rsid w:val="00B52D49"/>
    <w:rsid w:val="00B57AFE"/>
    <w:rsid w:val="00B7087A"/>
    <w:rsid w:val="00B75B87"/>
    <w:rsid w:val="00B77005"/>
    <w:rsid w:val="00B77B93"/>
    <w:rsid w:val="00B77BBF"/>
    <w:rsid w:val="00B80E05"/>
    <w:rsid w:val="00B819BA"/>
    <w:rsid w:val="00B81EEC"/>
    <w:rsid w:val="00B85F5E"/>
    <w:rsid w:val="00B861AD"/>
    <w:rsid w:val="00B86FF2"/>
    <w:rsid w:val="00B873BB"/>
    <w:rsid w:val="00B90664"/>
    <w:rsid w:val="00B90685"/>
    <w:rsid w:val="00B913CB"/>
    <w:rsid w:val="00B91611"/>
    <w:rsid w:val="00B96F63"/>
    <w:rsid w:val="00BA077C"/>
    <w:rsid w:val="00BA19F8"/>
    <w:rsid w:val="00BA5598"/>
    <w:rsid w:val="00BA5BC6"/>
    <w:rsid w:val="00BA5C7F"/>
    <w:rsid w:val="00BB038D"/>
    <w:rsid w:val="00BB1530"/>
    <w:rsid w:val="00BB1EBE"/>
    <w:rsid w:val="00BB2125"/>
    <w:rsid w:val="00BB2AC5"/>
    <w:rsid w:val="00BB3B3B"/>
    <w:rsid w:val="00BB3CBE"/>
    <w:rsid w:val="00BB4C39"/>
    <w:rsid w:val="00BB5454"/>
    <w:rsid w:val="00BC2ED6"/>
    <w:rsid w:val="00BC3A34"/>
    <w:rsid w:val="00BC49BE"/>
    <w:rsid w:val="00BC5988"/>
    <w:rsid w:val="00BC5FB5"/>
    <w:rsid w:val="00BC73B0"/>
    <w:rsid w:val="00BD1623"/>
    <w:rsid w:val="00BE3075"/>
    <w:rsid w:val="00BE32D1"/>
    <w:rsid w:val="00BE32D8"/>
    <w:rsid w:val="00BE3741"/>
    <w:rsid w:val="00BE3843"/>
    <w:rsid w:val="00BE3CE6"/>
    <w:rsid w:val="00BE58A6"/>
    <w:rsid w:val="00BE5BAF"/>
    <w:rsid w:val="00BE6DF8"/>
    <w:rsid w:val="00BE7EDF"/>
    <w:rsid w:val="00BF4302"/>
    <w:rsid w:val="00BF6A39"/>
    <w:rsid w:val="00BF77CF"/>
    <w:rsid w:val="00C02048"/>
    <w:rsid w:val="00C02BEC"/>
    <w:rsid w:val="00C0307F"/>
    <w:rsid w:val="00C038A7"/>
    <w:rsid w:val="00C0649E"/>
    <w:rsid w:val="00C0711D"/>
    <w:rsid w:val="00C12311"/>
    <w:rsid w:val="00C12384"/>
    <w:rsid w:val="00C128D0"/>
    <w:rsid w:val="00C128DC"/>
    <w:rsid w:val="00C13120"/>
    <w:rsid w:val="00C166AB"/>
    <w:rsid w:val="00C17C00"/>
    <w:rsid w:val="00C221F9"/>
    <w:rsid w:val="00C2241B"/>
    <w:rsid w:val="00C2286E"/>
    <w:rsid w:val="00C23174"/>
    <w:rsid w:val="00C252D3"/>
    <w:rsid w:val="00C25DCF"/>
    <w:rsid w:val="00C26E97"/>
    <w:rsid w:val="00C2728B"/>
    <w:rsid w:val="00C27A25"/>
    <w:rsid w:val="00C3404B"/>
    <w:rsid w:val="00C35158"/>
    <w:rsid w:val="00C37E26"/>
    <w:rsid w:val="00C37F61"/>
    <w:rsid w:val="00C4069A"/>
    <w:rsid w:val="00C42035"/>
    <w:rsid w:val="00C421AC"/>
    <w:rsid w:val="00C46AB7"/>
    <w:rsid w:val="00C503CE"/>
    <w:rsid w:val="00C60255"/>
    <w:rsid w:val="00C614A6"/>
    <w:rsid w:val="00C624EF"/>
    <w:rsid w:val="00C6314A"/>
    <w:rsid w:val="00C67985"/>
    <w:rsid w:val="00C67CDE"/>
    <w:rsid w:val="00C67ECA"/>
    <w:rsid w:val="00C70F9E"/>
    <w:rsid w:val="00C71954"/>
    <w:rsid w:val="00C721CA"/>
    <w:rsid w:val="00C729A9"/>
    <w:rsid w:val="00C74C98"/>
    <w:rsid w:val="00C808E2"/>
    <w:rsid w:val="00C81983"/>
    <w:rsid w:val="00C827B6"/>
    <w:rsid w:val="00C83DCA"/>
    <w:rsid w:val="00C8616F"/>
    <w:rsid w:val="00C87A8B"/>
    <w:rsid w:val="00C96306"/>
    <w:rsid w:val="00C96933"/>
    <w:rsid w:val="00C96ADE"/>
    <w:rsid w:val="00CA06BA"/>
    <w:rsid w:val="00CA06F0"/>
    <w:rsid w:val="00CA0B68"/>
    <w:rsid w:val="00CA1A5B"/>
    <w:rsid w:val="00CA2AB4"/>
    <w:rsid w:val="00CA6611"/>
    <w:rsid w:val="00CA6B54"/>
    <w:rsid w:val="00CB117A"/>
    <w:rsid w:val="00CB34C3"/>
    <w:rsid w:val="00CB3D7C"/>
    <w:rsid w:val="00CC0F84"/>
    <w:rsid w:val="00CC3C26"/>
    <w:rsid w:val="00CC4A6B"/>
    <w:rsid w:val="00CC505A"/>
    <w:rsid w:val="00CC6CB6"/>
    <w:rsid w:val="00CC7792"/>
    <w:rsid w:val="00CC7A1E"/>
    <w:rsid w:val="00CD1128"/>
    <w:rsid w:val="00CD23B8"/>
    <w:rsid w:val="00CD2AC4"/>
    <w:rsid w:val="00CD58B8"/>
    <w:rsid w:val="00CD6E7A"/>
    <w:rsid w:val="00CD6F1B"/>
    <w:rsid w:val="00CD7124"/>
    <w:rsid w:val="00CE4462"/>
    <w:rsid w:val="00CE4ECF"/>
    <w:rsid w:val="00CE59A7"/>
    <w:rsid w:val="00CE623A"/>
    <w:rsid w:val="00CF3687"/>
    <w:rsid w:val="00D011C5"/>
    <w:rsid w:val="00D02532"/>
    <w:rsid w:val="00D0365D"/>
    <w:rsid w:val="00D041AB"/>
    <w:rsid w:val="00D04358"/>
    <w:rsid w:val="00D04FFB"/>
    <w:rsid w:val="00D06A53"/>
    <w:rsid w:val="00D101DD"/>
    <w:rsid w:val="00D128C8"/>
    <w:rsid w:val="00D15294"/>
    <w:rsid w:val="00D179E9"/>
    <w:rsid w:val="00D20A7D"/>
    <w:rsid w:val="00D2150D"/>
    <w:rsid w:val="00D22986"/>
    <w:rsid w:val="00D231EA"/>
    <w:rsid w:val="00D24AC4"/>
    <w:rsid w:val="00D2543E"/>
    <w:rsid w:val="00D2679C"/>
    <w:rsid w:val="00D33D39"/>
    <w:rsid w:val="00D3762C"/>
    <w:rsid w:val="00D37C2A"/>
    <w:rsid w:val="00D46AD0"/>
    <w:rsid w:val="00D52374"/>
    <w:rsid w:val="00D539B5"/>
    <w:rsid w:val="00D53C11"/>
    <w:rsid w:val="00D54A10"/>
    <w:rsid w:val="00D55D06"/>
    <w:rsid w:val="00D57C88"/>
    <w:rsid w:val="00D65BC8"/>
    <w:rsid w:val="00D6648E"/>
    <w:rsid w:val="00D70FA3"/>
    <w:rsid w:val="00D779A4"/>
    <w:rsid w:val="00D77FB3"/>
    <w:rsid w:val="00D816D1"/>
    <w:rsid w:val="00D81D0D"/>
    <w:rsid w:val="00D81E61"/>
    <w:rsid w:val="00D82D06"/>
    <w:rsid w:val="00D83022"/>
    <w:rsid w:val="00D8319E"/>
    <w:rsid w:val="00D83B1E"/>
    <w:rsid w:val="00D8412C"/>
    <w:rsid w:val="00D84FF2"/>
    <w:rsid w:val="00D94018"/>
    <w:rsid w:val="00D942D4"/>
    <w:rsid w:val="00D94A07"/>
    <w:rsid w:val="00D97E8B"/>
    <w:rsid w:val="00D97F09"/>
    <w:rsid w:val="00DA06BD"/>
    <w:rsid w:val="00DA2952"/>
    <w:rsid w:val="00DB15DC"/>
    <w:rsid w:val="00DB2497"/>
    <w:rsid w:val="00DB6FE7"/>
    <w:rsid w:val="00DB7D5A"/>
    <w:rsid w:val="00DB7F58"/>
    <w:rsid w:val="00DC10B8"/>
    <w:rsid w:val="00DC3509"/>
    <w:rsid w:val="00DC5101"/>
    <w:rsid w:val="00DC518E"/>
    <w:rsid w:val="00DC71D8"/>
    <w:rsid w:val="00DD07DC"/>
    <w:rsid w:val="00DD32F9"/>
    <w:rsid w:val="00DD550D"/>
    <w:rsid w:val="00DD6A9D"/>
    <w:rsid w:val="00DD6EF9"/>
    <w:rsid w:val="00DE08CB"/>
    <w:rsid w:val="00DE2117"/>
    <w:rsid w:val="00DE4C0E"/>
    <w:rsid w:val="00DE5433"/>
    <w:rsid w:val="00DE5DF9"/>
    <w:rsid w:val="00DE69D0"/>
    <w:rsid w:val="00DF0AFB"/>
    <w:rsid w:val="00DF2992"/>
    <w:rsid w:val="00E0046C"/>
    <w:rsid w:val="00E0394B"/>
    <w:rsid w:val="00E03ADA"/>
    <w:rsid w:val="00E04F97"/>
    <w:rsid w:val="00E05161"/>
    <w:rsid w:val="00E105C8"/>
    <w:rsid w:val="00E109C4"/>
    <w:rsid w:val="00E12475"/>
    <w:rsid w:val="00E155B3"/>
    <w:rsid w:val="00E15BA7"/>
    <w:rsid w:val="00E16158"/>
    <w:rsid w:val="00E162D2"/>
    <w:rsid w:val="00E216C4"/>
    <w:rsid w:val="00E24E45"/>
    <w:rsid w:val="00E25F77"/>
    <w:rsid w:val="00E26A01"/>
    <w:rsid w:val="00E30785"/>
    <w:rsid w:val="00E3409F"/>
    <w:rsid w:val="00E340DA"/>
    <w:rsid w:val="00E34FC7"/>
    <w:rsid w:val="00E364F5"/>
    <w:rsid w:val="00E36791"/>
    <w:rsid w:val="00E44F42"/>
    <w:rsid w:val="00E515FB"/>
    <w:rsid w:val="00E53090"/>
    <w:rsid w:val="00E56321"/>
    <w:rsid w:val="00E6030A"/>
    <w:rsid w:val="00E60346"/>
    <w:rsid w:val="00E60352"/>
    <w:rsid w:val="00E62858"/>
    <w:rsid w:val="00E62AB4"/>
    <w:rsid w:val="00E63AEF"/>
    <w:rsid w:val="00E645BA"/>
    <w:rsid w:val="00E645DC"/>
    <w:rsid w:val="00E654E4"/>
    <w:rsid w:val="00E6600C"/>
    <w:rsid w:val="00E6645F"/>
    <w:rsid w:val="00E666B9"/>
    <w:rsid w:val="00E674E7"/>
    <w:rsid w:val="00E677CC"/>
    <w:rsid w:val="00E70775"/>
    <w:rsid w:val="00E71F5B"/>
    <w:rsid w:val="00E750CF"/>
    <w:rsid w:val="00E7679B"/>
    <w:rsid w:val="00E76C12"/>
    <w:rsid w:val="00E779FA"/>
    <w:rsid w:val="00E81AA1"/>
    <w:rsid w:val="00E84EAC"/>
    <w:rsid w:val="00E85807"/>
    <w:rsid w:val="00E86958"/>
    <w:rsid w:val="00E86B61"/>
    <w:rsid w:val="00E92963"/>
    <w:rsid w:val="00E94C67"/>
    <w:rsid w:val="00E95A3F"/>
    <w:rsid w:val="00EA0AB6"/>
    <w:rsid w:val="00EA6725"/>
    <w:rsid w:val="00EA6A9F"/>
    <w:rsid w:val="00EA7938"/>
    <w:rsid w:val="00EB1AB9"/>
    <w:rsid w:val="00EB33CC"/>
    <w:rsid w:val="00EB38F8"/>
    <w:rsid w:val="00EB3AE8"/>
    <w:rsid w:val="00EB436D"/>
    <w:rsid w:val="00EB5282"/>
    <w:rsid w:val="00EB6328"/>
    <w:rsid w:val="00EB6ACF"/>
    <w:rsid w:val="00EB6C3D"/>
    <w:rsid w:val="00EC0AA2"/>
    <w:rsid w:val="00EC0EA7"/>
    <w:rsid w:val="00EC20E9"/>
    <w:rsid w:val="00EC4475"/>
    <w:rsid w:val="00EC4987"/>
    <w:rsid w:val="00EC757E"/>
    <w:rsid w:val="00EC761A"/>
    <w:rsid w:val="00ED010E"/>
    <w:rsid w:val="00ED0ECD"/>
    <w:rsid w:val="00ED7DFC"/>
    <w:rsid w:val="00EE09A6"/>
    <w:rsid w:val="00EE1F52"/>
    <w:rsid w:val="00EE5654"/>
    <w:rsid w:val="00EE64A2"/>
    <w:rsid w:val="00EE6830"/>
    <w:rsid w:val="00EE6C04"/>
    <w:rsid w:val="00EF3735"/>
    <w:rsid w:val="00EF3C76"/>
    <w:rsid w:val="00EF422F"/>
    <w:rsid w:val="00EF60AC"/>
    <w:rsid w:val="00EF73C0"/>
    <w:rsid w:val="00F017C2"/>
    <w:rsid w:val="00F02424"/>
    <w:rsid w:val="00F05082"/>
    <w:rsid w:val="00F05CD6"/>
    <w:rsid w:val="00F05D21"/>
    <w:rsid w:val="00F15E04"/>
    <w:rsid w:val="00F22C5D"/>
    <w:rsid w:val="00F24731"/>
    <w:rsid w:val="00F24CAF"/>
    <w:rsid w:val="00F24CF0"/>
    <w:rsid w:val="00F24D00"/>
    <w:rsid w:val="00F27ABF"/>
    <w:rsid w:val="00F317E6"/>
    <w:rsid w:val="00F328C9"/>
    <w:rsid w:val="00F32E97"/>
    <w:rsid w:val="00F34038"/>
    <w:rsid w:val="00F3465B"/>
    <w:rsid w:val="00F374A2"/>
    <w:rsid w:val="00F37904"/>
    <w:rsid w:val="00F41130"/>
    <w:rsid w:val="00F413AE"/>
    <w:rsid w:val="00F43033"/>
    <w:rsid w:val="00F43BE1"/>
    <w:rsid w:val="00F46A31"/>
    <w:rsid w:val="00F47CDF"/>
    <w:rsid w:val="00F50B76"/>
    <w:rsid w:val="00F51571"/>
    <w:rsid w:val="00F53FE0"/>
    <w:rsid w:val="00F54078"/>
    <w:rsid w:val="00F540C3"/>
    <w:rsid w:val="00F54F8B"/>
    <w:rsid w:val="00F57B12"/>
    <w:rsid w:val="00F635F9"/>
    <w:rsid w:val="00F67CF2"/>
    <w:rsid w:val="00F7014D"/>
    <w:rsid w:val="00F7271F"/>
    <w:rsid w:val="00F750B3"/>
    <w:rsid w:val="00F76084"/>
    <w:rsid w:val="00F80888"/>
    <w:rsid w:val="00F81488"/>
    <w:rsid w:val="00F842DE"/>
    <w:rsid w:val="00F8546E"/>
    <w:rsid w:val="00F85E89"/>
    <w:rsid w:val="00F86488"/>
    <w:rsid w:val="00F87D6E"/>
    <w:rsid w:val="00F90769"/>
    <w:rsid w:val="00F91E36"/>
    <w:rsid w:val="00F920F7"/>
    <w:rsid w:val="00F9368F"/>
    <w:rsid w:val="00F93E5B"/>
    <w:rsid w:val="00F9570D"/>
    <w:rsid w:val="00F960FD"/>
    <w:rsid w:val="00F977F9"/>
    <w:rsid w:val="00F97901"/>
    <w:rsid w:val="00F97A70"/>
    <w:rsid w:val="00FA115B"/>
    <w:rsid w:val="00FA46D7"/>
    <w:rsid w:val="00FA633A"/>
    <w:rsid w:val="00FA7C38"/>
    <w:rsid w:val="00FB1D49"/>
    <w:rsid w:val="00FB3DB5"/>
    <w:rsid w:val="00FB4A22"/>
    <w:rsid w:val="00FB4A8B"/>
    <w:rsid w:val="00FB644D"/>
    <w:rsid w:val="00FC4427"/>
    <w:rsid w:val="00FC7D6D"/>
    <w:rsid w:val="00FD2E64"/>
    <w:rsid w:val="00FD3DB1"/>
    <w:rsid w:val="00FD538B"/>
    <w:rsid w:val="00FD5484"/>
    <w:rsid w:val="00FD5C0C"/>
    <w:rsid w:val="00FD6871"/>
    <w:rsid w:val="00FE089D"/>
    <w:rsid w:val="00FE0C0A"/>
    <w:rsid w:val="00FE2CDE"/>
    <w:rsid w:val="00FE33CC"/>
    <w:rsid w:val="00FE41EB"/>
    <w:rsid w:val="00FE4545"/>
    <w:rsid w:val="00FE7DB6"/>
    <w:rsid w:val="00FE7EEA"/>
    <w:rsid w:val="00FF1F0D"/>
    <w:rsid w:val="00FF2E33"/>
    <w:rsid w:val="00FF46ED"/>
    <w:rsid w:val="00FF6243"/>
    <w:rsid w:val="00FF64B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06"/>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link w:val="Heading1Char"/>
    <w:qFormat/>
    <w:rsid w:val="007B1DFC"/>
    <w:pPr>
      <w:spacing w:before="100" w:beforeAutospacing="1" w:after="100" w:afterAutospacing="1"/>
      <w:jc w:val="left"/>
      <w:outlineLvl w:val="0"/>
    </w:pPr>
    <w:rPr>
      <w:b/>
      <w:bCs/>
      <w:noProof w:val="0"/>
      <w:kern w:val="36"/>
      <w:sz w:val="48"/>
      <w:szCs w:val="48"/>
    </w:rPr>
  </w:style>
  <w:style w:type="paragraph" w:styleId="Heading2">
    <w:name w:val="heading 2"/>
    <w:basedOn w:val="Normal"/>
    <w:next w:val="Normal"/>
    <w:link w:val="Heading2Char"/>
    <w:unhideWhenUsed/>
    <w:qFormat/>
    <w:rsid w:val="00E109C4"/>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Heading3Char"/>
    <w:qFormat/>
    <w:rsid w:val="009E362C"/>
    <w:pPr>
      <w:keepNext/>
      <w:spacing w:before="240" w:after="60"/>
      <w:jc w:val="left"/>
      <w:outlineLvl w:val="2"/>
    </w:pPr>
    <w:rPr>
      <w:rFonts w:ascii="Arial" w:hAnsi="Arial"/>
      <w:b/>
      <w:bCs/>
      <w:noProof w:val="0"/>
      <w:sz w:val="26"/>
      <w:szCs w:val="26"/>
    </w:rPr>
  </w:style>
  <w:style w:type="character" w:default="1" w:styleId="DefaultParagraphFont">
    <w:name w:val="Default Paragraph Font"/>
    <w:aliases w:val="Char Char1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7B1DFC"/>
    <w:rPr>
      <w:rFonts w:cs="Times New Roman"/>
      <w:b/>
      <w:bCs/>
      <w:kern w:val="36"/>
      <w:sz w:val="48"/>
      <w:szCs w:val="48"/>
      <w:rtl w:val="0"/>
      <w:cs w:val="0"/>
    </w:rPr>
  </w:style>
  <w:style w:type="character" w:customStyle="1" w:styleId="Heading2Char">
    <w:name w:val="Heading 2 Char"/>
    <w:basedOn w:val="DefaultParagraphFont"/>
    <w:link w:val="Heading2"/>
    <w:locked/>
    <w:rsid w:val="00E109C4"/>
    <w:rPr>
      <w:rFonts w:ascii="Cambria" w:hAnsi="Cambria" w:cs="Times New Roman"/>
      <w:b/>
      <w:bCs/>
      <w:i/>
      <w:iCs/>
      <w:noProof/>
      <w:sz w:val="28"/>
      <w:szCs w:val="28"/>
      <w:rtl w:val="0"/>
      <w:cs w:val="0"/>
    </w:rPr>
  </w:style>
  <w:style w:type="character" w:customStyle="1" w:styleId="Heading3Char">
    <w:name w:val="Heading 3 Char"/>
    <w:basedOn w:val="DefaultParagraphFont"/>
    <w:link w:val="Heading3"/>
    <w:locked/>
    <w:rsid w:val="009E362C"/>
    <w:rPr>
      <w:rFonts w:ascii="Arial" w:hAnsi="Arial" w:cs="Times New Roman"/>
      <w:b/>
      <w:bCs/>
      <w:sz w:val="26"/>
      <w:szCs w:val="26"/>
      <w:rtl w:val="0"/>
      <w:cs w:val="0"/>
    </w:rPr>
  </w:style>
  <w:style w:type="table" w:styleId="TableGrid">
    <w:name w:val="Table Grid"/>
    <w:basedOn w:val="TableNormal"/>
    <w:rsid w:val="00BE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Char Char1 Char Char Char"/>
    <w:basedOn w:val="Normal"/>
    <w:rsid w:val="005B3632"/>
    <w:pPr>
      <w:spacing w:after="160" w:line="240" w:lineRule="exact"/>
      <w:jc w:val="left"/>
    </w:pPr>
    <w:rPr>
      <w:rFonts w:ascii="Tahoma" w:hAnsi="Tahoma" w:cs="Tahoma"/>
      <w:noProof w:val="0"/>
      <w:sz w:val="20"/>
      <w:szCs w:val="20"/>
      <w:lang w:val="en-US" w:eastAsia="en-US"/>
    </w:rPr>
  </w:style>
  <w:style w:type="paragraph" w:styleId="Footer">
    <w:name w:val="footer"/>
    <w:basedOn w:val="Normal"/>
    <w:link w:val="FooterChar"/>
    <w:uiPriority w:val="99"/>
    <w:rsid w:val="004C2085"/>
    <w:pPr>
      <w:tabs>
        <w:tab w:val="center" w:pos="4536"/>
        <w:tab w:val="right" w:pos="9072"/>
      </w:tabs>
      <w:jc w:val="left"/>
    </w:pPr>
  </w:style>
  <w:style w:type="character" w:customStyle="1" w:styleId="FooterChar">
    <w:name w:val="Footer Char"/>
    <w:basedOn w:val="DefaultParagraphFont"/>
    <w:link w:val="Footer"/>
    <w:uiPriority w:val="99"/>
    <w:locked/>
    <w:rsid w:val="009E362C"/>
    <w:rPr>
      <w:rFonts w:cs="Times New Roman"/>
      <w:noProof/>
      <w:sz w:val="24"/>
      <w:szCs w:val="24"/>
      <w:rtl w:val="0"/>
      <w:cs w:val="0"/>
    </w:rPr>
  </w:style>
  <w:style w:type="character" w:styleId="PageNumber">
    <w:name w:val="page number"/>
    <w:basedOn w:val="DefaultParagraphFont"/>
    <w:rsid w:val="004C2085"/>
    <w:rPr>
      <w:rFonts w:cs="Times New Roman"/>
      <w:rtl w:val="0"/>
      <w:cs w:val="0"/>
    </w:rPr>
  </w:style>
  <w:style w:type="paragraph" w:styleId="DocumentMap">
    <w:name w:val="Document Map"/>
    <w:basedOn w:val="Normal"/>
    <w:semiHidden/>
    <w:rsid w:val="00781DFC"/>
    <w:pPr>
      <w:shd w:val="clear" w:color="auto" w:fill="000080"/>
      <w:jc w:val="left"/>
    </w:pPr>
    <w:rPr>
      <w:rFonts w:ascii="Tahoma" w:hAnsi="Tahoma" w:cs="Tahoma"/>
    </w:rPr>
  </w:style>
  <w:style w:type="paragraph" w:styleId="Header">
    <w:name w:val="header"/>
    <w:basedOn w:val="Normal"/>
    <w:link w:val="HeaderChar"/>
    <w:rsid w:val="00A154E4"/>
    <w:pPr>
      <w:tabs>
        <w:tab w:val="center" w:pos="4536"/>
        <w:tab w:val="right" w:pos="9072"/>
      </w:tabs>
      <w:jc w:val="left"/>
    </w:pPr>
  </w:style>
  <w:style w:type="character" w:customStyle="1" w:styleId="HeaderChar">
    <w:name w:val="Header Char"/>
    <w:basedOn w:val="DefaultParagraphFont"/>
    <w:link w:val="Header"/>
    <w:locked/>
    <w:rsid w:val="009E362C"/>
    <w:rPr>
      <w:rFonts w:cs="Times New Roman"/>
      <w:noProof/>
      <w:sz w:val="24"/>
      <w:szCs w:val="24"/>
      <w:rtl w:val="0"/>
      <w:cs w:val="0"/>
    </w:rPr>
  </w:style>
  <w:style w:type="paragraph" w:customStyle="1" w:styleId="CharCharCharCharChar1CharCharChar">
    <w:name w:val="Char Char Char Char Char1 Char Char Char"/>
    <w:basedOn w:val="Normal"/>
    <w:rsid w:val="00BA19F8"/>
    <w:pPr>
      <w:spacing w:after="160" w:line="240" w:lineRule="exact"/>
      <w:jc w:val="left"/>
    </w:pPr>
    <w:rPr>
      <w:rFonts w:ascii="Tahoma" w:hAnsi="Tahoma" w:cs="Tahoma"/>
      <w:noProof w:val="0"/>
      <w:sz w:val="20"/>
      <w:szCs w:val="20"/>
      <w:lang w:val="en-US" w:eastAsia="en-US"/>
    </w:rPr>
  </w:style>
  <w:style w:type="paragraph" w:customStyle="1" w:styleId="CharChar">
    <w:name w:val="Char Char"/>
    <w:basedOn w:val="Normal"/>
    <w:rsid w:val="00984131"/>
    <w:pPr>
      <w:spacing w:after="160" w:line="240" w:lineRule="exact"/>
      <w:jc w:val="left"/>
    </w:pPr>
    <w:rPr>
      <w:rFonts w:ascii="Tahoma" w:hAnsi="Tahoma" w:cs="Tahoma"/>
      <w:noProof w:val="0"/>
      <w:sz w:val="20"/>
      <w:szCs w:val="20"/>
      <w:lang w:val="en-US" w:eastAsia="en-US"/>
    </w:rPr>
  </w:style>
  <w:style w:type="paragraph" w:styleId="BodyText">
    <w:name w:val="Body Text"/>
    <w:basedOn w:val="Normal"/>
    <w:link w:val="BodyTextChar"/>
    <w:rsid w:val="00386AA0"/>
    <w:pPr>
      <w:spacing w:after="120"/>
      <w:jc w:val="both"/>
    </w:pPr>
    <w:rPr>
      <w:noProof w:val="0"/>
      <w:lang w:eastAsia="cs-CZ"/>
    </w:rPr>
  </w:style>
  <w:style w:type="character" w:customStyle="1" w:styleId="BodyTextChar">
    <w:name w:val="Body Text Char"/>
    <w:basedOn w:val="DefaultParagraphFont"/>
    <w:link w:val="BodyText"/>
    <w:locked/>
    <w:rsid w:val="009E362C"/>
    <w:rPr>
      <w:rFonts w:cs="Times New Roman"/>
      <w:sz w:val="24"/>
      <w:szCs w:val="24"/>
      <w:rtl w:val="0"/>
      <w:cs w:val="0"/>
      <w:lang w:val="x-none" w:eastAsia="cs-CZ"/>
    </w:rPr>
  </w:style>
  <w:style w:type="paragraph" w:customStyle="1" w:styleId="bodytext0">
    <w:name w:val="bodytext"/>
    <w:basedOn w:val="Normal"/>
    <w:rsid w:val="003B13FD"/>
    <w:pPr>
      <w:spacing w:before="100" w:beforeAutospacing="1" w:after="100" w:afterAutospacing="1"/>
      <w:jc w:val="left"/>
    </w:pPr>
    <w:rPr>
      <w:noProof w:val="0"/>
    </w:rPr>
  </w:style>
  <w:style w:type="paragraph" w:customStyle="1" w:styleId="CharCharChar">
    <w:name w:val="Char Char Char"/>
    <w:basedOn w:val="Normal"/>
    <w:rsid w:val="00425854"/>
    <w:pPr>
      <w:spacing w:after="160" w:line="240" w:lineRule="exact"/>
      <w:jc w:val="left"/>
    </w:pPr>
    <w:rPr>
      <w:rFonts w:ascii="Tahoma" w:hAnsi="Tahoma" w:cs="Tahoma"/>
      <w:noProof w:val="0"/>
      <w:sz w:val="20"/>
      <w:szCs w:val="20"/>
      <w:lang w:val="en-US" w:eastAsia="en-US"/>
    </w:rPr>
  </w:style>
  <w:style w:type="paragraph" w:styleId="BodyText2">
    <w:name w:val="Body Text 2"/>
    <w:basedOn w:val="Normal"/>
    <w:link w:val="BodyText2Char"/>
    <w:unhideWhenUsed/>
    <w:rsid w:val="00D94018"/>
    <w:pPr>
      <w:spacing w:after="120" w:line="480" w:lineRule="auto"/>
      <w:jc w:val="left"/>
    </w:pPr>
    <w:rPr>
      <w:noProof w:val="0"/>
    </w:rPr>
  </w:style>
  <w:style w:type="character" w:customStyle="1" w:styleId="BodyText2Char">
    <w:name w:val="Body Text 2 Char"/>
    <w:basedOn w:val="DefaultParagraphFont"/>
    <w:link w:val="BodyText2"/>
    <w:locked/>
    <w:rsid w:val="00D94018"/>
    <w:rPr>
      <w:rFonts w:cs="Times New Roman"/>
      <w:sz w:val="24"/>
      <w:szCs w:val="24"/>
      <w:rtl w:val="0"/>
      <w:cs w:val="0"/>
    </w:rPr>
  </w:style>
  <w:style w:type="paragraph" w:styleId="BodyTextIndent2">
    <w:name w:val="Body Text Indent 2"/>
    <w:basedOn w:val="Normal"/>
    <w:link w:val="BodyTextIndent2Char"/>
    <w:unhideWhenUsed/>
    <w:rsid w:val="00D94018"/>
    <w:pPr>
      <w:spacing w:after="120" w:line="480" w:lineRule="auto"/>
      <w:ind w:left="283"/>
      <w:jc w:val="left"/>
    </w:pPr>
    <w:rPr>
      <w:noProof w:val="0"/>
    </w:rPr>
  </w:style>
  <w:style w:type="character" w:customStyle="1" w:styleId="BodyTextIndent2Char">
    <w:name w:val="Body Text Indent 2 Char"/>
    <w:basedOn w:val="DefaultParagraphFont"/>
    <w:link w:val="BodyTextIndent2"/>
    <w:locked/>
    <w:rsid w:val="00D94018"/>
    <w:rPr>
      <w:rFonts w:cs="Times New Roman"/>
      <w:sz w:val="24"/>
      <w:szCs w:val="24"/>
      <w:rtl w:val="0"/>
      <w:cs w:val="0"/>
    </w:rPr>
  </w:style>
  <w:style w:type="paragraph" w:styleId="ListParagraph">
    <w:name w:val="List Paragraph"/>
    <w:basedOn w:val="Normal"/>
    <w:uiPriority w:val="34"/>
    <w:qFormat/>
    <w:rsid w:val="00FA46D7"/>
    <w:pPr>
      <w:ind w:left="720"/>
      <w:jc w:val="left"/>
    </w:pPr>
    <w:rPr>
      <w:rFonts w:ascii="Calibri" w:eastAsia="Calibri" w:hAnsi="Calibri"/>
      <w:noProof w:val="0"/>
      <w:sz w:val="22"/>
      <w:szCs w:val="22"/>
    </w:rPr>
  </w:style>
  <w:style w:type="paragraph" w:customStyle="1" w:styleId="Default">
    <w:name w:val="Default"/>
    <w:rsid w:val="00FA46D7"/>
    <w:pPr>
      <w:framePr w:wrap="auto"/>
      <w:widowControl/>
      <w:autoSpaceDE w:val="0"/>
      <w:autoSpaceDN w:val="0"/>
      <w:adjustRightInd w:val="0"/>
      <w:ind w:left="0" w:right="0"/>
      <w:jc w:val="left"/>
      <w:textAlignment w:val="auto"/>
    </w:pPr>
    <w:rPr>
      <w:rFonts w:ascii="Arial" w:eastAsia="Calibri" w:hAnsi="Arial" w:cs="Arial"/>
      <w:color w:val="000000"/>
      <w:sz w:val="24"/>
      <w:szCs w:val="24"/>
      <w:rtl w:val="0"/>
      <w:cs w:val="0"/>
      <w:lang w:val="sk-SK" w:eastAsia="sk-SK" w:bidi="ar-SA"/>
    </w:rPr>
  </w:style>
  <w:style w:type="paragraph" w:styleId="NormalWeb">
    <w:name w:val="Normal (Web)"/>
    <w:basedOn w:val="Normal"/>
    <w:uiPriority w:val="99"/>
    <w:unhideWhenUsed/>
    <w:rsid w:val="00E109C4"/>
    <w:pPr>
      <w:spacing w:before="100" w:beforeAutospacing="1" w:after="100" w:afterAutospacing="1"/>
      <w:jc w:val="left"/>
    </w:pPr>
    <w:rPr>
      <w:noProof w:val="0"/>
    </w:rPr>
  </w:style>
  <w:style w:type="character" w:customStyle="1" w:styleId="FootnoteTextChar">
    <w:name w:val="Footnote Text Char"/>
    <w:aliases w:val="Footnote Text Char Char1 Char Char Char Char Char,Footnote Text Char1 Char Char,Footnote Text Char1 Char Char Char Char,Footnote Text Char2 Char,Footnote Text Char2 Char Char Char,Footnote Text Char2 Char Char Char Char Char"/>
    <w:basedOn w:val="DefaultParagraphFont"/>
    <w:link w:val="FootnoteText"/>
    <w:uiPriority w:val="99"/>
    <w:semiHidden/>
    <w:locked/>
    <w:rsid w:val="009E362C"/>
    <w:rPr>
      <w:rFonts w:cs="Times New Roman"/>
      <w:sz w:val="24"/>
      <w:szCs w:val="24"/>
      <w:rtl w:val="0"/>
      <w:cs w:val="0"/>
      <w:lang w:val="x-none" w:eastAsia="cs-CZ"/>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FootnoteTextChar"/>
    <w:uiPriority w:val="99"/>
    <w:semiHidden/>
    <w:rsid w:val="009E362C"/>
    <w:pPr>
      <w:jc w:val="left"/>
    </w:pPr>
    <w:rPr>
      <w:noProof w:val="0"/>
      <w:lang w:eastAsia="cs-CZ"/>
    </w:rPr>
  </w:style>
  <w:style w:type="paragraph" w:customStyle="1" w:styleId="Texttabulky">
    <w:name w:val="Text tabulky"/>
    <w:rsid w:val="009E362C"/>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customStyle="1" w:styleId="BalloonTextChar">
    <w:name w:val="Balloon Text Char"/>
    <w:basedOn w:val="DefaultParagraphFont"/>
    <w:link w:val="BalloonText"/>
    <w:semiHidden/>
    <w:locked/>
    <w:rsid w:val="009E362C"/>
    <w:rPr>
      <w:rFonts w:ascii="Tahoma" w:hAnsi="Tahoma" w:cs="Times New Roman"/>
      <w:sz w:val="16"/>
      <w:szCs w:val="16"/>
      <w:rtl w:val="0"/>
      <w:cs w:val="0"/>
    </w:rPr>
  </w:style>
  <w:style w:type="paragraph" w:styleId="BalloonText">
    <w:name w:val="Balloon Text"/>
    <w:basedOn w:val="Normal"/>
    <w:link w:val="BalloonTextChar"/>
    <w:semiHidden/>
    <w:rsid w:val="009E362C"/>
    <w:pPr>
      <w:jc w:val="left"/>
    </w:pPr>
    <w:rPr>
      <w:rFonts w:ascii="Tahoma" w:hAnsi="Tahoma"/>
      <w:noProof w:val="0"/>
      <w:sz w:val="16"/>
      <w:szCs w:val="16"/>
    </w:rPr>
  </w:style>
  <w:style w:type="character" w:styleId="CommentReference">
    <w:name w:val="annotation reference"/>
    <w:rsid w:val="009E362C"/>
    <w:rPr>
      <w:sz w:val="16"/>
    </w:rPr>
  </w:style>
  <w:style w:type="paragraph" w:styleId="CommentText">
    <w:name w:val="annotation text"/>
    <w:basedOn w:val="Normal"/>
    <w:link w:val="CommentTextChar"/>
    <w:rsid w:val="009E362C"/>
    <w:pPr>
      <w:jc w:val="left"/>
    </w:pPr>
    <w:rPr>
      <w:noProof w:val="0"/>
      <w:sz w:val="20"/>
      <w:szCs w:val="20"/>
    </w:rPr>
  </w:style>
  <w:style w:type="character" w:customStyle="1" w:styleId="CommentTextChar">
    <w:name w:val="Comment Text Char"/>
    <w:basedOn w:val="DefaultParagraphFont"/>
    <w:link w:val="CommentText"/>
    <w:locked/>
    <w:rsid w:val="009E362C"/>
    <w:rPr>
      <w:rFonts w:cs="Times New Roman"/>
      <w:rtl w:val="0"/>
      <w:cs w:val="0"/>
    </w:rPr>
  </w:style>
  <w:style w:type="paragraph" w:styleId="CommentSubject">
    <w:name w:val="annotation subject"/>
    <w:basedOn w:val="CommentText"/>
    <w:next w:val="CommentText"/>
    <w:link w:val="CommentSubjectChar"/>
    <w:rsid w:val="009E362C"/>
    <w:pPr>
      <w:jc w:val="left"/>
    </w:pPr>
    <w:rPr>
      <w:b/>
      <w:bCs/>
      <w:noProof w:val="0"/>
    </w:rPr>
  </w:style>
  <w:style w:type="character" w:customStyle="1" w:styleId="CommentSubjectChar">
    <w:name w:val="Comment Subject Char"/>
    <w:basedOn w:val="CommentTextChar"/>
    <w:link w:val="CommentSubject"/>
    <w:locked/>
    <w:rsid w:val="009E362C"/>
    <w:rPr>
      <w:b/>
      <w:bCs/>
    </w:rPr>
  </w:style>
  <w:style w:type="paragraph" w:customStyle="1" w:styleId="tlCharCharCharCharCharChar1">
    <w:name w:val="Štýl Char Char Char Char Char Char1"/>
    <w:basedOn w:val="Normal"/>
    <w:rsid w:val="009E362C"/>
    <w:pPr>
      <w:spacing w:after="160" w:line="240" w:lineRule="exact"/>
      <w:jc w:val="left"/>
    </w:pPr>
    <w:rPr>
      <w:rFonts w:ascii="Tahoma" w:hAnsi="Tahoma" w:cs="Tahoma"/>
      <w:noProof w:val="0"/>
      <w:sz w:val="20"/>
      <w:szCs w:val="20"/>
      <w:lang w:val="en-US" w:eastAsia="en-US"/>
    </w:rPr>
  </w:style>
  <w:style w:type="paragraph" w:styleId="TOC1">
    <w:name w:val="toc 1"/>
    <w:basedOn w:val="Normal"/>
    <w:next w:val="Normal"/>
    <w:autoRedefine/>
    <w:rsid w:val="009E362C"/>
    <w:pPr>
      <w:jc w:val="left"/>
    </w:pPr>
    <w:rPr>
      <w:noProof w:val="0"/>
    </w:rPr>
  </w:style>
  <w:style w:type="paragraph" w:styleId="TOC3">
    <w:name w:val="toc 3"/>
    <w:basedOn w:val="Normal"/>
    <w:next w:val="Normal"/>
    <w:autoRedefine/>
    <w:rsid w:val="009E362C"/>
    <w:pPr>
      <w:ind w:left="480"/>
      <w:jc w:val="left"/>
    </w:pPr>
    <w:rPr>
      <w:noProof w:val="0"/>
    </w:rPr>
  </w:style>
  <w:style w:type="character" w:styleId="Hyperlink">
    <w:name w:val="Hyperlink"/>
    <w:rsid w:val="009E362C"/>
    <w:rPr>
      <w:color w:val="0000FF"/>
      <w:u w:val="single"/>
    </w:rPr>
  </w:style>
  <w:style w:type="paragraph" w:customStyle="1" w:styleId="CharChar1">
    <w:name w:val="Char Char1"/>
    <w:basedOn w:val="Normal"/>
    <w:rsid w:val="009E362C"/>
    <w:pPr>
      <w:spacing w:after="160" w:line="240" w:lineRule="exact"/>
      <w:jc w:val="left"/>
    </w:pPr>
    <w:rPr>
      <w:rFonts w:ascii="Tahoma" w:hAnsi="Tahoma"/>
      <w:noProof w:val="0"/>
      <w:sz w:val="20"/>
      <w:szCs w:val="20"/>
      <w:lang w:eastAsia="en-US"/>
    </w:rPr>
  </w:style>
  <w:style w:type="paragraph" w:customStyle="1" w:styleId="tlCharCharCharCharCharChar">
    <w:name w:val="Štýl Char Char Char Char Char Char"/>
    <w:basedOn w:val="Normal"/>
    <w:rsid w:val="009E362C"/>
    <w:pPr>
      <w:spacing w:after="160" w:line="240" w:lineRule="exact"/>
      <w:jc w:val="left"/>
    </w:pPr>
    <w:rPr>
      <w:rFonts w:ascii="Tahoma" w:hAnsi="Tahoma" w:cs="Tahoma"/>
      <w:noProof w:val="0"/>
      <w:sz w:val="20"/>
      <w:szCs w:val="20"/>
      <w:lang w:val="en-US" w:eastAsia="en-US"/>
    </w:rPr>
  </w:style>
  <w:style w:type="paragraph" w:customStyle="1" w:styleId="CharCharCharCharChar">
    <w:name w:val="Char Char Char Char Char"/>
    <w:basedOn w:val="Normal"/>
    <w:rsid w:val="009E362C"/>
    <w:pPr>
      <w:spacing w:after="160" w:line="240" w:lineRule="exact"/>
      <w:jc w:val="left"/>
    </w:pPr>
    <w:rPr>
      <w:rFonts w:ascii="Arial Narrow" w:hAnsi="Arial Narrow"/>
      <w:noProof w:val="0"/>
      <w:sz w:val="22"/>
      <w:szCs w:val="20"/>
      <w:lang w:val="en-US" w:eastAsia="en-US"/>
    </w:rPr>
  </w:style>
  <w:style w:type="paragraph" w:customStyle="1" w:styleId="tlCharCharCharChar">
    <w:name w:val="Štýl Char Char Char Char"/>
    <w:basedOn w:val="Normal"/>
    <w:rsid w:val="009E362C"/>
    <w:pPr>
      <w:spacing w:after="160" w:line="240" w:lineRule="exact"/>
      <w:jc w:val="left"/>
    </w:pPr>
    <w:rPr>
      <w:rFonts w:ascii="Tahoma" w:hAnsi="Tahoma" w:cs="Tahoma"/>
      <w:noProof w:val="0"/>
      <w:sz w:val="20"/>
      <w:szCs w:val="20"/>
      <w:lang w:val="en-US" w:eastAsia="en-U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9E362C"/>
    <w:pPr>
      <w:spacing w:after="160" w:line="240" w:lineRule="exact"/>
      <w:jc w:val="left"/>
    </w:pPr>
    <w:rPr>
      <w:rFonts w:ascii="Tahoma" w:hAnsi="Tahoma"/>
      <w:noProof w:val="0"/>
      <w:sz w:val="20"/>
      <w:szCs w:val="20"/>
      <w:lang w:val="en-US" w:eastAsia="en-US"/>
    </w:rPr>
  </w:style>
  <w:style w:type="paragraph" w:customStyle="1" w:styleId="tl3">
    <w:name w:val="Štýl3"/>
    <w:basedOn w:val="Heading3"/>
    <w:autoRedefine/>
    <w:rsid w:val="009E362C"/>
    <w:pPr>
      <w:numPr>
        <w:ilvl w:val="2"/>
        <w:numId w:val="1"/>
      </w:numPr>
      <w:tabs>
        <w:tab w:val="num" w:pos="357"/>
      </w:tabs>
      <w:spacing w:before="100" w:beforeAutospacing="1" w:after="100" w:afterAutospacing="1"/>
      <w:ind w:left="357" w:hanging="357"/>
      <w:jc w:val="left"/>
    </w:pPr>
    <w:rPr>
      <w:rFonts w:ascii="Book Antiqua" w:hAnsi="Book Antiqua"/>
      <w:noProof w:val="0"/>
      <w:sz w:val="22"/>
      <w:szCs w:val="22"/>
      <w:lang w:eastAsia="cs-CZ"/>
    </w:rPr>
  </w:style>
  <w:style w:type="paragraph" w:customStyle="1" w:styleId="Zkladntext">
    <w:name w:val="Základní text"/>
    <w:rsid w:val="009E362C"/>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3">
    <w:name w:val="Body Text Indent 3"/>
    <w:aliases w:val="Char"/>
    <w:basedOn w:val="Normal"/>
    <w:link w:val="BodyTextIndent3Char"/>
    <w:rsid w:val="009E362C"/>
    <w:pPr>
      <w:ind w:firstLine="708"/>
      <w:jc w:val="both"/>
    </w:pPr>
    <w:rPr>
      <w:rFonts w:ascii="Arial Narrow" w:hAnsi="Arial Narrow"/>
      <w:noProof w:val="0"/>
      <w:sz w:val="22"/>
      <w:szCs w:val="22"/>
    </w:rPr>
  </w:style>
  <w:style w:type="character" w:customStyle="1" w:styleId="BodyTextIndent3Char">
    <w:name w:val="Body Text Indent 3 Char"/>
    <w:aliases w:val="Char Char1_0"/>
    <w:basedOn w:val="DefaultParagraphFont"/>
    <w:link w:val="BodyTextIndent3"/>
    <w:locked/>
    <w:rsid w:val="009E362C"/>
    <w:rPr>
      <w:rFonts w:ascii="Arial Narrow" w:hAnsi="Arial Narrow" w:cs="Times New Roman"/>
      <w:sz w:val="22"/>
      <w:szCs w:val="22"/>
      <w:rtl w:val="0"/>
      <w:cs w:val="0"/>
    </w:rPr>
  </w:style>
  <w:style w:type="paragraph" w:styleId="BodyTextIndent">
    <w:name w:val="Body Text Indent"/>
    <w:basedOn w:val="Normal"/>
    <w:link w:val="BodyTextIndentChar"/>
    <w:rsid w:val="009E362C"/>
    <w:pPr>
      <w:spacing w:after="120"/>
      <w:ind w:left="283"/>
      <w:jc w:val="left"/>
    </w:pPr>
    <w:rPr>
      <w:rFonts w:ascii="Courier" w:hAnsi="Courier"/>
      <w:noProof w:val="0"/>
      <w:szCs w:val="20"/>
      <w:lang w:eastAsia="cs-CZ"/>
    </w:rPr>
  </w:style>
  <w:style w:type="character" w:customStyle="1" w:styleId="BodyTextIndentChar">
    <w:name w:val="Body Text Indent Char"/>
    <w:basedOn w:val="DefaultParagraphFont"/>
    <w:link w:val="BodyTextIndent"/>
    <w:locked/>
    <w:rsid w:val="009E362C"/>
    <w:rPr>
      <w:rFonts w:ascii="Courier" w:hAnsi="Courier" w:cs="Times New Roman"/>
      <w:sz w:val="24"/>
      <w:rtl w:val="0"/>
      <w:cs w:val="0"/>
      <w:lang w:val="x-none" w:eastAsia="cs-CZ"/>
    </w:rPr>
  </w:style>
  <w:style w:type="paragraph" w:customStyle="1" w:styleId="Odsekzoznamu1">
    <w:name w:val="Odsek zoznamu1"/>
    <w:basedOn w:val="Normal"/>
    <w:rsid w:val="009E362C"/>
    <w:pPr>
      <w:spacing w:after="200" w:line="276" w:lineRule="auto"/>
      <w:ind w:left="720"/>
      <w:jc w:val="left"/>
    </w:pPr>
    <w:rPr>
      <w:rFonts w:ascii="Calibri" w:hAnsi="Calibri"/>
      <w:noProof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82B3-F2B5-4E15-B576-4D164AED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36</Pages>
  <Words>15903</Words>
  <Characters>90651</Characters>
  <Application>Microsoft Office Word</Application>
  <DocSecurity>0</DocSecurity>
  <Lines>0</Lines>
  <Paragraphs>0</Paragraphs>
  <ScaleCrop>false</ScaleCrop>
  <Company>Kancelaria NR SR</Company>
  <LinksUpToDate>false</LinksUpToDate>
  <CharactersWithSpaces>106342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Sekcia rozpočtovej politiky</dc:title>
  <dc:creator>Gašparíková, Jarmila</dc:creator>
  <cp:lastModifiedBy>Gašparíková, Jarmila</cp:lastModifiedBy>
  <cp:revision>2</cp:revision>
  <cp:lastPrinted>2011-09-29T13:05:00Z</cp:lastPrinted>
  <dcterms:created xsi:type="dcterms:W3CDTF">2011-10-14T13:14:00Z</dcterms:created>
  <dcterms:modified xsi:type="dcterms:W3CDTF">2011-10-14T13:14:00Z</dcterms:modified>
</cp:coreProperties>
</file>